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DCEE5" w14:textId="77777777" w:rsidR="00354C87" w:rsidRPr="0093420D" w:rsidRDefault="00354C87" w:rsidP="00354C87">
      <w:pPr>
        <w:rPr>
          <w:color w:val="FF0000"/>
        </w:rPr>
      </w:pPr>
    </w:p>
    <w:p w14:paraId="5C970E24" w14:textId="77777777" w:rsidR="00354C87" w:rsidRPr="0093420D" w:rsidRDefault="00354C87" w:rsidP="00354C87">
      <w:pPr>
        <w:pStyle w:val="Normlnywebov"/>
        <w:jc w:val="center"/>
        <w:rPr>
          <w:color w:val="FF0000"/>
        </w:rPr>
      </w:pPr>
    </w:p>
    <w:p w14:paraId="2A066AF3" w14:textId="77777777" w:rsidR="00354C87" w:rsidRPr="0093420D" w:rsidRDefault="00354C87" w:rsidP="00354C87">
      <w:pPr>
        <w:pStyle w:val="Normlnywebov"/>
        <w:jc w:val="center"/>
        <w:rPr>
          <w:color w:val="FF0000"/>
        </w:rPr>
      </w:pPr>
    </w:p>
    <w:p w14:paraId="5341A705" w14:textId="77777777" w:rsidR="00354C87" w:rsidRPr="0093420D" w:rsidRDefault="00211C2A" w:rsidP="00354C87">
      <w:pPr>
        <w:pStyle w:val="Normlnywebov"/>
        <w:jc w:val="center"/>
        <w:rPr>
          <w:color w:val="FF0000"/>
        </w:rPr>
      </w:pPr>
      <w:r w:rsidRPr="00211C2A">
        <w:rPr>
          <w:noProof/>
          <w:color w:val="FF0000"/>
        </w:rPr>
        <w:drawing>
          <wp:inline distT="0" distB="0" distL="0" distR="0" wp14:anchorId="6837B1F8" wp14:editId="3BB36384">
            <wp:extent cx="1419225" cy="1695450"/>
            <wp:effectExtent l="0" t="0" r="0" b="0"/>
            <wp:docPr id="1" name="Obrázok 56" descr="Popis: štátny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descr="Popis: štátny 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695450"/>
                    </a:xfrm>
                    <a:prstGeom prst="rect">
                      <a:avLst/>
                    </a:prstGeom>
                    <a:noFill/>
                    <a:ln>
                      <a:noFill/>
                    </a:ln>
                  </pic:spPr>
                </pic:pic>
              </a:graphicData>
            </a:graphic>
          </wp:inline>
        </w:drawing>
      </w:r>
    </w:p>
    <w:p w14:paraId="18B1543E" w14:textId="77777777" w:rsidR="00354C87" w:rsidRPr="0093420D" w:rsidRDefault="00354C87" w:rsidP="00354C87">
      <w:pPr>
        <w:rPr>
          <w:color w:val="FF0000"/>
        </w:rPr>
      </w:pPr>
    </w:p>
    <w:p w14:paraId="65F997CD" w14:textId="77777777" w:rsidR="00354C87" w:rsidRPr="0093420D" w:rsidRDefault="00354C87" w:rsidP="00354C87">
      <w:pPr>
        <w:rPr>
          <w:color w:val="FF0000"/>
        </w:rPr>
      </w:pPr>
    </w:p>
    <w:p w14:paraId="3341860A" w14:textId="77777777" w:rsidR="00354C87" w:rsidRPr="0093420D" w:rsidRDefault="00354C87" w:rsidP="00354C87">
      <w:pPr>
        <w:rPr>
          <w:color w:val="FF0000"/>
        </w:rPr>
      </w:pPr>
    </w:p>
    <w:p w14:paraId="73BFFD0E" w14:textId="77777777" w:rsidR="00354C87" w:rsidRPr="0093420D" w:rsidRDefault="00354C87" w:rsidP="00354C87">
      <w:pPr>
        <w:rPr>
          <w:color w:val="FF0000"/>
        </w:rPr>
      </w:pPr>
    </w:p>
    <w:p w14:paraId="275BF09B" w14:textId="77777777" w:rsidR="00354C87" w:rsidRPr="006370DD" w:rsidRDefault="00354C87" w:rsidP="00354C87">
      <w:pPr>
        <w:jc w:val="center"/>
        <w:rPr>
          <w:b/>
          <w:sz w:val="40"/>
          <w:szCs w:val="40"/>
        </w:rPr>
      </w:pPr>
      <w:r w:rsidRPr="006370DD">
        <w:rPr>
          <w:b/>
          <w:sz w:val="40"/>
          <w:szCs w:val="40"/>
        </w:rPr>
        <w:t>Súhrnná výročná správa</w:t>
      </w:r>
    </w:p>
    <w:p w14:paraId="0D2A4127" w14:textId="77777777" w:rsidR="00354C87" w:rsidRPr="006370DD" w:rsidRDefault="00354C87" w:rsidP="00354C87">
      <w:pPr>
        <w:jc w:val="center"/>
        <w:rPr>
          <w:b/>
          <w:sz w:val="40"/>
          <w:szCs w:val="40"/>
        </w:rPr>
      </w:pPr>
      <w:r w:rsidRPr="006370DD">
        <w:rPr>
          <w:b/>
          <w:sz w:val="40"/>
          <w:szCs w:val="40"/>
        </w:rPr>
        <w:t>Slovenskej republiky</w:t>
      </w:r>
    </w:p>
    <w:p w14:paraId="29123CA7" w14:textId="6FABD1CB" w:rsidR="00354C87" w:rsidRPr="006370DD" w:rsidRDefault="00354C87" w:rsidP="00354C87">
      <w:pPr>
        <w:jc w:val="center"/>
        <w:rPr>
          <w:b/>
          <w:sz w:val="40"/>
          <w:szCs w:val="40"/>
        </w:rPr>
      </w:pPr>
      <w:r w:rsidRPr="006370DD">
        <w:rPr>
          <w:b/>
          <w:sz w:val="40"/>
          <w:szCs w:val="40"/>
        </w:rPr>
        <w:t>za rok 201</w:t>
      </w:r>
      <w:r w:rsidR="00254DF2">
        <w:rPr>
          <w:b/>
          <w:sz w:val="40"/>
          <w:szCs w:val="40"/>
        </w:rPr>
        <w:t>8</w:t>
      </w:r>
    </w:p>
    <w:p w14:paraId="3BAD9115" w14:textId="77777777" w:rsidR="00354C87" w:rsidRPr="006370DD" w:rsidRDefault="00354C87" w:rsidP="00354C87">
      <w:pPr>
        <w:rPr>
          <w:sz w:val="40"/>
          <w:szCs w:val="40"/>
        </w:rPr>
      </w:pPr>
    </w:p>
    <w:p w14:paraId="0CA3B83C" w14:textId="77777777" w:rsidR="00354C87" w:rsidRPr="006370DD" w:rsidRDefault="00354C87" w:rsidP="00354C87"/>
    <w:p w14:paraId="7FDF94F5" w14:textId="77777777" w:rsidR="00354C87" w:rsidRPr="006370DD" w:rsidRDefault="00354C87" w:rsidP="00354C87"/>
    <w:p w14:paraId="3F627FED" w14:textId="77777777" w:rsidR="00354C87" w:rsidRPr="006370DD" w:rsidRDefault="00354C87" w:rsidP="00354C87"/>
    <w:p w14:paraId="40D289EE" w14:textId="77777777" w:rsidR="00354C87" w:rsidRPr="006370DD" w:rsidRDefault="00354C87" w:rsidP="00354C87"/>
    <w:p w14:paraId="68023957" w14:textId="77777777" w:rsidR="00354C87" w:rsidRPr="006370DD" w:rsidRDefault="00354C87" w:rsidP="00354C87"/>
    <w:p w14:paraId="385E9C31" w14:textId="77777777" w:rsidR="00354C87" w:rsidRPr="006370DD" w:rsidRDefault="00354C87" w:rsidP="00354C87"/>
    <w:p w14:paraId="209AD89F" w14:textId="77777777" w:rsidR="00354C87" w:rsidRPr="006370DD" w:rsidRDefault="00354C87" w:rsidP="00354C87"/>
    <w:p w14:paraId="6F7516EA" w14:textId="45CFB71F" w:rsidR="00651A0E" w:rsidRPr="006370DD" w:rsidRDefault="00C32B83" w:rsidP="00651A0E">
      <w:pPr>
        <w:tabs>
          <w:tab w:val="left" w:pos="0"/>
          <w:tab w:val="left" w:pos="284"/>
        </w:tabs>
        <w:spacing w:before="120" w:after="120" w:line="360" w:lineRule="auto"/>
        <w:jc w:val="center"/>
        <w:rPr>
          <w:b/>
          <w:sz w:val="32"/>
          <w:szCs w:val="32"/>
        </w:rPr>
        <w:sectPr w:rsidR="00651A0E" w:rsidRPr="006370DD" w:rsidSect="00DD253A">
          <w:footerReference w:type="default" r:id="rId9"/>
          <w:pgSz w:w="11906" w:h="16838" w:code="9"/>
          <w:pgMar w:top="1418" w:right="1134" w:bottom="1418" w:left="1134" w:header="709" w:footer="709" w:gutter="567"/>
          <w:cols w:space="708"/>
          <w:docGrid w:linePitch="360"/>
        </w:sectPr>
      </w:pPr>
      <w:r>
        <w:rPr>
          <w:b/>
          <w:sz w:val="32"/>
          <w:szCs w:val="32"/>
        </w:rPr>
        <w:t>O</w:t>
      </w:r>
      <w:r w:rsidR="00354C87" w:rsidRPr="006370DD">
        <w:rPr>
          <w:b/>
          <w:sz w:val="32"/>
          <w:szCs w:val="32"/>
        </w:rPr>
        <w:t>któber 201</w:t>
      </w:r>
      <w:r w:rsidR="00254DF2">
        <w:rPr>
          <w:b/>
          <w:sz w:val="32"/>
          <w:szCs w:val="32"/>
        </w:rPr>
        <w:t>9</w:t>
      </w:r>
    </w:p>
    <w:p w14:paraId="79FCEFF6" w14:textId="77777777" w:rsidR="00B34B9C" w:rsidRPr="00872FE7" w:rsidRDefault="00B34B9C" w:rsidP="00894E53">
      <w:pPr>
        <w:spacing w:after="0" w:line="336" w:lineRule="auto"/>
        <w:rPr>
          <w:b/>
          <w:sz w:val="26"/>
          <w:szCs w:val="26"/>
        </w:rPr>
      </w:pPr>
      <w:bookmarkStart w:id="0" w:name="_Toc401920003"/>
      <w:bookmarkStart w:id="1" w:name="_Toc399324354"/>
      <w:r w:rsidRPr="00872FE7">
        <w:rPr>
          <w:b/>
          <w:sz w:val="26"/>
          <w:szCs w:val="26"/>
        </w:rPr>
        <w:lastRenderedPageBreak/>
        <w:t>Obsah</w:t>
      </w:r>
    </w:p>
    <w:p w14:paraId="240FE75E" w14:textId="77777777" w:rsidR="003608DE" w:rsidRDefault="00F74AB3">
      <w:pPr>
        <w:pStyle w:val="Obsah1"/>
        <w:rPr>
          <w:rFonts w:asciiTheme="minorHAnsi" w:eastAsiaTheme="minorEastAsia" w:hAnsiTheme="minorHAnsi" w:cstheme="minorBidi"/>
          <w:noProof/>
          <w:sz w:val="22"/>
          <w:szCs w:val="22"/>
          <w:lang w:eastAsia="sk-SK"/>
        </w:rPr>
      </w:pPr>
      <w:r w:rsidRPr="00744240">
        <w:rPr>
          <w:rFonts w:cs="Times New Roman"/>
          <w:sz w:val="22"/>
          <w:szCs w:val="22"/>
        </w:rPr>
        <w:fldChar w:fldCharType="begin"/>
      </w:r>
      <w:r w:rsidRPr="00744240">
        <w:rPr>
          <w:rFonts w:cs="Times New Roman"/>
          <w:sz w:val="22"/>
          <w:szCs w:val="22"/>
        </w:rPr>
        <w:instrText xml:space="preserve"> TOC \o "1-3" \u </w:instrText>
      </w:r>
      <w:r w:rsidRPr="00744240">
        <w:rPr>
          <w:rFonts w:cs="Times New Roman"/>
          <w:sz w:val="22"/>
          <w:szCs w:val="22"/>
        </w:rPr>
        <w:fldChar w:fldCharType="separate"/>
      </w:r>
      <w:r w:rsidR="003608DE">
        <w:rPr>
          <w:noProof/>
        </w:rPr>
        <w:t>Zhrnutie</w:t>
      </w:r>
      <w:r w:rsidR="003608DE">
        <w:rPr>
          <w:noProof/>
        </w:rPr>
        <w:tab/>
      </w:r>
      <w:r w:rsidR="003608DE">
        <w:rPr>
          <w:noProof/>
        </w:rPr>
        <w:fldChar w:fldCharType="begin"/>
      </w:r>
      <w:r w:rsidR="003608DE">
        <w:rPr>
          <w:noProof/>
        </w:rPr>
        <w:instrText xml:space="preserve"> PAGEREF _Toc23264788 \h </w:instrText>
      </w:r>
      <w:r w:rsidR="003608DE">
        <w:rPr>
          <w:noProof/>
        </w:rPr>
      </w:r>
      <w:r w:rsidR="003608DE">
        <w:rPr>
          <w:noProof/>
        </w:rPr>
        <w:fldChar w:fldCharType="separate"/>
      </w:r>
      <w:r w:rsidR="008D45FA">
        <w:rPr>
          <w:noProof/>
        </w:rPr>
        <w:t>2</w:t>
      </w:r>
      <w:r w:rsidR="003608DE">
        <w:rPr>
          <w:noProof/>
        </w:rPr>
        <w:fldChar w:fldCharType="end"/>
      </w:r>
    </w:p>
    <w:p w14:paraId="112BB5FA" w14:textId="77777777" w:rsidR="003608DE" w:rsidRDefault="003608DE">
      <w:pPr>
        <w:pStyle w:val="Obsah1"/>
        <w:rPr>
          <w:rFonts w:asciiTheme="minorHAnsi" w:eastAsiaTheme="minorEastAsia" w:hAnsiTheme="minorHAnsi" w:cstheme="minorBidi"/>
          <w:noProof/>
          <w:sz w:val="22"/>
          <w:szCs w:val="22"/>
          <w:lang w:eastAsia="sk-SK"/>
        </w:rPr>
      </w:pPr>
      <w:r>
        <w:rPr>
          <w:noProof/>
        </w:rPr>
        <w:t>Úvod</w:t>
      </w:r>
      <w:r>
        <w:rPr>
          <w:noProof/>
        </w:rPr>
        <w:tab/>
      </w:r>
      <w:r>
        <w:rPr>
          <w:noProof/>
        </w:rPr>
        <w:fldChar w:fldCharType="begin"/>
      </w:r>
      <w:r>
        <w:rPr>
          <w:noProof/>
        </w:rPr>
        <w:instrText xml:space="preserve"> PAGEREF _Toc23264789 \h </w:instrText>
      </w:r>
      <w:r>
        <w:rPr>
          <w:noProof/>
        </w:rPr>
      </w:r>
      <w:r>
        <w:rPr>
          <w:noProof/>
        </w:rPr>
        <w:fldChar w:fldCharType="separate"/>
      </w:r>
      <w:r w:rsidR="008D45FA">
        <w:rPr>
          <w:noProof/>
        </w:rPr>
        <w:t>3</w:t>
      </w:r>
      <w:r>
        <w:rPr>
          <w:noProof/>
        </w:rPr>
        <w:fldChar w:fldCharType="end"/>
      </w:r>
    </w:p>
    <w:p w14:paraId="54F0ED78" w14:textId="77777777" w:rsidR="003608DE" w:rsidRDefault="003608DE">
      <w:pPr>
        <w:pStyle w:val="Obsah1"/>
        <w:rPr>
          <w:rFonts w:asciiTheme="minorHAnsi" w:eastAsiaTheme="minorEastAsia" w:hAnsiTheme="minorHAnsi" w:cstheme="minorBidi"/>
          <w:noProof/>
          <w:sz w:val="22"/>
          <w:szCs w:val="22"/>
          <w:lang w:eastAsia="sk-SK"/>
        </w:rPr>
      </w:pPr>
      <w:r w:rsidRPr="001160B7">
        <w:rPr>
          <w:noProof/>
        </w:rPr>
        <w:t>1.</w:t>
      </w:r>
      <w:r>
        <w:rPr>
          <w:rFonts w:asciiTheme="minorHAnsi" w:eastAsiaTheme="minorEastAsia" w:hAnsiTheme="minorHAnsi" w:cstheme="minorBidi"/>
          <w:noProof/>
          <w:sz w:val="22"/>
          <w:szCs w:val="22"/>
          <w:lang w:eastAsia="sk-SK"/>
        </w:rPr>
        <w:tab/>
      </w:r>
      <w:r w:rsidRPr="001160B7">
        <w:rPr>
          <w:noProof/>
        </w:rPr>
        <w:t>Hospodárenie verejnej správy v metodike ESA 2010</w:t>
      </w:r>
      <w:r>
        <w:rPr>
          <w:noProof/>
        </w:rPr>
        <w:tab/>
      </w:r>
      <w:r>
        <w:rPr>
          <w:noProof/>
        </w:rPr>
        <w:fldChar w:fldCharType="begin"/>
      </w:r>
      <w:r>
        <w:rPr>
          <w:noProof/>
        </w:rPr>
        <w:instrText xml:space="preserve"> PAGEREF _Toc23264790 \h </w:instrText>
      </w:r>
      <w:r>
        <w:rPr>
          <w:noProof/>
        </w:rPr>
      </w:r>
      <w:r>
        <w:rPr>
          <w:noProof/>
        </w:rPr>
        <w:fldChar w:fldCharType="separate"/>
      </w:r>
      <w:r w:rsidR="008D45FA">
        <w:rPr>
          <w:noProof/>
        </w:rPr>
        <w:t>5</w:t>
      </w:r>
      <w:r>
        <w:rPr>
          <w:noProof/>
        </w:rPr>
        <w:fldChar w:fldCharType="end"/>
      </w:r>
    </w:p>
    <w:p w14:paraId="39D2F088" w14:textId="77777777" w:rsidR="003608DE" w:rsidRDefault="003608DE">
      <w:pPr>
        <w:pStyle w:val="Obsah2"/>
        <w:rPr>
          <w:rFonts w:asciiTheme="minorHAnsi" w:eastAsiaTheme="minorEastAsia" w:hAnsiTheme="minorHAnsi" w:cstheme="minorBidi"/>
          <w:noProof/>
          <w:szCs w:val="22"/>
          <w:lang w:eastAsia="sk-SK"/>
        </w:rPr>
      </w:pPr>
      <w:r>
        <w:rPr>
          <w:noProof/>
        </w:rPr>
        <w:t xml:space="preserve">1.1. </w:t>
      </w:r>
      <w:r>
        <w:rPr>
          <w:rFonts w:asciiTheme="minorHAnsi" w:eastAsiaTheme="minorEastAsia" w:hAnsiTheme="minorHAnsi" w:cstheme="minorBidi"/>
          <w:noProof/>
          <w:szCs w:val="22"/>
          <w:lang w:eastAsia="sk-SK"/>
        </w:rPr>
        <w:tab/>
      </w:r>
      <w:r>
        <w:rPr>
          <w:noProof/>
        </w:rPr>
        <w:t>Saldo verejnej správy</w:t>
      </w:r>
      <w:r>
        <w:rPr>
          <w:noProof/>
        </w:rPr>
        <w:tab/>
      </w:r>
      <w:r>
        <w:rPr>
          <w:noProof/>
        </w:rPr>
        <w:fldChar w:fldCharType="begin"/>
      </w:r>
      <w:r>
        <w:rPr>
          <w:noProof/>
        </w:rPr>
        <w:instrText xml:space="preserve"> PAGEREF _Toc23264791 \h </w:instrText>
      </w:r>
      <w:r>
        <w:rPr>
          <w:noProof/>
        </w:rPr>
      </w:r>
      <w:r>
        <w:rPr>
          <w:noProof/>
        </w:rPr>
        <w:fldChar w:fldCharType="separate"/>
      </w:r>
      <w:r w:rsidR="008D45FA">
        <w:rPr>
          <w:noProof/>
        </w:rPr>
        <w:t>8</w:t>
      </w:r>
      <w:r>
        <w:rPr>
          <w:noProof/>
        </w:rPr>
        <w:fldChar w:fldCharType="end"/>
      </w:r>
    </w:p>
    <w:p w14:paraId="6C62665F" w14:textId="77777777" w:rsidR="003608DE" w:rsidRDefault="003608DE">
      <w:pPr>
        <w:pStyle w:val="Obsah2"/>
        <w:rPr>
          <w:rFonts w:asciiTheme="minorHAnsi" w:eastAsiaTheme="minorEastAsia" w:hAnsiTheme="minorHAnsi" w:cstheme="minorBidi"/>
          <w:noProof/>
          <w:szCs w:val="22"/>
          <w:lang w:eastAsia="sk-SK"/>
        </w:rPr>
      </w:pPr>
      <w:r>
        <w:rPr>
          <w:noProof/>
        </w:rPr>
        <w:t>1.2.</w:t>
      </w:r>
      <w:r>
        <w:rPr>
          <w:rFonts w:asciiTheme="minorHAnsi" w:eastAsiaTheme="minorEastAsia" w:hAnsiTheme="minorHAnsi" w:cstheme="minorBidi"/>
          <w:noProof/>
          <w:szCs w:val="22"/>
          <w:lang w:eastAsia="sk-SK"/>
        </w:rPr>
        <w:tab/>
      </w:r>
      <w:r>
        <w:rPr>
          <w:noProof/>
        </w:rPr>
        <w:t>Dlh verejnej správy</w:t>
      </w:r>
      <w:r>
        <w:rPr>
          <w:noProof/>
        </w:rPr>
        <w:tab/>
      </w:r>
      <w:r>
        <w:rPr>
          <w:noProof/>
        </w:rPr>
        <w:fldChar w:fldCharType="begin"/>
      </w:r>
      <w:r>
        <w:rPr>
          <w:noProof/>
        </w:rPr>
        <w:instrText xml:space="preserve"> PAGEREF _Toc23264792 \h </w:instrText>
      </w:r>
      <w:r>
        <w:rPr>
          <w:noProof/>
        </w:rPr>
      </w:r>
      <w:r>
        <w:rPr>
          <w:noProof/>
        </w:rPr>
        <w:fldChar w:fldCharType="separate"/>
      </w:r>
      <w:r w:rsidR="008D45FA">
        <w:rPr>
          <w:noProof/>
        </w:rPr>
        <w:t>15</w:t>
      </w:r>
      <w:r>
        <w:rPr>
          <w:noProof/>
        </w:rPr>
        <w:fldChar w:fldCharType="end"/>
      </w:r>
    </w:p>
    <w:p w14:paraId="15FE49F8" w14:textId="77777777" w:rsidR="003608DE" w:rsidRDefault="003608DE">
      <w:pPr>
        <w:pStyle w:val="Obsah2"/>
        <w:rPr>
          <w:rFonts w:asciiTheme="minorHAnsi" w:eastAsiaTheme="minorEastAsia" w:hAnsiTheme="minorHAnsi" w:cstheme="minorBidi"/>
          <w:noProof/>
          <w:szCs w:val="22"/>
          <w:lang w:eastAsia="sk-SK"/>
        </w:rPr>
      </w:pPr>
      <w:r>
        <w:rPr>
          <w:noProof/>
        </w:rPr>
        <w:t>1.3.</w:t>
      </w:r>
      <w:r>
        <w:rPr>
          <w:rFonts w:asciiTheme="minorHAnsi" w:eastAsiaTheme="minorEastAsia" w:hAnsiTheme="minorHAnsi" w:cstheme="minorBidi"/>
          <w:noProof/>
          <w:szCs w:val="22"/>
          <w:lang w:eastAsia="sk-SK"/>
        </w:rPr>
        <w:tab/>
      </w:r>
      <w:r>
        <w:rPr>
          <w:noProof/>
        </w:rPr>
        <w:t>Čistý dlh verejnej správy</w:t>
      </w:r>
      <w:r>
        <w:rPr>
          <w:noProof/>
        </w:rPr>
        <w:tab/>
      </w:r>
      <w:r>
        <w:rPr>
          <w:noProof/>
        </w:rPr>
        <w:fldChar w:fldCharType="begin"/>
      </w:r>
      <w:r>
        <w:rPr>
          <w:noProof/>
        </w:rPr>
        <w:instrText xml:space="preserve"> PAGEREF _Toc23264793 \h </w:instrText>
      </w:r>
      <w:r>
        <w:rPr>
          <w:noProof/>
        </w:rPr>
      </w:r>
      <w:r>
        <w:rPr>
          <w:noProof/>
        </w:rPr>
        <w:fldChar w:fldCharType="separate"/>
      </w:r>
      <w:r w:rsidR="008D45FA">
        <w:rPr>
          <w:noProof/>
        </w:rPr>
        <w:t>18</w:t>
      </w:r>
      <w:r>
        <w:rPr>
          <w:noProof/>
        </w:rPr>
        <w:fldChar w:fldCharType="end"/>
      </w:r>
    </w:p>
    <w:p w14:paraId="57686185" w14:textId="77777777" w:rsidR="003608DE" w:rsidRDefault="003608DE">
      <w:pPr>
        <w:pStyle w:val="Obsah2"/>
        <w:rPr>
          <w:rFonts w:asciiTheme="minorHAnsi" w:eastAsiaTheme="minorEastAsia" w:hAnsiTheme="minorHAnsi" w:cstheme="minorBidi"/>
          <w:noProof/>
          <w:szCs w:val="22"/>
          <w:lang w:eastAsia="sk-SK"/>
        </w:rPr>
      </w:pPr>
      <w:r>
        <w:rPr>
          <w:noProof/>
        </w:rPr>
        <w:t>1.4.</w:t>
      </w:r>
      <w:r>
        <w:rPr>
          <w:rFonts w:asciiTheme="minorHAnsi" w:eastAsiaTheme="minorEastAsia" w:hAnsiTheme="minorHAnsi" w:cstheme="minorBidi"/>
          <w:noProof/>
          <w:szCs w:val="22"/>
          <w:lang w:eastAsia="sk-SK"/>
        </w:rPr>
        <w:tab/>
      </w:r>
      <w:r>
        <w:rPr>
          <w:noProof/>
        </w:rPr>
        <w:t>Rozdiely medzi októbrovou a aprílovou notifikáciou údajov</w:t>
      </w:r>
      <w:r>
        <w:rPr>
          <w:noProof/>
        </w:rPr>
        <w:tab/>
      </w:r>
      <w:r>
        <w:rPr>
          <w:noProof/>
        </w:rPr>
        <w:fldChar w:fldCharType="begin"/>
      </w:r>
      <w:r>
        <w:rPr>
          <w:noProof/>
        </w:rPr>
        <w:instrText xml:space="preserve"> PAGEREF _Toc23264794 \h </w:instrText>
      </w:r>
      <w:r>
        <w:rPr>
          <w:noProof/>
        </w:rPr>
      </w:r>
      <w:r>
        <w:rPr>
          <w:noProof/>
        </w:rPr>
        <w:fldChar w:fldCharType="separate"/>
      </w:r>
      <w:r w:rsidR="008D45FA">
        <w:rPr>
          <w:noProof/>
        </w:rPr>
        <w:t>18</w:t>
      </w:r>
      <w:r>
        <w:rPr>
          <w:noProof/>
        </w:rPr>
        <w:fldChar w:fldCharType="end"/>
      </w:r>
    </w:p>
    <w:p w14:paraId="5A720E85" w14:textId="77777777" w:rsidR="003608DE" w:rsidRDefault="003608DE">
      <w:pPr>
        <w:pStyle w:val="Obsah2"/>
        <w:rPr>
          <w:rFonts w:asciiTheme="minorHAnsi" w:eastAsiaTheme="minorEastAsia" w:hAnsiTheme="minorHAnsi" w:cstheme="minorBidi"/>
          <w:noProof/>
          <w:szCs w:val="22"/>
          <w:lang w:eastAsia="sk-SK"/>
        </w:rPr>
      </w:pPr>
      <w:r>
        <w:rPr>
          <w:noProof/>
        </w:rPr>
        <w:t>1.5.</w:t>
      </w:r>
      <w:r>
        <w:rPr>
          <w:rFonts w:asciiTheme="minorHAnsi" w:eastAsiaTheme="minorEastAsia" w:hAnsiTheme="minorHAnsi" w:cstheme="minorBidi"/>
          <w:noProof/>
          <w:szCs w:val="22"/>
          <w:lang w:eastAsia="sk-SK"/>
        </w:rPr>
        <w:tab/>
      </w:r>
      <w:r>
        <w:rPr>
          <w:noProof/>
        </w:rPr>
        <w:t>Porovnanie salda a dlhu verejnej správy v rámci Európskej únie</w:t>
      </w:r>
      <w:r>
        <w:rPr>
          <w:noProof/>
        </w:rPr>
        <w:tab/>
      </w:r>
      <w:r>
        <w:rPr>
          <w:noProof/>
        </w:rPr>
        <w:fldChar w:fldCharType="begin"/>
      </w:r>
      <w:r>
        <w:rPr>
          <w:noProof/>
        </w:rPr>
        <w:instrText xml:space="preserve"> PAGEREF _Toc23264795 \h </w:instrText>
      </w:r>
      <w:r>
        <w:rPr>
          <w:noProof/>
        </w:rPr>
      </w:r>
      <w:r>
        <w:rPr>
          <w:noProof/>
        </w:rPr>
        <w:fldChar w:fldCharType="separate"/>
      </w:r>
      <w:r w:rsidR="008D45FA">
        <w:rPr>
          <w:noProof/>
        </w:rPr>
        <w:t>21</w:t>
      </w:r>
      <w:r>
        <w:rPr>
          <w:noProof/>
        </w:rPr>
        <w:fldChar w:fldCharType="end"/>
      </w:r>
    </w:p>
    <w:p w14:paraId="64A3F109" w14:textId="77777777" w:rsidR="003608DE" w:rsidRDefault="003608DE">
      <w:pPr>
        <w:pStyle w:val="Obsah1"/>
        <w:rPr>
          <w:rFonts w:asciiTheme="minorHAnsi" w:eastAsiaTheme="minorEastAsia" w:hAnsiTheme="minorHAnsi" w:cstheme="minorBidi"/>
          <w:noProof/>
          <w:sz w:val="22"/>
          <w:szCs w:val="22"/>
          <w:lang w:eastAsia="sk-SK"/>
        </w:rPr>
      </w:pPr>
      <w:r>
        <w:rPr>
          <w:noProof/>
        </w:rPr>
        <w:t>2.</w:t>
      </w:r>
      <w:r>
        <w:rPr>
          <w:rFonts w:asciiTheme="minorHAnsi" w:eastAsiaTheme="minorEastAsia" w:hAnsiTheme="minorHAnsi" w:cstheme="minorBidi"/>
          <w:noProof/>
          <w:sz w:val="22"/>
          <w:szCs w:val="22"/>
          <w:lang w:eastAsia="sk-SK"/>
        </w:rPr>
        <w:tab/>
      </w:r>
      <w:r>
        <w:rPr>
          <w:noProof/>
        </w:rPr>
        <w:t>Hospodárenie verejnej správy – požiadavky ústavného zákona o rozpočtovej zodpovednosti</w:t>
      </w:r>
      <w:r>
        <w:rPr>
          <w:noProof/>
        </w:rPr>
        <w:tab/>
      </w:r>
      <w:r>
        <w:rPr>
          <w:noProof/>
        </w:rPr>
        <w:fldChar w:fldCharType="begin"/>
      </w:r>
      <w:r>
        <w:rPr>
          <w:noProof/>
        </w:rPr>
        <w:instrText xml:space="preserve"> PAGEREF _Toc23264796 \h </w:instrText>
      </w:r>
      <w:r>
        <w:rPr>
          <w:noProof/>
        </w:rPr>
      </w:r>
      <w:r>
        <w:rPr>
          <w:noProof/>
        </w:rPr>
        <w:fldChar w:fldCharType="separate"/>
      </w:r>
      <w:r w:rsidR="008D45FA">
        <w:rPr>
          <w:noProof/>
        </w:rPr>
        <w:t>23</w:t>
      </w:r>
      <w:r>
        <w:rPr>
          <w:noProof/>
        </w:rPr>
        <w:fldChar w:fldCharType="end"/>
      </w:r>
    </w:p>
    <w:p w14:paraId="0062D59E" w14:textId="77777777" w:rsidR="003608DE" w:rsidRDefault="003608DE">
      <w:pPr>
        <w:pStyle w:val="Obsah2"/>
        <w:rPr>
          <w:rFonts w:asciiTheme="minorHAnsi" w:eastAsiaTheme="minorEastAsia" w:hAnsiTheme="minorHAnsi" w:cstheme="minorBidi"/>
          <w:noProof/>
          <w:szCs w:val="22"/>
          <w:lang w:eastAsia="sk-SK"/>
        </w:rPr>
      </w:pPr>
      <w:r>
        <w:rPr>
          <w:noProof/>
        </w:rPr>
        <w:t>2.1.</w:t>
      </w:r>
      <w:r>
        <w:rPr>
          <w:rFonts w:asciiTheme="minorHAnsi" w:eastAsiaTheme="minorEastAsia" w:hAnsiTheme="minorHAnsi" w:cstheme="minorBidi"/>
          <w:noProof/>
          <w:szCs w:val="22"/>
          <w:lang w:eastAsia="sk-SK"/>
        </w:rPr>
        <w:tab/>
      </w:r>
      <w:r>
        <w:rPr>
          <w:noProof/>
        </w:rPr>
        <w:t>Bilancia rozpočtu verejnej správy</w:t>
      </w:r>
      <w:r>
        <w:rPr>
          <w:noProof/>
        </w:rPr>
        <w:tab/>
      </w:r>
      <w:r>
        <w:rPr>
          <w:noProof/>
        </w:rPr>
        <w:fldChar w:fldCharType="begin"/>
      </w:r>
      <w:r>
        <w:rPr>
          <w:noProof/>
        </w:rPr>
        <w:instrText xml:space="preserve"> PAGEREF _Toc23264797 \h </w:instrText>
      </w:r>
      <w:r>
        <w:rPr>
          <w:noProof/>
        </w:rPr>
      </w:r>
      <w:r>
        <w:rPr>
          <w:noProof/>
        </w:rPr>
        <w:fldChar w:fldCharType="separate"/>
      </w:r>
      <w:r w:rsidR="008D45FA">
        <w:rPr>
          <w:noProof/>
        </w:rPr>
        <w:t>23</w:t>
      </w:r>
      <w:r>
        <w:rPr>
          <w:noProof/>
        </w:rPr>
        <w:fldChar w:fldCharType="end"/>
      </w:r>
    </w:p>
    <w:p w14:paraId="6AA9BEBA" w14:textId="77777777" w:rsidR="003608DE" w:rsidRDefault="003608DE">
      <w:pPr>
        <w:pStyle w:val="Obsah3"/>
        <w:rPr>
          <w:rFonts w:asciiTheme="minorHAnsi" w:eastAsiaTheme="minorEastAsia" w:hAnsiTheme="minorHAnsi" w:cstheme="minorBidi"/>
          <w:noProof/>
          <w:szCs w:val="22"/>
          <w:lang w:eastAsia="sk-SK"/>
        </w:rPr>
      </w:pPr>
      <w:r>
        <w:rPr>
          <w:noProof/>
        </w:rPr>
        <w:t>2.1.1.</w:t>
      </w:r>
      <w:r>
        <w:rPr>
          <w:rFonts w:asciiTheme="minorHAnsi" w:eastAsiaTheme="minorEastAsia" w:hAnsiTheme="minorHAnsi" w:cstheme="minorBidi"/>
          <w:noProof/>
          <w:szCs w:val="22"/>
          <w:lang w:eastAsia="sk-SK"/>
        </w:rPr>
        <w:tab/>
      </w:r>
      <w:r>
        <w:rPr>
          <w:noProof/>
        </w:rPr>
        <w:t>Príjmy verejnej správy</w:t>
      </w:r>
      <w:r>
        <w:rPr>
          <w:noProof/>
        </w:rPr>
        <w:tab/>
      </w:r>
      <w:r>
        <w:rPr>
          <w:noProof/>
        </w:rPr>
        <w:fldChar w:fldCharType="begin"/>
      </w:r>
      <w:r>
        <w:rPr>
          <w:noProof/>
        </w:rPr>
        <w:instrText xml:space="preserve"> PAGEREF _Toc23264798 \h </w:instrText>
      </w:r>
      <w:r>
        <w:rPr>
          <w:noProof/>
        </w:rPr>
      </w:r>
      <w:r>
        <w:rPr>
          <w:noProof/>
        </w:rPr>
        <w:fldChar w:fldCharType="separate"/>
      </w:r>
      <w:r w:rsidR="008D45FA">
        <w:rPr>
          <w:noProof/>
        </w:rPr>
        <w:t>23</w:t>
      </w:r>
      <w:r>
        <w:rPr>
          <w:noProof/>
        </w:rPr>
        <w:fldChar w:fldCharType="end"/>
      </w:r>
    </w:p>
    <w:p w14:paraId="0D06C57C" w14:textId="77777777" w:rsidR="003608DE" w:rsidRDefault="003608DE">
      <w:pPr>
        <w:pStyle w:val="Obsah3"/>
        <w:rPr>
          <w:rFonts w:asciiTheme="minorHAnsi" w:eastAsiaTheme="minorEastAsia" w:hAnsiTheme="minorHAnsi" w:cstheme="minorBidi"/>
          <w:noProof/>
          <w:szCs w:val="22"/>
          <w:lang w:eastAsia="sk-SK"/>
        </w:rPr>
      </w:pPr>
      <w:r>
        <w:rPr>
          <w:noProof/>
        </w:rPr>
        <w:t xml:space="preserve">2.1.2. </w:t>
      </w:r>
      <w:r>
        <w:rPr>
          <w:rFonts w:asciiTheme="minorHAnsi" w:eastAsiaTheme="minorEastAsia" w:hAnsiTheme="minorHAnsi" w:cstheme="minorBidi"/>
          <w:noProof/>
          <w:szCs w:val="22"/>
          <w:lang w:eastAsia="sk-SK"/>
        </w:rPr>
        <w:tab/>
      </w:r>
      <w:r>
        <w:rPr>
          <w:noProof/>
        </w:rPr>
        <w:t>Výdavky verejnej správy</w:t>
      </w:r>
      <w:r>
        <w:rPr>
          <w:noProof/>
        </w:rPr>
        <w:tab/>
      </w:r>
      <w:r>
        <w:rPr>
          <w:noProof/>
        </w:rPr>
        <w:fldChar w:fldCharType="begin"/>
      </w:r>
      <w:r>
        <w:rPr>
          <w:noProof/>
        </w:rPr>
        <w:instrText xml:space="preserve"> PAGEREF _Toc23264799 \h </w:instrText>
      </w:r>
      <w:r>
        <w:rPr>
          <w:noProof/>
        </w:rPr>
      </w:r>
      <w:r>
        <w:rPr>
          <w:noProof/>
        </w:rPr>
        <w:fldChar w:fldCharType="separate"/>
      </w:r>
      <w:r w:rsidR="008D45FA">
        <w:rPr>
          <w:noProof/>
        </w:rPr>
        <w:t>26</w:t>
      </w:r>
      <w:r>
        <w:rPr>
          <w:noProof/>
        </w:rPr>
        <w:fldChar w:fldCharType="end"/>
      </w:r>
    </w:p>
    <w:p w14:paraId="57D2D4BA" w14:textId="77777777" w:rsidR="003608DE" w:rsidRDefault="003608DE">
      <w:pPr>
        <w:pStyle w:val="Obsah2"/>
        <w:rPr>
          <w:rFonts w:asciiTheme="minorHAnsi" w:eastAsiaTheme="minorEastAsia" w:hAnsiTheme="minorHAnsi" w:cstheme="minorBidi"/>
          <w:noProof/>
          <w:szCs w:val="22"/>
          <w:lang w:eastAsia="sk-SK"/>
        </w:rPr>
      </w:pPr>
      <w:r>
        <w:rPr>
          <w:noProof/>
        </w:rPr>
        <w:t>2.2.</w:t>
      </w:r>
      <w:r>
        <w:rPr>
          <w:rFonts w:asciiTheme="minorHAnsi" w:eastAsiaTheme="minorEastAsia" w:hAnsiTheme="minorHAnsi" w:cstheme="minorBidi"/>
          <w:noProof/>
          <w:szCs w:val="22"/>
          <w:lang w:eastAsia="sk-SK"/>
        </w:rPr>
        <w:tab/>
      </w:r>
      <w:r>
        <w:rPr>
          <w:noProof/>
        </w:rPr>
        <w:t>Štrukturálne saldo, cyklická zložka a jednorazové vplyvy</w:t>
      </w:r>
      <w:r>
        <w:rPr>
          <w:noProof/>
        </w:rPr>
        <w:tab/>
      </w:r>
      <w:r>
        <w:rPr>
          <w:noProof/>
        </w:rPr>
        <w:fldChar w:fldCharType="begin"/>
      </w:r>
      <w:r>
        <w:rPr>
          <w:noProof/>
        </w:rPr>
        <w:instrText xml:space="preserve"> PAGEREF _Toc23264800 \h </w:instrText>
      </w:r>
      <w:r>
        <w:rPr>
          <w:noProof/>
        </w:rPr>
      </w:r>
      <w:r>
        <w:rPr>
          <w:noProof/>
        </w:rPr>
        <w:fldChar w:fldCharType="separate"/>
      </w:r>
      <w:r w:rsidR="008D45FA">
        <w:rPr>
          <w:noProof/>
        </w:rPr>
        <w:t>28</w:t>
      </w:r>
      <w:r>
        <w:rPr>
          <w:noProof/>
        </w:rPr>
        <w:fldChar w:fldCharType="end"/>
      </w:r>
    </w:p>
    <w:p w14:paraId="4E37C3A1" w14:textId="77777777" w:rsidR="003608DE" w:rsidRDefault="003608DE">
      <w:pPr>
        <w:pStyle w:val="Obsah2"/>
        <w:rPr>
          <w:rFonts w:asciiTheme="minorHAnsi" w:eastAsiaTheme="minorEastAsia" w:hAnsiTheme="minorHAnsi" w:cstheme="minorBidi"/>
          <w:noProof/>
          <w:szCs w:val="22"/>
          <w:lang w:eastAsia="sk-SK"/>
        </w:rPr>
      </w:pPr>
      <w:r>
        <w:rPr>
          <w:noProof/>
        </w:rPr>
        <w:t>2.3.</w:t>
      </w:r>
      <w:r>
        <w:rPr>
          <w:rFonts w:asciiTheme="minorHAnsi" w:eastAsiaTheme="minorEastAsia" w:hAnsiTheme="minorHAnsi" w:cstheme="minorBidi"/>
          <w:noProof/>
          <w:szCs w:val="22"/>
          <w:lang w:eastAsia="sk-SK"/>
        </w:rPr>
        <w:tab/>
      </w:r>
      <w:r>
        <w:rPr>
          <w:noProof/>
        </w:rPr>
        <w:t>Vyhodnotenie plnenia cieľov stratégie riadenia štátneho dlhu</w:t>
      </w:r>
      <w:r>
        <w:rPr>
          <w:noProof/>
        </w:rPr>
        <w:tab/>
      </w:r>
      <w:r>
        <w:rPr>
          <w:noProof/>
        </w:rPr>
        <w:fldChar w:fldCharType="begin"/>
      </w:r>
      <w:r>
        <w:rPr>
          <w:noProof/>
        </w:rPr>
        <w:instrText xml:space="preserve"> PAGEREF _Toc23264801 \h </w:instrText>
      </w:r>
      <w:r>
        <w:rPr>
          <w:noProof/>
        </w:rPr>
      </w:r>
      <w:r>
        <w:rPr>
          <w:noProof/>
        </w:rPr>
        <w:fldChar w:fldCharType="separate"/>
      </w:r>
      <w:r w:rsidR="008D45FA">
        <w:rPr>
          <w:noProof/>
        </w:rPr>
        <w:t>30</w:t>
      </w:r>
      <w:r>
        <w:rPr>
          <w:noProof/>
        </w:rPr>
        <w:fldChar w:fldCharType="end"/>
      </w:r>
    </w:p>
    <w:p w14:paraId="4C58CC15" w14:textId="77777777" w:rsidR="003608DE" w:rsidRDefault="003608DE">
      <w:pPr>
        <w:pStyle w:val="Obsah3"/>
        <w:rPr>
          <w:rFonts w:asciiTheme="minorHAnsi" w:eastAsiaTheme="minorEastAsia" w:hAnsiTheme="minorHAnsi" w:cstheme="minorBidi"/>
          <w:noProof/>
          <w:szCs w:val="22"/>
          <w:lang w:eastAsia="sk-SK"/>
        </w:rPr>
      </w:pPr>
      <w:r>
        <w:rPr>
          <w:noProof/>
        </w:rPr>
        <w:t>2.3.1.</w:t>
      </w:r>
      <w:r>
        <w:rPr>
          <w:rFonts w:asciiTheme="minorHAnsi" w:eastAsiaTheme="minorEastAsia" w:hAnsiTheme="minorHAnsi" w:cstheme="minorBidi"/>
          <w:noProof/>
          <w:szCs w:val="22"/>
          <w:lang w:eastAsia="sk-SK"/>
        </w:rPr>
        <w:tab/>
      </w:r>
      <w:r>
        <w:rPr>
          <w:noProof/>
        </w:rPr>
        <w:t>Vyhodnotenie plnenia cieľov stratégie riadenia štátneho dlhu</w:t>
      </w:r>
      <w:r>
        <w:rPr>
          <w:noProof/>
        </w:rPr>
        <w:tab/>
      </w:r>
      <w:r>
        <w:rPr>
          <w:noProof/>
        </w:rPr>
        <w:fldChar w:fldCharType="begin"/>
      </w:r>
      <w:r>
        <w:rPr>
          <w:noProof/>
        </w:rPr>
        <w:instrText xml:space="preserve"> PAGEREF _Toc23264802 \h </w:instrText>
      </w:r>
      <w:r>
        <w:rPr>
          <w:noProof/>
        </w:rPr>
      </w:r>
      <w:r>
        <w:rPr>
          <w:noProof/>
        </w:rPr>
        <w:fldChar w:fldCharType="separate"/>
      </w:r>
      <w:r w:rsidR="008D45FA">
        <w:rPr>
          <w:noProof/>
        </w:rPr>
        <w:t>31</w:t>
      </w:r>
      <w:r>
        <w:rPr>
          <w:noProof/>
        </w:rPr>
        <w:fldChar w:fldCharType="end"/>
      </w:r>
    </w:p>
    <w:p w14:paraId="059A1E3F" w14:textId="77777777" w:rsidR="003608DE" w:rsidRDefault="003608DE">
      <w:pPr>
        <w:pStyle w:val="Obsah3"/>
        <w:rPr>
          <w:rFonts w:asciiTheme="minorHAnsi" w:eastAsiaTheme="minorEastAsia" w:hAnsiTheme="minorHAnsi" w:cstheme="minorBidi"/>
          <w:noProof/>
          <w:szCs w:val="22"/>
          <w:lang w:eastAsia="sk-SK"/>
        </w:rPr>
      </w:pPr>
      <w:r>
        <w:rPr>
          <w:noProof/>
        </w:rPr>
        <w:t>2.3.2.</w:t>
      </w:r>
      <w:r>
        <w:rPr>
          <w:rFonts w:asciiTheme="minorHAnsi" w:eastAsiaTheme="minorEastAsia" w:hAnsiTheme="minorHAnsi" w:cstheme="minorBidi"/>
          <w:noProof/>
          <w:szCs w:val="22"/>
          <w:lang w:eastAsia="sk-SK"/>
        </w:rPr>
        <w:tab/>
      </w:r>
      <w:r>
        <w:rPr>
          <w:noProof/>
        </w:rPr>
        <w:t>Riadenie štátneho dlhu v roku 2018</w:t>
      </w:r>
      <w:r>
        <w:rPr>
          <w:noProof/>
        </w:rPr>
        <w:tab/>
      </w:r>
      <w:r>
        <w:rPr>
          <w:noProof/>
        </w:rPr>
        <w:fldChar w:fldCharType="begin"/>
      </w:r>
      <w:r>
        <w:rPr>
          <w:noProof/>
        </w:rPr>
        <w:instrText xml:space="preserve"> PAGEREF _Toc23264803 \h </w:instrText>
      </w:r>
      <w:r>
        <w:rPr>
          <w:noProof/>
        </w:rPr>
      </w:r>
      <w:r>
        <w:rPr>
          <w:noProof/>
        </w:rPr>
        <w:fldChar w:fldCharType="separate"/>
      </w:r>
      <w:r w:rsidR="008D45FA">
        <w:rPr>
          <w:noProof/>
        </w:rPr>
        <w:t>32</w:t>
      </w:r>
      <w:r>
        <w:rPr>
          <w:noProof/>
        </w:rPr>
        <w:fldChar w:fldCharType="end"/>
      </w:r>
    </w:p>
    <w:p w14:paraId="0486F77C" w14:textId="77777777" w:rsidR="003608DE" w:rsidRDefault="003608DE">
      <w:pPr>
        <w:pStyle w:val="Obsah1"/>
        <w:rPr>
          <w:rFonts w:asciiTheme="minorHAnsi" w:eastAsiaTheme="minorEastAsia" w:hAnsiTheme="minorHAnsi" w:cstheme="minorBidi"/>
          <w:noProof/>
          <w:sz w:val="22"/>
          <w:szCs w:val="22"/>
          <w:lang w:eastAsia="sk-SK"/>
        </w:rPr>
      </w:pPr>
      <w:r w:rsidRPr="001160B7">
        <w:rPr>
          <w:noProof/>
        </w:rPr>
        <w:t>3. Čisté bohatstvo</w:t>
      </w:r>
      <w:r>
        <w:rPr>
          <w:noProof/>
        </w:rPr>
        <w:tab/>
      </w:r>
      <w:r>
        <w:rPr>
          <w:noProof/>
        </w:rPr>
        <w:fldChar w:fldCharType="begin"/>
      </w:r>
      <w:r>
        <w:rPr>
          <w:noProof/>
        </w:rPr>
        <w:instrText xml:space="preserve"> PAGEREF _Toc23264804 \h </w:instrText>
      </w:r>
      <w:r>
        <w:rPr>
          <w:noProof/>
        </w:rPr>
      </w:r>
      <w:r>
        <w:rPr>
          <w:noProof/>
        </w:rPr>
        <w:fldChar w:fldCharType="separate"/>
      </w:r>
      <w:r w:rsidR="008D45FA">
        <w:rPr>
          <w:noProof/>
        </w:rPr>
        <w:t>33</w:t>
      </w:r>
      <w:r>
        <w:rPr>
          <w:noProof/>
        </w:rPr>
        <w:fldChar w:fldCharType="end"/>
      </w:r>
    </w:p>
    <w:p w14:paraId="48D1040C" w14:textId="77777777" w:rsidR="003608DE" w:rsidRDefault="003608DE">
      <w:pPr>
        <w:pStyle w:val="Obsah2"/>
        <w:rPr>
          <w:rFonts w:asciiTheme="minorHAnsi" w:eastAsiaTheme="minorEastAsia" w:hAnsiTheme="minorHAnsi" w:cstheme="minorBidi"/>
          <w:noProof/>
          <w:szCs w:val="22"/>
          <w:lang w:eastAsia="sk-SK"/>
        </w:rPr>
      </w:pPr>
      <w:r>
        <w:rPr>
          <w:noProof/>
        </w:rPr>
        <w:t>3.1.</w:t>
      </w:r>
      <w:r>
        <w:rPr>
          <w:rFonts w:asciiTheme="minorHAnsi" w:eastAsiaTheme="minorEastAsia" w:hAnsiTheme="minorHAnsi" w:cstheme="minorBidi"/>
          <w:noProof/>
          <w:szCs w:val="22"/>
          <w:lang w:eastAsia="sk-SK"/>
        </w:rPr>
        <w:tab/>
      </w:r>
      <w:r>
        <w:rPr>
          <w:noProof/>
        </w:rPr>
        <w:t>Koncept čistého bohatstva</w:t>
      </w:r>
      <w:r>
        <w:rPr>
          <w:noProof/>
        </w:rPr>
        <w:tab/>
      </w:r>
      <w:r>
        <w:rPr>
          <w:noProof/>
        </w:rPr>
        <w:fldChar w:fldCharType="begin"/>
      </w:r>
      <w:r>
        <w:rPr>
          <w:noProof/>
        </w:rPr>
        <w:instrText xml:space="preserve"> PAGEREF _Toc23264805 \h </w:instrText>
      </w:r>
      <w:r>
        <w:rPr>
          <w:noProof/>
        </w:rPr>
      </w:r>
      <w:r>
        <w:rPr>
          <w:noProof/>
        </w:rPr>
        <w:fldChar w:fldCharType="separate"/>
      </w:r>
      <w:r w:rsidR="008D45FA">
        <w:rPr>
          <w:noProof/>
        </w:rPr>
        <w:t>33</w:t>
      </w:r>
      <w:r>
        <w:rPr>
          <w:noProof/>
        </w:rPr>
        <w:fldChar w:fldCharType="end"/>
      </w:r>
    </w:p>
    <w:p w14:paraId="15951C73" w14:textId="77777777" w:rsidR="003608DE" w:rsidRDefault="003608DE">
      <w:pPr>
        <w:pStyle w:val="Obsah2"/>
        <w:rPr>
          <w:rFonts w:asciiTheme="minorHAnsi" w:eastAsiaTheme="minorEastAsia" w:hAnsiTheme="minorHAnsi" w:cstheme="minorBidi"/>
          <w:noProof/>
          <w:szCs w:val="22"/>
          <w:lang w:eastAsia="sk-SK"/>
        </w:rPr>
      </w:pPr>
      <w:r>
        <w:rPr>
          <w:noProof/>
        </w:rPr>
        <w:t>3.2.</w:t>
      </w:r>
      <w:r>
        <w:rPr>
          <w:rFonts w:asciiTheme="minorHAnsi" w:eastAsiaTheme="minorEastAsia" w:hAnsiTheme="minorHAnsi" w:cstheme="minorBidi"/>
          <w:noProof/>
          <w:szCs w:val="22"/>
          <w:lang w:eastAsia="sk-SK"/>
        </w:rPr>
        <w:tab/>
      </w:r>
      <w:r>
        <w:rPr>
          <w:noProof/>
        </w:rPr>
        <w:t>Odhad čistého bohatstva za rok 2018</w:t>
      </w:r>
      <w:r>
        <w:rPr>
          <w:noProof/>
        </w:rPr>
        <w:tab/>
      </w:r>
      <w:r>
        <w:rPr>
          <w:noProof/>
        </w:rPr>
        <w:fldChar w:fldCharType="begin"/>
      </w:r>
      <w:r>
        <w:rPr>
          <w:noProof/>
        </w:rPr>
        <w:instrText xml:space="preserve"> PAGEREF _Toc23264806 \h </w:instrText>
      </w:r>
      <w:r>
        <w:rPr>
          <w:noProof/>
        </w:rPr>
      </w:r>
      <w:r>
        <w:rPr>
          <w:noProof/>
        </w:rPr>
        <w:fldChar w:fldCharType="separate"/>
      </w:r>
      <w:r w:rsidR="008D45FA">
        <w:rPr>
          <w:noProof/>
        </w:rPr>
        <w:t>34</w:t>
      </w:r>
      <w:r>
        <w:rPr>
          <w:noProof/>
        </w:rPr>
        <w:fldChar w:fldCharType="end"/>
      </w:r>
    </w:p>
    <w:p w14:paraId="14712453" w14:textId="77777777" w:rsidR="003608DE" w:rsidRDefault="003608DE">
      <w:pPr>
        <w:pStyle w:val="Obsah3"/>
        <w:rPr>
          <w:rFonts w:asciiTheme="minorHAnsi" w:eastAsiaTheme="minorEastAsia" w:hAnsiTheme="minorHAnsi" w:cstheme="minorBidi"/>
          <w:noProof/>
          <w:szCs w:val="22"/>
          <w:lang w:eastAsia="sk-SK"/>
        </w:rPr>
      </w:pPr>
      <w:r>
        <w:rPr>
          <w:noProof/>
        </w:rPr>
        <w:t>3.2.1.</w:t>
      </w:r>
      <w:r>
        <w:rPr>
          <w:rFonts w:asciiTheme="minorHAnsi" w:eastAsiaTheme="minorEastAsia" w:hAnsiTheme="minorHAnsi" w:cstheme="minorBidi"/>
          <w:noProof/>
          <w:szCs w:val="22"/>
          <w:lang w:eastAsia="sk-SK"/>
        </w:rPr>
        <w:tab/>
      </w:r>
      <w:r>
        <w:rPr>
          <w:noProof/>
        </w:rPr>
        <w:t>Vlastné imanie súhrnného celku verejnej správy</w:t>
      </w:r>
      <w:r>
        <w:rPr>
          <w:noProof/>
        </w:rPr>
        <w:tab/>
      </w:r>
      <w:r>
        <w:rPr>
          <w:noProof/>
        </w:rPr>
        <w:fldChar w:fldCharType="begin"/>
      </w:r>
      <w:r>
        <w:rPr>
          <w:noProof/>
        </w:rPr>
        <w:instrText xml:space="preserve"> PAGEREF _Toc23264807 \h </w:instrText>
      </w:r>
      <w:r>
        <w:rPr>
          <w:noProof/>
        </w:rPr>
      </w:r>
      <w:r>
        <w:rPr>
          <w:noProof/>
        </w:rPr>
        <w:fldChar w:fldCharType="separate"/>
      </w:r>
      <w:r w:rsidR="008D45FA">
        <w:rPr>
          <w:noProof/>
        </w:rPr>
        <w:t>35</w:t>
      </w:r>
      <w:r>
        <w:rPr>
          <w:noProof/>
        </w:rPr>
        <w:fldChar w:fldCharType="end"/>
      </w:r>
    </w:p>
    <w:p w14:paraId="538B2EA3" w14:textId="77777777" w:rsidR="003608DE" w:rsidRDefault="003608DE">
      <w:pPr>
        <w:pStyle w:val="Obsah3"/>
        <w:rPr>
          <w:rFonts w:asciiTheme="minorHAnsi" w:eastAsiaTheme="minorEastAsia" w:hAnsiTheme="minorHAnsi" w:cstheme="minorBidi"/>
          <w:noProof/>
          <w:szCs w:val="22"/>
          <w:lang w:eastAsia="sk-SK"/>
        </w:rPr>
      </w:pPr>
      <w:r>
        <w:rPr>
          <w:noProof/>
        </w:rPr>
        <w:t>3.2.2.</w:t>
      </w:r>
      <w:r>
        <w:rPr>
          <w:rFonts w:asciiTheme="minorHAnsi" w:eastAsiaTheme="minorEastAsia" w:hAnsiTheme="minorHAnsi" w:cstheme="minorBidi"/>
          <w:noProof/>
          <w:szCs w:val="22"/>
          <w:lang w:eastAsia="sk-SK"/>
        </w:rPr>
        <w:tab/>
      </w:r>
      <w:r>
        <w:rPr>
          <w:noProof/>
        </w:rPr>
        <w:t>Vlastné imanie podnikov štátnej správy</w:t>
      </w:r>
      <w:r>
        <w:rPr>
          <w:noProof/>
        </w:rPr>
        <w:tab/>
      </w:r>
      <w:r>
        <w:rPr>
          <w:noProof/>
        </w:rPr>
        <w:fldChar w:fldCharType="begin"/>
      </w:r>
      <w:r>
        <w:rPr>
          <w:noProof/>
        </w:rPr>
        <w:instrText xml:space="preserve"> PAGEREF _Toc23264808 \h </w:instrText>
      </w:r>
      <w:r>
        <w:rPr>
          <w:noProof/>
        </w:rPr>
      </w:r>
      <w:r>
        <w:rPr>
          <w:noProof/>
        </w:rPr>
        <w:fldChar w:fldCharType="separate"/>
      </w:r>
      <w:r w:rsidR="008D45FA">
        <w:rPr>
          <w:noProof/>
        </w:rPr>
        <w:t>37</w:t>
      </w:r>
      <w:r>
        <w:rPr>
          <w:noProof/>
        </w:rPr>
        <w:fldChar w:fldCharType="end"/>
      </w:r>
    </w:p>
    <w:p w14:paraId="1D88FCAF" w14:textId="77777777" w:rsidR="003608DE" w:rsidRDefault="003608DE">
      <w:pPr>
        <w:pStyle w:val="Obsah3"/>
        <w:rPr>
          <w:rFonts w:asciiTheme="minorHAnsi" w:eastAsiaTheme="minorEastAsia" w:hAnsiTheme="minorHAnsi" w:cstheme="minorBidi"/>
          <w:noProof/>
          <w:szCs w:val="22"/>
          <w:lang w:eastAsia="sk-SK"/>
        </w:rPr>
      </w:pPr>
      <w:r>
        <w:rPr>
          <w:noProof/>
        </w:rPr>
        <w:t>3.2.3.</w:t>
      </w:r>
      <w:r>
        <w:rPr>
          <w:rFonts w:asciiTheme="minorHAnsi" w:eastAsiaTheme="minorEastAsia" w:hAnsiTheme="minorHAnsi" w:cstheme="minorBidi"/>
          <w:noProof/>
          <w:szCs w:val="22"/>
          <w:lang w:eastAsia="sk-SK"/>
        </w:rPr>
        <w:tab/>
      </w:r>
      <w:r w:rsidRPr="001160B7">
        <w:rPr>
          <w:rFonts w:eastAsiaTheme="minorHAnsi"/>
          <w:noProof/>
        </w:rPr>
        <w:t>Vlastné imanie Národnej banky Slovenska</w:t>
      </w:r>
      <w:r>
        <w:rPr>
          <w:noProof/>
        </w:rPr>
        <w:tab/>
      </w:r>
      <w:r>
        <w:rPr>
          <w:noProof/>
        </w:rPr>
        <w:fldChar w:fldCharType="begin"/>
      </w:r>
      <w:r>
        <w:rPr>
          <w:noProof/>
        </w:rPr>
        <w:instrText xml:space="preserve"> PAGEREF _Toc23264809 \h </w:instrText>
      </w:r>
      <w:r>
        <w:rPr>
          <w:noProof/>
        </w:rPr>
      </w:r>
      <w:r>
        <w:rPr>
          <w:noProof/>
        </w:rPr>
        <w:fldChar w:fldCharType="separate"/>
      </w:r>
      <w:r w:rsidR="008D45FA">
        <w:rPr>
          <w:noProof/>
        </w:rPr>
        <w:t>49</w:t>
      </w:r>
      <w:r>
        <w:rPr>
          <w:noProof/>
        </w:rPr>
        <w:fldChar w:fldCharType="end"/>
      </w:r>
    </w:p>
    <w:p w14:paraId="2B527468" w14:textId="77777777" w:rsidR="003608DE" w:rsidRDefault="003608DE">
      <w:pPr>
        <w:pStyle w:val="Obsah3"/>
        <w:rPr>
          <w:rFonts w:asciiTheme="minorHAnsi" w:eastAsiaTheme="minorEastAsia" w:hAnsiTheme="minorHAnsi" w:cstheme="minorBidi"/>
          <w:noProof/>
          <w:szCs w:val="22"/>
          <w:lang w:eastAsia="sk-SK"/>
        </w:rPr>
      </w:pPr>
      <w:r>
        <w:rPr>
          <w:noProof/>
        </w:rPr>
        <w:t>3.2.4.</w:t>
      </w:r>
      <w:r>
        <w:rPr>
          <w:rFonts w:asciiTheme="minorHAnsi" w:eastAsiaTheme="minorEastAsia" w:hAnsiTheme="minorHAnsi" w:cstheme="minorBidi"/>
          <w:noProof/>
          <w:szCs w:val="22"/>
          <w:lang w:eastAsia="sk-SK"/>
        </w:rPr>
        <w:tab/>
      </w:r>
      <w:r>
        <w:rPr>
          <w:noProof/>
        </w:rPr>
        <w:t>Implicitné záväzky</w:t>
      </w:r>
      <w:r>
        <w:rPr>
          <w:noProof/>
        </w:rPr>
        <w:tab/>
      </w:r>
      <w:r>
        <w:rPr>
          <w:noProof/>
        </w:rPr>
        <w:fldChar w:fldCharType="begin"/>
      </w:r>
      <w:r>
        <w:rPr>
          <w:noProof/>
        </w:rPr>
        <w:instrText xml:space="preserve"> PAGEREF _Toc23264810 \h </w:instrText>
      </w:r>
      <w:r>
        <w:rPr>
          <w:noProof/>
        </w:rPr>
      </w:r>
      <w:r>
        <w:rPr>
          <w:noProof/>
        </w:rPr>
        <w:fldChar w:fldCharType="separate"/>
      </w:r>
      <w:r w:rsidR="008D45FA">
        <w:rPr>
          <w:noProof/>
        </w:rPr>
        <w:t>52</w:t>
      </w:r>
      <w:r>
        <w:rPr>
          <w:noProof/>
        </w:rPr>
        <w:fldChar w:fldCharType="end"/>
      </w:r>
    </w:p>
    <w:p w14:paraId="1548816A" w14:textId="77777777" w:rsidR="003608DE" w:rsidRDefault="003608DE">
      <w:pPr>
        <w:pStyle w:val="Obsah3"/>
        <w:rPr>
          <w:rFonts w:asciiTheme="minorHAnsi" w:eastAsiaTheme="minorEastAsia" w:hAnsiTheme="minorHAnsi" w:cstheme="minorBidi"/>
          <w:noProof/>
          <w:szCs w:val="22"/>
          <w:lang w:eastAsia="sk-SK"/>
        </w:rPr>
      </w:pPr>
      <w:r>
        <w:rPr>
          <w:noProof/>
        </w:rPr>
        <w:t>3.2.5.</w:t>
      </w:r>
      <w:r>
        <w:rPr>
          <w:rFonts w:asciiTheme="minorHAnsi" w:eastAsiaTheme="minorEastAsia" w:hAnsiTheme="minorHAnsi" w:cstheme="minorBidi"/>
          <w:noProof/>
          <w:szCs w:val="22"/>
          <w:lang w:eastAsia="sk-SK"/>
        </w:rPr>
        <w:tab/>
      </w:r>
      <w:r>
        <w:rPr>
          <w:noProof/>
        </w:rPr>
        <w:t>Podmienené záväzky</w:t>
      </w:r>
      <w:r>
        <w:rPr>
          <w:noProof/>
        </w:rPr>
        <w:tab/>
      </w:r>
      <w:r>
        <w:rPr>
          <w:noProof/>
        </w:rPr>
        <w:fldChar w:fldCharType="begin"/>
      </w:r>
      <w:r>
        <w:rPr>
          <w:noProof/>
        </w:rPr>
        <w:instrText xml:space="preserve"> PAGEREF _Toc23264811 \h </w:instrText>
      </w:r>
      <w:r>
        <w:rPr>
          <w:noProof/>
        </w:rPr>
      </w:r>
      <w:r>
        <w:rPr>
          <w:noProof/>
        </w:rPr>
        <w:fldChar w:fldCharType="separate"/>
      </w:r>
      <w:r w:rsidR="008D45FA">
        <w:rPr>
          <w:noProof/>
        </w:rPr>
        <w:t>54</w:t>
      </w:r>
      <w:r>
        <w:rPr>
          <w:noProof/>
        </w:rPr>
        <w:fldChar w:fldCharType="end"/>
      </w:r>
    </w:p>
    <w:p w14:paraId="19998BDD" w14:textId="77777777" w:rsidR="003608DE" w:rsidRDefault="003608DE">
      <w:pPr>
        <w:pStyle w:val="Obsah3"/>
        <w:rPr>
          <w:rFonts w:asciiTheme="minorHAnsi" w:eastAsiaTheme="minorEastAsia" w:hAnsiTheme="minorHAnsi" w:cstheme="minorBidi"/>
          <w:noProof/>
          <w:szCs w:val="22"/>
          <w:lang w:eastAsia="sk-SK"/>
        </w:rPr>
      </w:pPr>
      <w:r>
        <w:rPr>
          <w:noProof/>
        </w:rPr>
        <w:t>3.2.6.</w:t>
      </w:r>
      <w:r>
        <w:rPr>
          <w:rFonts w:asciiTheme="minorHAnsi" w:eastAsiaTheme="minorEastAsia" w:hAnsiTheme="minorHAnsi" w:cstheme="minorBidi"/>
          <w:noProof/>
          <w:szCs w:val="22"/>
          <w:lang w:eastAsia="sk-SK"/>
        </w:rPr>
        <w:tab/>
      </w:r>
      <w:r>
        <w:rPr>
          <w:noProof/>
        </w:rPr>
        <w:t>Iné aktíva ako súčasť čistého bohatstva</w:t>
      </w:r>
      <w:r>
        <w:rPr>
          <w:noProof/>
        </w:rPr>
        <w:tab/>
      </w:r>
      <w:r>
        <w:rPr>
          <w:noProof/>
        </w:rPr>
        <w:fldChar w:fldCharType="begin"/>
      </w:r>
      <w:r>
        <w:rPr>
          <w:noProof/>
        </w:rPr>
        <w:instrText xml:space="preserve"> PAGEREF _Toc23264812 \h </w:instrText>
      </w:r>
      <w:r>
        <w:rPr>
          <w:noProof/>
        </w:rPr>
      </w:r>
      <w:r>
        <w:rPr>
          <w:noProof/>
        </w:rPr>
        <w:fldChar w:fldCharType="separate"/>
      </w:r>
      <w:r w:rsidR="008D45FA">
        <w:rPr>
          <w:noProof/>
        </w:rPr>
        <w:t>61</w:t>
      </w:r>
      <w:r>
        <w:rPr>
          <w:noProof/>
        </w:rPr>
        <w:fldChar w:fldCharType="end"/>
      </w:r>
    </w:p>
    <w:p w14:paraId="32975449" w14:textId="77777777" w:rsidR="003608DE" w:rsidRDefault="003608DE">
      <w:pPr>
        <w:pStyle w:val="Obsah1"/>
        <w:rPr>
          <w:rFonts w:asciiTheme="minorHAnsi" w:eastAsiaTheme="minorEastAsia" w:hAnsiTheme="minorHAnsi" w:cstheme="minorBidi"/>
          <w:noProof/>
          <w:sz w:val="22"/>
          <w:szCs w:val="22"/>
          <w:lang w:eastAsia="sk-SK"/>
        </w:rPr>
      </w:pPr>
      <w:r>
        <w:rPr>
          <w:noProof/>
        </w:rPr>
        <w:t>Zoznam skratiek</w:t>
      </w:r>
      <w:r>
        <w:rPr>
          <w:noProof/>
        </w:rPr>
        <w:tab/>
      </w:r>
      <w:r>
        <w:rPr>
          <w:noProof/>
        </w:rPr>
        <w:fldChar w:fldCharType="begin"/>
      </w:r>
      <w:r>
        <w:rPr>
          <w:noProof/>
        </w:rPr>
        <w:instrText xml:space="preserve"> PAGEREF _Toc23264813 \h </w:instrText>
      </w:r>
      <w:r>
        <w:rPr>
          <w:noProof/>
        </w:rPr>
      </w:r>
      <w:r>
        <w:rPr>
          <w:noProof/>
        </w:rPr>
        <w:fldChar w:fldCharType="separate"/>
      </w:r>
      <w:r w:rsidR="008D45FA">
        <w:rPr>
          <w:noProof/>
        </w:rPr>
        <w:t>64</w:t>
      </w:r>
      <w:r>
        <w:rPr>
          <w:noProof/>
        </w:rPr>
        <w:fldChar w:fldCharType="end"/>
      </w:r>
    </w:p>
    <w:p w14:paraId="7289346E" w14:textId="77777777" w:rsidR="003608DE" w:rsidRDefault="003608DE">
      <w:pPr>
        <w:pStyle w:val="Obsah1"/>
        <w:rPr>
          <w:rFonts w:asciiTheme="minorHAnsi" w:eastAsiaTheme="minorEastAsia" w:hAnsiTheme="minorHAnsi" w:cstheme="minorBidi"/>
          <w:noProof/>
          <w:sz w:val="22"/>
          <w:szCs w:val="22"/>
          <w:lang w:eastAsia="sk-SK"/>
        </w:rPr>
      </w:pPr>
      <w:r>
        <w:rPr>
          <w:noProof/>
        </w:rPr>
        <w:t>Slovník odborných pojmov</w:t>
      </w:r>
      <w:r>
        <w:rPr>
          <w:noProof/>
        </w:rPr>
        <w:tab/>
      </w:r>
      <w:r>
        <w:rPr>
          <w:noProof/>
        </w:rPr>
        <w:fldChar w:fldCharType="begin"/>
      </w:r>
      <w:r>
        <w:rPr>
          <w:noProof/>
        </w:rPr>
        <w:instrText xml:space="preserve"> PAGEREF _Toc23264814 \h </w:instrText>
      </w:r>
      <w:r>
        <w:rPr>
          <w:noProof/>
        </w:rPr>
      </w:r>
      <w:r>
        <w:rPr>
          <w:noProof/>
        </w:rPr>
        <w:fldChar w:fldCharType="separate"/>
      </w:r>
      <w:r w:rsidR="008D45FA">
        <w:rPr>
          <w:noProof/>
        </w:rPr>
        <w:t>65</w:t>
      </w:r>
      <w:r>
        <w:rPr>
          <w:noProof/>
        </w:rPr>
        <w:fldChar w:fldCharType="end"/>
      </w:r>
    </w:p>
    <w:p w14:paraId="4250B670" w14:textId="77777777" w:rsidR="005A1C55" w:rsidRPr="00744240" w:rsidRDefault="00F74AB3" w:rsidP="0009732B">
      <w:pPr>
        <w:spacing w:after="0" w:line="336" w:lineRule="auto"/>
        <w:rPr>
          <w:szCs w:val="22"/>
        </w:rPr>
      </w:pPr>
      <w:r w:rsidRPr="00744240">
        <w:rPr>
          <w:szCs w:val="22"/>
        </w:rPr>
        <w:fldChar w:fldCharType="end"/>
      </w:r>
    </w:p>
    <w:p w14:paraId="6A20C968" w14:textId="06DB9239" w:rsidR="00872FE7" w:rsidRPr="00744240" w:rsidRDefault="00872FE7" w:rsidP="0009732B">
      <w:pPr>
        <w:spacing w:after="0" w:line="336" w:lineRule="auto"/>
        <w:rPr>
          <w:szCs w:val="22"/>
        </w:rPr>
      </w:pPr>
      <w:r w:rsidRPr="00744240">
        <w:rPr>
          <w:szCs w:val="22"/>
        </w:rPr>
        <w:t>Prílohy:</w:t>
      </w:r>
    </w:p>
    <w:p w14:paraId="2D73C39A" w14:textId="77777777" w:rsidR="0009732B" w:rsidRPr="00744240" w:rsidRDefault="0009732B" w:rsidP="0009732B">
      <w:pPr>
        <w:spacing w:after="0" w:line="336" w:lineRule="auto"/>
        <w:rPr>
          <w:szCs w:val="22"/>
        </w:rPr>
      </w:pPr>
      <w:r w:rsidRPr="00744240">
        <w:rPr>
          <w:szCs w:val="22"/>
        </w:rPr>
        <w:t>Príloha č. 1 Prehľad hospodá</w:t>
      </w:r>
      <w:r w:rsidR="00706FC1" w:rsidRPr="00744240">
        <w:rPr>
          <w:szCs w:val="22"/>
        </w:rPr>
        <w:t>renia podnikov štátnej správy</w:t>
      </w:r>
    </w:p>
    <w:p w14:paraId="4D23A769" w14:textId="504A2FD4" w:rsidR="00651A0E" w:rsidRPr="00744240" w:rsidRDefault="0009732B" w:rsidP="00651A0E">
      <w:pPr>
        <w:spacing w:after="0" w:line="336" w:lineRule="auto"/>
        <w:rPr>
          <w:szCs w:val="22"/>
        </w:rPr>
      </w:pPr>
      <w:r w:rsidRPr="00744240">
        <w:rPr>
          <w:szCs w:val="22"/>
        </w:rPr>
        <w:t xml:space="preserve">Príloha č. 2 </w:t>
      </w:r>
      <w:r w:rsidR="00DA243F" w:rsidRPr="00744240">
        <w:rPr>
          <w:szCs w:val="22"/>
        </w:rPr>
        <w:t>Vlastné imanie podnikov štátnej správy</w:t>
      </w:r>
    </w:p>
    <w:p w14:paraId="6D099216" w14:textId="187AC170" w:rsidR="001960E5" w:rsidRPr="00744240" w:rsidRDefault="001960E5" w:rsidP="00651A0E">
      <w:pPr>
        <w:spacing w:after="0" w:line="336" w:lineRule="auto"/>
        <w:rPr>
          <w:szCs w:val="22"/>
        </w:rPr>
      </w:pPr>
      <w:r w:rsidRPr="00744240">
        <w:rPr>
          <w:szCs w:val="22"/>
        </w:rPr>
        <w:t>Príloha č. 3 Súhrnná účtovná závierka verejnej správy SR za rok 2018</w:t>
      </w:r>
    </w:p>
    <w:p w14:paraId="6BDA5762" w14:textId="77777777" w:rsidR="00651A0E" w:rsidRPr="0093420D" w:rsidRDefault="00651A0E">
      <w:pPr>
        <w:rPr>
          <w:color w:val="FF0000"/>
          <w:szCs w:val="22"/>
        </w:rPr>
      </w:pPr>
      <w:r w:rsidRPr="0093420D">
        <w:rPr>
          <w:color w:val="FF0000"/>
          <w:szCs w:val="22"/>
        </w:rPr>
        <w:br w:type="page"/>
      </w:r>
    </w:p>
    <w:p w14:paraId="32574E8D" w14:textId="77777777" w:rsidR="00183FF7" w:rsidRPr="0093420D" w:rsidRDefault="00183FF7" w:rsidP="00183FF7">
      <w:pPr>
        <w:pStyle w:val="Nadpis1"/>
        <w:numPr>
          <w:ilvl w:val="0"/>
          <w:numId w:val="0"/>
        </w:numPr>
      </w:pPr>
      <w:bookmarkStart w:id="2" w:name="_Toc465255005"/>
      <w:bookmarkStart w:id="3" w:name="_Toc495990478"/>
      <w:bookmarkStart w:id="4" w:name="_Toc23264788"/>
      <w:bookmarkStart w:id="5" w:name="_Toc399324356"/>
      <w:bookmarkStart w:id="6" w:name="_Toc401920005"/>
      <w:bookmarkEnd w:id="0"/>
      <w:bookmarkEnd w:id="1"/>
      <w:r w:rsidRPr="0093420D">
        <w:lastRenderedPageBreak/>
        <w:t>Zhrnutie</w:t>
      </w:r>
      <w:bookmarkEnd w:id="2"/>
      <w:bookmarkEnd w:id="3"/>
      <w:bookmarkEnd w:id="4"/>
      <w:r w:rsidRPr="0093420D">
        <w:t xml:space="preserve"> </w:t>
      </w:r>
    </w:p>
    <w:p w14:paraId="5A6D4C1D" w14:textId="2B5D4DBB" w:rsidR="00183FF7" w:rsidRPr="00BA7703" w:rsidRDefault="00183FF7" w:rsidP="00183FF7">
      <w:pPr>
        <w:pStyle w:val="Odsekzoznamu"/>
        <w:numPr>
          <w:ilvl w:val="0"/>
          <w:numId w:val="9"/>
        </w:numPr>
        <w:spacing w:after="120" w:line="336" w:lineRule="auto"/>
        <w:jc w:val="both"/>
      </w:pPr>
      <w:r w:rsidRPr="00BA7703">
        <w:rPr>
          <w:b/>
        </w:rPr>
        <w:t>Schodok verejnej správy</w:t>
      </w:r>
      <w:r w:rsidRPr="00BA7703">
        <w:t xml:space="preserve"> Slovenskej republiky vykázaný v jednotnej metodike pre členské krajiny EÚ</w:t>
      </w:r>
      <w:r w:rsidR="00BA7703" w:rsidRPr="00BA7703">
        <w:t xml:space="preserve"> (ESA 2010) dosiahol v roku 2018</w:t>
      </w:r>
      <w:r w:rsidR="00E94A92" w:rsidRPr="00BA7703">
        <w:t xml:space="preserve"> </w:t>
      </w:r>
      <w:r w:rsidR="00BA7703" w:rsidRPr="00BA7703">
        <w:t>úroveň 1,1</w:t>
      </w:r>
      <w:r w:rsidR="002201A6">
        <w:t> </w:t>
      </w:r>
      <w:r w:rsidR="00E94A92" w:rsidRPr="00BA7703">
        <w:t>%</w:t>
      </w:r>
      <w:r w:rsidR="002201A6">
        <w:t> H</w:t>
      </w:r>
      <w:r w:rsidR="00E94A92" w:rsidRPr="00BA7703">
        <w:t>DP</w:t>
      </w:r>
      <w:r w:rsidRPr="00BA7703">
        <w:t xml:space="preserve"> </w:t>
      </w:r>
      <w:r w:rsidR="00E94A92" w:rsidRPr="00BA7703">
        <w:t>(</w:t>
      </w:r>
      <w:r w:rsidR="002201A6">
        <w:rPr>
          <w:b/>
        </w:rPr>
        <w:t>951 </w:t>
      </w:r>
      <w:r w:rsidR="00BA7703" w:rsidRPr="00BA7703">
        <w:rPr>
          <w:b/>
        </w:rPr>
        <w:t>204</w:t>
      </w:r>
      <w:r w:rsidR="002201A6">
        <w:rPr>
          <w:b/>
        </w:rPr>
        <w:t> tis. </w:t>
      </w:r>
      <w:r w:rsidRPr="00BA7703">
        <w:rPr>
          <w:b/>
        </w:rPr>
        <w:t>eur</w:t>
      </w:r>
      <w:r w:rsidR="00E94A92" w:rsidRPr="00BA7703">
        <w:t>)</w:t>
      </w:r>
      <w:r w:rsidRPr="00BA7703">
        <w:t xml:space="preserve">. Podiel schodku verejnej správy na HDP sa medziročne </w:t>
      </w:r>
      <w:r w:rsidR="002201A6">
        <w:t>mierne zvýšil o </w:t>
      </w:r>
      <w:r w:rsidR="00BA7703" w:rsidRPr="00BA7703">
        <w:t>0,1</w:t>
      </w:r>
      <w:r w:rsidR="002201A6">
        <w:t> p. </w:t>
      </w:r>
      <w:r w:rsidRPr="00BA7703">
        <w:t>b. a v absolútnom vyjadrení o</w:t>
      </w:r>
      <w:r w:rsidR="002201A6">
        <w:t> 146 </w:t>
      </w:r>
      <w:r w:rsidR="00BA7703" w:rsidRPr="00BA7703">
        <w:t>243</w:t>
      </w:r>
      <w:r w:rsidR="002201A6">
        <w:t> tis. </w:t>
      </w:r>
      <w:r w:rsidRPr="00BA7703">
        <w:t>eur. Celkové príjmy verejnej správy za rok 201</w:t>
      </w:r>
      <w:r w:rsidR="00BA7703" w:rsidRPr="00BA7703">
        <w:t>8</w:t>
      </w:r>
      <w:r w:rsidRPr="00BA7703">
        <w:t xml:space="preserve"> dosiahli 3</w:t>
      </w:r>
      <w:r w:rsidR="002201A6">
        <w:t>6 569 </w:t>
      </w:r>
      <w:r w:rsidR="00BA7703" w:rsidRPr="00BA7703">
        <w:t>629</w:t>
      </w:r>
      <w:r w:rsidR="002201A6">
        <w:t> tis. </w:t>
      </w:r>
      <w:r w:rsidRPr="00BA7703">
        <w:t xml:space="preserve">eur </w:t>
      </w:r>
      <w:r w:rsidR="00BA7703" w:rsidRPr="00BA7703">
        <w:t>(40,8</w:t>
      </w:r>
      <w:r w:rsidR="00457939" w:rsidRPr="00BA7703">
        <w:t> % </w:t>
      </w:r>
      <w:r w:rsidRPr="00BA7703">
        <w:t xml:space="preserve">HDP) a celkové výdavky verejnej správy dosiahli </w:t>
      </w:r>
      <w:r w:rsidR="00BA7703" w:rsidRPr="00BA7703">
        <w:t>37 520 833</w:t>
      </w:r>
      <w:r w:rsidRPr="00BA7703">
        <w:t> t</w:t>
      </w:r>
      <w:r w:rsidR="00457939" w:rsidRPr="00BA7703">
        <w:t>is. eur (4</w:t>
      </w:r>
      <w:r w:rsidR="00BA7703" w:rsidRPr="00BA7703">
        <w:t>1,8</w:t>
      </w:r>
      <w:r w:rsidR="00457939" w:rsidRPr="00BA7703">
        <w:t> % </w:t>
      </w:r>
      <w:r w:rsidRPr="00BA7703">
        <w:t xml:space="preserve">HDP) pri vyčíslenom HDP </w:t>
      </w:r>
      <w:r w:rsidR="00BA7703" w:rsidRPr="00BA7703">
        <w:t>89 720 961 </w:t>
      </w:r>
      <w:r w:rsidR="002201A6">
        <w:t>tis. </w:t>
      </w:r>
      <w:r w:rsidRPr="00BA7703">
        <w:t>eur (rast o</w:t>
      </w:r>
      <w:r w:rsidR="00BA7703" w:rsidRPr="00BA7703">
        <w:t> 6,2</w:t>
      </w:r>
      <w:r w:rsidR="002201A6">
        <w:t> </w:t>
      </w:r>
      <w:r w:rsidRPr="00BA7703">
        <w:t>%).</w:t>
      </w:r>
    </w:p>
    <w:p w14:paraId="2E0DED05" w14:textId="190E2B88" w:rsidR="00183FF7" w:rsidRPr="002F5EE2" w:rsidRDefault="00183FF7" w:rsidP="00183FF7">
      <w:pPr>
        <w:pStyle w:val="Odsekzoznamu"/>
        <w:numPr>
          <w:ilvl w:val="0"/>
          <w:numId w:val="9"/>
        </w:numPr>
        <w:spacing w:after="120" w:line="336" w:lineRule="auto"/>
        <w:ind w:left="357" w:hanging="357"/>
        <w:jc w:val="both"/>
        <w:rPr>
          <w:rFonts w:eastAsiaTheme="minorHAnsi"/>
        </w:rPr>
      </w:pPr>
      <w:r w:rsidRPr="002F5EE2">
        <w:rPr>
          <w:rFonts w:eastAsiaTheme="minorHAnsi"/>
          <w:b/>
        </w:rPr>
        <w:t>Hrubý dlh verejnej správy</w:t>
      </w:r>
      <w:r w:rsidRPr="002F5EE2">
        <w:rPr>
          <w:rFonts w:eastAsiaTheme="minorHAnsi"/>
        </w:rPr>
        <w:t xml:space="preserve"> pod</w:t>
      </w:r>
      <w:r w:rsidR="00B54181" w:rsidRPr="002F5EE2">
        <w:rPr>
          <w:rFonts w:eastAsiaTheme="minorHAnsi"/>
        </w:rPr>
        <w:t xml:space="preserve">ľa metodiky ESA 2010 dosiahol k </w:t>
      </w:r>
      <w:r w:rsidRPr="002F5EE2">
        <w:rPr>
          <w:rFonts w:eastAsiaTheme="minorHAnsi"/>
        </w:rPr>
        <w:t>31.12.201</w:t>
      </w:r>
      <w:r w:rsidR="00BA7703" w:rsidRPr="002F5EE2">
        <w:rPr>
          <w:rFonts w:eastAsiaTheme="minorHAnsi"/>
        </w:rPr>
        <w:t>8</w:t>
      </w:r>
      <w:r w:rsidRPr="002F5EE2">
        <w:rPr>
          <w:rFonts w:eastAsiaTheme="minorHAnsi"/>
        </w:rPr>
        <w:t xml:space="preserve"> výšku </w:t>
      </w:r>
      <w:r w:rsidRPr="002F5EE2">
        <w:rPr>
          <w:rFonts w:eastAsiaTheme="minorHAnsi"/>
          <w:b/>
        </w:rPr>
        <w:t>4</w:t>
      </w:r>
      <w:r w:rsidR="002F5EE2">
        <w:rPr>
          <w:rFonts w:eastAsiaTheme="minorHAnsi"/>
          <w:b/>
        </w:rPr>
        <w:t>4 321 </w:t>
      </w:r>
      <w:r w:rsidR="00BA7703" w:rsidRPr="002F5EE2">
        <w:rPr>
          <w:rFonts w:eastAsiaTheme="minorHAnsi"/>
          <w:b/>
        </w:rPr>
        <w:t>852 tis. eur (49,4</w:t>
      </w:r>
      <w:r w:rsidR="002201A6">
        <w:rPr>
          <w:rFonts w:eastAsiaTheme="minorHAnsi"/>
          <w:b/>
        </w:rPr>
        <w:t> % </w:t>
      </w:r>
      <w:r w:rsidRPr="002F5EE2">
        <w:rPr>
          <w:rFonts w:eastAsiaTheme="minorHAnsi"/>
          <w:b/>
        </w:rPr>
        <w:t xml:space="preserve">HDP). </w:t>
      </w:r>
      <w:r w:rsidRPr="002F5EE2">
        <w:rPr>
          <w:rFonts w:eastAsiaTheme="minorHAnsi" w:cs="Times New Roman"/>
          <w:iCs/>
        </w:rPr>
        <w:t xml:space="preserve">Hrubý dlh v pomere k HDP </w:t>
      </w:r>
      <w:r w:rsidR="00E94A92" w:rsidRPr="002F5EE2">
        <w:rPr>
          <w:rFonts w:eastAsiaTheme="minorHAnsi" w:cs="Times New Roman"/>
          <w:iCs/>
        </w:rPr>
        <w:t xml:space="preserve">sa </w:t>
      </w:r>
      <w:r w:rsidRPr="002F5EE2">
        <w:rPr>
          <w:rFonts w:eastAsiaTheme="minorHAnsi" w:cs="Times New Roman"/>
          <w:iCs/>
        </w:rPr>
        <w:t xml:space="preserve">medziročne </w:t>
      </w:r>
      <w:r w:rsidR="00BA7703" w:rsidRPr="002F5EE2">
        <w:rPr>
          <w:rFonts w:eastAsiaTheme="minorHAnsi" w:cs="Times New Roman"/>
          <w:iCs/>
        </w:rPr>
        <w:t>opäť znížil</w:t>
      </w:r>
      <w:r w:rsidRPr="002F5EE2">
        <w:rPr>
          <w:rFonts w:eastAsiaTheme="minorHAnsi" w:cs="Times New Roman"/>
          <w:iCs/>
        </w:rPr>
        <w:t xml:space="preserve">, </w:t>
      </w:r>
      <w:r w:rsidR="00BA7703" w:rsidRPr="002F5EE2">
        <w:rPr>
          <w:rFonts w:eastAsiaTheme="minorHAnsi" w:cs="Times New Roman"/>
          <w:iCs/>
        </w:rPr>
        <w:t>pričom v roku 2018</w:t>
      </w:r>
      <w:r w:rsidR="00E94A92" w:rsidRPr="002F5EE2">
        <w:rPr>
          <w:rFonts w:eastAsiaTheme="minorHAnsi" w:cs="Times New Roman"/>
          <w:iCs/>
        </w:rPr>
        <w:t xml:space="preserve"> to bolo </w:t>
      </w:r>
      <w:r w:rsidRPr="002F5EE2">
        <w:rPr>
          <w:rFonts w:eastAsiaTheme="minorHAnsi" w:cs="Times New Roman"/>
          <w:iCs/>
        </w:rPr>
        <w:t>o</w:t>
      </w:r>
      <w:r w:rsidR="002F5EE2" w:rsidRPr="002F5EE2">
        <w:rPr>
          <w:rFonts w:eastAsiaTheme="minorHAnsi" w:cs="Times New Roman"/>
          <w:iCs/>
        </w:rPr>
        <w:t> 1,9</w:t>
      </w:r>
      <w:r w:rsidR="002201A6">
        <w:rPr>
          <w:rFonts w:eastAsiaTheme="minorHAnsi" w:cs="Times New Roman"/>
          <w:iCs/>
        </w:rPr>
        <w:t> p. </w:t>
      </w:r>
      <w:r w:rsidR="002F5EE2" w:rsidRPr="002F5EE2">
        <w:rPr>
          <w:rFonts w:eastAsiaTheme="minorHAnsi" w:cs="Times New Roman"/>
          <w:iCs/>
        </w:rPr>
        <w:t>b. (v roku 2017 bol pokles o 0,7</w:t>
      </w:r>
      <w:r w:rsidR="002201A6">
        <w:rPr>
          <w:rFonts w:eastAsiaTheme="minorHAnsi" w:cs="Times New Roman"/>
          <w:iCs/>
        </w:rPr>
        <w:t> </w:t>
      </w:r>
      <w:r w:rsidRPr="002F5EE2">
        <w:rPr>
          <w:rFonts w:eastAsiaTheme="minorHAnsi" w:cs="Times New Roman"/>
          <w:iCs/>
        </w:rPr>
        <w:t>p.</w:t>
      </w:r>
      <w:r w:rsidR="002201A6">
        <w:rPr>
          <w:rFonts w:eastAsiaTheme="minorHAnsi" w:cs="Times New Roman"/>
          <w:iCs/>
        </w:rPr>
        <w:t> </w:t>
      </w:r>
      <w:r w:rsidRPr="002F5EE2">
        <w:rPr>
          <w:rFonts w:eastAsiaTheme="minorHAnsi" w:cs="Times New Roman"/>
          <w:iCs/>
        </w:rPr>
        <w:t>b.). Tento pokles bol spôsobený</w:t>
      </w:r>
      <w:r w:rsidR="00C8668E">
        <w:rPr>
          <w:rFonts w:eastAsiaTheme="minorHAnsi" w:cs="Times New Roman"/>
          <w:iCs/>
        </w:rPr>
        <w:t xml:space="preserve"> najmä</w:t>
      </w:r>
      <w:r w:rsidRPr="002F5EE2">
        <w:rPr>
          <w:rFonts w:eastAsiaTheme="minorHAnsi" w:cs="Times New Roman"/>
          <w:iCs/>
        </w:rPr>
        <w:t xml:space="preserve"> medziročným nárastom nominálneho HDP.</w:t>
      </w:r>
      <w:r w:rsidR="007F4B9C" w:rsidRPr="002F5EE2">
        <w:rPr>
          <w:rFonts w:eastAsiaTheme="minorHAnsi" w:cs="Times New Roman"/>
          <w:iCs/>
        </w:rPr>
        <w:t xml:space="preserve"> </w:t>
      </w:r>
    </w:p>
    <w:p w14:paraId="674AB5A7" w14:textId="3612881E" w:rsidR="00183FF7" w:rsidRPr="00FC6621" w:rsidRDefault="00183FF7" w:rsidP="00183FF7">
      <w:pPr>
        <w:pStyle w:val="Odsekzoznamu"/>
        <w:numPr>
          <w:ilvl w:val="0"/>
          <w:numId w:val="9"/>
        </w:numPr>
        <w:spacing w:after="120" w:line="336" w:lineRule="auto"/>
        <w:ind w:left="357" w:hanging="357"/>
        <w:jc w:val="both"/>
        <w:rPr>
          <w:rFonts w:eastAsiaTheme="minorHAnsi"/>
        </w:rPr>
      </w:pPr>
      <w:r w:rsidRPr="00FC6621">
        <w:rPr>
          <w:rFonts w:eastAsiaTheme="minorHAnsi"/>
          <w:b/>
        </w:rPr>
        <w:t>Štrukturáln</w:t>
      </w:r>
      <w:r w:rsidR="000438E5" w:rsidRPr="00FC6621">
        <w:rPr>
          <w:rFonts w:eastAsiaTheme="minorHAnsi"/>
          <w:b/>
        </w:rPr>
        <w:t>e</w:t>
      </w:r>
      <w:r w:rsidRPr="00FC6621">
        <w:rPr>
          <w:rFonts w:eastAsiaTheme="minorHAnsi"/>
          <w:b/>
        </w:rPr>
        <w:t xml:space="preserve"> </w:t>
      </w:r>
      <w:r w:rsidR="000438E5" w:rsidRPr="001735E5">
        <w:rPr>
          <w:rFonts w:eastAsiaTheme="minorHAnsi"/>
          <w:b/>
        </w:rPr>
        <w:t>saldo</w:t>
      </w:r>
      <w:r w:rsidRPr="001735E5">
        <w:rPr>
          <w:rFonts w:eastAsiaTheme="minorHAnsi"/>
          <w:b/>
        </w:rPr>
        <w:t xml:space="preserve"> dosiahl</w:t>
      </w:r>
      <w:r w:rsidR="000438E5" w:rsidRPr="001735E5">
        <w:rPr>
          <w:rFonts w:eastAsiaTheme="minorHAnsi"/>
          <w:b/>
        </w:rPr>
        <w:t>o</w:t>
      </w:r>
      <w:r w:rsidRPr="001735E5">
        <w:rPr>
          <w:rFonts w:eastAsiaTheme="minorHAnsi"/>
          <w:b/>
        </w:rPr>
        <w:t xml:space="preserve"> v roku 201</w:t>
      </w:r>
      <w:r w:rsidR="00854DC7" w:rsidRPr="001735E5">
        <w:rPr>
          <w:rFonts w:eastAsiaTheme="minorHAnsi"/>
          <w:b/>
        </w:rPr>
        <w:t>8</w:t>
      </w:r>
      <w:r w:rsidRPr="001735E5">
        <w:rPr>
          <w:rFonts w:eastAsiaTheme="minorHAnsi"/>
          <w:b/>
        </w:rPr>
        <w:t xml:space="preserve"> </w:t>
      </w:r>
      <w:r w:rsidR="000438E5" w:rsidRPr="001735E5">
        <w:rPr>
          <w:rFonts w:eastAsiaTheme="minorHAnsi"/>
          <w:b/>
        </w:rPr>
        <w:t>hodnotu</w:t>
      </w:r>
      <w:r w:rsidRPr="001735E5">
        <w:rPr>
          <w:rFonts w:eastAsiaTheme="minorHAnsi"/>
          <w:b/>
        </w:rPr>
        <w:t xml:space="preserve"> </w:t>
      </w:r>
      <w:r w:rsidR="000438E5" w:rsidRPr="001735E5">
        <w:rPr>
          <w:rFonts w:eastAsiaTheme="minorHAnsi"/>
          <w:b/>
        </w:rPr>
        <w:t>-1,5 % HDP</w:t>
      </w:r>
      <w:r w:rsidR="000438E5" w:rsidRPr="00FC6621">
        <w:rPr>
          <w:rFonts w:eastAsiaTheme="minorHAnsi"/>
        </w:rPr>
        <w:t xml:space="preserve"> </w:t>
      </w:r>
      <w:r w:rsidRPr="00FC6621">
        <w:rPr>
          <w:rFonts w:eastAsiaTheme="minorHAnsi"/>
        </w:rPr>
        <w:t>a </w:t>
      </w:r>
      <w:r w:rsidRPr="00392B0F">
        <w:rPr>
          <w:rFonts w:eastAsiaTheme="minorHAnsi"/>
        </w:rPr>
        <w:t xml:space="preserve">medziročne </w:t>
      </w:r>
      <w:r w:rsidR="0008612E" w:rsidRPr="00392B0F">
        <w:rPr>
          <w:rFonts w:eastAsiaTheme="minorHAnsi"/>
        </w:rPr>
        <w:t>stúplo</w:t>
      </w:r>
      <w:r w:rsidRPr="00392B0F">
        <w:rPr>
          <w:rFonts w:eastAsiaTheme="minorHAnsi"/>
        </w:rPr>
        <w:t xml:space="preserve"> o 0</w:t>
      </w:r>
      <w:r w:rsidRPr="00FC6621">
        <w:rPr>
          <w:rFonts w:eastAsiaTheme="minorHAnsi"/>
        </w:rPr>
        <w:t>,</w:t>
      </w:r>
      <w:r w:rsidR="000438E5" w:rsidRPr="00FC6621">
        <w:rPr>
          <w:rFonts w:eastAsiaTheme="minorHAnsi"/>
        </w:rPr>
        <w:t>4</w:t>
      </w:r>
      <w:r w:rsidRPr="00FC6621">
        <w:rPr>
          <w:rFonts w:eastAsiaTheme="minorHAnsi"/>
        </w:rPr>
        <w:t xml:space="preserve"> p. b. v pomere </w:t>
      </w:r>
      <w:r w:rsidR="005F597A" w:rsidRPr="00FC6621">
        <w:rPr>
          <w:rFonts w:eastAsiaTheme="minorHAnsi"/>
        </w:rPr>
        <w:t>k</w:t>
      </w:r>
      <w:r w:rsidRPr="00FC6621">
        <w:rPr>
          <w:rFonts w:eastAsiaTheme="minorHAnsi"/>
        </w:rPr>
        <w:t xml:space="preserve"> HDP. </w:t>
      </w:r>
      <w:r w:rsidR="00745AA7" w:rsidRPr="00FC6621">
        <w:rPr>
          <w:rFonts w:cs="Times New Roman"/>
        </w:rPr>
        <w:t xml:space="preserve">Na dvojročnom horizonte je kumulatívna konsolidácia na úrovni 0,8 </w:t>
      </w:r>
      <w:r w:rsidR="00ED35F5">
        <w:rPr>
          <w:rFonts w:cs="Times New Roman"/>
        </w:rPr>
        <w:t>%</w:t>
      </w:r>
      <w:r w:rsidR="00745AA7" w:rsidRPr="00FC6621">
        <w:rPr>
          <w:rFonts w:cs="Times New Roman"/>
        </w:rPr>
        <w:t xml:space="preserve"> HDP, čo predstavuje mierne odchýlenie o 0,1 p. b. HDP.</w:t>
      </w:r>
      <w:r w:rsidR="00745AA7" w:rsidRPr="00FC6621">
        <w:rPr>
          <w:rFonts w:eastAsiaTheme="minorHAnsi"/>
        </w:rPr>
        <w:t xml:space="preserve"> </w:t>
      </w:r>
      <w:r w:rsidR="00755B8E" w:rsidRPr="00FC6621">
        <w:rPr>
          <w:rFonts w:eastAsiaTheme="minorHAnsi"/>
        </w:rPr>
        <w:t>V roku 2018</w:t>
      </w:r>
      <w:r w:rsidRPr="00FC6621">
        <w:rPr>
          <w:rFonts w:eastAsiaTheme="minorHAnsi"/>
        </w:rPr>
        <w:t xml:space="preserve"> neboli na základe princípov metodiky EÚ identifikované žiadne jednorazové vplyvy.</w:t>
      </w:r>
    </w:p>
    <w:p w14:paraId="3827A388" w14:textId="672DE529" w:rsidR="00183FF7" w:rsidRPr="0019505E" w:rsidRDefault="002468A2" w:rsidP="00183FF7">
      <w:pPr>
        <w:pStyle w:val="Odsekzoznamu"/>
        <w:numPr>
          <w:ilvl w:val="0"/>
          <w:numId w:val="9"/>
        </w:numPr>
        <w:spacing w:after="120" w:line="336" w:lineRule="auto"/>
        <w:jc w:val="both"/>
        <w:rPr>
          <w:rFonts w:eastAsia="Calibri" w:cs="Times New Roman"/>
          <w:b/>
        </w:rPr>
      </w:pPr>
      <w:r w:rsidRPr="002F5EE2">
        <w:t>V rámci Európskej únie (28 krajín) v roku 201</w:t>
      </w:r>
      <w:r w:rsidR="002F5EE2" w:rsidRPr="002F5EE2">
        <w:t>8 dosiahlo 7</w:t>
      </w:r>
      <w:r w:rsidRPr="002F5EE2">
        <w:t xml:space="preserve"> krajín vyšší schodok a 16 krajín dosiahlo vyšší dlh verejnej správy ako Slovenská republika. Priemerný schodok EÚ 28 bol </w:t>
      </w:r>
      <w:r w:rsidR="002F5EE2" w:rsidRPr="002F5EE2">
        <w:t>0,7</w:t>
      </w:r>
      <w:r w:rsidR="002201A6">
        <w:t> % </w:t>
      </w:r>
      <w:r w:rsidR="002F5EE2" w:rsidRPr="002F5EE2">
        <w:t>HDP (Slovensko 1,1</w:t>
      </w:r>
      <w:r w:rsidR="002201A6">
        <w:t> % </w:t>
      </w:r>
      <w:r w:rsidRPr="002F5EE2">
        <w:t>HDP) a priemerný dlh verejnej správy EÚ 28 bol </w:t>
      </w:r>
      <w:r w:rsidR="002F5EE2" w:rsidRPr="002F5EE2">
        <w:t>80,4 % HDP (Slovensko 49,4</w:t>
      </w:r>
      <w:r w:rsidRPr="002F5EE2">
        <w:t> % HDP) v roku 201</w:t>
      </w:r>
      <w:r w:rsidR="002F5EE2" w:rsidRPr="002F5EE2">
        <w:t>8</w:t>
      </w:r>
      <w:r w:rsidRPr="002F5EE2">
        <w:t>.</w:t>
      </w:r>
      <w:r w:rsidR="00183FF7" w:rsidRPr="002F5EE2">
        <w:rPr>
          <w:rFonts w:eastAsia="Calibri" w:cs="Times New Roman"/>
        </w:rPr>
        <w:t xml:space="preserve"> </w:t>
      </w:r>
    </w:p>
    <w:p w14:paraId="565D44EE" w14:textId="18FDA116" w:rsidR="0019505E" w:rsidRPr="0019505E" w:rsidRDefault="0019505E" w:rsidP="0019505E">
      <w:pPr>
        <w:pStyle w:val="Odsekzoznamu"/>
        <w:numPr>
          <w:ilvl w:val="0"/>
          <w:numId w:val="9"/>
        </w:numPr>
        <w:spacing w:after="120" w:line="336" w:lineRule="auto"/>
        <w:jc w:val="both"/>
        <w:rPr>
          <w:rFonts w:eastAsia="Calibri" w:cs="Times New Roman"/>
        </w:rPr>
      </w:pPr>
      <w:r w:rsidRPr="0019505E">
        <w:rPr>
          <w:rFonts w:eastAsia="Calibri" w:cs="Times New Roman"/>
          <w:b/>
        </w:rPr>
        <w:t xml:space="preserve">Čisté </w:t>
      </w:r>
      <w:r w:rsidRPr="007B2C99">
        <w:rPr>
          <w:rFonts w:eastAsia="Calibri" w:cs="Times New Roman"/>
          <w:b/>
        </w:rPr>
        <w:t>bohatstvo verejného sekto</w:t>
      </w:r>
      <w:r w:rsidRPr="0052136D">
        <w:rPr>
          <w:rFonts w:eastAsia="Calibri" w:cs="Times New Roman"/>
          <w:b/>
        </w:rPr>
        <w:t>ra dosiahlo k 31.12.2018 zápornú hodnotu 237 213 457 tis. eur</w:t>
      </w:r>
      <w:r w:rsidRPr="0019505E">
        <w:rPr>
          <w:rFonts w:eastAsia="Calibri" w:cs="Times New Roman"/>
        </w:rPr>
        <w:br/>
        <w:t>(-</w:t>
      </w:r>
      <w:r w:rsidRPr="00075C44">
        <w:rPr>
          <w:rFonts w:eastAsia="Calibri" w:cs="Times New Roman"/>
        </w:rPr>
        <w:t>264,4 % HDP). Oproti predchádzajúcemu roku sa zvýšil negatívny podiel na HDP o 56 p. b. Zníženie čistého bohatstva bolo spôsobené najmä medziročnou zmenou v implicitných záväzkoch (zmena -5</w:t>
      </w:r>
      <w:r w:rsidR="00F95B06" w:rsidRPr="00075C44">
        <w:rPr>
          <w:rFonts w:eastAsia="Calibri" w:cs="Times New Roman"/>
        </w:rPr>
        <w:t>1</w:t>
      </w:r>
      <w:r w:rsidRPr="00075C44">
        <w:rPr>
          <w:rFonts w:eastAsia="Calibri" w:cs="Times New Roman"/>
        </w:rPr>
        <w:t>,</w:t>
      </w:r>
      <w:r w:rsidR="00F95B06" w:rsidRPr="00075C44">
        <w:rPr>
          <w:rFonts w:eastAsia="Calibri" w:cs="Times New Roman"/>
        </w:rPr>
        <w:t>8</w:t>
      </w:r>
      <w:r w:rsidRPr="00075C44">
        <w:rPr>
          <w:rFonts w:eastAsia="Calibri" w:cs="Times New Roman"/>
        </w:rPr>
        <w:t xml:space="preserve"> p. b.),</w:t>
      </w:r>
      <w:r w:rsidR="00F95B06" w:rsidRPr="00075C44">
        <w:rPr>
          <w:rFonts w:eastAsia="Calibri" w:cs="Times New Roman"/>
        </w:rPr>
        <w:t xml:space="preserve"> ktoré zároveň tvoria najväčšiu časť záporného čistého bohatstva (-222,8 %). Medziročná zmena je primárne výsledkom aktualizácie makroekonomických údajov</w:t>
      </w:r>
      <w:r w:rsidR="00F95B06" w:rsidRPr="00075C44">
        <w:rPr>
          <w:rFonts w:eastAsia="Calibri" w:cs="Times New Roman"/>
        </w:rPr>
        <w:br/>
        <w:t>(vrátane prognózy príjmov) a posunom východiskového a koncového roka.</w:t>
      </w:r>
      <w:r w:rsidRPr="0019505E">
        <w:rPr>
          <w:rFonts w:cs="Times New Roman"/>
        </w:rPr>
        <w:t xml:space="preserve"> </w:t>
      </w:r>
    </w:p>
    <w:p w14:paraId="5A9A80FE" w14:textId="121A9300" w:rsidR="00183FF7" w:rsidRPr="00F95B06" w:rsidRDefault="00183FF7" w:rsidP="00183FF7">
      <w:pPr>
        <w:pStyle w:val="Odsekzoznamu"/>
        <w:numPr>
          <w:ilvl w:val="0"/>
          <w:numId w:val="9"/>
        </w:numPr>
        <w:spacing w:after="120" w:line="336" w:lineRule="auto"/>
        <w:ind w:left="357" w:hanging="357"/>
        <w:jc w:val="both"/>
        <w:rPr>
          <w:rFonts w:eastAsia="Calibri" w:cs="Times New Roman"/>
        </w:rPr>
      </w:pPr>
      <w:r w:rsidRPr="000D55E2">
        <w:rPr>
          <w:rFonts w:eastAsia="Calibri" w:cs="Times New Roman"/>
          <w:b/>
        </w:rPr>
        <w:t>Hodnota aktív ako aj pasív súhrnného celku verejnej správy k 31.12.201</w:t>
      </w:r>
      <w:r w:rsidR="002E46B3" w:rsidRPr="000D55E2">
        <w:rPr>
          <w:rFonts w:eastAsia="Calibri" w:cs="Times New Roman"/>
          <w:b/>
        </w:rPr>
        <w:t>8</w:t>
      </w:r>
      <w:r w:rsidRPr="000D55E2">
        <w:rPr>
          <w:rFonts w:eastAsia="Calibri" w:cs="Times New Roman"/>
          <w:b/>
        </w:rPr>
        <w:t xml:space="preserve"> bola </w:t>
      </w:r>
      <w:r w:rsidR="002E46B3" w:rsidRPr="000D55E2">
        <w:rPr>
          <w:b/>
        </w:rPr>
        <w:t xml:space="preserve">66 694 805 </w:t>
      </w:r>
      <w:r w:rsidRPr="000D55E2">
        <w:rPr>
          <w:rFonts w:eastAsia="Calibri" w:cs="Times New Roman"/>
          <w:b/>
        </w:rPr>
        <w:t>tis. eur</w:t>
      </w:r>
      <w:r w:rsidRPr="00F95B06">
        <w:rPr>
          <w:rFonts w:eastAsia="Calibri" w:cs="Times New Roman"/>
        </w:rPr>
        <w:t xml:space="preserve"> (7</w:t>
      </w:r>
      <w:r w:rsidR="00D47E1F" w:rsidRPr="00F95B06">
        <w:rPr>
          <w:rFonts w:eastAsia="Calibri" w:cs="Times New Roman"/>
        </w:rPr>
        <w:t>4</w:t>
      </w:r>
      <w:r w:rsidRPr="00F95B06">
        <w:rPr>
          <w:rFonts w:eastAsia="Calibri" w:cs="Times New Roman"/>
        </w:rPr>
        <w:t>,</w:t>
      </w:r>
      <w:r w:rsidR="00D47E1F" w:rsidRPr="00F95B06">
        <w:rPr>
          <w:rFonts w:eastAsia="Calibri" w:cs="Times New Roman"/>
        </w:rPr>
        <w:t>3</w:t>
      </w:r>
      <w:r w:rsidRPr="00F95B06">
        <w:rPr>
          <w:rFonts w:eastAsia="Calibri" w:cs="Times New Roman"/>
        </w:rPr>
        <w:t> % HDP) a medziročne vzrástla o </w:t>
      </w:r>
      <w:r w:rsidR="002E46B3" w:rsidRPr="00F95B06">
        <w:t>1 515 143 </w:t>
      </w:r>
      <w:r w:rsidRPr="00F95B06">
        <w:rPr>
          <w:rFonts w:eastAsia="Calibri" w:cs="Times New Roman"/>
        </w:rPr>
        <w:t xml:space="preserve"> tis. eur (1,</w:t>
      </w:r>
      <w:r w:rsidR="00D47E1F" w:rsidRPr="00F95B06">
        <w:rPr>
          <w:rFonts w:eastAsia="Calibri" w:cs="Times New Roman"/>
        </w:rPr>
        <w:t>7</w:t>
      </w:r>
      <w:r w:rsidRPr="00F95B06">
        <w:rPr>
          <w:rFonts w:eastAsia="Calibri" w:cs="Times New Roman"/>
        </w:rPr>
        <w:t xml:space="preserve"> % HDP). Z aktív vzrástli najmä dlhodobý hmotný majetok (v podobe cestnej a diaľničnej infraštruktúry, pozemkov, dopravných prostriedkov a zariadení) a</w:t>
      </w:r>
      <w:r w:rsidR="00BD5EF8" w:rsidRPr="00F95B06">
        <w:rPr>
          <w:rFonts w:eastAsia="Calibri" w:cs="Times New Roman"/>
        </w:rPr>
        <w:t> pohľadávky štátu</w:t>
      </w:r>
      <w:r w:rsidRPr="00F95B06">
        <w:rPr>
          <w:rFonts w:eastAsia="Calibri" w:cs="Times New Roman"/>
        </w:rPr>
        <w:t xml:space="preserve">. Z pasív (v rovnakej výške </w:t>
      </w:r>
      <w:r w:rsidR="002E46B3" w:rsidRPr="00F95B06">
        <w:t xml:space="preserve">66 694 805 </w:t>
      </w:r>
      <w:r w:rsidRPr="00F95B06">
        <w:rPr>
          <w:rFonts w:eastAsia="Calibri" w:cs="Times New Roman"/>
        </w:rPr>
        <w:t xml:space="preserve"> tis. eur) sa medziročne zvýšili dlhodobé rezervy a záväzky. Vlastné imanie súhrnného celku medziročne pokleslo o </w:t>
      </w:r>
      <w:r w:rsidR="008D6A9B" w:rsidRPr="00F95B06">
        <w:t xml:space="preserve">3 798 505 </w:t>
      </w:r>
      <w:r w:rsidRPr="00F95B06">
        <w:rPr>
          <w:rFonts w:eastAsia="Calibri" w:cs="Times New Roman"/>
        </w:rPr>
        <w:t>tis. eur.</w:t>
      </w:r>
    </w:p>
    <w:p w14:paraId="7453689C" w14:textId="4788742F" w:rsidR="00183FF7" w:rsidRPr="00F95B06" w:rsidRDefault="00183FF7" w:rsidP="00183FF7">
      <w:pPr>
        <w:pStyle w:val="Odsekzoznamu"/>
        <w:numPr>
          <w:ilvl w:val="0"/>
          <w:numId w:val="9"/>
        </w:numPr>
        <w:spacing w:after="120" w:line="336" w:lineRule="auto"/>
        <w:ind w:left="357" w:hanging="357"/>
        <w:jc w:val="both"/>
        <w:rPr>
          <w:rFonts w:eastAsia="Calibri" w:cs="Times New Roman"/>
        </w:rPr>
      </w:pPr>
      <w:r w:rsidRPr="00F95B06">
        <w:rPr>
          <w:rFonts w:eastAsia="Calibri" w:cs="Times New Roman"/>
        </w:rPr>
        <w:t xml:space="preserve">Celkové náklady z výkazu ziskov a strát súhrnného celku dosiahli </w:t>
      </w:r>
      <w:r w:rsidR="008D6A9B" w:rsidRPr="00F95B06">
        <w:t xml:space="preserve">64 672 254 </w:t>
      </w:r>
      <w:r w:rsidRPr="00F95B06">
        <w:rPr>
          <w:rFonts w:eastAsia="Calibri" w:cs="Times New Roman"/>
        </w:rPr>
        <w:t>tis. eur a</w:t>
      </w:r>
      <w:r w:rsidR="008D6A9B" w:rsidRPr="00F95B06">
        <w:rPr>
          <w:rFonts w:eastAsia="Calibri" w:cs="Times New Roman"/>
        </w:rPr>
        <w:t xml:space="preserve"> </w:t>
      </w:r>
      <w:r w:rsidRPr="00F95B06">
        <w:rPr>
          <w:rFonts w:eastAsia="Calibri" w:cs="Times New Roman"/>
        </w:rPr>
        <w:t xml:space="preserve">celkové výnosy dosiahli </w:t>
      </w:r>
      <w:r w:rsidR="008D6A9B" w:rsidRPr="00F95B06">
        <w:t xml:space="preserve">60 157 417 </w:t>
      </w:r>
      <w:r w:rsidRPr="00F95B06">
        <w:rPr>
          <w:rFonts w:eastAsia="Calibri" w:cs="Times New Roman"/>
        </w:rPr>
        <w:t xml:space="preserve">tis. eur. Medziročne boli vyššie náklady na </w:t>
      </w:r>
      <w:r w:rsidR="008D6A9B" w:rsidRPr="00F95B06">
        <w:rPr>
          <w:rFonts w:eastAsia="Calibri" w:cs="Times New Roman"/>
        </w:rPr>
        <w:t xml:space="preserve">tvorbu rezerv a </w:t>
      </w:r>
      <w:r w:rsidRPr="00F95B06">
        <w:rPr>
          <w:rFonts w:eastAsia="Calibri" w:cs="Times New Roman"/>
        </w:rPr>
        <w:t>náklady na</w:t>
      </w:r>
      <w:r w:rsidR="008D6A9B" w:rsidRPr="00F95B06">
        <w:rPr>
          <w:rFonts w:eastAsia="Calibri" w:cs="Times New Roman"/>
        </w:rPr>
        <w:t xml:space="preserve"> transfery</w:t>
      </w:r>
      <w:r w:rsidRPr="00F95B06">
        <w:rPr>
          <w:rFonts w:eastAsia="Calibri" w:cs="Times New Roman"/>
        </w:rPr>
        <w:t xml:space="preserve">. Vo výnosoch zaznamenali významný rast </w:t>
      </w:r>
      <w:r w:rsidR="008D6A9B" w:rsidRPr="00F95B06">
        <w:rPr>
          <w:rFonts w:eastAsia="Calibri" w:cs="Times New Roman"/>
        </w:rPr>
        <w:t>t</w:t>
      </w:r>
      <w:r w:rsidR="008D6A9B" w:rsidRPr="00F95B06">
        <w:t xml:space="preserve">ržby z predaja vlastných výkonov a tovaru </w:t>
      </w:r>
      <w:r w:rsidRPr="00F95B06">
        <w:rPr>
          <w:rFonts w:eastAsia="Calibri" w:cs="Times New Roman"/>
        </w:rPr>
        <w:t xml:space="preserve">tržby za poskytované výkony a tovar, </w:t>
      </w:r>
      <w:r w:rsidR="008D6A9B" w:rsidRPr="00F95B06">
        <w:rPr>
          <w:rFonts w:eastAsia="Calibri" w:cs="Times New Roman"/>
        </w:rPr>
        <w:t xml:space="preserve">a </w:t>
      </w:r>
      <w:r w:rsidR="008D6A9B" w:rsidRPr="00F95B06">
        <w:t>výnosy z daní a poplatkov</w:t>
      </w:r>
      <w:r w:rsidRPr="00F95B06">
        <w:rPr>
          <w:rFonts w:eastAsia="Calibri" w:cs="Times New Roman"/>
        </w:rPr>
        <w:t xml:space="preserve">. </w:t>
      </w:r>
      <w:r w:rsidRPr="000D55E2">
        <w:rPr>
          <w:rFonts w:eastAsia="Calibri" w:cs="Times New Roman"/>
          <w:b/>
        </w:rPr>
        <w:t>Účtovný výsledok hospodárenia dosiahol -</w:t>
      </w:r>
      <w:r w:rsidR="00854DC7" w:rsidRPr="000D55E2">
        <w:rPr>
          <w:rFonts w:eastAsia="Calibri" w:cs="Times New Roman"/>
          <w:b/>
        </w:rPr>
        <w:t>4</w:t>
      </w:r>
      <w:r w:rsidRPr="000D55E2">
        <w:rPr>
          <w:rFonts w:eastAsia="Calibri" w:cs="Times New Roman"/>
          <w:b/>
        </w:rPr>
        <w:t> </w:t>
      </w:r>
      <w:r w:rsidR="00854DC7" w:rsidRPr="000D55E2">
        <w:rPr>
          <w:rFonts w:eastAsia="Calibri" w:cs="Times New Roman"/>
          <w:b/>
        </w:rPr>
        <w:t>518</w:t>
      </w:r>
      <w:r w:rsidRPr="000D55E2">
        <w:rPr>
          <w:rFonts w:eastAsia="Calibri" w:cs="Times New Roman"/>
          <w:b/>
        </w:rPr>
        <w:t xml:space="preserve"> </w:t>
      </w:r>
      <w:r w:rsidR="00854DC7" w:rsidRPr="000D55E2">
        <w:rPr>
          <w:rFonts w:eastAsia="Calibri" w:cs="Times New Roman"/>
          <w:b/>
        </w:rPr>
        <w:t>761</w:t>
      </w:r>
      <w:r w:rsidRPr="000D55E2">
        <w:rPr>
          <w:rFonts w:eastAsia="Calibri" w:cs="Times New Roman"/>
          <w:b/>
        </w:rPr>
        <w:t xml:space="preserve"> tis. eur</w:t>
      </w:r>
      <w:r w:rsidRPr="00F95B06">
        <w:rPr>
          <w:rFonts w:eastAsia="Calibri" w:cs="Times New Roman"/>
        </w:rPr>
        <w:t>, čo je zvýšenie záporného výsledku med</w:t>
      </w:r>
      <w:r w:rsidR="00E67359">
        <w:rPr>
          <w:rFonts w:eastAsia="Calibri" w:cs="Times New Roman"/>
        </w:rPr>
        <w:t>ziročne</w:t>
      </w:r>
      <w:r w:rsidR="00E67359">
        <w:rPr>
          <w:rFonts w:eastAsia="Calibri" w:cs="Times New Roman"/>
        </w:rPr>
        <w:br/>
      </w:r>
      <w:r w:rsidRPr="00F95B06">
        <w:rPr>
          <w:rFonts w:eastAsia="Calibri" w:cs="Times New Roman"/>
        </w:rPr>
        <w:t>o</w:t>
      </w:r>
      <w:r w:rsidR="00200509" w:rsidRPr="00F95B06">
        <w:rPr>
          <w:rFonts w:eastAsia="Calibri" w:cs="Times New Roman"/>
        </w:rPr>
        <w:t> 1 430 291</w:t>
      </w:r>
      <w:r w:rsidRPr="00F95B06">
        <w:rPr>
          <w:rFonts w:eastAsia="Calibri" w:cs="Times New Roman"/>
        </w:rPr>
        <w:t xml:space="preserve"> tis. eur.</w:t>
      </w:r>
      <w:r w:rsidRPr="00F95B06">
        <w:rPr>
          <w:rFonts w:eastAsia="Calibri" w:cs="Times New Roman"/>
        </w:rPr>
        <w:br w:type="page"/>
      </w:r>
    </w:p>
    <w:p w14:paraId="3EE12ECB" w14:textId="77777777" w:rsidR="00183FF7" w:rsidRPr="000E2AC5" w:rsidRDefault="00183FF7" w:rsidP="00183FF7">
      <w:pPr>
        <w:pStyle w:val="Nadpis1"/>
        <w:numPr>
          <w:ilvl w:val="0"/>
          <w:numId w:val="0"/>
        </w:numPr>
        <w:spacing w:after="120" w:line="336" w:lineRule="auto"/>
      </w:pPr>
      <w:bookmarkStart w:id="7" w:name="_Toc399324355"/>
      <w:bookmarkStart w:id="8" w:name="_Toc401920004"/>
      <w:bookmarkStart w:id="9" w:name="_Toc465255006"/>
      <w:bookmarkStart w:id="10" w:name="_Toc495990479"/>
      <w:bookmarkStart w:id="11" w:name="_Toc23264789"/>
      <w:r w:rsidRPr="000E2AC5">
        <w:t>Úvod</w:t>
      </w:r>
      <w:bookmarkEnd w:id="7"/>
      <w:bookmarkEnd w:id="8"/>
      <w:bookmarkEnd w:id="9"/>
      <w:bookmarkEnd w:id="10"/>
      <w:bookmarkEnd w:id="11"/>
    </w:p>
    <w:p w14:paraId="5FCD00FA" w14:textId="7B08E62B" w:rsidR="00183FF7" w:rsidRPr="000E2AC5" w:rsidRDefault="00183FF7" w:rsidP="00183FF7">
      <w:pPr>
        <w:spacing w:after="120" w:line="336" w:lineRule="auto"/>
        <w:jc w:val="both"/>
        <w:rPr>
          <w:lang w:eastAsia="cs-CZ"/>
        </w:rPr>
      </w:pPr>
      <w:r w:rsidRPr="000E2AC5">
        <w:rPr>
          <w:b/>
          <w:lang w:eastAsia="cs-CZ"/>
        </w:rPr>
        <w:t>Súhrnná výročná správa Slovenskej republiky (ďalej aj „súhrnná správa“ alebo „správa“)</w:t>
      </w:r>
      <w:r w:rsidRPr="000E2AC5">
        <w:rPr>
          <w:lang w:eastAsia="cs-CZ"/>
        </w:rPr>
        <w:t xml:space="preserve"> je </w:t>
      </w:r>
      <w:r w:rsidR="0008612E">
        <w:rPr>
          <w:lang w:eastAsia="cs-CZ"/>
        </w:rPr>
        <w:t>komplexný</w:t>
      </w:r>
      <w:r w:rsidRPr="000E2AC5">
        <w:rPr>
          <w:lang w:eastAsia="cs-CZ"/>
        </w:rPr>
        <w:t xml:space="preserve"> dokument o hospodárení verejných financií Slovenska za predchádzajúci kalendárny rok. Súhrnná správa aktualizuje a dopĺňa údaje obsiahnuté v Štátnom záverečnom účte SR (ďalej len „ŠZÚ“), ktorý sa predkladá na rokovanie vlády v apríli bežného roka. Hlavným cieľom ŠZÚ je prezentácia údajov o </w:t>
      </w:r>
      <w:r w:rsidRPr="00392B0F">
        <w:rPr>
          <w:lang w:eastAsia="cs-CZ"/>
        </w:rPr>
        <w:t xml:space="preserve">hospodárení verejnej správy v metodike ESA 2010 v najskoršom možnom termíne. V čase zostavovania súhrnnej správy (október) je už dostupný väčší rozsah údajov a informácií, napr. na základe schválených účtovných závierok </w:t>
      </w:r>
      <w:r w:rsidR="00500907" w:rsidRPr="00392B0F">
        <w:rPr>
          <w:lang w:eastAsia="cs-CZ"/>
        </w:rPr>
        <w:t xml:space="preserve">niektorých </w:t>
      </w:r>
      <w:r w:rsidRPr="00392B0F">
        <w:rPr>
          <w:lang w:eastAsia="cs-CZ"/>
        </w:rPr>
        <w:t>subjektov</w:t>
      </w:r>
      <w:r w:rsidR="00500907" w:rsidRPr="00392B0F">
        <w:rPr>
          <w:lang w:eastAsia="cs-CZ"/>
        </w:rPr>
        <w:t>, na základe daňových priznaní či zúčtovania odvodov, ktoré tvoria najväčšiu časť príjmov, údaje o podmienených záväzkoch z účtovných závierok a údaje z procesu účtovnej konsolidácie.</w:t>
      </w:r>
      <w:r w:rsidRPr="00392B0F">
        <w:rPr>
          <w:lang w:eastAsia="cs-CZ"/>
        </w:rPr>
        <w:t xml:space="preserve"> Okrem údajov </w:t>
      </w:r>
      <w:r w:rsidRPr="00392B0F">
        <w:t>o</w:t>
      </w:r>
      <w:r w:rsidRPr="00392B0F">
        <w:rPr>
          <w:lang w:eastAsia="cs-CZ"/>
        </w:rPr>
        <w:t xml:space="preserve"> hospodárení verejnej správy v metodike ESA 2010 prináša </w:t>
      </w:r>
      <w:r w:rsidRPr="00392B0F">
        <w:t xml:space="preserve">informácie o čistom bohatstve, hospodárení podnikov štátnej správy, čistom dlhu, jednorazových efektoch, štrukturálnom </w:t>
      </w:r>
      <w:r w:rsidRPr="000E2AC5">
        <w:t>salde a vyhodnotení stratégie riadenia štátneho dlhu</w:t>
      </w:r>
      <w:r w:rsidRPr="000E2AC5">
        <w:rPr>
          <w:lang w:eastAsia="cs-CZ"/>
        </w:rPr>
        <w:t>. Druhý podstatný rozdiel spočíva v tom, že správa sa zameriava na analýzu vývoja verejných financií oproti predchádzajúcemu roku (medziročné zmeny</w:t>
      </w:r>
      <w:r w:rsidR="007E0EB1">
        <w:rPr>
          <w:lang w:eastAsia="cs-CZ"/>
        </w:rPr>
        <w:t xml:space="preserve"> dosiahnutej skutočnosti</w:t>
      </w:r>
      <w:r w:rsidRPr="000E2AC5">
        <w:rPr>
          <w:lang w:eastAsia="cs-CZ"/>
        </w:rPr>
        <w:t>) a ŠZÚ sa sústreďuje najmä na porovnanie plánu rozpočtu verejnej správy s dosiahnutou skutočnosťou.</w:t>
      </w:r>
    </w:p>
    <w:p w14:paraId="56AB71DA" w14:textId="1F730825" w:rsidR="00183FF7" w:rsidRPr="00392B0F" w:rsidRDefault="00183FF7" w:rsidP="00183FF7">
      <w:pPr>
        <w:spacing w:after="120" w:line="336" w:lineRule="auto"/>
        <w:jc w:val="both"/>
        <w:rPr>
          <w:lang w:eastAsia="cs-CZ"/>
        </w:rPr>
      </w:pPr>
      <w:r w:rsidRPr="000E2AC5">
        <w:rPr>
          <w:lang w:eastAsia="cs-CZ"/>
        </w:rPr>
        <w:t>Obsah správy je definovaný prostredníctvom troch legislatívnych noriem. Zákon o rozpočtových pravidlách verejnej správy vymedzuje základný rozsah súhrnnej výročnej správy, termíny jej spracovania a predloženia vláde a Národnej rade Slovenskej republiky. Ú</w:t>
      </w:r>
      <w:r w:rsidRPr="000E2AC5">
        <w:rPr>
          <w:rFonts w:eastAsia="Calibri"/>
        </w:rPr>
        <w:t xml:space="preserve">stavný zákon o rozpočtovej zodpovednosti ustanovuje nad rámec zákona o rozpočtových pravidlách verejnej správy ďalšie </w:t>
      </w:r>
      <w:r w:rsidR="007E0EB1">
        <w:rPr>
          <w:rFonts w:eastAsia="Calibri"/>
        </w:rPr>
        <w:t xml:space="preserve">požiadavky na </w:t>
      </w:r>
      <w:r w:rsidRPr="000E2AC5">
        <w:rPr>
          <w:rFonts w:eastAsia="Calibri"/>
        </w:rPr>
        <w:t xml:space="preserve">údaje a informácie, ktoré má súhrnná správa obsahovať (napr. čisté bohatstvo, jednorazové vplyvy a štrukturálne saldo). Zákon o účtovníctve ustanovuje pre účtovné jednotky verejnej správy povinnosť zostaviť konsolidovanú účtovnú závierku a pre Ministerstvo financií Slovenskej republiky povinnosť zostaviť konsolidovanú účtovnú závierku ústrednej správy a súhrnnú účtovnú </w:t>
      </w:r>
      <w:r w:rsidRPr="00392B0F">
        <w:rPr>
          <w:rFonts w:eastAsia="Calibri"/>
        </w:rPr>
        <w:t>závierku verejnej správy.</w:t>
      </w:r>
    </w:p>
    <w:p w14:paraId="0A3B9BC7" w14:textId="7C71CDA6" w:rsidR="00183FF7" w:rsidRPr="000E2AC5" w:rsidRDefault="002377CE" w:rsidP="00183FF7">
      <w:pPr>
        <w:spacing w:after="120" w:line="336" w:lineRule="auto"/>
        <w:jc w:val="both"/>
        <w:rPr>
          <w:rFonts w:eastAsia="Calibri"/>
        </w:rPr>
      </w:pPr>
      <w:bookmarkStart w:id="12" w:name="f_5629755"/>
      <w:bookmarkStart w:id="13" w:name="f_5629756"/>
      <w:bookmarkStart w:id="14" w:name="f_5629757"/>
      <w:bookmarkEnd w:id="12"/>
      <w:bookmarkEnd w:id="13"/>
      <w:bookmarkEnd w:id="14"/>
      <w:r w:rsidRPr="00392B0F">
        <w:rPr>
          <w:rFonts w:eastAsia="Calibri"/>
        </w:rPr>
        <w:t xml:space="preserve">Významnou udalosťou v štatistike verejnej správy bola benchmarková revízia údajov zo strany Štatistického úradu SR, ktorej výsledky sú zahrnuté do jesennej notifikácie údajov za rok 2018, pričom došlo aj k revízii celého časového radu ročných údajov (saldo, dlh, HDP). V súhrnnej výročnej správe za rok 2018 boli ďalej aktualizované údaje pre výpočet čistého bohatstva, najmä čo sa týka implicitných záväzkov, vlastného imania </w:t>
      </w:r>
      <w:r w:rsidRPr="000E2AC5">
        <w:rPr>
          <w:rFonts w:eastAsia="Calibri"/>
        </w:rPr>
        <w:t xml:space="preserve">ústrednej správy a podmienených </w:t>
      </w:r>
      <w:r>
        <w:rPr>
          <w:rFonts w:eastAsia="Calibri"/>
        </w:rPr>
        <w:t>pasív</w:t>
      </w:r>
      <w:r w:rsidRPr="000E2AC5">
        <w:rPr>
          <w:rFonts w:eastAsia="Calibri"/>
        </w:rPr>
        <w:t>.</w:t>
      </w:r>
      <w:r>
        <w:rPr>
          <w:rFonts w:eastAsia="Calibri"/>
        </w:rPr>
        <w:t xml:space="preserve"> </w:t>
      </w:r>
      <w:r w:rsidR="00183FF7" w:rsidRPr="002377CE">
        <w:rPr>
          <w:rFonts w:eastAsia="Calibri"/>
          <w:color w:val="FF0000"/>
        </w:rPr>
        <w:t xml:space="preserve"> </w:t>
      </w:r>
      <w:r w:rsidR="00183FF7" w:rsidRPr="000E2AC5">
        <w:rPr>
          <w:rFonts w:eastAsia="Calibri"/>
        </w:rPr>
        <w:t>Početnosť subjektov, ktoré vstupujú do výpočtu čistého bohatstva je stále veľkou výzvou z pohľadu skúmania ich ekonomickej ako aj právnej podstaty. Ministerstvo financií SR v priebehu roka 201</w:t>
      </w:r>
      <w:r w:rsidR="000E2AC5">
        <w:rPr>
          <w:rFonts w:eastAsia="Calibri"/>
        </w:rPr>
        <w:t>8</w:t>
      </w:r>
      <w:r w:rsidR="00183FF7" w:rsidRPr="000E2AC5">
        <w:rPr>
          <w:rFonts w:eastAsia="Calibri"/>
        </w:rPr>
        <w:t xml:space="preserve"> ako aj v roku 201</w:t>
      </w:r>
      <w:r w:rsidR="000E2AC5">
        <w:rPr>
          <w:rFonts w:eastAsia="Calibri"/>
        </w:rPr>
        <w:t>9</w:t>
      </w:r>
      <w:r w:rsidR="00183FF7" w:rsidRPr="000E2AC5">
        <w:rPr>
          <w:rFonts w:eastAsia="Calibri"/>
        </w:rPr>
        <w:t xml:space="preserve"> pracovalo na možnostiach získavania relevantných údajov od týchto subjektov, ktoré často krát nie sú dostupné z verejne prezentovaných informačných zdrojov.</w:t>
      </w:r>
    </w:p>
    <w:p w14:paraId="10CD6135" w14:textId="77777777" w:rsidR="007F6CDE" w:rsidRPr="000E2AC5" w:rsidRDefault="00183FF7" w:rsidP="00183FF7">
      <w:pPr>
        <w:spacing w:after="120" w:line="336" w:lineRule="auto"/>
        <w:jc w:val="both"/>
        <w:rPr>
          <w:rFonts w:eastAsia="Calibri"/>
        </w:rPr>
      </w:pPr>
      <w:r w:rsidRPr="000E2AC5">
        <w:rPr>
          <w:rFonts w:eastAsia="Calibri"/>
        </w:rPr>
        <w:t>Výsledkom by mali byť v budúcnosti spoľahlivejšie a presnejšie údaje (najmä o hospodárení štátnych podnikov, a vývoji zložiek čistého bohatstva ako sú implicitné záväzky a podmienené aktíva a pasíva), ktoré by vychádzali z nastavených metodických postupov a systematického zberu informácií.</w:t>
      </w:r>
    </w:p>
    <w:p w14:paraId="2BD3E421" w14:textId="3216EE2B" w:rsidR="00183FF7" w:rsidRPr="00700A8C" w:rsidRDefault="00183FF7" w:rsidP="00183FF7">
      <w:pPr>
        <w:spacing w:after="120" w:line="336" w:lineRule="auto"/>
        <w:jc w:val="both"/>
        <w:rPr>
          <w:rFonts w:eastAsia="Calibri"/>
          <w:b/>
          <w:highlight w:val="yellow"/>
        </w:rPr>
      </w:pPr>
      <w:r w:rsidRPr="00700A8C">
        <w:rPr>
          <w:rFonts w:eastAsia="Calibri"/>
          <w:b/>
          <w:color w:val="FF0000"/>
          <w:highlight w:val="yellow"/>
        </w:rPr>
        <w:br w:type="page"/>
      </w:r>
    </w:p>
    <w:p w14:paraId="7AE3A0B9" w14:textId="77777777" w:rsidR="00183FF7" w:rsidRPr="00433721" w:rsidRDefault="00183FF7" w:rsidP="00183FF7">
      <w:pPr>
        <w:spacing w:after="120" w:line="336" w:lineRule="auto"/>
        <w:jc w:val="both"/>
        <w:rPr>
          <w:rFonts w:eastAsia="Calibri"/>
          <w:b/>
        </w:rPr>
      </w:pPr>
      <w:r w:rsidRPr="00433721">
        <w:rPr>
          <w:rFonts w:eastAsia="Calibri"/>
          <w:b/>
        </w:rPr>
        <w:t>Štruktúra dokumentu Súhrnná výročná správa Slovenskej republiky:</w:t>
      </w:r>
    </w:p>
    <w:p w14:paraId="0999D824" w14:textId="7A405357" w:rsidR="00183FF7" w:rsidRPr="00433721" w:rsidRDefault="00183FF7" w:rsidP="00183FF7">
      <w:pPr>
        <w:numPr>
          <w:ilvl w:val="0"/>
          <w:numId w:val="8"/>
        </w:numPr>
        <w:spacing w:after="120" w:line="336" w:lineRule="auto"/>
        <w:ind w:left="426" w:hanging="426"/>
        <w:jc w:val="both"/>
        <w:rPr>
          <w:rFonts w:cs="Book Antiqua"/>
          <w:lang w:eastAsia="sk-SK"/>
        </w:rPr>
      </w:pPr>
      <w:r w:rsidRPr="00433721">
        <w:rPr>
          <w:rFonts w:cs="Book Antiqua"/>
          <w:i/>
          <w:lang w:eastAsia="sk-SK"/>
        </w:rPr>
        <w:t>Zhrnutie</w:t>
      </w:r>
      <w:r w:rsidRPr="00433721">
        <w:rPr>
          <w:rFonts w:cs="Book Antiqua"/>
          <w:lang w:eastAsia="sk-SK"/>
        </w:rPr>
        <w:t xml:space="preserve"> prezentuje najdôležitejšie údaje o hospodárení verejných financií Slovenskej republiky </w:t>
      </w:r>
      <w:r w:rsidR="00962300" w:rsidRPr="00433721">
        <w:rPr>
          <w:rFonts w:cs="Book Antiqua"/>
          <w:lang w:eastAsia="sk-SK"/>
        </w:rPr>
        <w:t>za </w:t>
      </w:r>
      <w:r w:rsidRPr="00433721">
        <w:rPr>
          <w:rFonts w:cs="Book Antiqua"/>
          <w:lang w:eastAsia="sk-SK"/>
        </w:rPr>
        <w:t>rok 201</w:t>
      </w:r>
      <w:r w:rsidR="00433721">
        <w:rPr>
          <w:rFonts w:cs="Book Antiqua"/>
          <w:lang w:eastAsia="sk-SK"/>
        </w:rPr>
        <w:t>8</w:t>
      </w:r>
      <w:r w:rsidRPr="00433721">
        <w:rPr>
          <w:rFonts w:cs="Book Antiqua"/>
          <w:lang w:eastAsia="sk-SK"/>
        </w:rPr>
        <w:t xml:space="preserve">. Detailnejšie informácie možno nájsť v jednotlivých kapitolách správy. </w:t>
      </w:r>
    </w:p>
    <w:p w14:paraId="6E05852A" w14:textId="77777777" w:rsidR="00183FF7" w:rsidRPr="00433721" w:rsidRDefault="00183FF7" w:rsidP="00183FF7">
      <w:pPr>
        <w:numPr>
          <w:ilvl w:val="0"/>
          <w:numId w:val="8"/>
        </w:numPr>
        <w:spacing w:after="120" w:line="336" w:lineRule="auto"/>
        <w:ind w:left="426" w:hanging="426"/>
        <w:jc w:val="both"/>
        <w:rPr>
          <w:rFonts w:cs="Book Antiqua"/>
          <w:lang w:eastAsia="sk-SK"/>
        </w:rPr>
      </w:pPr>
      <w:r w:rsidRPr="00433721">
        <w:rPr>
          <w:rFonts w:cs="Book Antiqua"/>
          <w:i/>
          <w:lang w:eastAsia="sk-SK"/>
        </w:rPr>
        <w:t>Prvá kapitola</w:t>
      </w:r>
      <w:r w:rsidRPr="00433721">
        <w:rPr>
          <w:rFonts w:cs="Book Antiqua"/>
          <w:lang w:eastAsia="sk-SK"/>
        </w:rPr>
        <w:t xml:space="preserve"> prezentuje verejné financie z pohľadu sektorového členenia verejnej správy podľa metodiky ESA 2010. Dôraz sa kladie na príspevok jednotlivých skupín subjektov verejnej správy k výsledku rozpočtového hospodárenia verejnej správy. Hlavnými údajmi tejto časti sú saldo a dlh verejnej správy podľa maastrichtských kritérií.</w:t>
      </w:r>
    </w:p>
    <w:p w14:paraId="64D27CEA" w14:textId="77777777" w:rsidR="00183FF7" w:rsidRPr="00433721" w:rsidRDefault="00183FF7" w:rsidP="00183FF7">
      <w:pPr>
        <w:numPr>
          <w:ilvl w:val="0"/>
          <w:numId w:val="8"/>
        </w:numPr>
        <w:spacing w:after="120" w:line="336" w:lineRule="auto"/>
        <w:ind w:left="426" w:hanging="426"/>
        <w:jc w:val="both"/>
        <w:rPr>
          <w:rFonts w:cs="Book Antiqua"/>
          <w:lang w:eastAsia="sk-SK"/>
        </w:rPr>
      </w:pPr>
      <w:r w:rsidRPr="00433721">
        <w:rPr>
          <w:rFonts w:cs="Book Antiqua"/>
          <w:i/>
          <w:lang w:eastAsia="sk-SK"/>
        </w:rPr>
        <w:t>Druhá kapitola</w:t>
      </w:r>
      <w:r w:rsidRPr="00433721">
        <w:rPr>
          <w:rFonts w:cs="Book Antiqua"/>
          <w:lang w:eastAsia="sk-SK"/>
        </w:rPr>
        <w:t xml:space="preserve"> nadväzuje na prvú v hodnotení verejných financií z pohľadu sektora verejnej správy. Pokiaľ sa však prvá kapitola zameriava striktne na údaje v metodike ESA 2010, ktoré sú obsahom októbrovej notifikácie, druhá kapitola hodnotí vývoj verejnej správy najmä z pohľadu údajov, ktoré má obsahovať súhrnná správa na základe ústavného zákona o rozpočtovej zodpovednosti. Tieto údaje prehlbujú analytický pohľad na hospodárenie verejnej správy.</w:t>
      </w:r>
    </w:p>
    <w:p w14:paraId="7A0F0322" w14:textId="77777777" w:rsidR="00183FF7" w:rsidRPr="00433721" w:rsidRDefault="00183FF7" w:rsidP="00183FF7">
      <w:pPr>
        <w:numPr>
          <w:ilvl w:val="0"/>
          <w:numId w:val="8"/>
        </w:numPr>
        <w:spacing w:after="120" w:line="336" w:lineRule="auto"/>
        <w:ind w:left="426" w:hanging="426"/>
        <w:jc w:val="both"/>
        <w:rPr>
          <w:rFonts w:cs="Book Antiqua"/>
          <w:lang w:eastAsia="sk-SK"/>
        </w:rPr>
      </w:pPr>
      <w:r w:rsidRPr="00433721">
        <w:rPr>
          <w:rFonts w:cs="Book Antiqua"/>
          <w:i/>
          <w:lang w:eastAsia="sk-SK"/>
        </w:rPr>
        <w:t xml:space="preserve">Tretia </w:t>
      </w:r>
      <w:r w:rsidRPr="00433721">
        <w:rPr>
          <w:rFonts w:eastAsia="Cambria" w:cs="Book Antiqua"/>
          <w:i/>
          <w:lang w:eastAsia="sk-SK"/>
        </w:rPr>
        <w:t>kapitola</w:t>
      </w:r>
      <w:r w:rsidRPr="00433721">
        <w:rPr>
          <w:rFonts w:eastAsia="Cambria" w:cs="Book Antiqua"/>
          <w:lang w:eastAsia="sk-SK"/>
        </w:rPr>
        <w:t xml:space="preserve"> rozširuje pohľad na verejné financie z verejnej správy na verejný sektor a jeho hlavný ukazovateľ čisté bohatstvo.</w:t>
      </w:r>
      <w:r w:rsidRPr="00433721">
        <w:rPr>
          <w:rFonts w:cs="Book Antiqua"/>
          <w:lang w:eastAsia="sk-SK"/>
        </w:rPr>
        <w:t xml:space="preserve"> V tejto časti je popísaná štruktúra a medziročné zmeny čistého bohatstva, v súlade s ústavným zákonom o rozpočtovej zodpovednosti je dôraz kladený na popis hospodárenia podnikov štátnej správy.</w:t>
      </w:r>
    </w:p>
    <w:p w14:paraId="2CF81F4C" w14:textId="28248579" w:rsidR="00183FF7" w:rsidRPr="00433721" w:rsidRDefault="00183FF7" w:rsidP="00183FF7">
      <w:pPr>
        <w:numPr>
          <w:ilvl w:val="0"/>
          <w:numId w:val="8"/>
        </w:numPr>
        <w:spacing w:after="120" w:line="336" w:lineRule="auto"/>
        <w:ind w:left="426" w:hanging="426"/>
        <w:jc w:val="both"/>
        <w:rPr>
          <w:rFonts w:cs="Book Antiqua"/>
          <w:lang w:eastAsia="sk-SK"/>
        </w:rPr>
      </w:pPr>
      <w:r w:rsidRPr="00433721">
        <w:rPr>
          <w:rFonts w:cs="Book Antiqua"/>
          <w:i/>
          <w:lang w:eastAsia="sk-SK"/>
        </w:rPr>
        <w:t>Príloha č. 1</w:t>
      </w:r>
      <w:r w:rsidRPr="00433721">
        <w:rPr>
          <w:rFonts w:cs="Book Antiqua"/>
          <w:lang w:eastAsia="sk-SK"/>
        </w:rPr>
        <w:t xml:space="preserve"> má tabuľkovú podobu a viaže sa k tretej kapitole. Obsahuje zoznam podnikov štátnej správy s údajmi o ich výsledku hospodárenia, výške vlastného imania za posledné tri roky a o výške vlastníckeho podielu štátu v podnikoch.</w:t>
      </w:r>
    </w:p>
    <w:p w14:paraId="45D56879" w14:textId="321F5FF1" w:rsidR="00183FF7" w:rsidRPr="00392B0F" w:rsidRDefault="00183FF7" w:rsidP="00183FF7">
      <w:pPr>
        <w:numPr>
          <w:ilvl w:val="0"/>
          <w:numId w:val="8"/>
        </w:numPr>
        <w:spacing w:after="120" w:line="336" w:lineRule="auto"/>
        <w:ind w:left="426" w:hanging="426"/>
        <w:jc w:val="both"/>
        <w:rPr>
          <w:lang w:eastAsia="cs-CZ"/>
        </w:rPr>
      </w:pPr>
      <w:r w:rsidRPr="00EE4288">
        <w:rPr>
          <w:rFonts w:cs="Book Antiqua"/>
          <w:i/>
          <w:lang w:eastAsia="sk-SK"/>
        </w:rPr>
        <w:t>Príloha č. 2</w:t>
      </w:r>
      <w:r w:rsidRPr="00EE4288">
        <w:rPr>
          <w:rFonts w:cs="Book Antiqua"/>
          <w:lang w:eastAsia="sk-SK"/>
        </w:rPr>
        <w:t xml:space="preserve"> </w:t>
      </w:r>
      <w:r w:rsidR="00EE4288" w:rsidRPr="00392B0F">
        <w:rPr>
          <w:rFonts w:cs="Book Antiqua"/>
          <w:lang w:eastAsia="sk-SK"/>
        </w:rPr>
        <w:t>má tabuľkovú podobu, obsahuje údaje o vlastnom imaní všetkých podnikov štátnej správy</w:t>
      </w:r>
      <w:r w:rsidR="002377CE" w:rsidRPr="00392B0F">
        <w:rPr>
          <w:rFonts w:cs="Book Antiqua"/>
          <w:lang w:eastAsia="sk-SK"/>
        </w:rPr>
        <w:t xml:space="preserve"> v detailnom členení podľa položiek vlastného imania,</w:t>
      </w:r>
    </w:p>
    <w:p w14:paraId="385BB2F0" w14:textId="40D07504" w:rsidR="001960E5" w:rsidRPr="00433721" w:rsidRDefault="001960E5" w:rsidP="00183FF7">
      <w:pPr>
        <w:numPr>
          <w:ilvl w:val="0"/>
          <w:numId w:val="8"/>
        </w:numPr>
        <w:spacing w:after="120" w:line="336" w:lineRule="auto"/>
        <w:ind w:left="426" w:hanging="426"/>
        <w:jc w:val="both"/>
        <w:rPr>
          <w:lang w:eastAsia="cs-CZ"/>
        </w:rPr>
      </w:pPr>
      <w:r>
        <w:rPr>
          <w:rFonts w:cs="Book Antiqua"/>
          <w:i/>
          <w:lang w:eastAsia="sk-SK"/>
        </w:rPr>
        <w:t xml:space="preserve">Príloha č. 3 </w:t>
      </w:r>
      <w:r w:rsidRPr="00433721">
        <w:rPr>
          <w:rFonts w:cs="Book Antiqua"/>
          <w:lang w:eastAsia="sk-SK"/>
        </w:rPr>
        <w:t>predstavuje súhrnnú účtovnú závierku verejnej správy Slovenskej republiky za príslušný rok, ktorá je povinnou súčasťou tejto správy v súlade so zákonom o rozpočtových pravidlách.</w:t>
      </w:r>
    </w:p>
    <w:p w14:paraId="2715B6D6" w14:textId="77777777" w:rsidR="00183FF7" w:rsidRPr="00433721" w:rsidRDefault="00183FF7" w:rsidP="00183FF7">
      <w:pPr>
        <w:spacing w:after="120" w:line="336" w:lineRule="auto"/>
        <w:jc w:val="both"/>
        <w:rPr>
          <w:lang w:eastAsia="cs-CZ"/>
        </w:rPr>
      </w:pPr>
      <w:r w:rsidRPr="00433721">
        <w:rPr>
          <w:lang w:eastAsia="cs-CZ"/>
        </w:rPr>
        <w:t xml:space="preserve">Ďalej je súčasťou správy </w:t>
      </w:r>
      <w:r w:rsidRPr="00433721">
        <w:rPr>
          <w:rFonts w:cs="Book Antiqua"/>
          <w:i/>
          <w:lang w:eastAsia="sk-SK"/>
        </w:rPr>
        <w:t>slovník odborných pojmov</w:t>
      </w:r>
      <w:r w:rsidRPr="00433721">
        <w:rPr>
          <w:lang w:eastAsia="cs-CZ"/>
        </w:rPr>
        <w:t xml:space="preserve">, ktorý detailne, ale zároveň zrozumiteľne vysvetľuje hlavné pojmy obsiahnuté v správe. V dokumente sa uvádza množstvo názvov a viacero zákonov v skrátenej podobe, preto je priložený aj </w:t>
      </w:r>
      <w:r w:rsidRPr="00433721">
        <w:rPr>
          <w:rFonts w:cs="Book Antiqua"/>
          <w:i/>
          <w:lang w:eastAsia="sk-SK"/>
        </w:rPr>
        <w:t>zoznam skratiek</w:t>
      </w:r>
      <w:r w:rsidRPr="00433721">
        <w:rPr>
          <w:lang w:eastAsia="cs-CZ"/>
        </w:rPr>
        <w:t>.</w:t>
      </w:r>
    </w:p>
    <w:p w14:paraId="0713F129" w14:textId="3923B6E9" w:rsidR="00183FF7" w:rsidRPr="00433721" w:rsidRDefault="00183FF7" w:rsidP="00183FF7">
      <w:pPr>
        <w:spacing w:after="120" w:line="336" w:lineRule="auto"/>
        <w:jc w:val="both"/>
        <w:rPr>
          <w:lang w:eastAsia="cs-CZ"/>
        </w:rPr>
      </w:pPr>
      <w:r w:rsidRPr="00433721">
        <w:rPr>
          <w:lang w:eastAsia="cs-CZ"/>
        </w:rPr>
        <w:t xml:space="preserve">K správe je priložená aj </w:t>
      </w:r>
      <w:r w:rsidRPr="00433721">
        <w:rPr>
          <w:rFonts w:cs="Book Antiqua"/>
          <w:i/>
          <w:lang w:eastAsia="sk-SK"/>
        </w:rPr>
        <w:t>elektronická príloha</w:t>
      </w:r>
      <w:r w:rsidRPr="00433721">
        <w:rPr>
          <w:lang w:eastAsia="cs-CZ"/>
        </w:rPr>
        <w:t>, ktorá sa viaže k prvej kapitole a je zverejnená len na</w:t>
      </w:r>
      <w:r w:rsidR="00962300" w:rsidRPr="00433721">
        <w:rPr>
          <w:lang w:eastAsia="cs-CZ"/>
        </w:rPr>
        <w:t> </w:t>
      </w:r>
      <w:r w:rsidRPr="00433721">
        <w:rPr>
          <w:lang w:eastAsia="cs-CZ"/>
        </w:rPr>
        <w:t>internetovej stránke MF SR spolu s hlavným dokumentom. Elektronická príloha obsahuje štruktúru schodku verejnej správy a jeho financovanie v roku 201</w:t>
      </w:r>
      <w:r w:rsidR="00433721">
        <w:rPr>
          <w:lang w:eastAsia="cs-CZ"/>
        </w:rPr>
        <w:t>8</w:t>
      </w:r>
      <w:r w:rsidRPr="00433721">
        <w:rPr>
          <w:lang w:eastAsia="cs-CZ"/>
        </w:rPr>
        <w:t xml:space="preserve"> podľa jednotlivých skupín subjektov v metodike ESA 2010 (prechod od hotovostného schodku ku schodku v metodike ESA 2010).</w:t>
      </w:r>
    </w:p>
    <w:p w14:paraId="51233B81" w14:textId="0D307900" w:rsidR="00472200" w:rsidRPr="00700A8C" w:rsidRDefault="00183FF7" w:rsidP="005E0146">
      <w:pPr>
        <w:spacing w:after="120" w:line="336" w:lineRule="auto"/>
        <w:jc w:val="both"/>
        <w:rPr>
          <w:b/>
          <w:bCs/>
          <w:color w:val="FF0000"/>
          <w:sz w:val="26"/>
          <w:szCs w:val="26"/>
          <w:highlight w:val="yellow"/>
        </w:rPr>
      </w:pPr>
      <w:r w:rsidRPr="002F26D5">
        <w:rPr>
          <w:lang w:eastAsia="cs-CZ"/>
        </w:rPr>
        <w:t>Pri výpočte podielových ukazovateľov verejných fina</w:t>
      </w:r>
      <w:r w:rsidR="00962300" w:rsidRPr="002F26D5">
        <w:rPr>
          <w:lang w:eastAsia="cs-CZ"/>
        </w:rPr>
        <w:t xml:space="preserve">ncií boli použité údaje o HDP v </w:t>
      </w:r>
      <w:r w:rsidRPr="002F26D5">
        <w:rPr>
          <w:lang w:eastAsia="cs-CZ"/>
        </w:rPr>
        <w:t>bežných ce</w:t>
      </w:r>
      <w:r w:rsidR="008A5AC4" w:rsidRPr="002F26D5">
        <w:rPr>
          <w:lang w:eastAsia="cs-CZ"/>
        </w:rPr>
        <w:t>nách, ktoré boli notifikované v rámci októbrovej notifikácie</w:t>
      </w:r>
      <w:r w:rsidR="002201A6">
        <w:rPr>
          <w:lang w:eastAsia="cs-CZ"/>
        </w:rPr>
        <w:t xml:space="preserve">: </w:t>
      </w:r>
      <w:r w:rsidRPr="002201A6">
        <w:rPr>
          <w:lang w:eastAsia="cs-CZ"/>
        </w:rPr>
        <w:t>201</w:t>
      </w:r>
      <w:r w:rsidR="002F26D5" w:rsidRPr="002201A6">
        <w:rPr>
          <w:lang w:eastAsia="cs-CZ"/>
        </w:rPr>
        <w:t>8</w:t>
      </w:r>
      <w:r w:rsidR="008A5AC4" w:rsidRPr="002201A6">
        <w:rPr>
          <w:lang w:eastAsia="cs-CZ"/>
        </w:rPr>
        <w:t>:</w:t>
      </w:r>
      <w:r w:rsidR="00406B64">
        <w:rPr>
          <w:lang w:eastAsia="cs-CZ"/>
        </w:rPr>
        <w:t xml:space="preserve"> </w:t>
      </w:r>
      <w:r w:rsidR="002201A6">
        <w:rPr>
          <w:lang w:eastAsia="cs-CZ"/>
        </w:rPr>
        <w:t>89 720 961 tis. eur</w:t>
      </w:r>
      <w:r w:rsidRPr="002F26D5">
        <w:rPr>
          <w:lang w:eastAsia="cs-CZ"/>
        </w:rPr>
        <w:t>,</w:t>
      </w:r>
      <w:r w:rsidR="008A5AC4" w:rsidRPr="002F26D5">
        <w:rPr>
          <w:lang w:eastAsia="cs-CZ"/>
        </w:rPr>
        <w:t xml:space="preserve"> </w:t>
      </w:r>
      <w:r w:rsidR="002201A6">
        <w:rPr>
          <w:lang w:eastAsia="cs-CZ"/>
        </w:rPr>
        <w:t>2017:</w:t>
      </w:r>
      <w:r w:rsidR="00406B64">
        <w:rPr>
          <w:lang w:eastAsia="cs-CZ"/>
        </w:rPr>
        <w:t xml:space="preserve"> </w:t>
      </w:r>
      <w:r w:rsidR="002201A6">
        <w:rPr>
          <w:lang w:eastAsia="cs-CZ"/>
        </w:rPr>
        <w:t>84 517 005</w:t>
      </w:r>
      <w:r w:rsidR="002F26D5">
        <w:rPr>
          <w:lang w:eastAsia="cs-CZ"/>
        </w:rPr>
        <w:t> </w:t>
      </w:r>
      <w:r w:rsidR="002F26D5" w:rsidRPr="002F26D5">
        <w:rPr>
          <w:lang w:eastAsia="cs-CZ"/>
        </w:rPr>
        <w:t>tis.</w:t>
      </w:r>
      <w:r w:rsidR="002F26D5">
        <w:rPr>
          <w:lang w:eastAsia="cs-CZ"/>
        </w:rPr>
        <w:t> </w:t>
      </w:r>
      <w:r w:rsidR="002F26D5" w:rsidRPr="002F26D5">
        <w:rPr>
          <w:lang w:eastAsia="cs-CZ"/>
        </w:rPr>
        <w:t xml:space="preserve">eur </w:t>
      </w:r>
      <w:r w:rsidR="008A5AC4" w:rsidRPr="002F26D5">
        <w:rPr>
          <w:lang w:eastAsia="cs-CZ"/>
        </w:rPr>
        <w:t>2</w:t>
      </w:r>
      <w:r w:rsidRPr="002F26D5">
        <w:rPr>
          <w:lang w:eastAsia="cs-CZ"/>
        </w:rPr>
        <w:t>016:</w:t>
      </w:r>
      <w:r w:rsidR="00406B64">
        <w:rPr>
          <w:lang w:eastAsia="cs-CZ"/>
        </w:rPr>
        <w:t xml:space="preserve"> </w:t>
      </w:r>
      <w:r w:rsidR="002201A6">
        <w:rPr>
          <w:lang w:eastAsia="cs-CZ"/>
        </w:rPr>
        <w:t>81 038 379</w:t>
      </w:r>
      <w:r w:rsidR="008A5AC4" w:rsidRPr="002F26D5">
        <w:rPr>
          <w:lang w:eastAsia="cs-CZ"/>
        </w:rPr>
        <w:t> </w:t>
      </w:r>
      <w:r w:rsidR="002F26D5" w:rsidRPr="002F26D5">
        <w:rPr>
          <w:lang w:eastAsia="cs-CZ"/>
        </w:rPr>
        <w:t>tis. eur</w:t>
      </w:r>
      <w:r w:rsidRPr="002201A6">
        <w:rPr>
          <w:lang w:eastAsia="cs-CZ"/>
        </w:rPr>
        <w:t xml:space="preserve">. Oproti minuloročnej správe sa revidovali hodnoty HDP </w:t>
      </w:r>
      <w:r w:rsidR="002201A6" w:rsidRPr="002201A6">
        <w:rPr>
          <w:lang w:eastAsia="cs-CZ"/>
        </w:rPr>
        <w:t xml:space="preserve">v celom časovom rade </w:t>
      </w:r>
      <w:r w:rsidRPr="002201A6">
        <w:rPr>
          <w:lang w:eastAsia="cs-CZ"/>
        </w:rPr>
        <w:t xml:space="preserve">za roky </w:t>
      </w:r>
      <w:r w:rsidR="002201A6" w:rsidRPr="002201A6">
        <w:rPr>
          <w:lang w:eastAsia="cs-CZ"/>
        </w:rPr>
        <w:t>1995</w:t>
      </w:r>
      <w:r w:rsidRPr="002201A6">
        <w:rPr>
          <w:lang w:eastAsia="cs-CZ"/>
        </w:rPr>
        <w:t xml:space="preserve"> a</w:t>
      </w:r>
      <w:r w:rsidR="002201A6" w:rsidRPr="002201A6">
        <w:rPr>
          <w:lang w:eastAsia="cs-CZ"/>
        </w:rPr>
        <w:t>ž 2017</w:t>
      </w:r>
      <w:r w:rsidRPr="002201A6">
        <w:rPr>
          <w:lang w:eastAsia="cs-CZ"/>
        </w:rPr>
        <w:t>, čo mohlo mať dopad na zmenu veľkosti podielových ukazovateľov na HDP v týchto rokoch.</w:t>
      </w:r>
      <w:r w:rsidR="00472200" w:rsidRPr="00700A8C">
        <w:rPr>
          <w:color w:val="FF0000"/>
          <w:highlight w:val="yellow"/>
        </w:rPr>
        <w:br w:type="page"/>
      </w:r>
    </w:p>
    <w:p w14:paraId="4FAEB168" w14:textId="77777777" w:rsidR="003D050C" w:rsidRPr="006C0DD0" w:rsidRDefault="003D050C" w:rsidP="003D050C">
      <w:pPr>
        <w:pStyle w:val="Nadpis1"/>
        <w:spacing w:line="336" w:lineRule="auto"/>
        <w:ind w:left="425" w:hanging="425"/>
        <w:rPr>
          <w:rFonts w:eastAsia="Times New Roman"/>
        </w:rPr>
      </w:pPr>
      <w:bookmarkStart w:id="15" w:name="_Toc496786973"/>
      <w:bookmarkStart w:id="16" w:name="_Toc23264790"/>
      <w:bookmarkStart w:id="17" w:name="_Toc465255007"/>
      <w:bookmarkStart w:id="18" w:name="_Toc495990480"/>
      <w:r w:rsidRPr="006C0DD0">
        <w:rPr>
          <w:rFonts w:eastAsia="Times New Roman"/>
        </w:rPr>
        <w:t>Hospodárenie verejnej správy v metodike ESA 2010</w:t>
      </w:r>
      <w:bookmarkEnd w:id="15"/>
      <w:bookmarkEnd w:id="16"/>
      <w:r w:rsidRPr="006C0DD0">
        <w:rPr>
          <w:rFonts w:eastAsia="Times New Roman"/>
        </w:rPr>
        <w:t xml:space="preserve"> </w:t>
      </w:r>
    </w:p>
    <w:p w14:paraId="6460208B" w14:textId="78B081A8" w:rsidR="006C0DD0" w:rsidRDefault="006C0DD0" w:rsidP="006C0DD0">
      <w:pPr>
        <w:spacing w:before="120" w:after="0" w:line="336" w:lineRule="auto"/>
        <w:jc w:val="both"/>
        <w:rPr>
          <w:szCs w:val="22"/>
        </w:rPr>
      </w:pPr>
      <w:r w:rsidRPr="006B2A4F">
        <w:rPr>
          <w:szCs w:val="22"/>
        </w:rPr>
        <w:t xml:space="preserve">V tejto časti </w:t>
      </w:r>
      <w:r>
        <w:rPr>
          <w:szCs w:val="22"/>
        </w:rPr>
        <w:t xml:space="preserve">správy </w:t>
      </w:r>
      <w:r w:rsidRPr="006B2A4F">
        <w:rPr>
          <w:szCs w:val="22"/>
        </w:rPr>
        <w:t xml:space="preserve">sú prezentované </w:t>
      </w:r>
      <w:r>
        <w:rPr>
          <w:szCs w:val="22"/>
        </w:rPr>
        <w:t xml:space="preserve">výsledky hospodárenia s </w:t>
      </w:r>
      <w:r w:rsidRPr="006B2A4F">
        <w:rPr>
          <w:szCs w:val="22"/>
        </w:rPr>
        <w:t>verejn</w:t>
      </w:r>
      <w:r>
        <w:rPr>
          <w:szCs w:val="22"/>
        </w:rPr>
        <w:t>ými</w:t>
      </w:r>
      <w:r w:rsidRPr="006B2A4F">
        <w:rPr>
          <w:szCs w:val="22"/>
        </w:rPr>
        <w:t xml:space="preserve"> financi</w:t>
      </w:r>
      <w:r>
        <w:rPr>
          <w:szCs w:val="22"/>
        </w:rPr>
        <w:t>ami</w:t>
      </w:r>
      <w:r w:rsidRPr="006B2A4F">
        <w:rPr>
          <w:szCs w:val="22"/>
        </w:rPr>
        <w:t xml:space="preserve"> podľa metodiky ESA 2010, </w:t>
      </w:r>
      <w:r>
        <w:rPr>
          <w:szCs w:val="22"/>
        </w:rPr>
        <w:t xml:space="preserve">ktorú </w:t>
      </w:r>
      <w:r w:rsidRPr="006B2A4F">
        <w:rPr>
          <w:szCs w:val="22"/>
        </w:rPr>
        <w:t>uplat</w:t>
      </w:r>
      <w:r>
        <w:rPr>
          <w:szCs w:val="22"/>
        </w:rPr>
        <w:t>ňujú</w:t>
      </w:r>
      <w:r w:rsidRPr="006B2A4F">
        <w:rPr>
          <w:szCs w:val="22"/>
        </w:rPr>
        <w:t xml:space="preserve"> </w:t>
      </w:r>
      <w:r>
        <w:rPr>
          <w:szCs w:val="22"/>
        </w:rPr>
        <w:t xml:space="preserve">všetky </w:t>
      </w:r>
      <w:r w:rsidRPr="006B2A4F">
        <w:rPr>
          <w:szCs w:val="22"/>
        </w:rPr>
        <w:t xml:space="preserve">členské štáty EÚ. Kapitola obsahuje údaje, ktoré </w:t>
      </w:r>
      <w:r>
        <w:rPr>
          <w:szCs w:val="22"/>
        </w:rPr>
        <w:t>boli</w:t>
      </w:r>
      <w:r w:rsidRPr="006B2A4F">
        <w:rPr>
          <w:szCs w:val="22"/>
        </w:rPr>
        <w:t xml:space="preserve"> predmetom </w:t>
      </w:r>
      <w:r>
        <w:rPr>
          <w:szCs w:val="22"/>
        </w:rPr>
        <w:t xml:space="preserve">hodnotenia zo strany Európskeho štatistického úradu (Eurostatu) v rámci </w:t>
      </w:r>
      <w:r w:rsidRPr="006B2A4F">
        <w:rPr>
          <w:szCs w:val="22"/>
        </w:rPr>
        <w:t>októbrovej notifikácie</w:t>
      </w:r>
      <w:r>
        <w:rPr>
          <w:szCs w:val="22"/>
        </w:rPr>
        <w:t>. Okrem výsledného salda príjmov a výdavkov a hodnoty hrubého dlhu verejnej správy sa</w:t>
      </w:r>
      <w:r w:rsidRPr="006B2A4F">
        <w:rPr>
          <w:szCs w:val="22"/>
        </w:rPr>
        <w:t xml:space="preserve"> </w:t>
      </w:r>
      <w:r>
        <w:rPr>
          <w:szCs w:val="22"/>
        </w:rPr>
        <w:t>analyzuje</w:t>
      </w:r>
      <w:r w:rsidRPr="006B2A4F">
        <w:rPr>
          <w:szCs w:val="22"/>
        </w:rPr>
        <w:t xml:space="preserve"> príspevok jednotlivých skupín subjektov verejnej správy k saldu </w:t>
      </w:r>
      <w:r>
        <w:rPr>
          <w:szCs w:val="22"/>
        </w:rPr>
        <w:t xml:space="preserve">a pri analýze dlhu </w:t>
      </w:r>
      <w:r w:rsidRPr="006B2A4F">
        <w:rPr>
          <w:szCs w:val="22"/>
        </w:rPr>
        <w:t>príspevok faktorov, ktoré vysvetľujú jeho medziročnú zmenu. Kapitola tiež obsahuje porovnanie notifikovaných údajov o salde a dlhu verejnej správy za všetky členské krajiny Európskej únie</w:t>
      </w:r>
      <w:r>
        <w:rPr>
          <w:szCs w:val="22"/>
        </w:rPr>
        <w:t>, ako aj rozdiel medzi jarnou a jesennou notifikáciou.</w:t>
      </w:r>
    </w:p>
    <w:p w14:paraId="646F1AFE" w14:textId="77777777" w:rsidR="006C0DD0" w:rsidRPr="004B144B" w:rsidRDefault="006C0DD0" w:rsidP="00EE4288">
      <w:pPr>
        <w:spacing w:before="120" w:after="120" w:line="336" w:lineRule="auto"/>
        <w:jc w:val="both"/>
        <w:rPr>
          <w:b/>
          <w:szCs w:val="22"/>
        </w:rPr>
      </w:pPr>
      <w:r w:rsidRPr="004B144B">
        <w:rPr>
          <w:b/>
          <w:szCs w:val="22"/>
        </w:rPr>
        <w:t xml:space="preserve">Benchmarková revízia </w:t>
      </w:r>
      <w:r>
        <w:rPr>
          <w:b/>
          <w:szCs w:val="22"/>
        </w:rPr>
        <w:t xml:space="preserve">údajov </w:t>
      </w:r>
      <w:r w:rsidRPr="004B144B">
        <w:rPr>
          <w:b/>
          <w:szCs w:val="22"/>
        </w:rPr>
        <w:t>v roku 2019</w:t>
      </w:r>
    </w:p>
    <w:p w14:paraId="156B5B84" w14:textId="77777777" w:rsidR="006C0DD0" w:rsidRPr="00236875" w:rsidRDefault="006C0DD0" w:rsidP="00EE4288">
      <w:pPr>
        <w:spacing w:after="120" w:line="336" w:lineRule="auto"/>
        <w:jc w:val="both"/>
        <w:rPr>
          <w:szCs w:val="22"/>
        </w:rPr>
      </w:pPr>
      <w:r>
        <w:rPr>
          <w:szCs w:val="22"/>
        </w:rPr>
        <w:t xml:space="preserve">V rámci jesennej notifikácie </w:t>
      </w:r>
      <w:r w:rsidRPr="006B2A4F">
        <w:rPr>
          <w:szCs w:val="22"/>
        </w:rPr>
        <w:t>uskutočnil Štatistický úrad S</w:t>
      </w:r>
      <w:r>
        <w:rPr>
          <w:szCs w:val="22"/>
        </w:rPr>
        <w:t>R</w:t>
      </w:r>
      <w:r w:rsidRPr="006B2A4F">
        <w:rPr>
          <w:szCs w:val="22"/>
        </w:rPr>
        <w:t xml:space="preserve"> pravidelnú </w:t>
      </w:r>
      <w:r>
        <w:rPr>
          <w:szCs w:val="22"/>
        </w:rPr>
        <w:t xml:space="preserve">bežnú </w:t>
      </w:r>
      <w:r w:rsidRPr="006B2A4F">
        <w:rPr>
          <w:szCs w:val="22"/>
        </w:rPr>
        <w:t>spätnú revíziu národných účtov za roky 2016 a 2017 a spresnil údaje z apríla 201</w:t>
      </w:r>
      <w:r>
        <w:rPr>
          <w:szCs w:val="22"/>
        </w:rPr>
        <w:t xml:space="preserve">9. </w:t>
      </w:r>
      <w:r w:rsidRPr="00236875">
        <w:rPr>
          <w:szCs w:val="22"/>
        </w:rPr>
        <w:t>Okrem tejto rutinnej revízie, Štatistický úrad SR vykonal v mesiacoch júl až september tohto roka veľkú benchmarkovú revíziu údajov v systéme národných účtov</w:t>
      </w:r>
      <w:r>
        <w:rPr>
          <w:rStyle w:val="Odkaznapoznmkupodiarou"/>
          <w:szCs w:val="22"/>
        </w:rPr>
        <w:footnoteReference w:id="1"/>
      </w:r>
      <w:r w:rsidRPr="00236875">
        <w:rPr>
          <w:szCs w:val="22"/>
        </w:rPr>
        <w:t>. Benchmarkovú revíziu realizujú všetky krajiny EÚ, väčšina ju plánuje vykonať rovnako ako SR v roku 2019. Dotkne sa ročných aj kvartálnych dát za sektorové a národné účty</w:t>
      </w:r>
      <w:r>
        <w:rPr>
          <w:szCs w:val="22"/>
        </w:rPr>
        <w:t>,</w:t>
      </w:r>
      <w:r w:rsidRPr="00236875">
        <w:rPr>
          <w:szCs w:val="22"/>
        </w:rPr>
        <w:t xml:space="preserve"> v niektorých prípadoch od roku 1995 až po rok 2018. </w:t>
      </w:r>
      <w:r w:rsidRPr="00682ABD">
        <w:rPr>
          <w:szCs w:val="22"/>
          <w:u w:val="single"/>
        </w:rPr>
        <w:t>Benchmarková revízia je revízia definitívnych údajov z dôvodu významných metodických zmien vyplývajúcich z revidovania metodík, zo zmeny postupov štatisticko – matematických metód výpočtov alebo opráv údajov</w:t>
      </w:r>
      <w:r w:rsidRPr="00236875">
        <w:rPr>
          <w:szCs w:val="22"/>
        </w:rPr>
        <w:t>. Ide o pravidelnú revíziu, ktorá sa vykonáva v periodicite 5 až 10 rokov a v súlade s revíznou politikou Eurostatu by sa mala vykonávať za referenčné roky končiace „0“ a „5“, s implementačnými rokmi končiacimi „4“ a „9“. Takáto revízia by mala generovať celé časové rady alebo podľa princípu „čo najďalej dozadu“.</w:t>
      </w:r>
      <w:r>
        <w:rPr>
          <w:szCs w:val="22"/>
        </w:rPr>
        <w:t xml:space="preserve"> </w:t>
      </w:r>
      <w:r w:rsidRPr="00236875">
        <w:rPr>
          <w:szCs w:val="22"/>
        </w:rPr>
        <w:t>Preto budú v rámci veľkej revízie 2019 revidované nie len roky 2015 až 2018, ale aj staršie roky od r</w:t>
      </w:r>
      <w:r>
        <w:rPr>
          <w:szCs w:val="22"/>
        </w:rPr>
        <w:t>oku</w:t>
      </w:r>
      <w:r w:rsidRPr="00236875">
        <w:rPr>
          <w:szCs w:val="22"/>
        </w:rPr>
        <w:t xml:space="preserve"> 1995. </w:t>
      </w:r>
      <w:r>
        <w:rPr>
          <w:szCs w:val="22"/>
        </w:rPr>
        <w:t>Zmeny boli vykonané aj na základe dvoch dokumentov, ktoré vydáva Eurostat pre členské krajiny EÚ a podľa ktorého majú národné štatistické autority (v SR je to Štatistický úrad SR, Ministerstvo financií SR a Národná banka Slovenska) záväzne postupovať. Ide o nový Manuál pre deficit a dlh verejnej správy (MGDD</w:t>
      </w:r>
      <w:r>
        <w:rPr>
          <w:rStyle w:val="Odkaznapoznmkupodiarou"/>
          <w:szCs w:val="22"/>
        </w:rPr>
        <w:footnoteReference w:id="2"/>
      </w:r>
      <w:r>
        <w:rPr>
          <w:szCs w:val="22"/>
        </w:rPr>
        <w:t>) a Príručku pre benchmarkovú revíziu 2019</w:t>
      </w:r>
      <w:r>
        <w:rPr>
          <w:rStyle w:val="Odkaznapoznmkupodiarou"/>
          <w:szCs w:val="22"/>
        </w:rPr>
        <w:footnoteReference w:id="3"/>
      </w:r>
      <w:r>
        <w:rPr>
          <w:szCs w:val="22"/>
        </w:rPr>
        <w:t>.</w:t>
      </w:r>
    </w:p>
    <w:p w14:paraId="52A2973E" w14:textId="77777777" w:rsidR="006C0DD0" w:rsidRDefault="006C0DD0" w:rsidP="006C0DD0">
      <w:pPr>
        <w:spacing w:before="120" w:after="0" w:line="336" w:lineRule="auto"/>
        <w:jc w:val="both"/>
        <w:rPr>
          <w:szCs w:val="22"/>
        </w:rPr>
      </w:pPr>
      <w:r w:rsidRPr="00236875">
        <w:rPr>
          <w:szCs w:val="22"/>
        </w:rPr>
        <w:t xml:space="preserve">Revidované ročné sektorové a národné účty </w:t>
      </w:r>
      <w:r>
        <w:rPr>
          <w:szCs w:val="22"/>
        </w:rPr>
        <w:t>boli</w:t>
      </w:r>
      <w:r w:rsidRPr="00236875">
        <w:rPr>
          <w:szCs w:val="22"/>
        </w:rPr>
        <w:t xml:space="preserve"> do Eurostatu zaslané v pravidelnom septembrovom termíne, a to k 30. septembru 2019. Následne v krátkom časovom odstupe Š</w:t>
      </w:r>
      <w:r>
        <w:rPr>
          <w:szCs w:val="22"/>
        </w:rPr>
        <w:t>tatistický úrad</w:t>
      </w:r>
      <w:r w:rsidRPr="00236875">
        <w:rPr>
          <w:szCs w:val="22"/>
        </w:rPr>
        <w:t xml:space="preserve"> SR zreviduje aj štvrťročné národné a sektorové účty. Poslednou resp. predchádzajúcou veľkou revíziou prešli národné účty v roku 2014, a to z dôvodu prechodu na novú metodiku ESA 2010, ktorá nahradila dovtedy používanú ESA 95.</w:t>
      </w:r>
    </w:p>
    <w:p w14:paraId="700A98DB" w14:textId="77777777" w:rsidR="002377CE" w:rsidRDefault="002377CE">
      <w:pPr>
        <w:rPr>
          <w:szCs w:val="22"/>
        </w:rPr>
      </w:pPr>
      <w:r>
        <w:rPr>
          <w:szCs w:val="22"/>
        </w:rPr>
        <w:br w:type="page"/>
      </w:r>
    </w:p>
    <w:p w14:paraId="4290F985" w14:textId="266AF375" w:rsidR="006C0DD0" w:rsidRPr="00CC383E" w:rsidRDefault="006C0DD0" w:rsidP="006C0DD0">
      <w:pPr>
        <w:spacing w:before="120" w:after="0" w:line="336" w:lineRule="auto"/>
        <w:jc w:val="both"/>
        <w:rPr>
          <w:b/>
          <w:szCs w:val="22"/>
        </w:rPr>
      </w:pPr>
      <w:r w:rsidRPr="00CC383E">
        <w:rPr>
          <w:b/>
          <w:szCs w:val="22"/>
        </w:rPr>
        <w:t xml:space="preserve">Najvýznamnejšie zmeny v rámci benchmarkovej </w:t>
      </w:r>
      <w:r w:rsidRPr="00CC383E">
        <w:rPr>
          <w:b/>
          <w:szCs w:val="22"/>
          <w:lang w:eastAsia="sk-SK"/>
        </w:rPr>
        <w:t>revízie</w:t>
      </w:r>
      <w:r w:rsidRPr="00CC383E">
        <w:rPr>
          <w:rStyle w:val="Odkaznapoznmkupodiarou"/>
          <w:b/>
          <w:szCs w:val="22"/>
          <w:lang w:eastAsia="sk-SK"/>
        </w:rPr>
        <w:footnoteReference w:id="4"/>
      </w:r>
      <w:r w:rsidRPr="00CC383E">
        <w:rPr>
          <w:b/>
          <w:szCs w:val="22"/>
        </w:rPr>
        <w:t xml:space="preserve"> vykonané v roku 2019, ktoré ovplyvnili doteraz zverejnené hodnoty salda verejnej správy boli:</w:t>
      </w:r>
    </w:p>
    <w:p w14:paraId="4EC12E8B"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rPr>
          <w:szCs w:val="22"/>
          <w:lang w:eastAsia="sk-SK"/>
        </w:rPr>
        <w:t>Zaznamenanie výdavku zo štátneho rozpočtu distribučným spoločnostiam (formou nárastu záväzkov z dôvodu časového posunu medzi transakciou a hotovostnou platbou) za platby výrobcom energie z obnoviteľných zdrojov. Negatívny vplyv na schodok v roku 2018 bol 47 717 tis. eur. Revidovali sa údaje od roku 2009.</w:t>
      </w:r>
    </w:p>
    <w:p w14:paraId="6423726B"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t>zmena zaznamenania príjmov Národného jadrového fondu. Nedaňové príjmy súvisiace s povinnými poplatkami výrobcov elektriny nebudú už ESA príjmom verejnej správy, ale finančnou operáciou nevstupujúcou do výpočtu salda. Negatívny vplyv na deficit 2018 bol vo výške 95 493 tis. eur.</w:t>
      </w:r>
      <w:r w:rsidRPr="00C828EB">
        <w:rPr>
          <w:szCs w:val="22"/>
          <w:lang w:eastAsia="sk-SK"/>
        </w:rPr>
        <w:t xml:space="preserve"> Revidovali sa údaje od roku 1995.</w:t>
      </w:r>
    </w:p>
    <w:p w14:paraId="3EE9709A"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rPr>
          <w:szCs w:val="22"/>
          <w:lang w:eastAsia="sk-SK"/>
        </w:rPr>
        <w:t>Zaznamenanie pohľadávok a záväzkov z daní a sociálnych príspevkov, ktoré ovplyvnili saldo štátneho rozpočtu negatívne vo výške 9 071 tis. eur. Táto metodická zmena vyplynula z potreby akruálneho zaznamenania transakcií a správneho výpočtu HDP, kedy je potrebné zaznamenať výdavky na dane a príspevky na poistné v čase s ktorým súvisia, to znamená v čase, kedy vznikla povinnosť platiť ich jednotkami verejnej správy. Táto zmena súvisí len s pohľadávkami a záväzkami vyplývajúcimi z fungovania jednotiek, nie s daňami a príspevkami, ktoré zbiera Finančná správa, Ministerstvo vnútra a Vojenský úrad sociálneho zabezpečenia. Revízia sa vykonala aj za roky 2009 – 2017.</w:t>
      </w:r>
    </w:p>
    <w:p w14:paraId="1C9195D8"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rPr>
          <w:szCs w:val="22"/>
          <w:lang w:eastAsia="sk-SK"/>
        </w:rPr>
        <w:t>Vylúčenie jednorazového príjmu z predaja licencií pre mobilných operátorov z ESA príjmov a rozloženie tohto príjmu do rokov platnosti (užívania) licencie. Ide o časové rozlíšenie príjmov, pričom táto revízia mala pozitívny vplyv na schodok v roku 2018 vo výške 19 273 tis. eur. Revidovali sa údaje od roku 2002.</w:t>
      </w:r>
    </w:p>
    <w:p w14:paraId="182E4767"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rPr>
          <w:szCs w:val="22"/>
          <w:lang w:eastAsia="sk-SK"/>
        </w:rPr>
        <w:t>Zmena zaznamenania úrokov zo zahraničných pohľadávok v správe Ministerstva financií SR, kde sa nahradili kapitalizované príjmové úroky jednoduchými úrokmi. Vplyv na schodok mala táto revízia len v rokoch 1995 - 2017, v rozmedzí od -33 934 tis. eur v roku 2001 po 2 268 v roku 1999.</w:t>
      </w:r>
    </w:p>
    <w:p w14:paraId="4275FC48" w14:textId="77777777" w:rsidR="006C0DD0" w:rsidRPr="00C828EB" w:rsidRDefault="006C0DD0" w:rsidP="006C0DD0">
      <w:pPr>
        <w:numPr>
          <w:ilvl w:val="0"/>
          <w:numId w:val="46"/>
        </w:numPr>
        <w:spacing w:before="120" w:after="0" w:line="336" w:lineRule="auto"/>
        <w:ind w:left="426" w:hanging="426"/>
        <w:contextualSpacing/>
        <w:jc w:val="both"/>
        <w:rPr>
          <w:szCs w:val="22"/>
          <w:lang w:eastAsia="sk-SK"/>
        </w:rPr>
      </w:pPr>
      <w:r w:rsidRPr="00C828EB">
        <w:rPr>
          <w:szCs w:val="22"/>
          <w:lang w:eastAsia="sk-SK"/>
        </w:rPr>
        <w:t>Malý vplyv na schodky rokov 2003 - 2017 mala revízia zaradenia Fondu ochrany vkladov a Garančného fondu investícií do sektora verejnej správy.</w:t>
      </w:r>
    </w:p>
    <w:p w14:paraId="435C2308" w14:textId="77777777" w:rsidR="006C0DD0" w:rsidRDefault="006C0DD0" w:rsidP="006C0DD0">
      <w:pPr>
        <w:spacing w:before="120" w:after="0" w:line="336" w:lineRule="auto"/>
        <w:jc w:val="both"/>
        <w:rPr>
          <w:szCs w:val="22"/>
        </w:rPr>
      </w:pPr>
      <w:r w:rsidRPr="00CC383E">
        <w:rPr>
          <w:b/>
          <w:szCs w:val="22"/>
        </w:rPr>
        <w:t>Najvýznamnejšou zmenou</w:t>
      </w:r>
      <w:r>
        <w:rPr>
          <w:szCs w:val="22"/>
        </w:rPr>
        <w:t xml:space="preserve"> v rámci benchmarkovej revízie, </w:t>
      </w:r>
      <w:r w:rsidRPr="00CC383E">
        <w:rPr>
          <w:b/>
          <w:szCs w:val="22"/>
        </w:rPr>
        <w:t>ktorá ovplyvnila výšku dlhu</w:t>
      </w:r>
      <w:r>
        <w:rPr>
          <w:szCs w:val="22"/>
        </w:rPr>
        <w:t xml:space="preserve"> verejnej správy v celom časovom rade bolo zaradenie dlhodobých záväzkov podľa pôvodnej doby splatnosti do dlhových nástrojov (tzv. trade credits</w:t>
      </w:r>
      <w:r w:rsidRPr="00552ED8">
        <w:rPr>
          <w:szCs w:val="22"/>
        </w:rPr>
        <w:t xml:space="preserve">). </w:t>
      </w:r>
    </w:p>
    <w:p w14:paraId="40B8D1AF" w14:textId="10072D51" w:rsidR="006C0DD0" w:rsidRPr="00236875" w:rsidRDefault="006C0DD0" w:rsidP="006C0DD0">
      <w:pPr>
        <w:spacing w:before="120" w:after="0" w:line="336" w:lineRule="auto"/>
        <w:jc w:val="both"/>
        <w:rPr>
          <w:szCs w:val="22"/>
        </w:rPr>
      </w:pPr>
      <w:r w:rsidRPr="000650C8">
        <w:rPr>
          <w:b/>
          <w:szCs w:val="22"/>
        </w:rPr>
        <w:t>Benchmarková revízia sa týkala aj revízie časového radu HDP</w:t>
      </w:r>
      <w:r w:rsidRPr="00236875">
        <w:rPr>
          <w:szCs w:val="22"/>
        </w:rPr>
        <w:t>, pričom vplyv revízie na reálne HDP bol v posledných troch</w:t>
      </w:r>
      <w:r>
        <w:rPr>
          <w:szCs w:val="22"/>
        </w:rPr>
        <w:t xml:space="preserve"> </w:t>
      </w:r>
      <w:r w:rsidRPr="00236875">
        <w:rPr>
          <w:szCs w:val="22"/>
        </w:rPr>
        <w:t>rokoch</w:t>
      </w:r>
      <w:r w:rsidR="00CC383E">
        <w:rPr>
          <w:szCs w:val="22"/>
        </w:rPr>
        <w:t xml:space="preserve"> (2015 – 2017)</w:t>
      </w:r>
      <w:r w:rsidR="00CC383E" w:rsidRPr="00236875">
        <w:rPr>
          <w:szCs w:val="22"/>
        </w:rPr>
        <w:t xml:space="preserve"> </w:t>
      </w:r>
      <w:r w:rsidRPr="00236875">
        <w:rPr>
          <w:szCs w:val="22"/>
        </w:rPr>
        <w:t>negatívny. Z pohľadu príspevkov k tvorbe HDP bola spotreba domácností revidovaná nahor v súlade s rýchlo rastúcimi príjmami domácností. Naopak zahraničný obchod, vládna spotreba a celkové investície boli revidované skôr nadol. Celkovo sa úpravy rastu HDP v období rokov 1995 až 2018 pohybovali od -1,0</w:t>
      </w:r>
      <w:r>
        <w:rPr>
          <w:szCs w:val="22"/>
        </w:rPr>
        <w:t> </w:t>
      </w:r>
      <w:r w:rsidRPr="00236875">
        <w:rPr>
          <w:szCs w:val="22"/>
        </w:rPr>
        <w:t>% do 0,7</w:t>
      </w:r>
      <w:r>
        <w:rPr>
          <w:szCs w:val="22"/>
        </w:rPr>
        <w:t> </w:t>
      </w:r>
      <w:r w:rsidRPr="00236875">
        <w:rPr>
          <w:szCs w:val="22"/>
        </w:rPr>
        <w:t>%.</w:t>
      </w:r>
    </w:p>
    <w:p w14:paraId="0D50F002" w14:textId="77777777" w:rsidR="006C0DD0" w:rsidRPr="00236875" w:rsidRDefault="006C0DD0" w:rsidP="006C0DD0">
      <w:pPr>
        <w:spacing w:before="120" w:after="0" w:line="336" w:lineRule="auto"/>
        <w:jc w:val="both"/>
        <w:rPr>
          <w:szCs w:val="22"/>
        </w:rPr>
      </w:pPr>
      <w:r w:rsidRPr="00236875">
        <w:rPr>
          <w:szCs w:val="22"/>
        </w:rPr>
        <w:t>Metodicky malo podľa Š</w:t>
      </w:r>
      <w:r>
        <w:rPr>
          <w:szCs w:val="22"/>
        </w:rPr>
        <w:t>tatistického úradu</w:t>
      </w:r>
      <w:r w:rsidRPr="00236875">
        <w:rPr>
          <w:szCs w:val="22"/>
        </w:rPr>
        <w:t xml:space="preserve"> SR najväčší vplyv na revíziu HDP zapracovanie odhadov za</w:t>
      </w:r>
      <w:r>
        <w:rPr>
          <w:szCs w:val="22"/>
        </w:rPr>
        <w:t> </w:t>
      </w:r>
      <w:r w:rsidRPr="00236875">
        <w:rPr>
          <w:szCs w:val="22"/>
        </w:rPr>
        <w:t>živnostníkov a spresnenie odhadu tzv. šedej neevidovanej ekonomiky. Využité boli administratívne zdroje údajov namiesto informácií od spravodajských jednotiek. Ďalej boli upravené vplyvy bytových služieb a stavebnej produkcie. Spresnené boli aj odhady výdavkov domácností na energie a zdravie. Revízia zahraničného obchodu mala za cieľ zosúladiť cezhraničné a účtovné toky elektriny a zemného plynu. Údaje o zahraničnom obchode sa však zmenili aj vplyvom rutinnej revízie prevzatej zo štatistiky platobnej bilancie a podnikovej štatistiky.</w:t>
      </w:r>
    </w:p>
    <w:tbl>
      <w:tblPr>
        <w:tblStyle w:val="Mriekatabuky"/>
        <w:tblW w:w="0" w:type="auto"/>
        <w:tblLook w:val="04A0" w:firstRow="1" w:lastRow="0" w:firstColumn="1" w:lastColumn="0" w:noHBand="0" w:noVBand="1"/>
      </w:tblPr>
      <w:tblGrid>
        <w:gridCol w:w="1413"/>
        <w:gridCol w:w="850"/>
        <w:gridCol w:w="851"/>
        <w:gridCol w:w="850"/>
        <w:gridCol w:w="851"/>
        <w:gridCol w:w="850"/>
        <w:gridCol w:w="874"/>
        <w:gridCol w:w="842"/>
        <w:gridCol w:w="843"/>
        <w:gridCol w:w="837"/>
      </w:tblGrid>
      <w:tr w:rsidR="006C0DD0" w:rsidRPr="005616A6" w14:paraId="22958C0C" w14:textId="77777777" w:rsidTr="00734D1E">
        <w:trPr>
          <w:trHeight w:val="628"/>
        </w:trPr>
        <w:tc>
          <w:tcPr>
            <w:tcW w:w="9061" w:type="dxa"/>
            <w:gridSpan w:val="10"/>
            <w:shd w:val="clear" w:color="auto" w:fill="000000" w:themeFill="text1"/>
          </w:tcPr>
          <w:p w14:paraId="75143080" w14:textId="4BB90A4F" w:rsidR="006C0DD0" w:rsidRPr="005616A6" w:rsidRDefault="006C0DD0" w:rsidP="005616A6">
            <w:pPr>
              <w:spacing w:before="120" w:line="336" w:lineRule="auto"/>
              <w:ind w:left="7258" w:hanging="7258"/>
              <w:jc w:val="both"/>
              <w:rPr>
                <w:b/>
                <w:sz w:val="18"/>
                <w:szCs w:val="18"/>
              </w:rPr>
            </w:pPr>
            <w:r w:rsidRPr="005616A6">
              <w:rPr>
                <w:b/>
                <w:sz w:val="18"/>
                <w:szCs w:val="18"/>
              </w:rPr>
              <w:t>Porovnanie údajov salda a dlhu verejne</w:t>
            </w:r>
            <w:r w:rsidR="00734C60" w:rsidRPr="005616A6">
              <w:rPr>
                <w:b/>
                <w:sz w:val="18"/>
                <w:szCs w:val="18"/>
              </w:rPr>
              <w:t>j správy, HDP a rastu ekonomiky</w:t>
            </w:r>
            <w:r w:rsidR="005616A6">
              <w:rPr>
                <w:b/>
                <w:sz w:val="18"/>
                <w:szCs w:val="18"/>
              </w:rPr>
              <w:t xml:space="preserve"> </w:t>
            </w:r>
            <w:r w:rsidRPr="005616A6">
              <w:rPr>
                <w:b/>
                <w:sz w:val="18"/>
                <w:szCs w:val="18"/>
              </w:rPr>
              <w:t>pred a po benchmarkovej revízii</w:t>
            </w:r>
            <w:r w:rsidR="00734C60" w:rsidRPr="005616A6">
              <w:rPr>
                <w:b/>
                <w:sz w:val="18"/>
                <w:szCs w:val="18"/>
              </w:rPr>
              <w:t xml:space="preserve">                                                                                </w:t>
            </w:r>
            <w:r w:rsidR="00C553E0" w:rsidRPr="005616A6">
              <w:rPr>
                <w:b/>
                <w:sz w:val="18"/>
                <w:szCs w:val="18"/>
              </w:rPr>
              <w:t xml:space="preserve">      </w:t>
            </w:r>
            <w:r w:rsidR="005616A6">
              <w:rPr>
                <w:b/>
                <w:sz w:val="18"/>
                <w:szCs w:val="18"/>
              </w:rPr>
              <w:t xml:space="preserve">  </w:t>
            </w:r>
            <w:r w:rsidR="00734D1E" w:rsidRPr="005616A6">
              <w:rPr>
                <w:b/>
                <w:sz w:val="18"/>
                <w:szCs w:val="18"/>
              </w:rPr>
              <w:t xml:space="preserve">v % resp. </w:t>
            </w:r>
            <w:r w:rsidRPr="005616A6">
              <w:rPr>
                <w:b/>
                <w:sz w:val="18"/>
                <w:szCs w:val="18"/>
              </w:rPr>
              <w:t>v mld. eur</w:t>
            </w:r>
          </w:p>
        </w:tc>
      </w:tr>
      <w:tr w:rsidR="001C12E3" w:rsidRPr="005616A6" w14:paraId="35D1BBE6" w14:textId="77777777" w:rsidTr="00734C60">
        <w:tc>
          <w:tcPr>
            <w:tcW w:w="1413" w:type="dxa"/>
            <w:shd w:val="clear" w:color="auto" w:fill="BFBFBF" w:themeFill="background1" w:themeFillShade="BF"/>
          </w:tcPr>
          <w:p w14:paraId="5E2A716A" w14:textId="4E288CD3" w:rsidR="006C0DD0" w:rsidRPr="005616A6" w:rsidRDefault="001C12E3" w:rsidP="00500BD0">
            <w:pPr>
              <w:spacing w:before="120" w:line="336" w:lineRule="auto"/>
              <w:jc w:val="both"/>
              <w:rPr>
                <w:b/>
                <w:sz w:val="18"/>
                <w:szCs w:val="18"/>
              </w:rPr>
            </w:pPr>
            <w:r w:rsidRPr="005616A6">
              <w:rPr>
                <w:b/>
                <w:sz w:val="18"/>
                <w:szCs w:val="18"/>
              </w:rPr>
              <w:t>Ukazovateľ</w:t>
            </w:r>
          </w:p>
        </w:tc>
        <w:tc>
          <w:tcPr>
            <w:tcW w:w="850" w:type="dxa"/>
            <w:shd w:val="clear" w:color="auto" w:fill="BFBFBF" w:themeFill="background1" w:themeFillShade="BF"/>
          </w:tcPr>
          <w:p w14:paraId="1D4DCD2C" w14:textId="77777777" w:rsidR="006C0DD0" w:rsidRPr="005616A6" w:rsidRDefault="006C0DD0" w:rsidP="00500BD0">
            <w:pPr>
              <w:spacing w:before="120" w:line="336" w:lineRule="auto"/>
              <w:jc w:val="center"/>
              <w:rPr>
                <w:b/>
                <w:sz w:val="18"/>
                <w:szCs w:val="18"/>
              </w:rPr>
            </w:pPr>
            <w:r w:rsidRPr="005616A6">
              <w:rPr>
                <w:b/>
                <w:sz w:val="18"/>
                <w:szCs w:val="18"/>
              </w:rPr>
              <w:t>2009</w:t>
            </w:r>
          </w:p>
        </w:tc>
        <w:tc>
          <w:tcPr>
            <w:tcW w:w="851" w:type="dxa"/>
            <w:shd w:val="clear" w:color="auto" w:fill="BFBFBF" w:themeFill="background1" w:themeFillShade="BF"/>
          </w:tcPr>
          <w:p w14:paraId="4CC4C668" w14:textId="77777777" w:rsidR="006C0DD0" w:rsidRPr="005616A6" w:rsidRDefault="006C0DD0" w:rsidP="00500BD0">
            <w:pPr>
              <w:spacing w:before="120" w:line="336" w:lineRule="auto"/>
              <w:jc w:val="center"/>
              <w:rPr>
                <w:b/>
                <w:sz w:val="18"/>
                <w:szCs w:val="18"/>
              </w:rPr>
            </w:pPr>
            <w:r w:rsidRPr="005616A6">
              <w:rPr>
                <w:b/>
                <w:sz w:val="18"/>
                <w:szCs w:val="18"/>
              </w:rPr>
              <w:t>2010</w:t>
            </w:r>
          </w:p>
        </w:tc>
        <w:tc>
          <w:tcPr>
            <w:tcW w:w="850" w:type="dxa"/>
            <w:shd w:val="clear" w:color="auto" w:fill="BFBFBF" w:themeFill="background1" w:themeFillShade="BF"/>
          </w:tcPr>
          <w:p w14:paraId="33FC712D" w14:textId="77777777" w:rsidR="006C0DD0" w:rsidRPr="005616A6" w:rsidRDefault="006C0DD0" w:rsidP="00500BD0">
            <w:pPr>
              <w:spacing w:before="120" w:line="336" w:lineRule="auto"/>
              <w:jc w:val="center"/>
              <w:rPr>
                <w:b/>
                <w:sz w:val="18"/>
                <w:szCs w:val="18"/>
              </w:rPr>
            </w:pPr>
            <w:r w:rsidRPr="005616A6">
              <w:rPr>
                <w:b/>
                <w:sz w:val="18"/>
                <w:szCs w:val="18"/>
              </w:rPr>
              <w:t>2011</w:t>
            </w:r>
          </w:p>
        </w:tc>
        <w:tc>
          <w:tcPr>
            <w:tcW w:w="851" w:type="dxa"/>
            <w:shd w:val="clear" w:color="auto" w:fill="BFBFBF" w:themeFill="background1" w:themeFillShade="BF"/>
          </w:tcPr>
          <w:p w14:paraId="768EACAD" w14:textId="77777777" w:rsidR="006C0DD0" w:rsidRPr="005616A6" w:rsidRDefault="006C0DD0" w:rsidP="00500BD0">
            <w:pPr>
              <w:spacing w:before="120" w:line="336" w:lineRule="auto"/>
              <w:jc w:val="center"/>
              <w:rPr>
                <w:b/>
                <w:sz w:val="18"/>
                <w:szCs w:val="18"/>
              </w:rPr>
            </w:pPr>
            <w:r w:rsidRPr="005616A6">
              <w:rPr>
                <w:b/>
                <w:sz w:val="18"/>
                <w:szCs w:val="18"/>
              </w:rPr>
              <w:t>2012</w:t>
            </w:r>
          </w:p>
        </w:tc>
        <w:tc>
          <w:tcPr>
            <w:tcW w:w="850" w:type="dxa"/>
            <w:shd w:val="clear" w:color="auto" w:fill="BFBFBF" w:themeFill="background1" w:themeFillShade="BF"/>
          </w:tcPr>
          <w:p w14:paraId="5A83672D" w14:textId="77777777" w:rsidR="006C0DD0" w:rsidRPr="005616A6" w:rsidRDefault="006C0DD0" w:rsidP="00500BD0">
            <w:pPr>
              <w:spacing w:before="120" w:line="336" w:lineRule="auto"/>
              <w:jc w:val="center"/>
              <w:rPr>
                <w:b/>
                <w:sz w:val="18"/>
                <w:szCs w:val="18"/>
              </w:rPr>
            </w:pPr>
            <w:r w:rsidRPr="005616A6">
              <w:rPr>
                <w:b/>
                <w:sz w:val="18"/>
                <w:szCs w:val="18"/>
              </w:rPr>
              <w:t>2013</w:t>
            </w:r>
          </w:p>
        </w:tc>
        <w:tc>
          <w:tcPr>
            <w:tcW w:w="874" w:type="dxa"/>
            <w:shd w:val="clear" w:color="auto" w:fill="BFBFBF" w:themeFill="background1" w:themeFillShade="BF"/>
          </w:tcPr>
          <w:p w14:paraId="7E1A0CC6" w14:textId="77777777" w:rsidR="006C0DD0" w:rsidRPr="005616A6" w:rsidRDefault="006C0DD0" w:rsidP="00500BD0">
            <w:pPr>
              <w:spacing w:before="120" w:line="336" w:lineRule="auto"/>
              <w:jc w:val="center"/>
              <w:rPr>
                <w:b/>
                <w:sz w:val="18"/>
                <w:szCs w:val="18"/>
              </w:rPr>
            </w:pPr>
            <w:r w:rsidRPr="005616A6">
              <w:rPr>
                <w:b/>
                <w:sz w:val="18"/>
                <w:szCs w:val="18"/>
              </w:rPr>
              <w:t>2014</w:t>
            </w:r>
          </w:p>
        </w:tc>
        <w:tc>
          <w:tcPr>
            <w:tcW w:w="842" w:type="dxa"/>
            <w:shd w:val="clear" w:color="auto" w:fill="BFBFBF" w:themeFill="background1" w:themeFillShade="BF"/>
          </w:tcPr>
          <w:p w14:paraId="4869098E" w14:textId="77777777" w:rsidR="006C0DD0" w:rsidRPr="005616A6" w:rsidRDefault="006C0DD0" w:rsidP="00500BD0">
            <w:pPr>
              <w:spacing w:before="120" w:line="336" w:lineRule="auto"/>
              <w:jc w:val="center"/>
              <w:rPr>
                <w:b/>
                <w:sz w:val="18"/>
                <w:szCs w:val="18"/>
              </w:rPr>
            </w:pPr>
            <w:r w:rsidRPr="005616A6">
              <w:rPr>
                <w:b/>
                <w:sz w:val="18"/>
                <w:szCs w:val="18"/>
              </w:rPr>
              <w:t>2015</w:t>
            </w:r>
          </w:p>
        </w:tc>
        <w:tc>
          <w:tcPr>
            <w:tcW w:w="843" w:type="dxa"/>
            <w:shd w:val="clear" w:color="auto" w:fill="BFBFBF" w:themeFill="background1" w:themeFillShade="BF"/>
          </w:tcPr>
          <w:p w14:paraId="00A06FB8" w14:textId="77777777" w:rsidR="006C0DD0" w:rsidRPr="005616A6" w:rsidRDefault="006C0DD0" w:rsidP="00500BD0">
            <w:pPr>
              <w:spacing w:before="120" w:line="336" w:lineRule="auto"/>
              <w:jc w:val="center"/>
              <w:rPr>
                <w:b/>
                <w:sz w:val="18"/>
                <w:szCs w:val="18"/>
              </w:rPr>
            </w:pPr>
            <w:r w:rsidRPr="005616A6">
              <w:rPr>
                <w:b/>
                <w:sz w:val="18"/>
                <w:szCs w:val="18"/>
              </w:rPr>
              <w:t>2016</w:t>
            </w:r>
          </w:p>
        </w:tc>
        <w:tc>
          <w:tcPr>
            <w:tcW w:w="837" w:type="dxa"/>
            <w:shd w:val="clear" w:color="auto" w:fill="BFBFBF" w:themeFill="background1" w:themeFillShade="BF"/>
          </w:tcPr>
          <w:p w14:paraId="25EAA53C" w14:textId="77777777" w:rsidR="006C0DD0" w:rsidRPr="005616A6" w:rsidRDefault="006C0DD0" w:rsidP="00500BD0">
            <w:pPr>
              <w:spacing w:before="120" w:line="336" w:lineRule="auto"/>
              <w:jc w:val="center"/>
              <w:rPr>
                <w:b/>
                <w:sz w:val="18"/>
                <w:szCs w:val="18"/>
              </w:rPr>
            </w:pPr>
            <w:r w:rsidRPr="005616A6">
              <w:rPr>
                <w:b/>
                <w:sz w:val="18"/>
                <w:szCs w:val="18"/>
              </w:rPr>
              <w:t>2017</w:t>
            </w:r>
          </w:p>
        </w:tc>
      </w:tr>
      <w:tr w:rsidR="00734C60" w:rsidRPr="005616A6" w14:paraId="33B6342E" w14:textId="77777777" w:rsidTr="00734C60">
        <w:tc>
          <w:tcPr>
            <w:tcW w:w="1413" w:type="dxa"/>
          </w:tcPr>
          <w:p w14:paraId="4A224860" w14:textId="77777777" w:rsidR="006C0DD0" w:rsidRPr="005616A6" w:rsidRDefault="006C0DD0" w:rsidP="00500BD0">
            <w:pPr>
              <w:spacing w:before="120" w:line="336" w:lineRule="auto"/>
              <w:rPr>
                <w:b/>
                <w:sz w:val="18"/>
                <w:szCs w:val="18"/>
              </w:rPr>
            </w:pPr>
            <w:r w:rsidRPr="005616A6">
              <w:rPr>
                <w:b/>
                <w:sz w:val="18"/>
                <w:szCs w:val="18"/>
              </w:rPr>
              <w:t>Saldo VS pred</w:t>
            </w:r>
          </w:p>
        </w:tc>
        <w:tc>
          <w:tcPr>
            <w:tcW w:w="850" w:type="dxa"/>
            <w:vAlign w:val="center"/>
          </w:tcPr>
          <w:p w14:paraId="203F568E" w14:textId="77777777" w:rsidR="006C0DD0" w:rsidRPr="005616A6" w:rsidRDefault="006C0DD0" w:rsidP="00500BD0">
            <w:pPr>
              <w:spacing w:before="120" w:line="336" w:lineRule="auto"/>
              <w:jc w:val="right"/>
              <w:rPr>
                <w:sz w:val="18"/>
                <w:szCs w:val="18"/>
              </w:rPr>
            </w:pPr>
            <w:r w:rsidRPr="005616A6">
              <w:rPr>
                <w:sz w:val="18"/>
                <w:szCs w:val="18"/>
              </w:rPr>
              <w:t>-7,8 %</w:t>
            </w:r>
          </w:p>
        </w:tc>
        <w:tc>
          <w:tcPr>
            <w:tcW w:w="851" w:type="dxa"/>
            <w:vAlign w:val="center"/>
          </w:tcPr>
          <w:p w14:paraId="38E84A98" w14:textId="77777777" w:rsidR="006C0DD0" w:rsidRPr="005616A6" w:rsidRDefault="006C0DD0" w:rsidP="00500BD0">
            <w:pPr>
              <w:spacing w:before="120" w:line="336" w:lineRule="auto"/>
              <w:jc w:val="right"/>
              <w:rPr>
                <w:sz w:val="18"/>
                <w:szCs w:val="18"/>
              </w:rPr>
            </w:pPr>
            <w:r w:rsidRPr="005616A6">
              <w:rPr>
                <w:sz w:val="18"/>
                <w:szCs w:val="18"/>
              </w:rPr>
              <w:t>-7,4 %</w:t>
            </w:r>
          </w:p>
        </w:tc>
        <w:tc>
          <w:tcPr>
            <w:tcW w:w="850" w:type="dxa"/>
            <w:vAlign w:val="center"/>
          </w:tcPr>
          <w:p w14:paraId="42828E39" w14:textId="77777777" w:rsidR="006C0DD0" w:rsidRPr="005616A6" w:rsidRDefault="006C0DD0" w:rsidP="00500BD0">
            <w:pPr>
              <w:spacing w:before="120" w:line="336" w:lineRule="auto"/>
              <w:jc w:val="right"/>
              <w:rPr>
                <w:sz w:val="18"/>
                <w:szCs w:val="18"/>
              </w:rPr>
            </w:pPr>
            <w:r w:rsidRPr="005616A6">
              <w:rPr>
                <w:sz w:val="18"/>
                <w:szCs w:val="18"/>
              </w:rPr>
              <w:t>-4,2 %</w:t>
            </w:r>
          </w:p>
        </w:tc>
        <w:tc>
          <w:tcPr>
            <w:tcW w:w="851" w:type="dxa"/>
            <w:vAlign w:val="center"/>
          </w:tcPr>
          <w:p w14:paraId="2596F4DA" w14:textId="77777777" w:rsidR="006C0DD0" w:rsidRPr="005616A6" w:rsidRDefault="006C0DD0" w:rsidP="00500BD0">
            <w:pPr>
              <w:spacing w:before="120" w:line="336" w:lineRule="auto"/>
              <w:jc w:val="right"/>
              <w:rPr>
                <w:sz w:val="18"/>
                <w:szCs w:val="18"/>
              </w:rPr>
            </w:pPr>
            <w:r w:rsidRPr="005616A6">
              <w:rPr>
                <w:sz w:val="18"/>
                <w:szCs w:val="18"/>
              </w:rPr>
              <w:t>-4,3 %</w:t>
            </w:r>
          </w:p>
        </w:tc>
        <w:tc>
          <w:tcPr>
            <w:tcW w:w="850" w:type="dxa"/>
            <w:vAlign w:val="center"/>
          </w:tcPr>
          <w:p w14:paraId="2B3C285D" w14:textId="77777777" w:rsidR="006C0DD0" w:rsidRPr="005616A6" w:rsidRDefault="006C0DD0" w:rsidP="00500BD0">
            <w:pPr>
              <w:spacing w:before="120" w:line="336" w:lineRule="auto"/>
              <w:jc w:val="right"/>
              <w:rPr>
                <w:sz w:val="18"/>
                <w:szCs w:val="18"/>
              </w:rPr>
            </w:pPr>
            <w:r w:rsidRPr="005616A6">
              <w:rPr>
                <w:sz w:val="18"/>
                <w:szCs w:val="18"/>
              </w:rPr>
              <w:t>-2,7 %</w:t>
            </w:r>
          </w:p>
        </w:tc>
        <w:tc>
          <w:tcPr>
            <w:tcW w:w="874" w:type="dxa"/>
            <w:vAlign w:val="center"/>
          </w:tcPr>
          <w:p w14:paraId="3DE5311B" w14:textId="77777777" w:rsidR="006C0DD0" w:rsidRPr="005616A6" w:rsidRDefault="006C0DD0" w:rsidP="00500BD0">
            <w:pPr>
              <w:spacing w:before="120" w:line="336" w:lineRule="auto"/>
              <w:jc w:val="right"/>
              <w:rPr>
                <w:sz w:val="18"/>
                <w:szCs w:val="18"/>
              </w:rPr>
            </w:pPr>
            <w:r w:rsidRPr="005616A6">
              <w:rPr>
                <w:sz w:val="18"/>
                <w:szCs w:val="18"/>
              </w:rPr>
              <w:t>-2,7 %</w:t>
            </w:r>
          </w:p>
        </w:tc>
        <w:tc>
          <w:tcPr>
            <w:tcW w:w="842" w:type="dxa"/>
            <w:vAlign w:val="center"/>
          </w:tcPr>
          <w:p w14:paraId="1C99B0ED" w14:textId="77777777" w:rsidR="006C0DD0" w:rsidRPr="005616A6" w:rsidRDefault="006C0DD0" w:rsidP="00500BD0">
            <w:pPr>
              <w:spacing w:before="120" w:line="336" w:lineRule="auto"/>
              <w:jc w:val="right"/>
              <w:rPr>
                <w:sz w:val="18"/>
                <w:szCs w:val="18"/>
              </w:rPr>
            </w:pPr>
            <w:r w:rsidRPr="005616A6">
              <w:rPr>
                <w:sz w:val="18"/>
                <w:szCs w:val="18"/>
              </w:rPr>
              <w:t>-2,5 %</w:t>
            </w:r>
          </w:p>
        </w:tc>
        <w:tc>
          <w:tcPr>
            <w:tcW w:w="843" w:type="dxa"/>
            <w:vAlign w:val="center"/>
          </w:tcPr>
          <w:p w14:paraId="4F253EF3" w14:textId="77777777" w:rsidR="006C0DD0" w:rsidRPr="005616A6" w:rsidRDefault="006C0DD0" w:rsidP="00500BD0">
            <w:pPr>
              <w:spacing w:before="120" w:line="336" w:lineRule="auto"/>
              <w:jc w:val="right"/>
              <w:rPr>
                <w:sz w:val="18"/>
                <w:szCs w:val="18"/>
              </w:rPr>
            </w:pPr>
            <w:r w:rsidRPr="005616A6">
              <w:rPr>
                <w:sz w:val="18"/>
                <w:szCs w:val="18"/>
              </w:rPr>
              <w:t>-2,2 %</w:t>
            </w:r>
          </w:p>
        </w:tc>
        <w:tc>
          <w:tcPr>
            <w:tcW w:w="837" w:type="dxa"/>
            <w:vAlign w:val="center"/>
          </w:tcPr>
          <w:p w14:paraId="62ECDBB9" w14:textId="77777777" w:rsidR="006C0DD0" w:rsidRPr="005616A6" w:rsidRDefault="006C0DD0" w:rsidP="00500BD0">
            <w:pPr>
              <w:spacing w:before="120" w:line="336" w:lineRule="auto"/>
              <w:jc w:val="right"/>
              <w:rPr>
                <w:sz w:val="18"/>
                <w:szCs w:val="18"/>
              </w:rPr>
            </w:pPr>
            <w:r w:rsidRPr="005616A6">
              <w:rPr>
                <w:sz w:val="18"/>
                <w:szCs w:val="18"/>
              </w:rPr>
              <w:t>-0,8 %</w:t>
            </w:r>
          </w:p>
        </w:tc>
      </w:tr>
      <w:tr w:rsidR="001C12E3" w:rsidRPr="005616A6" w14:paraId="715C27A9" w14:textId="77777777" w:rsidTr="00734C60">
        <w:tc>
          <w:tcPr>
            <w:tcW w:w="1413" w:type="dxa"/>
            <w:shd w:val="clear" w:color="auto" w:fill="BFBFBF" w:themeFill="background1" w:themeFillShade="BF"/>
          </w:tcPr>
          <w:p w14:paraId="6FFC98BB" w14:textId="77777777" w:rsidR="006C0DD0" w:rsidRPr="005616A6" w:rsidRDefault="006C0DD0" w:rsidP="00500BD0">
            <w:pPr>
              <w:spacing w:before="120" w:line="336" w:lineRule="auto"/>
              <w:rPr>
                <w:b/>
                <w:sz w:val="18"/>
                <w:szCs w:val="18"/>
              </w:rPr>
            </w:pPr>
            <w:r w:rsidRPr="005616A6">
              <w:rPr>
                <w:b/>
                <w:sz w:val="18"/>
                <w:szCs w:val="18"/>
              </w:rPr>
              <w:t>Saldo VS po</w:t>
            </w:r>
          </w:p>
        </w:tc>
        <w:tc>
          <w:tcPr>
            <w:tcW w:w="850" w:type="dxa"/>
            <w:shd w:val="clear" w:color="auto" w:fill="BFBFBF" w:themeFill="background1" w:themeFillShade="BF"/>
            <w:vAlign w:val="center"/>
          </w:tcPr>
          <w:p w14:paraId="487C3DD6" w14:textId="77777777" w:rsidR="006C0DD0" w:rsidRPr="005616A6" w:rsidRDefault="006C0DD0" w:rsidP="00500BD0">
            <w:pPr>
              <w:spacing w:before="120" w:line="336" w:lineRule="auto"/>
              <w:jc w:val="right"/>
              <w:rPr>
                <w:sz w:val="18"/>
                <w:szCs w:val="18"/>
              </w:rPr>
            </w:pPr>
            <w:r w:rsidRPr="005616A6">
              <w:rPr>
                <w:sz w:val="18"/>
                <w:szCs w:val="18"/>
              </w:rPr>
              <w:t>-8,2 %</w:t>
            </w:r>
          </w:p>
        </w:tc>
        <w:tc>
          <w:tcPr>
            <w:tcW w:w="851" w:type="dxa"/>
            <w:shd w:val="clear" w:color="auto" w:fill="BFBFBF" w:themeFill="background1" w:themeFillShade="BF"/>
            <w:vAlign w:val="center"/>
          </w:tcPr>
          <w:p w14:paraId="615D16FA" w14:textId="77777777" w:rsidR="006C0DD0" w:rsidRPr="005616A6" w:rsidRDefault="006C0DD0" w:rsidP="00500BD0">
            <w:pPr>
              <w:spacing w:before="120" w:line="336" w:lineRule="auto"/>
              <w:jc w:val="right"/>
              <w:rPr>
                <w:sz w:val="18"/>
                <w:szCs w:val="18"/>
              </w:rPr>
            </w:pPr>
            <w:r w:rsidRPr="005616A6">
              <w:rPr>
                <w:sz w:val="18"/>
                <w:szCs w:val="18"/>
              </w:rPr>
              <w:t>-7,5 %</w:t>
            </w:r>
          </w:p>
        </w:tc>
        <w:tc>
          <w:tcPr>
            <w:tcW w:w="850" w:type="dxa"/>
            <w:shd w:val="clear" w:color="auto" w:fill="BFBFBF" w:themeFill="background1" w:themeFillShade="BF"/>
            <w:vAlign w:val="center"/>
          </w:tcPr>
          <w:p w14:paraId="4B4765A9" w14:textId="77777777" w:rsidR="006C0DD0" w:rsidRPr="005616A6" w:rsidRDefault="006C0DD0" w:rsidP="00500BD0">
            <w:pPr>
              <w:spacing w:before="120" w:line="336" w:lineRule="auto"/>
              <w:jc w:val="right"/>
              <w:rPr>
                <w:sz w:val="18"/>
                <w:szCs w:val="18"/>
              </w:rPr>
            </w:pPr>
            <w:r w:rsidRPr="005616A6">
              <w:rPr>
                <w:sz w:val="18"/>
                <w:szCs w:val="18"/>
              </w:rPr>
              <w:t>-4,5 %</w:t>
            </w:r>
          </w:p>
        </w:tc>
        <w:tc>
          <w:tcPr>
            <w:tcW w:w="851" w:type="dxa"/>
            <w:shd w:val="clear" w:color="auto" w:fill="BFBFBF" w:themeFill="background1" w:themeFillShade="BF"/>
            <w:vAlign w:val="center"/>
          </w:tcPr>
          <w:p w14:paraId="0D13F35E" w14:textId="77777777" w:rsidR="006C0DD0" w:rsidRPr="005616A6" w:rsidRDefault="006C0DD0" w:rsidP="00500BD0">
            <w:pPr>
              <w:spacing w:before="120" w:line="336" w:lineRule="auto"/>
              <w:jc w:val="right"/>
              <w:rPr>
                <w:sz w:val="18"/>
                <w:szCs w:val="18"/>
              </w:rPr>
            </w:pPr>
            <w:r w:rsidRPr="005616A6">
              <w:rPr>
                <w:sz w:val="18"/>
                <w:szCs w:val="18"/>
              </w:rPr>
              <w:t>-4,4 %</w:t>
            </w:r>
          </w:p>
        </w:tc>
        <w:tc>
          <w:tcPr>
            <w:tcW w:w="850" w:type="dxa"/>
            <w:shd w:val="clear" w:color="auto" w:fill="BFBFBF" w:themeFill="background1" w:themeFillShade="BF"/>
            <w:vAlign w:val="center"/>
          </w:tcPr>
          <w:p w14:paraId="516C1100" w14:textId="77777777" w:rsidR="006C0DD0" w:rsidRPr="005616A6" w:rsidRDefault="006C0DD0" w:rsidP="00500BD0">
            <w:pPr>
              <w:spacing w:before="120" w:line="336" w:lineRule="auto"/>
              <w:jc w:val="right"/>
              <w:rPr>
                <w:sz w:val="18"/>
                <w:szCs w:val="18"/>
              </w:rPr>
            </w:pPr>
            <w:r w:rsidRPr="005616A6">
              <w:rPr>
                <w:sz w:val="18"/>
                <w:szCs w:val="18"/>
              </w:rPr>
              <w:t>-2,9 %</w:t>
            </w:r>
          </w:p>
        </w:tc>
        <w:tc>
          <w:tcPr>
            <w:tcW w:w="874" w:type="dxa"/>
            <w:shd w:val="clear" w:color="auto" w:fill="BFBFBF" w:themeFill="background1" w:themeFillShade="BF"/>
            <w:vAlign w:val="center"/>
          </w:tcPr>
          <w:p w14:paraId="39D4FB27" w14:textId="77777777" w:rsidR="006C0DD0" w:rsidRPr="005616A6" w:rsidRDefault="006C0DD0" w:rsidP="00500BD0">
            <w:pPr>
              <w:spacing w:before="120" w:line="336" w:lineRule="auto"/>
              <w:jc w:val="right"/>
              <w:rPr>
                <w:sz w:val="18"/>
                <w:szCs w:val="18"/>
              </w:rPr>
            </w:pPr>
            <w:r w:rsidRPr="005616A6">
              <w:rPr>
                <w:sz w:val="18"/>
                <w:szCs w:val="18"/>
              </w:rPr>
              <w:t>-3,1 %</w:t>
            </w:r>
          </w:p>
        </w:tc>
        <w:tc>
          <w:tcPr>
            <w:tcW w:w="842" w:type="dxa"/>
            <w:shd w:val="clear" w:color="auto" w:fill="BFBFBF" w:themeFill="background1" w:themeFillShade="BF"/>
            <w:vAlign w:val="center"/>
          </w:tcPr>
          <w:p w14:paraId="3AB3CBF4" w14:textId="77777777" w:rsidR="006C0DD0" w:rsidRPr="005616A6" w:rsidRDefault="006C0DD0" w:rsidP="00500BD0">
            <w:pPr>
              <w:spacing w:before="120" w:line="336" w:lineRule="auto"/>
              <w:jc w:val="right"/>
              <w:rPr>
                <w:sz w:val="18"/>
                <w:szCs w:val="18"/>
              </w:rPr>
            </w:pPr>
            <w:r w:rsidRPr="005616A6">
              <w:rPr>
                <w:sz w:val="18"/>
                <w:szCs w:val="18"/>
              </w:rPr>
              <w:t>-2,7 %</w:t>
            </w:r>
          </w:p>
        </w:tc>
        <w:tc>
          <w:tcPr>
            <w:tcW w:w="843" w:type="dxa"/>
            <w:shd w:val="clear" w:color="auto" w:fill="BFBFBF" w:themeFill="background1" w:themeFillShade="BF"/>
            <w:vAlign w:val="center"/>
          </w:tcPr>
          <w:p w14:paraId="1EA41FBE" w14:textId="77777777" w:rsidR="006C0DD0" w:rsidRPr="005616A6" w:rsidRDefault="006C0DD0" w:rsidP="00500BD0">
            <w:pPr>
              <w:spacing w:before="120" w:line="336" w:lineRule="auto"/>
              <w:jc w:val="right"/>
              <w:rPr>
                <w:sz w:val="18"/>
                <w:szCs w:val="18"/>
              </w:rPr>
            </w:pPr>
            <w:r w:rsidRPr="005616A6">
              <w:rPr>
                <w:sz w:val="18"/>
                <w:szCs w:val="18"/>
              </w:rPr>
              <w:t>-2,5 %</w:t>
            </w:r>
          </w:p>
        </w:tc>
        <w:tc>
          <w:tcPr>
            <w:tcW w:w="837" w:type="dxa"/>
            <w:shd w:val="clear" w:color="auto" w:fill="BFBFBF" w:themeFill="background1" w:themeFillShade="BF"/>
            <w:vAlign w:val="center"/>
          </w:tcPr>
          <w:p w14:paraId="1962762C" w14:textId="2264D6E9" w:rsidR="006C0DD0" w:rsidRPr="005616A6" w:rsidRDefault="00A55D2C" w:rsidP="00500BD0">
            <w:pPr>
              <w:spacing w:before="120" w:line="336" w:lineRule="auto"/>
              <w:jc w:val="right"/>
              <w:rPr>
                <w:sz w:val="18"/>
                <w:szCs w:val="18"/>
              </w:rPr>
            </w:pPr>
            <w:r w:rsidRPr="005616A6">
              <w:rPr>
                <w:sz w:val="18"/>
                <w:szCs w:val="18"/>
              </w:rPr>
              <w:t>-1,0</w:t>
            </w:r>
            <w:r w:rsidR="006C0DD0" w:rsidRPr="005616A6">
              <w:rPr>
                <w:sz w:val="18"/>
                <w:szCs w:val="18"/>
              </w:rPr>
              <w:t xml:space="preserve"> %</w:t>
            </w:r>
          </w:p>
        </w:tc>
      </w:tr>
      <w:tr w:rsidR="00734C60" w:rsidRPr="005616A6" w14:paraId="3833D5C1" w14:textId="77777777" w:rsidTr="00734C60">
        <w:tc>
          <w:tcPr>
            <w:tcW w:w="1413" w:type="dxa"/>
          </w:tcPr>
          <w:p w14:paraId="776A68A4" w14:textId="77777777" w:rsidR="006C0DD0" w:rsidRPr="005616A6" w:rsidRDefault="006C0DD0" w:rsidP="00500BD0">
            <w:pPr>
              <w:spacing w:before="120" w:line="336" w:lineRule="auto"/>
              <w:rPr>
                <w:b/>
                <w:sz w:val="18"/>
                <w:szCs w:val="18"/>
              </w:rPr>
            </w:pPr>
            <w:r w:rsidRPr="005616A6">
              <w:rPr>
                <w:b/>
                <w:sz w:val="18"/>
                <w:szCs w:val="18"/>
              </w:rPr>
              <w:t>Dlh VS pred</w:t>
            </w:r>
          </w:p>
        </w:tc>
        <w:tc>
          <w:tcPr>
            <w:tcW w:w="850" w:type="dxa"/>
            <w:vAlign w:val="center"/>
          </w:tcPr>
          <w:p w14:paraId="483D4B4C" w14:textId="77777777" w:rsidR="006C0DD0" w:rsidRPr="005616A6" w:rsidRDefault="006C0DD0" w:rsidP="00500BD0">
            <w:pPr>
              <w:spacing w:before="120" w:line="336" w:lineRule="auto"/>
              <w:jc w:val="right"/>
              <w:rPr>
                <w:sz w:val="18"/>
                <w:szCs w:val="18"/>
              </w:rPr>
            </w:pPr>
            <w:r w:rsidRPr="005616A6">
              <w:rPr>
                <w:sz w:val="18"/>
                <w:szCs w:val="18"/>
              </w:rPr>
              <w:t>36,3 %</w:t>
            </w:r>
          </w:p>
        </w:tc>
        <w:tc>
          <w:tcPr>
            <w:tcW w:w="851" w:type="dxa"/>
            <w:vAlign w:val="center"/>
          </w:tcPr>
          <w:p w14:paraId="727E75DA" w14:textId="77777777" w:rsidR="006C0DD0" w:rsidRPr="005616A6" w:rsidRDefault="006C0DD0" w:rsidP="00500BD0">
            <w:pPr>
              <w:spacing w:before="120" w:line="336" w:lineRule="auto"/>
              <w:jc w:val="right"/>
              <w:rPr>
                <w:sz w:val="18"/>
                <w:szCs w:val="18"/>
              </w:rPr>
            </w:pPr>
            <w:r w:rsidRPr="005616A6">
              <w:rPr>
                <w:sz w:val="18"/>
                <w:szCs w:val="18"/>
              </w:rPr>
              <w:t>40,9 %</w:t>
            </w:r>
          </w:p>
        </w:tc>
        <w:tc>
          <w:tcPr>
            <w:tcW w:w="850" w:type="dxa"/>
            <w:vAlign w:val="center"/>
          </w:tcPr>
          <w:p w14:paraId="787C24D4" w14:textId="77777777" w:rsidR="006C0DD0" w:rsidRPr="005616A6" w:rsidRDefault="006C0DD0" w:rsidP="00500BD0">
            <w:pPr>
              <w:spacing w:before="120" w:line="336" w:lineRule="auto"/>
              <w:jc w:val="right"/>
              <w:rPr>
                <w:sz w:val="18"/>
                <w:szCs w:val="18"/>
              </w:rPr>
            </w:pPr>
            <w:r w:rsidRPr="005616A6">
              <w:rPr>
                <w:sz w:val="18"/>
                <w:szCs w:val="18"/>
              </w:rPr>
              <w:t>43,3 %</w:t>
            </w:r>
          </w:p>
        </w:tc>
        <w:tc>
          <w:tcPr>
            <w:tcW w:w="851" w:type="dxa"/>
            <w:vAlign w:val="center"/>
          </w:tcPr>
          <w:p w14:paraId="4D9DC3F0" w14:textId="77777777" w:rsidR="006C0DD0" w:rsidRPr="005616A6" w:rsidRDefault="006C0DD0" w:rsidP="00500BD0">
            <w:pPr>
              <w:spacing w:before="120" w:line="336" w:lineRule="auto"/>
              <w:jc w:val="right"/>
              <w:rPr>
                <w:sz w:val="18"/>
                <w:szCs w:val="18"/>
              </w:rPr>
            </w:pPr>
            <w:r w:rsidRPr="005616A6">
              <w:rPr>
                <w:sz w:val="18"/>
                <w:szCs w:val="18"/>
              </w:rPr>
              <w:t>51,6 %</w:t>
            </w:r>
          </w:p>
        </w:tc>
        <w:tc>
          <w:tcPr>
            <w:tcW w:w="850" w:type="dxa"/>
            <w:vAlign w:val="center"/>
          </w:tcPr>
          <w:p w14:paraId="3872AFD2" w14:textId="77777777" w:rsidR="006C0DD0" w:rsidRPr="005616A6" w:rsidRDefault="006C0DD0" w:rsidP="00500BD0">
            <w:pPr>
              <w:spacing w:before="120" w:line="336" w:lineRule="auto"/>
              <w:jc w:val="right"/>
              <w:rPr>
                <w:sz w:val="18"/>
                <w:szCs w:val="18"/>
              </w:rPr>
            </w:pPr>
            <w:r w:rsidRPr="005616A6">
              <w:rPr>
                <w:sz w:val="18"/>
                <w:szCs w:val="18"/>
              </w:rPr>
              <w:t>54,6 %</w:t>
            </w:r>
          </w:p>
        </w:tc>
        <w:tc>
          <w:tcPr>
            <w:tcW w:w="874" w:type="dxa"/>
            <w:vAlign w:val="center"/>
          </w:tcPr>
          <w:p w14:paraId="22CFD8C4" w14:textId="77777777" w:rsidR="006C0DD0" w:rsidRPr="005616A6" w:rsidRDefault="006C0DD0" w:rsidP="00500BD0">
            <w:pPr>
              <w:spacing w:before="120" w:line="336" w:lineRule="auto"/>
              <w:jc w:val="right"/>
              <w:rPr>
                <w:sz w:val="18"/>
                <w:szCs w:val="18"/>
              </w:rPr>
            </w:pPr>
            <w:r w:rsidRPr="005616A6">
              <w:rPr>
                <w:sz w:val="18"/>
                <w:szCs w:val="18"/>
              </w:rPr>
              <w:t>53,4 %</w:t>
            </w:r>
          </w:p>
        </w:tc>
        <w:tc>
          <w:tcPr>
            <w:tcW w:w="842" w:type="dxa"/>
            <w:vAlign w:val="center"/>
          </w:tcPr>
          <w:p w14:paraId="1ABBAA00" w14:textId="77777777" w:rsidR="006C0DD0" w:rsidRPr="005616A6" w:rsidRDefault="006C0DD0" w:rsidP="00500BD0">
            <w:pPr>
              <w:spacing w:before="120" w:line="336" w:lineRule="auto"/>
              <w:jc w:val="right"/>
              <w:rPr>
                <w:sz w:val="18"/>
                <w:szCs w:val="18"/>
              </w:rPr>
            </w:pPr>
            <w:r w:rsidRPr="005616A6">
              <w:rPr>
                <w:sz w:val="18"/>
                <w:szCs w:val="18"/>
              </w:rPr>
              <w:t>51,8 %</w:t>
            </w:r>
          </w:p>
        </w:tc>
        <w:tc>
          <w:tcPr>
            <w:tcW w:w="843" w:type="dxa"/>
            <w:vAlign w:val="center"/>
          </w:tcPr>
          <w:p w14:paraId="2C7590D3" w14:textId="77777777" w:rsidR="006C0DD0" w:rsidRPr="005616A6" w:rsidRDefault="006C0DD0" w:rsidP="00500BD0">
            <w:pPr>
              <w:spacing w:before="120" w:line="336" w:lineRule="auto"/>
              <w:jc w:val="right"/>
              <w:rPr>
                <w:sz w:val="18"/>
                <w:szCs w:val="18"/>
              </w:rPr>
            </w:pPr>
            <w:r w:rsidRPr="005616A6">
              <w:rPr>
                <w:sz w:val="18"/>
                <w:szCs w:val="18"/>
              </w:rPr>
              <w:t>51,9 %</w:t>
            </w:r>
          </w:p>
        </w:tc>
        <w:tc>
          <w:tcPr>
            <w:tcW w:w="837" w:type="dxa"/>
            <w:vAlign w:val="center"/>
          </w:tcPr>
          <w:p w14:paraId="3541CBCA" w14:textId="77777777" w:rsidR="006C0DD0" w:rsidRPr="005616A6" w:rsidRDefault="006C0DD0" w:rsidP="00500BD0">
            <w:pPr>
              <w:spacing w:before="120" w:line="336" w:lineRule="auto"/>
              <w:jc w:val="right"/>
              <w:rPr>
                <w:sz w:val="18"/>
                <w:szCs w:val="18"/>
              </w:rPr>
            </w:pPr>
            <w:r w:rsidRPr="005616A6">
              <w:rPr>
                <w:sz w:val="18"/>
                <w:szCs w:val="18"/>
              </w:rPr>
              <w:t>51,2 %</w:t>
            </w:r>
          </w:p>
        </w:tc>
      </w:tr>
      <w:tr w:rsidR="001C12E3" w:rsidRPr="005616A6" w14:paraId="417EE467" w14:textId="77777777" w:rsidTr="00734C60">
        <w:tc>
          <w:tcPr>
            <w:tcW w:w="1413" w:type="dxa"/>
            <w:shd w:val="clear" w:color="auto" w:fill="BFBFBF" w:themeFill="background1" w:themeFillShade="BF"/>
          </w:tcPr>
          <w:p w14:paraId="379C30FE" w14:textId="77777777" w:rsidR="006C0DD0" w:rsidRPr="005616A6" w:rsidRDefault="006C0DD0" w:rsidP="00500BD0">
            <w:pPr>
              <w:spacing w:before="120" w:line="336" w:lineRule="auto"/>
              <w:rPr>
                <w:b/>
                <w:sz w:val="18"/>
                <w:szCs w:val="18"/>
              </w:rPr>
            </w:pPr>
            <w:r w:rsidRPr="005616A6">
              <w:rPr>
                <w:b/>
                <w:sz w:val="18"/>
                <w:szCs w:val="18"/>
              </w:rPr>
              <w:t>Dlh VS po</w:t>
            </w:r>
          </w:p>
        </w:tc>
        <w:tc>
          <w:tcPr>
            <w:tcW w:w="850" w:type="dxa"/>
            <w:shd w:val="clear" w:color="auto" w:fill="BFBFBF" w:themeFill="background1" w:themeFillShade="BF"/>
            <w:vAlign w:val="center"/>
          </w:tcPr>
          <w:p w14:paraId="7E105EFB" w14:textId="77777777" w:rsidR="006C0DD0" w:rsidRPr="005616A6" w:rsidRDefault="006C0DD0" w:rsidP="00500BD0">
            <w:pPr>
              <w:spacing w:before="120" w:line="336" w:lineRule="auto"/>
              <w:jc w:val="right"/>
              <w:rPr>
                <w:sz w:val="18"/>
                <w:szCs w:val="18"/>
              </w:rPr>
            </w:pPr>
            <w:r w:rsidRPr="005616A6">
              <w:rPr>
                <w:sz w:val="18"/>
                <w:szCs w:val="18"/>
              </w:rPr>
              <w:t>36,4 %</w:t>
            </w:r>
          </w:p>
        </w:tc>
        <w:tc>
          <w:tcPr>
            <w:tcW w:w="851" w:type="dxa"/>
            <w:shd w:val="clear" w:color="auto" w:fill="BFBFBF" w:themeFill="background1" w:themeFillShade="BF"/>
            <w:vAlign w:val="center"/>
          </w:tcPr>
          <w:p w14:paraId="5518B3CD" w14:textId="77777777" w:rsidR="006C0DD0" w:rsidRPr="005616A6" w:rsidRDefault="006C0DD0" w:rsidP="00500BD0">
            <w:pPr>
              <w:spacing w:before="120" w:line="336" w:lineRule="auto"/>
              <w:jc w:val="right"/>
              <w:rPr>
                <w:sz w:val="18"/>
                <w:szCs w:val="18"/>
              </w:rPr>
            </w:pPr>
            <w:r w:rsidRPr="005616A6">
              <w:rPr>
                <w:sz w:val="18"/>
                <w:szCs w:val="18"/>
              </w:rPr>
              <w:t>41,0 %</w:t>
            </w:r>
          </w:p>
        </w:tc>
        <w:tc>
          <w:tcPr>
            <w:tcW w:w="850" w:type="dxa"/>
            <w:shd w:val="clear" w:color="auto" w:fill="BFBFBF" w:themeFill="background1" w:themeFillShade="BF"/>
            <w:vAlign w:val="center"/>
          </w:tcPr>
          <w:p w14:paraId="2FB6999D" w14:textId="77777777" w:rsidR="006C0DD0" w:rsidRPr="005616A6" w:rsidRDefault="006C0DD0" w:rsidP="00500BD0">
            <w:pPr>
              <w:spacing w:before="120" w:line="336" w:lineRule="auto"/>
              <w:jc w:val="right"/>
              <w:rPr>
                <w:sz w:val="18"/>
                <w:szCs w:val="18"/>
              </w:rPr>
            </w:pPr>
            <w:r w:rsidRPr="005616A6">
              <w:rPr>
                <w:sz w:val="18"/>
                <w:szCs w:val="18"/>
              </w:rPr>
              <w:t>43,5 %</w:t>
            </w:r>
          </w:p>
        </w:tc>
        <w:tc>
          <w:tcPr>
            <w:tcW w:w="851" w:type="dxa"/>
            <w:shd w:val="clear" w:color="auto" w:fill="BFBFBF" w:themeFill="background1" w:themeFillShade="BF"/>
            <w:vAlign w:val="center"/>
          </w:tcPr>
          <w:p w14:paraId="0B2FE338" w14:textId="77777777" w:rsidR="006C0DD0" w:rsidRPr="005616A6" w:rsidRDefault="006C0DD0" w:rsidP="00500BD0">
            <w:pPr>
              <w:spacing w:before="120" w:line="336" w:lineRule="auto"/>
              <w:jc w:val="right"/>
              <w:rPr>
                <w:sz w:val="18"/>
                <w:szCs w:val="18"/>
              </w:rPr>
            </w:pPr>
            <w:r w:rsidRPr="005616A6">
              <w:rPr>
                <w:sz w:val="18"/>
                <w:szCs w:val="18"/>
              </w:rPr>
              <w:t>51,8 %</w:t>
            </w:r>
          </w:p>
        </w:tc>
        <w:tc>
          <w:tcPr>
            <w:tcW w:w="850" w:type="dxa"/>
            <w:shd w:val="clear" w:color="auto" w:fill="BFBFBF" w:themeFill="background1" w:themeFillShade="BF"/>
            <w:vAlign w:val="center"/>
          </w:tcPr>
          <w:p w14:paraId="472CA440" w14:textId="77777777" w:rsidR="006C0DD0" w:rsidRPr="005616A6" w:rsidRDefault="006C0DD0" w:rsidP="00500BD0">
            <w:pPr>
              <w:spacing w:before="120" w:line="336" w:lineRule="auto"/>
              <w:jc w:val="right"/>
              <w:rPr>
                <w:sz w:val="18"/>
                <w:szCs w:val="18"/>
              </w:rPr>
            </w:pPr>
            <w:r w:rsidRPr="005616A6">
              <w:rPr>
                <w:sz w:val="18"/>
                <w:szCs w:val="18"/>
              </w:rPr>
              <w:t>54,7 %</w:t>
            </w:r>
          </w:p>
        </w:tc>
        <w:tc>
          <w:tcPr>
            <w:tcW w:w="874" w:type="dxa"/>
            <w:shd w:val="clear" w:color="auto" w:fill="BFBFBF" w:themeFill="background1" w:themeFillShade="BF"/>
            <w:vAlign w:val="center"/>
          </w:tcPr>
          <w:p w14:paraId="16A5FAFA" w14:textId="77777777" w:rsidR="006C0DD0" w:rsidRPr="005616A6" w:rsidRDefault="006C0DD0" w:rsidP="00500BD0">
            <w:pPr>
              <w:spacing w:before="120" w:line="336" w:lineRule="auto"/>
              <w:jc w:val="right"/>
              <w:rPr>
                <w:sz w:val="18"/>
                <w:szCs w:val="18"/>
              </w:rPr>
            </w:pPr>
            <w:r w:rsidRPr="005616A6">
              <w:rPr>
                <w:sz w:val="18"/>
                <w:szCs w:val="18"/>
              </w:rPr>
              <w:t>53,5 %</w:t>
            </w:r>
          </w:p>
        </w:tc>
        <w:tc>
          <w:tcPr>
            <w:tcW w:w="842" w:type="dxa"/>
            <w:shd w:val="clear" w:color="auto" w:fill="BFBFBF" w:themeFill="background1" w:themeFillShade="BF"/>
            <w:vAlign w:val="center"/>
          </w:tcPr>
          <w:p w14:paraId="789A067C" w14:textId="77777777" w:rsidR="006C0DD0" w:rsidRPr="005616A6" w:rsidRDefault="006C0DD0" w:rsidP="00500BD0">
            <w:pPr>
              <w:spacing w:before="120" w:line="336" w:lineRule="auto"/>
              <w:jc w:val="right"/>
              <w:rPr>
                <w:sz w:val="18"/>
                <w:szCs w:val="18"/>
              </w:rPr>
            </w:pPr>
            <w:r w:rsidRPr="005616A6">
              <w:rPr>
                <w:sz w:val="18"/>
                <w:szCs w:val="18"/>
              </w:rPr>
              <w:t>51,9 %</w:t>
            </w:r>
          </w:p>
        </w:tc>
        <w:tc>
          <w:tcPr>
            <w:tcW w:w="843" w:type="dxa"/>
            <w:shd w:val="clear" w:color="auto" w:fill="BFBFBF" w:themeFill="background1" w:themeFillShade="BF"/>
            <w:vAlign w:val="center"/>
          </w:tcPr>
          <w:p w14:paraId="47F7AFB1" w14:textId="77777777" w:rsidR="006C0DD0" w:rsidRPr="005616A6" w:rsidRDefault="006C0DD0" w:rsidP="00500BD0">
            <w:pPr>
              <w:spacing w:before="120" w:line="336" w:lineRule="auto"/>
              <w:jc w:val="right"/>
              <w:rPr>
                <w:sz w:val="18"/>
                <w:szCs w:val="18"/>
              </w:rPr>
            </w:pPr>
            <w:r w:rsidRPr="005616A6">
              <w:rPr>
                <w:sz w:val="18"/>
                <w:szCs w:val="18"/>
              </w:rPr>
              <w:t>52,0 %</w:t>
            </w:r>
          </w:p>
        </w:tc>
        <w:tc>
          <w:tcPr>
            <w:tcW w:w="837" w:type="dxa"/>
            <w:shd w:val="clear" w:color="auto" w:fill="BFBFBF" w:themeFill="background1" w:themeFillShade="BF"/>
            <w:vAlign w:val="center"/>
          </w:tcPr>
          <w:p w14:paraId="041C01D4" w14:textId="77777777" w:rsidR="006C0DD0" w:rsidRPr="005616A6" w:rsidRDefault="006C0DD0" w:rsidP="00500BD0">
            <w:pPr>
              <w:spacing w:before="120" w:line="336" w:lineRule="auto"/>
              <w:jc w:val="right"/>
              <w:rPr>
                <w:sz w:val="18"/>
                <w:szCs w:val="18"/>
              </w:rPr>
            </w:pPr>
            <w:r w:rsidRPr="005616A6">
              <w:rPr>
                <w:sz w:val="18"/>
                <w:szCs w:val="18"/>
              </w:rPr>
              <w:t>51,3 %</w:t>
            </w:r>
          </w:p>
        </w:tc>
      </w:tr>
      <w:tr w:rsidR="00734C60" w:rsidRPr="005616A6" w14:paraId="49281EB3" w14:textId="77777777" w:rsidTr="00734C60">
        <w:tc>
          <w:tcPr>
            <w:tcW w:w="1413" w:type="dxa"/>
          </w:tcPr>
          <w:p w14:paraId="3C0D1AB6" w14:textId="77777777" w:rsidR="006C0DD0" w:rsidRPr="005616A6" w:rsidRDefault="006C0DD0" w:rsidP="00500BD0">
            <w:pPr>
              <w:spacing w:before="120" w:line="336" w:lineRule="auto"/>
              <w:rPr>
                <w:b/>
                <w:sz w:val="18"/>
                <w:szCs w:val="18"/>
              </w:rPr>
            </w:pPr>
            <w:r w:rsidRPr="005616A6">
              <w:rPr>
                <w:b/>
                <w:sz w:val="18"/>
                <w:szCs w:val="18"/>
              </w:rPr>
              <w:t xml:space="preserve">HDP pred </w:t>
            </w:r>
          </w:p>
        </w:tc>
        <w:tc>
          <w:tcPr>
            <w:tcW w:w="850" w:type="dxa"/>
            <w:vAlign w:val="center"/>
          </w:tcPr>
          <w:p w14:paraId="5DC6830B" w14:textId="77777777" w:rsidR="006C0DD0" w:rsidRPr="005616A6" w:rsidRDefault="006C0DD0" w:rsidP="00500BD0">
            <w:pPr>
              <w:spacing w:before="120" w:line="336" w:lineRule="auto"/>
              <w:jc w:val="right"/>
              <w:rPr>
                <w:sz w:val="18"/>
                <w:szCs w:val="18"/>
              </w:rPr>
            </w:pPr>
            <w:r w:rsidRPr="005616A6">
              <w:rPr>
                <w:sz w:val="18"/>
                <w:szCs w:val="18"/>
              </w:rPr>
              <w:t>64,0</w:t>
            </w:r>
          </w:p>
        </w:tc>
        <w:tc>
          <w:tcPr>
            <w:tcW w:w="851" w:type="dxa"/>
            <w:vAlign w:val="center"/>
          </w:tcPr>
          <w:p w14:paraId="239E2F6A" w14:textId="77777777" w:rsidR="006C0DD0" w:rsidRPr="005616A6" w:rsidRDefault="006C0DD0" w:rsidP="00500BD0">
            <w:pPr>
              <w:spacing w:before="120" w:line="336" w:lineRule="auto"/>
              <w:jc w:val="right"/>
              <w:rPr>
                <w:sz w:val="18"/>
                <w:szCs w:val="18"/>
              </w:rPr>
            </w:pPr>
            <w:r w:rsidRPr="005616A6">
              <w:rPr>
                <w:sz w:val="18"/>
                <w:szCs w:val="18"/>
              </w:rPr>
              <w:t>67,6</w:t>
            </w:r>
          </w:p>
        </w:tc>
        <w:tc>
          <w:tcPr>
            <w:tcW w:w="850" w:type="dxa"/>
            <w:vAlign w:val="center"/>
          </w:tcPr>
          <w:p w14:paraId="068DB700" w14:textId="77777777" w:rsidR="006C0DD0" w:rsidRPr="005616A6" w:rsidRDefault="006C0DD0" w:rsidP="00500BD0">
            <w:pPr>
              <w:spacing w:before="120" w:line="336" w:lineRule="auto"/>
              <w:jc w:val="right"/>
              <w:rPr>
                <w:sz w:val="18"/>
                <w:szCs w:val="18"/>
              </w:rPr>
            </w:pPr>
            <w:r w:rsidRPr="005616A6">
              <w:rPr>
                <w:sz w:val="18"/>
                <w:szCs w:val="18"/>
              </w:rPr>
              <w:t>70,6</w:t>
            </w:r>
          </w:p>
        </w:tc>
        <w:tc>
          <w:tcPr>
            <w:tcW w:w="851" w:type="dxa"/>
            <w:vAlign w:val="center"/>
          </w:tcPr>
          <w:p w14:paraId="05B2250A" w14:textId="77777777" w:rsidR="006C0DD0" w:rsidRPr="005616A6" w:rsidRDefault="006C0DD0" w:rsidP="00500BD0">
            <w:pPr>
              <w:spacing w:before="120" w:line="336" w:lineRule="auto"/>
              <w:jc w:val="right"/>
              <w:rPr>
                <w:sz w:val="18"/>
                <w:szCs w:val="18"/>
              </w:rPr>
            </w:pPr>
            <w:r w:rsidRPr="005616A6">
              <w:rPr>
                <w:sz w:val="18"/>
                <w:szCs w:val="18"/>
              </w:rPr>
              <w:t>72,7</w:t>
            </w:r>
          </w:p>
        </w:tc>
        <w:tc>
          <w:tcPr>
            <w:tcW w:w="850" w:type="dxa"/>
            <w:vAlign w:val="center"/>
          </w:tcPr>
          <w:p w14:paraId="1E43A04A" w14:textId="77777777" w:rsidR="006C0DD0" w:rsidRPr="005616A6" w:rsidRDefault="006C0DD0" w:rsidP="00500BD0">
            <w:pPr>
              <w:spacing w:before="120" w:line="336" w:lineRule="auto"/>
              <w:jc w:val="right"/>
              <w:rPr>
                <w:sz w:val="18"/>
                <w:szCs w:val="18"/>
              </w:rPr>
            </w:pPr>
            <w:r w:rsidRPr="005616A6">
              <w:rPr>
                <w:sz w:val="18"/>
                <w:szCs w:val="18"/>
              </w:rPr>
              <w:t>74,2</w:t>
            </w:r>
          </w:p>
        </w:tc>
        <w:tc>
          <w:tcPr>
            <w:tcW w:w="874" w:type="dxa"/>
            <w:vAlign w:val="center"/>
          </w:tcPr>
          <w:p w14:paraId="2368FE71" w14:textId="77777777" w:rsidR="006C0DD0" w:rsidRPr="005616A6" w:rsidRDefault="006C0DD0" w:rsidP="00500BD0">
            <w:pPr>
              <w:spacing w:before="120" w:line="336" w:lineRule="auto"/>
              <w:jc w:val="right"/>
              <w:rPr>
                <w:sz w:val="18"/>
                <w:szCs w:val="18"/>
              </w:rPr>
            </w:pPr>
            <w:r w:rsidRPr="005616A6">
              <w:rPr>
                <w:sz w:val="18"/>
                <w:szCs w:val="18"/>
              </w:rPr>
              <w:t>76,1</w:t>
            </w:r>
          </w:p>
        </w:tc>
        <w:tc>
          <w:tcPr>
            <w:tcW w:w="842" w:type="dxa"/>
            <w:vAlign w:val="center"/>
          </w:tcPr>
          <w:p w14:paraId="0DF5FA70" w14:textId="77777777" w:rsidR="006C0DD0" w:rsidRPr="005616A6" w:rsidRDefault="006C0DD0" w:rsidP="00500BD0">
            <w:pPr>
              <w:spacing w:before="120" w:line="336" w:lineRule="auto"/>
              <w:jc w:val="right"/>
              <w:rPr>
                <w:sz w:val="18"/>
                <w:szCs w:val="18"/>
              </w:rPr>
            </w:pPr>
            <w:r w:rsidRPr="005616A6">
              <w:rPr>
                <w:sz w:val="18"/>
                <w:szCs w:val="18"/>
              </w:rPr>
              <w:t>79,1</w:t>
            </w:r>
          </w:p>
        </w:tc>
        <w:tc>
          <w:tcPr>
            <w:tcW w:w="843" w:type="dxa"/>
            <w:vAlign w:val="center"/>
          </w:tcPr>
          <w:p w14:paraId="309555CF" w14:textId="77777777" w:rsidR="006C0DD0" w:rsidRPr="005616A6" w:rsidRDefault="006C0DD0" w:rsidP="00500BD0">
            <w:pPr>
              <w:spacing w:before="120" w:line="336" w:lineRule="auto"/>
              <w:jc w:val="right"/>
              <w:rPr>
                <w:sz w:val="18"/>
                <w:szCs w:val="18"/>
              </w:rPr>
            </w:pPr>
            <w:r w:rsidRPr="005616A6">
              <w:rPr>
                <w:sz w:val="18"/>
                <w:szCs w:val="18"/>
              </w:rPr>
              <w:t>81,2</w:t>
            </w:r>
          </w:p>
        </w:tc>
        <w:tc>
          <w:tcPr>
            <w:tcW w:w="837" w:type="dxa"/>
            <w:vAlign w:val="center"/>
          </w:tcPr>
          <w:p w14:paraId="6C09A5BC" w14:textId="77777777" w:rsidR="006C0DD0" w:rsidRPr="005616A6" w:rsidRDefault="006C0DD0" w:rsidP="00500BD0">
            <w:pPr>
              <w:spacing w:before="120" w:line="336" w:lineRule="auto"/>
              <w:jc w:val="right"/>
              <w:rPr>
                <w:sz w:val="18"/>
                <w:szCs w:val="18"/>
              </w:rPr>
            </w:pPr>
            <w:r w:rsidRPr="005616A6">
              <w:rPr>
                <w:sz w:val="18"/>
                <w:szCs w:val="18"/>
              </w:rPr>
              <w:t>84,9</w:t>
            </w:r>
          </w:p>
        </w:tc>
      </w:tr>
      <w:tr w:rsidR="00734C60" w:rsidRPr="005616A6" w14:paraId="02AC0516" w14:textId="77777777" w:rsidTr="00734C60">
        <w:tc>
          <w:tcPr>
            <w:tcW w:w="1413" w:type="dxa"/>
            <w:shd w:val="clear" w:color="auto" w:fill="BFBFBF" w:themeFill="background1" w:themeFillShade="BF"/>
          </w:tcPr>
          <w:p w14:paraId="232E872E" w14:textId="77777777" w:rsidR="006C0DD0" w:rsidRPr="005616A6" w:rsidRDefault="006C0DD0" w:rsidP="00500BD0">
            <w:pPr>
              <w:spacing w:before="120" w:line="336" w:lineRule="auto"/>
              <w:rPr>
                <w:b/>
                <w:sz w:val="18"/>
                <w:szCs w:val="18"/>
              </w:rPr>
            </w:pPr>
            <w:r w:rsidRPr="005616A6">
              <w:rPr>
                <w:b/>
                <w:sz w:val="18"/>
                <w:szCs w:val="18"/>
              </w:rPr>
              <w:t>HDP po</w:t>
            </w:r>
          </w:p>
        </w:tc>
        <w:tc>
          <w:tcPr>
            <w:tcW w:w="850" w:type="dxa"/>
            <w:shd w:val="clear" w:color="auto" w:fill="BFBFBF" w:themeFill="background1" w:themeFillShade="BF"/>
            <w:vAlign w:val="center"/>
          </w:tcPr>
          <w:p w14:paraId="4B04B47F" w14:textId="77777777" w:rsidR="006C0DD0" w:rsidRPr="005616A6" w:rsidRDefault="006C0DD0" w:rsidP="00500BD0">
            <w:pPr>
              <w:spacing w:before="120" w:line="336" w:lineRule="auto"/>
              <w:jc w:val="right"/>
              <w:rPr>
                <w:sz w:val="18"/>
                <w:szCs w:val="18"/>
              </w:rPr>
            </w:pPr>
            <w:r w:rsidRPr="005616A6">
              <w:rPr>
                <w:sz w:val="18"/>
                <w:szCs w:val="18"/>
              </w:rPr>
              <w:t>64,1</w:t>
            </w:r>
          </w:p>
        </w:tc>
        <w:tc>
          <w:tcPr>
            <w:tcW w:w="851" w:type="dxa"/>
            <w:shd w:val="clear" w:color="auto" w:fill="BFBFBF" w:themeFill="background1" w:themeFillShade="BF"/>
            <w:vAlign w:val="center"/>
          </w:tcPr>
          <w:p w14:paraId="0E8D3C3D" w14:textId="77777777" w:rsidR="006C0DD0" w:rsidRPr="005616A6" w:rsidRDefault="006C0DD0" w:rsidP="00500BD0">
            <w:pPr>
              <w:spacing w:before="120" w:line="336" w:lineRule="auto"/>
              <w:jc w:val="right"/>
              <w:rPr>
                <w:sz w:val="18"/>
                <w:szCs w:val="18"/>
              </w:rPr>
            </w:pPr>
            <w:r w:rsidRPr="005616A6">
              <w:rPr>
                <w:sz w:val="18"/>
                <w:szCs w:val="18"/>
              </w:rPr>
              <w:t>68,1</w:t>
            </w:r>
          </w:p>
        </w:tc>
        <w:tc>
          <w:tcPr>
            <w:tcW w:w="850" w:type="dxa"/>
            <w:shd w:val="clear" w:color="auto" w:fill="BFBFBF" w:themeFill="background1" w:themeFillShade="BF"/>
            <w:vAlign w:val="center"/>
          </w:tcPr>
          <w:p w14:paraId="5B4CAA4E" w14:textId="77777777" w:rsidR="006C0DD0" w:rsidRPr="005616A6" w:rsidRDefault="006C0DD0" w:rsidP="00500BD0">
            <w:pPr>
              <w:spacing w:before="120" w:line="336" w:lineRule="auto"/>
              <w:jc w:val="right"/>
              <w:rPr>
                <w:sz w:val="18"/>
                <w:szCs w:val="18"/>
              </w:rPr>
            </w:pPr>
            <w:r w:rsidRPr="005616A6">
              <w:rPr>
                <w:sz w:val="18"/>
                <w:szCs w:val="18"/>
              </w:rPr>
              <w:t>71,2</w:t>
            </w:r>
          </w:p>
        </w:tc>
        <w:tc>
          <w:tcPr>
            <w:tcW w:w="851" w:type="dxa"/>
            <w:shd w:val="clear" w:color="auto" w:fill="BFBFBF" w:themeFill="background1" w:themeFillShade="BF"/>
            <w:vAlign w:val="center"/>
          </w:tcPr>
          <w:p w14:paraId="272E4A61" w14:textId="77777777" w:rsidR="006C0DD0" w:rsidRPr="005616A6" w:rsidRDefault="006C0DD0" w:rsidP="00500BD0">
            <w:pPr>
              <w:spacing w:before="120" w:line="336" w:lineRule="auto"/>
              <w:jc w:val="right"/>
              <w:rPr>
                <w:sz w:val="18"/>
                <w:szCs w:val="18"/>
              </w:rPr>
            </w:pPr>
            <w:r w:rsidRPr="005616A6">
              <w:rPr>
                <w:sz w:val="18"/>
                <w:szCs w:val="18"/>
              </w:rPr>
              <w:t>73,5</w:t>
            </w:r>
          </w:p>
        </w:tc>
        <w:tc>
          <w:tcPr>
            <w:tcW w:w="850" w:type="dxa"/>
            <w:shd w:val="clear" w:color="auto" w:fill="BFBFBF" w:themeFill="background1" w:themeFillShade="BF"/>
            <w:vAlign w:val="center"/>
          </w:tcPr>
          <w:p w14:paraId="35E82F20" w14:textId="77777777" w:rsidR="006C0DD0" w:rsidRPr="005616A6" w:rsidRDefault="006C0DD0" w:rsidP="00500BD0">
            <w:pPr>
              <w:spacing w:before="120" w:line="336" w:lineRule="auto"/>
              <w:jc w:val="right"/>
              <w:rPr>
                <w:sz w:val="18"/>
                <w:szCs w:val="18"/>
              </w:rPr>
            </w:pPr>
            <w:r w:rsidRPr="005616A6">
              <w:rPr>
                <w:sz w:val="18"/>
                <w:szCs w:val="18"/>
              </w:rPr>
              <w:t>74,4</w:t>
            </w:r>
          </w:p>
        </w:tc>
        <w:tc>
          <w:tcPr>
            <w:tcW w:w="874" w:type="dxa"/>
            <w:shd w:val="clear" w:color="auto" w:fill="BFBFBF" w:themeFill="background1" w:themeFillShade="BF"/>
            <w:vAlign w:val="center"/>
          </w:tcPr>
          <w:p w14:paraId="2764A7D5" w14:textId="77777777" w:rsidR="006C0DD0" w:rsidRPr="005616A6" w:rsidRDefault="006C0DD0" w:rsidP="00500BD0">
            <w:pPr>
              <w:spacing w:before="120" w:line="336" w:lineRule="auto"/>
              <w:jc w:val="right"/>
              <w:rPr>
                <w:sz w:val="18"/>
                <w:szCs w:val="18"/>
              </w:rPr>
            </w:pPr>
            <w:r w:rsidRPr="005616A6">
              <w:rPr>
                <w:sz w:val="18"/>
                <w:szCs w:val="18"/>
              </w:rPr>
              <w:t>76,3</w:t>
            </w:r>
          </w:p>
        </w:tc>
        <w:tc>
          <w:tcPr>
            <w:tcW w:w="842" w:type="dxa"/>
            <w:shd w:val="clear" w:color="auto" w:fill="BFBFBF" w:themeFill="background1" w:themeFillShade="BF"/>
            <w:vAlign w:val="center"/>
          </w:tcPr>
          <w:p w14:paraId="5B875B9C" w14:textId="77777777" w:rsidR="006C0DD0" w:rsidRPr="005616A6" w:rsidRDefault="006C0DD0" w:rsidP="00500BD0">
            <w:pPr>
              <w:spacing w:before="120" w:line="336" w:lineRule="auto"/>
              <w:jc w:val="right"/>
              <w:rPr>
                <w:sz w:val="18"/>
                <w:szCs w:val="18"/>
              </w:rPr>
            </w:pPr>
            <w:r w:rsidRPr="005616A6">
              <w:rPr>
                <w:sz w:val="18"/>
                <w:szCs w:val="18"/>
              </w:rPr>
              <w:t>79,8</w:t>
            </w:r>
          </w:p>
        </w:tc>
        <w:tc>
          <w:tcPr>
            <w:tcW w:w="843" w:type="dxa"/>
            <w:shd w:val="clear" w:color="auto" w:fill="BFBFBF" w:themeFill="background1" w:themeFillShade="BF"/>
            <w:vAlign w:val="center"/>
          </w:tcPr>
          <w:p w14:paraId="72D26994" w14:textId="77777777" w:rsidR="006C0DD0" w:rsidRPr="005616A6" w:rsidRDefault="006C0DD0" w:rsidP="00500BD0">
            <w:pPr>
              <w:spacing w:before="120" w:line="336" w:lineRule="auto"/>
              <w:jc w:val="right"/>
              <w:rPr>
                <w:sz w:val="18"/>
                <w:szCs w:val="18"/>
              </w:rPr>
            </w:pPr>
            <w:r w:rsidRPr="005616A6">
              <w:rPr>
                <w:sz w:val="18"/>
                <w:szCs w:val="18"/>
              </w:rPr>
              <w:t>81,0</w:t>
            </w:r>
          </w:p>
        </w:tc>
        <w:tc>
          <w:tcPr>
            <w:tcW w:w="837" w:type="dxa"/>
            <w:shd w:val="clear" w:color="auto" w:fill="BFBFBF" w:themeFill="background1" w:themeFillShade="BF"/>
            <w:vAlign w:val="center"/>
          </w:tcPr>
          <w:p w14:paraId="0D2940EA" w14:textId="77777777" w:rsidR="006C0DD0" w:rsidRPr="005616A6" w:rsidRDefault="006C0DD0" w:rsidP="00500BD0">
            <w:pPr>
              <w:spacing w:before="120" w:line="336" w:lineRule="auto"/>
              <w:jc w:val="right"/>
              <w:rPr>
                <w:sz w:val="18"/>
                <w:szCs w:val="18"/>
              </w:rPr>
            </w:pPr>
            <w:r w:rsidRPr="005616A6">
              <w:rPr>
                <w:sz w:val="18"/>
                <w:szCs w:val="18"/>
              </w:rPr>
              <w:t>84,5</w:t>
            </w:r>
          </w:p>
        </w:tc>
      </w:tr>
      <w:tr w:rsidR="00734C60" w:rsidRPr="005616A6" w14:paraId="0AF10BC0" w14:textId="77777777" w:rsidTr="00734C60">
        <w:tc>
          <w:tcPr>
            <w:tcW w:w="1413" w:type="dxa"/>
          </w:tcPr>
          <w:p w14:paraId="1C4BD9B0" w14:textId="77777777" w:rsidR="006C0DD0" w:rsidRPr="00A06635" w:rsidRDefault="006C0DD0" w:rsidP="00500BD0">
            <w:pPr>
              <w:spacing w:before="120" w:line="336" w:lineRule="auto"/>
              <w:rPr>
                <w:b/>
                <w:sz w:val="18"/>
                <w:szCs w:val="18"/>
              </w:rPr>
            </w:pPr>
            <w:r w:rsidRPr="00A06635">
              <w:rPr>
                <w:b/>
                <w:sz w:val="18"/>
                <w:szCs w:val="18"/>
              </w:rPr>
              <w:t>Rast HDP pred</w:t>
            </w:r>
          </w:p>
        </w:tc>
        <w:tc>
          <w:tcPr>
            <w:tcW w:w="850" w:type="dxa"/>
            <w:vAlign w:val="center"/>
          </w:tcPr>
          <w:p w14:paraId="24EAED5D" w14:textId="6ECDE1D4" w:rsidR="006C0DD0" w:rsidRPr="00A06635" w:rsidRDefault="00A06635" w:rsidP="00500BD0">
            <w:pPr>
              <w:spacing w:before="120" w:line="336" w:lineRule="auto"/>
              <w:jc w:val="right"/>
              <w:rPr>
                <w:sz w:val="18"/>
                <w:szCs w:val="18"/>
              </w:rPr>
            </w:pPr>
            <w:r w:rsidRPr="00A06635">
              <w:rPr>
                <w:sz w:val="18"/>
                <w:szCs w:val="18"/>
              </w:rPr>
              <w:t>-6,5</w:t>
            </w:r>
            <w:r w:rsidR="006C0DD0" w:rsidRPr="00A06635">
              <w:rPr>
                <w:sz w:val="18"/>
                <w:szCs w:val="18"/>
              </w:rPr>
              <w:t xml:space="preserve"> %</w:t>
            </w:r>
          </w:p>
        </w:tc>
        <w:tc>
          <w:tcPr>
            <w:tcW w:w="851" w:type="dxa"/>
            <w:vAlign w:val="center"/>
          </w:tcPr>
          <w:p w14:paraId="63A0CAA5" w14:textId="6B5D715B" w:rsidR="006C0DD0" w:rsidRPr="00A06635" w:rsidRDefault="006C0DD0" w:rsidP="00500BD0">
            <w:pPr>
              <w:spacing w:before="120" w:line="336" w:lineRule="auto"/>
              <w:jc w:val="right"/>
              <w:rPr>
                <w:sz w:val="18"/>
                <w:szCs w:val="18"/>
              </w:rPr>
            </w:pPr>
            <w:r w:rsidRPr="00A06635">
              <w:rPr>
                <w:sz w:val="18"/>
                <w:szCs w:val="18"/>
              </w:rPr>
              <w:t>5,6 %</w:t>
            </w:r>
          </w:p>
        </w:tc>
        <w:tc>
          <w:tcPr>
            <w:tcW w:w="850" w:type="dxa"/>
            <w:vAlign w:val="center"/>
          </w:tcPr>
          <w:p w14:paraId="2A8B0F2F" w14:textId="7AD2AD43" w:rsidR="006C0DD0" w:rsidRPr="00A06635" w:rsidRDefault="006C0DD0" w:rsidP="00500BD0">
            <w:pPr>
              <w:spacing w:before="120" w:line="336" w:lineRule="auto"/>
              <w:jc w:val="right"/>
              <w:rPr>
                <w:sz w:val="18"/>
                <w:szCs w:val="18"/>
              </w:rPr>
            </w:pPr>
            <w:r w:rsidRPr="00A06635">
              <w:rPr>
                <w:sz w:val="18"/>
                <w:szCs w:val="18"/>
              </w:rPr>
              <w:t>4,5 %</w:t>
            </w:r>
          </w:p>
        </w:tc>
        <w:tc>
          <w:tcPr>
            <w:tcW w:w="851" w:type="dxa"/>
            <w:vAlign w:val="center"/>
          </w:tcPr>
          <w:p w14:paraId="33D23F7D" w14:textId="7F4DD142" w:rsidR="006C0DD0" w:rsidRPr="00A06635" w:rsidRDefault="006C0DD0" w:rsidP="00500BD0">
            <w:pPr>
              <w:spacing w:before="120" w:line="336" w:lineRule="auto"/>
              <w:jc w:val="right"/>
              <w:rPr>
                <w:sz w:val="18"/>
                <w:szCs w:val="18"/>
              </w:rPr>
            </w:pPr>
            <w:r w:rsidRPr="00A06635">
              <w:rPr>
                <w:sz w:val="18"/>
                <w:szCs w:val="18"/>
              </w:rPr>
              <w:t>2,9 %</w:t>
            </w:r>
          </w:p>
        </w:tc>
        <w:tc>
          <w:tcPr>
            <w:tcW w:w="850" w:type="dxa"/>
            <w:vAlign w:val="center"/>
          </w:tcPr>
          <w:p w14:paraId="23DA67D8" w14:textId="6761BCCC" w:rsidR="006C0DD0" w:rsidRPr="00A06635" w:rsidRDefault="006C0DD0" w:rsidP="00500BD0">
            <w:pPr>
              <w:spacing w:before="120" w:line="336" w:lineRule="auto"/>
              <w:jc w:val="right"/>
              <w:rPr>
                <w:sz w:val="18"/>
                <w:szCs w:val="18"/>
              </w:rPr>
            </w:pPr>
            <w:r w:rsidRPr="00A06635">
              <w:rPr>
                <w:sz w:val="18"/>
                <w:szCs w:val="18"/>
              </w:rPr>
              <w:t>2,0 %</w:t>
            </w:r>
          </w:p>
        </w:tc>
        <w:tc>
          <w:tcPr>
            <w:tcW w:w="874" w:type="dxa"/>
            <w:vAlign w:val="center"/>
          </w:tcPr>
          <w:p w14:paraId="0CCE7D3F" w14:textId="2B94C6A3" w:rsidR="006C0DD0" w:rsidRPr="00A06635" w:rsidRDefault="006C0DD0" w:rsidP="00500BD0">
            <w:pPr>
              <w:spacing w:before="120" w:line="336" w:lineRule="auto"/>
              <w:jc w:val="right"/>
              <w:rPr>
                <w:sz w:val="18"/>
                <w:szCs w:val="18"/>
              </w:rPr>
            </w:pPr>
            <w:r w:rsidRPr="00A06635">
              <w:rPr>
                <w:sz w:val="18"/>
                <w:szCs w:val="18"/>
              </w:rPr>
              <w:t>2,6 %</w:t>
            </w:r>
          </w:p>
        </w:tc>
        <w:tc>
          <w:tcPr>
            <w:tcW w:w="842" w:type="dxa"/>
            <w:vAlign w:val="center"/>
          </w:tcPr>
          <w:p w14:paraId="68A7A111" w14:textId="05951D9B" w:rsidR="006C0DD0" w:rsidRPr="00A06635" w:rsidRDefault="006C0DD0" w:rsidP="00500BD0">
            <w:pPr>
              <w:spacing w:before="120" w:line="336" w:lineRule="auto"/>
              <w:jc w:val="right"/>
              <w:rPr>
                <w:sz w:val="18"/>
                <w:szCs w:val="18"/>
              </w:rPr>
            </w:pPr>
            <w:r w:rsidRPr="00A06635">
              <w:rPr>
                <w:sz w:val="18"/>
                <w:szCs w:val="18"/>
              </w:rPr>
              <w:t>4,0 %</w:t>
            </w:r>
          </w:p>
        </w:tc>
        <w:tc>
          <w:tcPr>
            <w:tcW w:w="843" w:type="dxa"/>
            <w:vAlign w:val="center"/>
          </w:tcPr>
          <w:p w14:paraId="01DAF873" w14:textId="449D743D" w:rsidR="006C0DD0" w:rsidRPr="00A06635" w:rsidRDefault="006C0DD0" w:rsidP="00500BD0">
            <w:pPr>
              <w:spacing w:before="120" w:line="336" w:lineRule="auto"/>
              <w:jc w:val="right"/>
              <w:rPr>
                <w:sz w:val="18"/>
                <w:szCs w:val="18"/>
              </w:rPr>
            </w:pPr>
            <w:r w:rsidRPr="00A06635">
              <w:rPr>
                <w:sz w:val="18"/>
                <w:szCs w:val="18"/>
              </w:rPr>
              <w:t>2,6 %</w:t>
            </w:r>
          </w:p>
        </w:tc>
        <w:tc>
          <w:tcPr>
            <w:tcW w:w="837" w:type="dxa"/>
            <w:vAlign w:val="center"/>
          </w:tcPr>
          <w:p w14:paraId="4879FD23" w14:textId="67811316" w:rsidR="006C0DD0" w:rsidRPr="00A06635" w:rsidRDefault="006C0DD0" w:rsidP="00500BD0">
            <w:pPr>
              <w:spacing w:before="120" w:line="336" w:lineRule="auto"/>
              <w:jc w:val="right"/>
              <w:rPr>
                <w:sz w:val="18"/>
                <w:szCs w:val="18"/>
              </w:rPr>
            </w:pPr>
            <w:r w:rsidRPr="00A06635">
              <w:rPr>
                <w:sz w:val="18"/>
                <w:szCs w:val="18"/>
              </w:rPr>
              <w:t>4,5 %</w:t>
            </w:r>
          </w:p>
        </w:tc>
      </w:tr>
      <w:tr w:rsidR="00734C60" w:rsidRPr="005616A6" w14:paraId="60F595EE" w14:textId="77777777" w:rsidTr="00734C60">
        <w:tc>
          <w:tcPr>
            <w:tcW w:w="1413" w:type="dxa"/>
            <w:shd w:val="clear" w:color="auto" w:fill="BFBFBF" w:themeFill="background1" w:themeFillShade="BF"/>
          </w:tcPr>
          <w:p w14:paraId="5C5C7BAC" w14:textId="77777777" w:rsidR="006C0DD0" w:rsidRPr="00A06635" w:rsidRDefault="006C0DD0" w:rsidP="00500BD0">
            <w:pPr>
              <w:spacing w:before="120" w:line="336" w:lineRule="auto"/>
              <w:rPr>
                <w:b/>
                <w:sz w:val="18"/>
                <w:szCs w:val="18"/>
              </w:rPr>
            </w:pPr>
            <w:r w:rsidRPr="00A06635">
              <w:rPr>
                <w:b/>
                <w:sz w:val="18"/>
                <w:szCs w:val="18"/>
              </w:rPr>
              <w:t>Rast HDP po</w:t>
            </w:r>
          </w:p>
        </w:tc>
        <w:tc>
          <w:tcPr>
            <w:tcW w:w="850" w:type="dxa"/>
            <w:shd w:val="clear" w:color="auto" w:fill="BFBFBF" w:themeFill="background1" w:themeFillShade="BF"/>
            <w:vAlign w:val="center"/>
          </w:tcPr>
          <w:p w14:paraId="630154CB" w14:textId="1595EEA3" w:rsidR="006C0DD0" w:rsidRPr="00A06635" w:rsidRDefault="00A06635" w:rsidP="00500BD0">
            <w:pPr>
              <w:spacing w:before="120" w:line="336" w:lineRule="auto"/>
              <w:jc w:val="right"/>
              <w:rPr>
                <w:sz w:val="18"/>
                <w:szCs w:val="18"/>
              </w:rPr>
            </w:pPr>
            <w:r w:rsidRPr="00A06635">
              <w:rPr>
                <w:sz w:val="18"/>
                <w:szCs w:val="18"/>
              </w:rPr>
              <w:t>-6,6</w:t>
            </w:r>
            <w:r w:rsidR="006C0DD0" w:rsidRPr="00A06635">
              <w:rPr>
                <w:sz w:val="18"/>
                <w:szCs w:val="18"/>
              </w:rPr>
              <w:t xml:space="preserve"> %</w:t>
            </w:r>
          </w:p>
        </w:tc>
        <w:tc>
          <w:tcPr>
            <w:tcW w:w="851" w:type="dxa"/>
            <w:shd w:val="clear" w:color="auto" w:fill="BFBFBF" w:themeFill="background1" w:themeFillShade="BF"/>
            <w:vAlign w:val="center"/>
          </w:tcPr>
          <w:p w14:paraId="451ECB62" w14:textId="33F08D40" w:rsidR="006C0DD0" w:rsidRPr="00A06635" w:rsidRDefault="006C0DD0" w:rsidP="00500BD0">
            <w:pPr>
              <w:spacing w:before="120" w:line="336" w:lineRule="auto"/>
              <w:jc w:val="right"/>
              <w:rPr>
                <w:sz w:val="18"/>
                <w:szCs w:val="18"/>
              </w:rPr>
            </w:pPr>
            <w:r w:rsidRPr="00A06635">
              <w:rPr>
                <w:sz w:val="18"/>
                <w:szCs w:val="18"/>
              </w:rPr>
              <w:t>6,2 %</w:t>
            </w:r>
          </w:p>
        </w:tc>
        <w:tc>
          <w:tcPr>
            <w:tcW w:w="850" w:type="dxa"/>
            <w:shd w:val="clear" w:color="auto" w:fill="BFBFBF" w:themeFill="background1" w:themeFillShade="BF"/>
            <w:vAlign w:val="center"/>
          </w:tcPr>
          <w:p w14:paraId="496D4E0F" w14:textId="2E67A645" w:rsidR="006C0DD0" w:rsidRPr="00A06635" w:rsidRDefault="006C0DD0" w:rsidP="00500BD0">
            <w:pPr>
              <w:spacing w:before="120" w:line="336" w:lineRule="auto"/>
              <w:jc w:val="right"/>
              <w:rPr>
                <w:sz w:val="18"/>
                <w:szCs w:val="18"/>
              </w:rPr>
            </w:pPr>
            <w:r w:rsidRPr="00A06635">
              <w:rPr>
                <w:sz w:val="18"/>
                <w:szCs w:val="18"/>
              </w:rPr>
              <w:t>4,6 %</w:t>
            </w:r>
          </w:p>
        </w:tc>
        <w:tc>
          <w:tcPr>
            <w:tcW w:w="851" w:type="dxa"/>
            <w:shd w:val="clear" w:color="auto" w:fill="BFBFBF" w:themeFill="background1" w:themeFillShade="BF"/>
            <w:vAlign w:val="center"/>
          </w:tcPr>
          <w:p w14:paraId="01587F07" w14:textId="59626C9F" w:rsidR="006C0DD0" w:rsidRPr="00A06635" w:rsidRDefault="006C0DD0" w:rsidP="00500BD0">
            <w:pPr>
              <w:spacing w:before="120" w:line="336" w:lineRule="auto"/>
              <w:jc w:val="right"/>
              <w:rPr>
                <w:sz w:val="18"/>
                <w:szCs w:val="18"/>
              </w:rPr>
            </w:pPr>
            <w:r w:rsidRPr="00A06635">
              <w:rPr>
                <w:sz w:val="18"/>
                <w:szCs w:val="18"/>
              </w:rPr>
              <w:t>3,2 %</w:t>
            </w:r>
          </w:p>
        </w:tc>
        <w:tc>
          <w:tcPr>
            <w:tcW w:w="850" w:type="dxa"/>
            <w:shd w:val="clear" w:color="auto" w:fill="BFBFBF" w:themeFill="background1" w:themeFillShade="BF"/>
            <w:vAlign w:val="center"/>
          </w:tcPr>
          <w:p w14:paraId="3B0DE066" w14:textId="2FEDFB83" w:rsidR="006C0DD0" w:rsidRPr="00A06635" w:rsidRDefault="006C0DD0" w:rsidP="00500BD0">
            <w:pPr>
              <w:spacing w:before="120" w:line="336" w:lineRule="auto"/>
              <w:jc w:val="right"/>
              <w:rPr>
                <w:sz w:val="18"/>
                <w:szCs w:val="18"/>
              </w:rPr>
            </w:pPr>
            <w:r w:rsidRPr="00A06635">
              <w:rPr>
                <w:sz w:val="18"/>
                <w:szCs w:val="18"/>
              </w:rPr>
              <w:t>1,2 %</w:t>
            </w:r>
          </w:p>
        </w:tc>
        <w:tc>
          <w:tcPr>
            <w:tcW w:w="874" w:type="dxa"/>
            <w:shd w:val="clear" w:color="auto" w:fill="BFBFBF" w:themeFill="background1" w:themeFillShade="BF"/>
            <w:vAlign w:val="center"/>
          </w:tcPr>
          <w:p w14:paraId="1E666D05" w14:textId="57D68BB5" w:rsidR="006C0DD0" w:rsidRPr="00A06635" w:rsidRDefault="006C0DD0" w:rsidP="00500BD0">
            <w:pPr>
              <w:spacing w:before="120" w:line="336" w:lineRule="auto"/>
              <w:jc w:val="right"/>
              <w:rPr>
                <w:sz w:val="18"/>
                <w:szCs w:val="18"/>
              </w:rPr>
            </w:pPr>
            <w:r w:rsidRPr="00A06635">
              <w:rPr>
                <w:sz w:val="18"/>
                <w:szCs w:val="18"/>
              </w:rPr>
              <w:t>2,6 %</w:t>
            </w:r>
          </w:p>
        </w:tc>
        <w:tc>
          <w:tcPr>
            <w:tcW w:w="842" w:type="dxa"/>
            <w:shd w:val="clear" w:color="auto" w:fill="BFBFBF" w:themeFill="background1" w:themeFillShade="BF"/>
            <w:vAlign w:val="center"/>
          </w:tcPr>
          <w:p w14:paraId="5A710E17" w14:textId="5CBA84A8" w:rsidR="006C0DD0" w:rsidRPr="00A06635" w:rsidRDefault="006C0DD0" w:rsidP="00500BD0">
            <w:pPr>
              <w:spacing w:before="120" w:line="336" w:lineRule="auto"/>
              <w:jc w:val="right"/>
              <w:rPr>
                <w:sz w:val="18"/>
                <w:szCs w:val="18"/>
              </w:rPr>
            </w:pPr>
            <w:r w:rsidRPr="00A06635">
              <w:rPr>
                <w:sz w:val="18"/>
                <w:szCs w:val="18"/>
              </w:rPr>
              <w:t>4,6 %</w:t>
            </w:r>
          </w:p>
        </w:tc>
        <w:tc>
          <w:tcPr>
            <w:tcW w:w="843" w:type="dxa"/>
            <w:shd w:val="clear" w:color="auto" w:fill="BFBFBF" w:themeFill="background1" w:themeFillShade="BF"/>
            <w:vAlign w:val="center"/>
          </w:tcPr>
          <w:p w14:paraId="3E3667D1" w14:textId="7A7FFC11" w:rsidR="006C0DD0" w:rsidRPr="00A06635" w:rsidRDefault="006C0DD0" w:rsidP="00500BD0">
            <w:pPr>
              <w:spacing w:before="120" w:line="336" w:lineRule="auto"/>
              <w:jc w:val="right"/>
              <w:rPr>
                <w:sz w:val="18"/>
                <w:szCs w:val="18"/>
              </w:rPr>
            </w:pPr>
            <w:r w:rsidRPr="00A06635">
              <w:rPr>
                <w:sz w:val="18"/>
                <w:szCs w:val="18"/>
              </w:rPr>
              <w:t>1,6 %</w:t>
            </w:r>
          </w:p>
        </w:tc>
        <w:tc>
          <w:tcPr>
            <w:tcW w:w="837" w:type="dxa"/>
            <w:shd w:val="clear" w:color="auto" w:fill="BFBFBF" w:themeFill="background1" w:themeFillShade="BF"/>
            <w:vAlign w:val="center"/>
          </w:tcPr>
          <w:p w14:paraId="48398023" w14:textId="1AF60C9E" w:rsidR="006C0DD0" w:rsidRPr="00A06635" w:rsidRDefault="006C0DD0" w:rsidP="00500BD0">
            <w:pPr>
              <w:spacing w:before="120" w:line="336" w:lineRule="auto"/>
              <w:jc w:val="right"/>
              <w:rPr>
                <w:sz w:val="18"/>
                <w:szCs w:val="18"/>
              </w:rPr>
            </w:pPr>
            <w:r w:rsidRPr="00A06635">
              <w:rPr>
                <w:sz w:val="18"/>
                <w:szCs w:val="18"/>
              </w:rPr>
              <w:t>4,3 %</w:t>
            </w:r>
          </w:p>
        </w:tc>
      </w:tr>
    </w:tbl>
    <w:p w14:paraId="65AA874E" w14:textId="3A8DE871" w:rsidR="00FF03AE" w:rsidRPr="00FF03AE" w:rsidRDefault="00FF03AE" w:rsidP="00FF03AE">
      <w:pPr>
        <w:spacing w:after="0" w:line="336" w:lineRule="auto"/>
        <w:jc w:val="right"/>
        <w:rPr>
          <w:sz w:val="18"/>
          <w:szCs w:val="18"/>
        </w:rPr>
      </w:pPr>
      <w:r w:rsidRPr="00FF03AE">
        <w:rPr>
          <w:sz w:val="18"/>
          <w:szCs w:val="18"/>
        </w:rPr>
        <w:t>Zdroj: ŠÚ SR</w:t>
      </w:r>
    </w:p>
    <w:p w14:paraId="551A139C" w14:textId="56FCFC56" w:rsidR="00801893" w:rsidRPr="00392B0F" w:rsidRDefault="006C0DD0" w:rsidP="005E2062">
      <w:pPr>
        <w:spacing w:before="240" w:after="0" w:line="336" w:lineRule="auto"/>
        <w:jc w:val="both"/>
        <w:rPr>
          <w:b/>
          <w:szCs w:val="22"/>
        </w:rPr>
      </w:pPr>
      <w:r w:rsidRPr="008F4387">
        <w:rPr>
          <w:b/>
          <w:szCs w:val="22"/>
        </w:rPr>
        <w:t>Z dôvodu prehľadnosti opisu výsledkov hospodárenia verejnej správy za rok 2018 ako aj z dôvodu vykonanej rutinnej a benchmarkovej revízie predchádzajúcich rokov, sú v nasledovnom texte porovnávané už len revidované hodnoty</w:t>
      </w:r>
      <w:r>
        <w:rPr>
          <w:b/>
          <w:szCs w:val="22"/>
        </w:rPr>
        <w:t xml:space="preserve"> (saldo, dlh)</w:t>
      </w:r>
      <w:r w:rsidRPr="008F4387">
        <w:rPr>
          <w:b/>
          <w:szCs w:val="22"/>
        </w:rPr>
        <w:t xml:space="preserve"> za roky 2017 a 2016.</w:t>
      </w:r>
      <w:r>
        <w:rPr>
          <w:b/>
          <w:szCs w:val="22"/>
        </w:rPr>
        <w:t xml:space="preserve"> Dôraz sa kladie na porovnávanie dosiahnutej skutočnosti za rok 2018 oproti roku </w:t>
      </w:r>
      <w:r w:rsidRPr="00392B0F">
        <w:rPr>
          <w:b/>
          <w:szCs w:val="22"/>
        </w:rPr>
        <w:t>2017</w:t>
      </w:r>
      <w:r w:rsidR="00A55D2C" w:rsidRPr="00392B0F">
        <w:rPr>
          <w:b/>
          <w:szCs w:val="22"/>
        </w:rPr>
        <w:t xml:space="preserve">, pričom príjmy a výdavky </w:t>
      </w:r>
      <w:r w:rsidR="00801893" w:rsidRPr="00392B0F">
        <w:rPr>
          <w:b/>
          <w:szCs w:val="22"/>
        </w:rPr>
        <w:t xml:space="preserve">pri skupine subjektov alebo konkrétnom subjekte verejnej správy </w:t>
      </w:r>
      <w:r w:rsidR="00A55D2C" w:rsidRPr="00392B0F">
        <w:rPr>
          <w:b/>
          <w:szCs w:val="22"/>
        </w:rPr>
        <w:t>sú opisované na nekonsolidovanej báze</w:t>
      </w:r>
      <w:r w:rsidRPr="00392B0F">
        <w:rPr>
          <w:b/>
          <w:szCs w:val="22"/>
        </w:rPr>
        <w:t>.</w:t>
      </w:r>
    </w:p>
    <w:p w14:paraId="42694BDB" w14:textId="77777777" w:rsidR="00801893" w:rsidRDefault="00801893">
      <w:pPr>
        <w:rPr>
          <w:b/>
          <w:color w:val="FF0000"/>
          <w:szCs w:val="22"/>
        </w:rPr>
      </w:pPr>
      <w:r>
        <w:rPr>
          <w:b/>
          <w:color w:val="FF0000"/>
          <w:szCs w:val="22"/>
        </w:rPr>
        <w:br w:type="page"/>
      </w:r>
    </w:p>
    <w:p w14:paraId="1E8D5572" w14:textId="7C6C0D2D" w:rsidR="003D050C" w:rsidRPr="006C0DD0" w:rsidRDefault="00B051D3" w:rsidP="00B051D3">
      <w:pPr>
        <w:pStyle w:val="Nadpis2"/>
        <w:numPr>
          <w:ilvl w:val="0"/>
          <w:numId w:val="0"/>
        </w:numPr>
        <w:spacing w:after="120"/>
        <w:ind w:left="896"/>
      </w:pPr>
      <w:bookmarkStart w:id="19" w:name="_Toc23264791"/>
      <w:r w:rsidRPr="006C0DD0">
        <w:t xml:space="preserve">1.1. </w:t>
      </w:r>
      <w:bookmarkStart w:id="20" w:name="_Toc496786974"/>
      <w:r w:rsidR="00C102B8" w:rsidRPr="006C0DD0">
        <w:tab/>
      </w:r>
      <w:r w:rsidR="003D050C" w:rsidRPr="006C0DD0">
        <w:t>Saldo verejnej správy</w:t>
      </w:r>
      <w:bookmarkEnd w:id="20"/>
      <w:bookmarkEnd w:id="19"/>
    </w:p>
    <w:p w14:paraId="2C044157" w14:textId="77777777" w:rsidR="006C0DD0" w:rsidRDefault="006C0DD0" w:rsidP="006C0DD0">
      <w:pPr>
        <w:spacing w:before="120" w:after="0" w:line="336" w:lineRule="auto"/>
        <w:jc w:val="both"/>
        <w:rPr>
          <w:szCs w:val="22"/>
        </w:rPr>
      </w:pPr>
      <w:r w:rsidRPr="007E1464">
        <w:rPr>
          <w:szCs w:val="22"/>
        </w:rPr>
        <w:t>Verejná správa S</w:t>
      </w:r>
      <w:r>
        <w:rPr>
          <w:szCs w:val="22"/>
        </w:rPr>
        <w:t>R</w:t>
      </w:r>
      <w:r w:rsidRPr="007E1464">
        <w:rPr>
          <w:szCs w:val="22"/>
        </w:rPr>
        <w:t xml:space="preserve"> na základe výsledkov jesennej notifikácie hospodárila v roku 2018 podľa metodiky ESA 2010 so </w:t>
      </w:r>
      <w:r w:rsidRPr="007E1464">
        <w:rPr>
          <w:b/>
          <w:szCs w:val="22"/>
        </w:rPr>
        <w:t>schodkom 951</w:t>
      </w:r>
      <w:r>
        <w:rPr>
          <w:b/>
          <w:szCs w:val="22"/>
        </w:rPr>
        <w:t> </w:t>
      </w:r>
      <w:r w:rsidRPr="007E1464">
        <w:rPr>
          <w:b/>
          <w:szCs w:val="22"/>
        </w:rPr>
        <w:t>204 tis.</w:t>
      </w:r>
      <w:r>
        <w:rPr>
          <w:b/>
          <w:szCs w:val="22"/>
        </w:rPr>
        <w:t> </w:t>
      </w:r>
      <w:r w:rsidRPr="007E1464">
        <w:rPr>
          <w:b/>
          <w:szCs w:val="22"/>
        </w:rPr>
        <w:t>eur (1,</w:t>
      </w:r>
      <w:r>
        <w:rPr>
          <w:b/>
          <w:szCs w:val="22"/>
        </w:rPr>
        <w:t>1 % </w:t>
      </w:r>
      <w:r w:rsidRPr="007E1464">
        <w:rPr>
          <w:b/>
          <w:szCs w:val="22"/>
        </w:rPr>
        <w:t>HDP)</w:t>
      </w:r>
      <w:r w:rsidRPr="007E1464">
        <w:rPr>
          <w:szCs w:val="22"/>
        </w:rPr>
        <w:t>. Schodok v pomere k HDP za rok 2018 vzrástol oproti roku 2017 o</w:t>
      </w:r>
      <w:r>
        <w:rPr>
          <w:szCs w:val="22"/>
        </w:rPr>
        <w:t> </w:t>
      </w:r>
      <w:r w:rsidRPr="007E1464">
        <w:rPr>
          <w:szCs w:val="22"/>
        </w:rPr>
        <w:t>0,1</w:t>
      </w:r>
      <w:r>
        <w:rPr>
          <w:szCs w:val="22"/>
        </w:rPr>
        <w:t> </w:t>
      </w:r>
      <w:r w:rsidRPr="007E1464">
        <w:rPr>
          <w:szCs w:val="22"/>
        </w:rPr>
        <w:t>p.</w:t>
      </w:r>
      <w:r>
        <w:rPr>
          <w:szCs w:val="22"/>
        </w:rPr>
        <w:t> </w:t>
      </w:r>
      <w:r w:rsidRPr="007E1464">
        <w:rPr>
          <w:szCs w:val="22"/>
        </w:rPr>
        <w:t xml:space="preserve">b. </w:t>
      </w:r>
    </w:p>
    <w:tbl>
      <w:tblPr>
        <w:tblW w:w="9089" w:type="dxa"/>
        <w:tblCellMar>
          <w:left w:w="70" w:type="dxa"/>
          <w:right w:w="70" w:type="dxa"/>
        </w:tblCellMar>
        <w:tblLook w:val="04A0" w:firstRow="1" w:lastRow="0" w:firstColumn="1" w:lastColumn="0" w:noHBand="0" w:noVBand="1"/>
      </w:tblPr>
      <w:tblGrid>
        <w:gridCol w:w="3042"/>
        <w:gridCol w:w="1003"/>
        <w:gridCol w:w="1388"/>
        <w:gridCol w:w="1450"/>
        <w:gridCol w:w="1103"/>
        <w:gridCol w:w="1103"/>
      </w:tblGrid>
      <w:tr w:rsidR="006C0DD0" w:rsidRPr="007E1464" w14:paraId="1AD804FC" w14:textId="77777777" w:rsidTr="00500BD0">
        <w:trPr>
          <w:trHeight w:val="324"/>
        </w:trPr>
        <w:tc>
          <w:tcPr>
            <w:tcW w:w="6883" w:type="dxa"/>
            <w:gridSpan w:val="4"/>
            <w:tcBorders>
              <w:top w:val="nil"/>
              <w:left w:val="nil"/>
              <w:bottom w:val="nil"/>
              <w:right w:val="nil"/>
            </w:tcBorders>
            <w:shd w:val="clear" w:color="000000" w:fill="000000"/>
            <w:noWrap/>
            <w:vAlign w:val="bottom"/>
            <w:hideMark/>
          </w:tcPr>
          <w:p w14:paraId="3A4B7D26" w14:textId="77777777" w:rsidR="006C0DD0" w:rsidRPr="007E1464" w:rsidRDefault="006C0DD0" w:rsidP="002B64DD">
            <w:pPr>
              <w:spacing w:before="120" w:after="120" w:line="240" w:lineRule="auto"/>
              <w:rPr>
                <w:b/>
                <w:bCs/>
                <w:color w:val="FFFFFF"/>
                <w:sz w:val="20"/>
                <w:szCs w:val="20"/>
                <w:lang w:eastAsia="sk-SK"/>
              </w:rPr>
            </w:pPr>
            <w:r w:rsidRPr="007E1464">
              <w:rPr>
                <w:b/>
                <w:bCs/>
                <w:color w:val="FFFFFF"/>
                <w:sz w:val="20"/>
                <w:szCs w:val="20"/>
                <w:lang w:eastAsia="sk-SK"/>
              </w:rPr>
              <w:t xml:space="preserve">Saldo verejnej správy podľa </w:t>
            </w:r>
            <w:r>
              <w:rPr>
                <w:b/>
                <w:bCs/>
                <w:color w:val="FFFFFF"/>
                <w:sz w:val="20"/>
                <w:szCs w:val="20"/>
                <w:lang w:eastAsia="sk-SK"/>
              </w:rPr>
              <w:t>sub</w:t>
            </w:r>
            <w:r w:rsidRPr="007E1464">
              <w:rPr>
                <w:b/>
                <w:bCs/>
                <w:color w:val="FFFFFF"/>
                <w:sz w:val="20"/>
                <w:szCs w:val="20"/>
                <w:lang w:eastAsia="sk-SK"/>
              </w:rPr>
              <w:t>sektorov (ESA 2010)</w:t>
            </w:r>
          </w:p>
        </w:tc>
        <w:tc>
          <w:tcPr>
            <w:tcW w:w="1103" w:type="dxa"/>
            <w:tcBorders>
              <w:top w:val="nil"/>
              <w:left w:val="nil"/>
              <w:bottom w:val="nil"/>
              <w:right w:val="nil"/>
            </w:tcBorders>
            <w:shd w:val="clear" w:color="000000" w:fill="000000"/>
            <w:noWrap/>
            <w:vAlign w:val="bottom"/>
            <w:hideMark/>
          </w:tcPr>
          <w:p w14:paraId="7D0CECC6" w14:textId="77777777" w:rsidR="006C0DD0" w:rsidRPr="007E1464" w:rsidRDefault="006C0DD0" w:rsidP="00500BD0">
            <w:pPr>
              <w:spacing w:after="0" w:line="240" w:lineRule="auto"/>
              <w:rPr>
                <w:b/>
                <w:bCs/>
                <w:color w:val="FFFFFF"/>
                <w:sz w:val="20"/>
                <w:szCs w:val="20"/>
                <w:lang w:eastAsia="sk-SK"/>
              </w:rPr>
            </w:pPr>
            <w:r w:rsidRPr="007E1464">
              <w:rPr>
                <w:b/>
                <w:bCs/>
                <w:color w:val="FFFFFF"/>
                <w:sz w:val="20"/>
                <w:szCs w:val="20"/>
                <w:lang w:eastAsia="sk-SK"/>
              </w:rPr>
              <w:t> </w:t>
            </w:r>
          </w:p>
        </w:tc>
        <w:tc>
          <w:tcPr>
            <w:tcW w:w="1103" w:type="dxa"/>
            <w:tcBorders>
              <w:top w:val="nil"/>
              <w:left w:val="nil"/>
              <w:bottom w:val="nil"/>
              <w:right w:val="nil"/>
            </w:tcBorders>
            <w:shd w:val="clear" w:color="000000" w:fill="000000"/>
            <w:noWrap/>
            <w:vAlign w:val="bottom"/>
            <w:hideMark/>
          </w:tcPr>
          <w:p w14:paraId="73E45D31" w14:textId="77777777" w:rsidR="006C0DD0" w:rsidRPr="007E1464" w:rsidRDefault="006C0DD0" w:rsidP="00500BD0">
            <w:pPr>
              <w:spacing w:after="0" w:line="240" w:lineRule="auto"/>
              <w:rPr>
                <w:b/>
                <w:bCs/>
                <w:color w:val="FFFFFF"/>
                <w:sz w:val="20"/>
                <w:szCs w:val="20"/>
                <w:lang w:eastAsia="sk-SK"/>
              </w:rPr>
            </w:pPr>
            <w:r w:rsidRPr="007E1464">
              <w:rPr>
                <w:b/>
                <w:bCs/>
                <w:color w:val="FFFFFF"/>
                <w:sz w:val="20"/>
                <w:szCs w:val="20"/>
                <w:lang w:eastAsia="sk-SK"/>
              </w:rPr>
              <w:t> </w:t>
            </w:r>
          </w:p>
        </w:tc>
      </w:tr>
      <w:tr w:rsidR="006C0DD0" w:rsidRPr="007E1464" w14:paraId="3B885067" w14:textId="77777777" w:rsidTr="00500BD0">
        <w:trPr>
          <w:trHeight w:val="262"/>
        </w:trPr>
        <w:tc>
          <w:tcPr>
            <w:tcW w:w="3042" w:type="dxa"/>
            <w:tcBorders>
              <w:top w:val="nil"/>
              <w:left w:val="nil"/>
              <w:bottom w:val="nil"/>
              <w:right w:val="nil"/>
            </w:tcBorders>
            <w:shd w:val="clear" w:color="000000" w:fill="C0C0C0"/>
            <w:hideMark/>
          </w:tcPr>
          <w:p w14:paraId="6C43E57A"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1003" w:type="dxa"/>
            <w:vMerge w:val="restart"/>
            <w:tcBorders>
              <w:top w:val="nil"/>
              <w:left w:val="nil"/>
              <w:bottom w:val="single" w:sz="4" w:space="0" w:color="000000"/>
              <w:right w:val="nil"/>
            </w:tcBorders>
            <w:shd w:val="clear" w:color="000000" w:fill="C0C0C0"/>
            <w:vAlign w:val="center"/>
            <w:hideMark/>
          </w:tcPr>
          <w:p w14:paraId="03C7606D"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ESA kód</w:t>
            </w:r>
          </w:p>
        </w:tc>
        <w:tc>
          <w:tcPr>
            <w:tcW w:w="1388" w:type="dxa"/>
            <w:tcBorders>
              <w:top w:val="nil"/>
              <w:left w:val="nil"/>
              <w:bottom w:val="nil"/>
              <w:right w:val="nil"/>
            </w:tcBorders>
            <w:shd w:val="clear" w:color="000000" w:fill="C0C0C0"/>
            <w:hideMark/>
          </w:tcPr>
          <w:p w14:paraId="12CAE6AE"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2016</w:t>
            </w:r>
          </w:p>
        </w:tc>
        <w:tc>
          <w:tcPr>
            <w:tcW w:w="1450" w:type="dxa"/>
            <w:tcBorders>
              <w:top w:val="nil"/>
              <w:left w:val="nil"/>
              <w:bottom w:val="nil"/>
              <w:right w:val="nil"/>
            </w:tcBorders>
            <w:shd w:val="clear" w:color="000000" w:fill="C0C0C0"/>
            <w:hideMark/>
          </w:tcPr>
          <w:p w14:paraId="0D0053B7"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2017</w:t>
            </w:r>
          </w:p>
        </w:tc>
        <w:tc>
          <w:tcPr>
            <w:tcW w:w="1103" w:type="dxa"/>
            <w:tcBorders>
              <w:top w:val="nil"/>
              <w:left w:val="nil"/>
              <w:bottom w:val="nil"/>
              <w:right w:val="nil"/>
            </w:tcBorders>
            <w:shd w:val="clear" w:color="000000" w:fill="C0C0C0"/>
            <w:hideMark/>
          </w:tcPr>
          <w:p w14:paraId="6098574A"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2018</w:t>
            </w:r>
          </w:p>
        </w:tc>
        <w:tc>
          <w:tcPr>
            <w:tcW w:w="1103" w:type="dxa"/>
            <w:tcBorders>
              <w:top w:val="nil"/>
              <w:left w:val="nil"/>
              <w:bottom w:val="nil"/>
              <w:right w:val="nil"/>
            </w:tcBorders>
            <w:shd w:val="clear" w:color="000000" w:fill="C0C0C0"/>
            <w:hideMark/>
          </w:tcPr>
          <w:p w14:paraId="4F599A7B"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2018</w:t>
            </w:r>
          </w:p>
        </w:tc>
      </w:tr>
      <w:tr w:rsidR="006C0DD0" w:rsidRPr="007E1464" w14:paraId="23AE6951" w14:textId="77777777" w:rsidTr="00500BD0">
        <w:trPr>
          <w:trHeight w:val="262"/>
        </w:trPr>
        <w:tc>
          <w:tcPr>
            <w:tcW w:w="3042" w:type="dxa"/>
            <w:tcBorders>
              <w:top w:val="nil"/>
              <w:left w:val="nil"/>
              <w:bottom w:val="single" w:sz="4" w:space="0" w:color="auto"/>
              <w:right w:val="nil"/>
            </w:tcBorders>
            <w:shd w:val="clear" w:color="000000" w:fill="C0C0C0"/>
            <w:hideMark/>
          </w:tcPr>
          <w:p w14:paraId="77815296"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1003" w:type="dxa"/>
            <w:vMerge/>
            <w:tcBorders>
              <w:top w:val="nil"/>
              <w:left w:val="nil"/>
              <w:bottom w:val="single" w:sz="4" w:space="0" w:color="000000"/>
              <w:right w:val="nil"/>
            </w:tcBorders>
            <w:vAlign w:val="center"/>
            <w:hideMark/>
          </w:tcPr>
          <w:p w14:paraId="374A3629" w14:textId="77777777" w:rsidR="006C0DD0" w:rsidRPr="007E1464" w:rsidRDefault="006C0DD0" w:rsidP="00500BD0">
            <w:pPr>
              <w:spacing w:after="0" w:line="240" w:lineRule="auto"/>
              <w:rPr>
                <w:sz w:val="20"/>
                <w:szCs w:val="20"/>
                <w:lang w:eastAsia="sk-SK"/>
              </w:rPr>
            </w:pPr>
          </w:p>
        </w:tc>
        <w:tc>
          <w:tcPr>
            <w:tcW w:w="1388" w:type="dxa"/>
            <w:tcBorders>
              <w:top w:val="nil"/>
              <w:left w:val="nil"/>
              <w:bottom w:val="single" w:sz="4" w:space="0" w:color="auto"/>
              <w:right w:val="nil"/>
            </w:tcBorders>
            <w:shd w:val="clear" w:color="000000" w:fill="C0C0C0"/>
            <w:hideMark/>
          </w:tcPr>
          <w:p w14:paraId="350C8B80"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 HDP</w:t>
            </w:r>
          </w:p>
        </w:tc>
        <w:tc>
          <w:tcPr>
            <w:tcW w:w="1450" w:type="dxa"/>
            <w:tcBorders>
              <w:top w:val="nil"/>
              <w:left w:val="nil"/>
              <w:bottom w:val="single" w:sz="4" w:space="0" w:color="auto"/>
              <w:right w:val="nil"/>
            </w:tcBorders>
            <w:shd w:val="clear" w:color="000000" w:fill="C0C0C0"/>
            <w:hideMark/>
          </w:tcPr>
          <w:p w14:paraId="3D5087B7"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 HDP</w:t>
            </w:r>
          </w:p>
        </w:tc>
        <w:tc>
          <w:tcPr>
            <w:tcW w:w="1103" w:type="dxa"/>
            <w:tcBorders>
              <w:top w:val="nil"/>
              <w:left w:val="nil"/>
              <w:bottom w:val="single" w:sz="4" w:space="0" w:color="auto"/>
              <w:right w:val="nil"/>
            </w:tcBorders>
            <w:shd w:val="clear" w:color="000000" w:fill="C0C0C0"/>
            <w:hideMark/>
          </w:tcPr>
          <w:p w14:paraId="557345A1"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 HDP</w:t>
            </w:r>
          </w:p>
        </w:tc>
        <w:tc>
          <w:tcPr>
            <w:tcW w:w="1103" w:type="dxa"/>
            <w:tcBorders>
              <w:top w:val="nil"/>
              <w:left w:val="nil"/>
              <w:bottom w:val="single" w:sz="4" w:space="0" w:color="auto"/>
              <w:right w:val="nil"/>
            </w:tcBorders>
            <w:shd w:val="clear" w:color="000000" w:fill="C0C0C0"/>
            <w:hideMark/>
          </w:tcPr>
          <w:p w14:paraId="42431CA3"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tis. eur</w:t>
            </w:r>
          </w:p>
        </w:tc>
      </w:tr>
      <w:tr w:rsidR="006C0DD0" w:rsidRPr="007E1464" w14:paraId="4A6BF6EB" w14:textId="77777777" w:rsidTr="00500BD0">
        <w:trPr>
          <w:trHeight w:val="340"/>
        </w:trPr>
        <w:tc>
          <w:tcPr>
            <w:tcW w:w="3042" w:type="dxa"/>
            <w:tcBorders>
              <w:top w:val="nil"/>
              <w:left w:val="nil"/>
              <w:bottom w:val="nil"/>
              <w:right w:val="nil"/>
            </w:tcBorders>
            <w:shd w:val="clear" w:color="auto" w:fill="auto"/>
            <w:vAlign w:val="center"/>
            <w:hideMark/>
          </w:tcPr>
          <w:p w14:paraId="750B0291" w14:textId="77777777" w:rsidR="006C0DD0" w:rsidRPr="007E1464" w:rsidRDefault="006C0DD0" w:rsidP="00500BD0">
            <w:pPr>
              <w:spacing w:after="0" w:line="240" w:lineRule="auto"/>
              <w:rPr>
                <w:sz w:val="20"/>
                <w:szCs w:val="20"/>
                <w:lang w:eastAsia="sk-SK"/>
              </w:rPr>
            </w:pPr>
            <w:r w:rsidRPr="007E1464">
              <w:rPr>
                <w:sz w:val="20"/>
                <w:szCs w:val="20"/>
                <w:lang w:eastAsia="sk-SK"/>
              </w:rPr>
              <w:t>1. Verejná správa</w:t>
            </w:r>
          </w:p>
        </w:tc>
        <w:tc>
          <w:tcPr>
            <w:tcW w:w="1003" w:type="dxa"/>
            <w:tcBorders>
              <w:top w:val="nil"/>
              <w:left w:val="nil"/>
              <w:bottom w:val="nil"/>
              <w:right w:val="nil"/>
            </w:tcBorders>
            <w:shd w:val="clear" w:color="auto" w:fill="auto"/>
            <w:vAlign w:val="center"/>
            <w:hideMark/>
          </w:tcPr>
          <w:p w14:paraId="426E7314"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S.13</w:t>
            </w:r>
          </w:p>
        </w:tc>
        <w:tc>
          <w:tcPr>
            <w:tcW w:w="1388" w:type="dxa"/>
            <w:tcBorders>
              <w:top w:val="nil"/>
              <w:left w:val="nil"/>
              <w:bottom w:val="nil"/>
              <w:right w:val="nil"/>
            </w:tcBorders>
            <w:shd w:val="clear" w:color="auto" w:fill="auto"/>
            <w:vAlign w:val="center"/>
            <w:hideMark/>
          </w:tcPr>
          <w:p w14:paraId="2241B097"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-2,5</w:t>
            </w:r>
          </w:p>
        </w:tc>
        <w:tc>
          <w:tcPr>
            <w:tcW w:w="1450" w:type="dxa"/>
            <w:tcBorders>
              <w:top w:val="nil"/>
              <w:left w:val="nil"/>
              <w:bottom w:val="nil"/>
              <w:right w:val="nil"/>
            </w:tcBorders>
            <w:shd w:val="clear" w:color="auto" w:fill="auto"/>
            <w:vAlign w:val="center"/>
            <w:hideMark/>
          </w:tcPr>
          <w:p w14:paraId="4D206107"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-1,0</w:t>
            </w:r>
          </w:p>
        </w:tc>
        <w:tc>
          <w:tcPr>
            <w:tcW w:w="1103" w:type="dxa"/>
            <w:tcBorders>
              <w:top w:val="nil"/>
              <w:left w:val="nil"/>
              <w:bottom w:val="nil"/>
              <w:right w:val="nil"/>
            </w:tcBorders>
            <w:shd w:val="clear" w:color="auto" w:fill="auto"/>
            <w:vAlign w:val="center"/>
            <w:hideMark/>
          </w:tcPr>
          <w:p w14:paraId="6E373104"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-1,1</w:t>
            </w:r>
          </w:p>
        </w:tc>
        <w:tc>
          <w:tcPr>
            <w:tcW w:w="1103" w:type="dxa"/>
            <w:tcBorders>
              <w:top w:val="nil"/>
              <w:left w:val="nil"/>
              <w:bottom w:val="nil"/>
              <w:right w:val="nil"/>
            </w:tcBorders>
            <w:shd w:val="clear" w:color="auto" w:fill="auto"/>
            <w:vAlign w:val="center"/>
            <w:hideMark/>
          </w:tcPr>
          <w:p w14:paraId="566060BC"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-951 204</w:t>
            </w:r>
          </w:p>
        </w:tc>
      </w:tr>
      <w:tr w:rsidR="006C0DD0" w:rsidRPr="007E1464" w14:paraId="1B062A0E" w14:textId="77777777" w:rsidTr="00500BD0">
        <w:trPr>
          <w:trHeight w:val="340"/>
        </w:trPr>
        <w:tc>
          <w:tcPr>
            <w:tcW w:w="3042" w:type="dxa"/>
            <w:tcBorders>
              <w:top w:val="nil"/>
              <w:left w:val="nil"/>
              <w:bottom w:val="nil"/>
              <w:right w:val="nil"/>
            </w:tcBorders>
            <w:shd w:val="clear" w:color="auto" w:fill="auto"/>
            <w:vAlign w:val="center"/>
            <w:hideMark/>
          </w:tcPr>
          <w:p w14:paraId="2AEC816B" w14:textId="77777777" w:rsidR="006C0DD0" w:rsidRPr="007E1464" w:rsidRDefault="006C0DD0" w:rsidP="00500BD0">
            <w:pPr>
              <w:spacing w:after="0" w:line="240" w:lineRule="auto"/>
              <w:rPr>
                <w:sz w:val="20"/>
                <w:szCs w:val="20"/>
                <w:lang w:eastAsia="sk-SK"/>
              </w:rPr>
            </w:pPr>
            <w:r w:rsidRPr="007E1464">
              <w:rPr>
                <w:sz w:val="20"/>
                <w:szCs w:val="20"/>
                <w:lang w:eastAsia="sk-SK"/>
              </w:rPr>
              <w:t>2. Ústredná štátna správa</w:t>
            </w:r>
          </w:p>
        </w:tc>
        <w:tc>
          <w:tcPr>
            <w:tcW w:w="1003" w:type="dxa"/>
            <w:tcBorders>
              <w:top w:val="nil"/>
              <w:left w:val="nil"/>
              <w:bottom w:val="nil"/>
              <w:right w:val="nil"/>
            </w:tcBorders>
            <w:shd w:val="clear" w:color="auto" w:fill="auto"/>
            <w:vAlign w:val="center"/>
            <w:hideMark/>
          </w:tcPr>
          <w:p w14:paraId="4E2DBCDD"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S.1311</w:t>
            </w:r>
          </w:p>
        </w:tc>
        <w:tc>
          <w:tcPr>
            <w:tcW w:w="1388" w:type="dxa"/>
            <w:tcBorders>
              <w:top w:val="nil"/>
              <w:left w:val="nil"/>
              <w:bottom w:val="nil"/>
              <w:right w:val="nil"/>
            </w:tcBorders>
            <w:shd w:val="clear" w:color="auto" w:fill="auto"/>
            <w:vAlign w:val="center"/>
            <w:hideMark/>
          </w:tcPr>
          <w:p w14:paraId="4BB33FB4"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-2,8</w:t>
            </w:r>
          </w:p>
        </w:tc>
        <w:tc>
          <w:tcPr>
            <w:tcW w:w="1450" w:type="dxa"/>
            <w:tcBorders>
              <w:top w:val="nil"/>
              <w:left w:val="nil"/>
              <w:bottom w:val="nil"/>
              <w:right w:val="nil"/>
            </w:tcBorders>
            <w:shd w:val="clear" w:color="auto" w:fill="auto"/>
            <w:vAlign w:val="center"/>
            <w:hideMark/>
          </w:tcPr>
          <w:p w14:paraId="369FB8EE"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-1,3</w:t>
            </w:r>
          </w:p>
        </w:tc>
        <w:tc>
          <w:tcPr>
            <w:tcW w:w="1103" w:type="dxa"/>
            <w:tcBorders>
              <w:top w:val="nil"/>
              <w:left w:val="nil"/>
              <w:bottom w:val="nil"/>
              <w:right w:val="nil"/>
            </w:tcBorders>
            <w:shd w:val="clear" w:color="auto" w:fill="auto"/>
            <w:vAlign w:val="center"/>
            <w:hideMark/>
          </w:tcPr>
          <w:p w14:paraId="28864274"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-1,3</w:t>
            </w:r>
          </w:p>
        </w:tc>
        <w:tc>
          <w:tcPr>
            <w:tcW w:w="1103" w:type="dxa"/>
            <w:tcBorders>
              <w:top w:val="nil"/>
              <w:left w:val="nil"/>
              <w:bottom w:val="nil"/>
              <w:right w:val="nil"/>
            </w:tcBorders>
            <w:shd w:val="clear" w:color="auto" w:fill="auto"/>
            <w:vAlign w:val="center"/>
            <w:hideMark/>
          </w:tcPr>
          <w:p w14:paraId="41B01443"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-1 125 478</w:t>
            </w:r>
          </w:p>
        </w:tc>
      </w:tr>
      <w:tr w:rsidR="006C0DD0" w:rsidRPr="007E1464" w14:paraId="415F8E68" w14:textId="77777777" w:rsidTr="00500BD0">
        <w:trPr>
          <w:trHeight w:val="340"/>
        </w:trPr>
        <w:tc>
          <w:tcPr>
            <w:tcW w:w="3042" w:type="dxa"/>
            <w:tcBorders>
              <w:top w:val="nil"/>
              <w:left w:val="nil"/>
              <w:bottom w:val="nil"/>
              <w:right w:val="nil"/>
            </w:tcBorders>
            <w:shd w:val="clear" w:color="auto" w:fill="auto"/>
            <w:vAlign w:val="center"/>
            <w:hideMark/>
          </w:tcPr>
          <w:p w14:paraId="56881B26" w14:textId="77777777" w:rsidR="006C0DD0" w:rsidRPr="007E1464" w:rsidRDefault="006C0DD0" w:rsidP="00500BD0">
            <w:pPr>
              <w:spacing w:after="0" w:line="240" w:lineRule="auto"/>
              <w:rPr>
                <w:sz w:val="20"/>
                <w:szCs w:val="20"/>
                <w:lang w:eastAsia="sk-SK"/>
              </w:rPr>
            </w:pPr>
            <w:r w:rsidRPr="007E1464">
              <w:rPr>
                <w:sz w:val="20"/>
                <w:szCs w:val="20"/>
                <w:lang w:eastAsia="sk-SK"/>
              </w:rPr>
              <w:t>3. Miestna štátna správa</w:t>
            </w:r>
          </w:p>
        </w:tc>
        <w:tc>
          <w:tcPr>
            <w:tcW w:w="1003" w:type="dxa"/>
            <w:tcBorders>
              <w:top w:val="nil"/>
              <w:left w:val="nil"/>
              <w:bottom w:val="nil"/>
              <w:right w:val="nil"/>
            </w:tcBorders>
            <w:shd w:val="clear" w:color="auto" w:fill="auto"/>
            <w:vAlign w:val="center"/>
            <w:hideMark/>
          </w:tcPr>
          <w:p w14:paraId="3E866642"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S.1313</w:t>
            </w:r>
          </w:p>
        </w:tc>
        <w:tc>
          <w:tcPr>
            <w:tcW w:w="1388" w:type="dxa"/>
            <w:tcBorders>
              <w:top w:val="nil"/>
              <w:left w:val="nil"/>
              <w:bottom w:val="nil"/>
              <w:right w:val="nil"/>
            </w:tcBorders>
            <w:shd w:val="clear" w:color="auto" w:fill="auto"/>
            <w:vAlign w:val="center"/>
            <w:hideMark/>
          </w:tcPr>
          <w:p w14:paraId="450DC991"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0,5</w:t>
            </w:r>
          </w:p>
        </w:tc>
        <w:tc>
          <w:tcPr>
            <w:tcW w:w="1450" w:type="dxa"/>
            <w:tcBorders>
              <w:top w:val="nil"/>
              <w:left w:val="nil"/>
              <w:bottom w:val="nil"/>
              <w:right w:val="nil"/>
            </w:tcBorders>
            <w:shd w:val="clear" w:color="auto" w:fill="auto"/>
            <w:vAlign w:val="center"/>
            <w:hideMark/>
          </w:tcPr>
          <w:p w14:paraId="3CFAA67A"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0,0</w:t>
            </w:r>
          </w:p>
        </w:tc>
        <w:tc>
          <w:tcPr>
            <w:tcW w:w="1103" w:type="dxa"/>
            <w:tcBorders>
              <w:top w:val="nil"/>
              <w:left w:val="nil"/>
              <w:bottom w:val="nil"/>
              <w:right w:val="nil"/>
            </w:tcBorders>
            <w:shd w:val="clear" w:color="auto" w:fill="auto"/>
            <w:vAlign w:val="center"/>
            <w:hideMark/>
          </w:tcPr>
          <w:p w14:paraId="76D17840"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0,2</w:t>
            </w:r>
          </w:p>
        </w:tc>
        <w:tc>
          <w:tcPr>
            <w:tcW w:w="1103" w:type="dxa"/>
            <w:tcBorders>
              <w:top w:val="nil"/>
              <w:left w:val="nil"/>
              <w:bottom w:val="nil"/>
              <w:right w:val="nil"/>
            </w:tcBorders>
            <w:shd w:val="clear" w:color="auto" w:fill="auto"/>
            <w:vAlign w:val="center"/>
            <w:hideMark/>
          </w:tcPr>
          <w:p w14:paraId="5CFF189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135 234</w:t>
            </w:r>
          </w:p>
        </w:tc>
      </w:tr>
      <w:tr w:rsidR="006C0DD0" w:rsidRPr="007E1464" w14:paraId="55570DE3" w14:textId="77777777" w:rsidTr="00500BD0">
        <w:trPr>
          <w:trHeight w:val="340"/>
        </w:trPr>
        <w:tc>
          <w:tcPr>
            <w:tcW w:w="3042" w:type="dxa"/>
            <w:tcBorders>
              <w:top w:val="nil"/>
              <w:left w:val="nil"/>
              <w:bottom w:val="single" w:sz="4" w:space="0" w:color="auto"/>
              <w:right w:val="nil"/>
            </w:tcBorders>
            <w:shd w:val="clear" w:color="auto" w:fill="auto"/>
            <w:vAlign w:val="center"/>
            <w:hideMark/>
          </w:tcPr>
          <w:p w14:paraId="09E70A0B" w14:textId="77777777" w:rsidR="006C0DD0" w:rsidRPr="007E1464" w:rsidRDefault="006C0DD0" w:rsidP="00500BD0">
            <w:pPr>
              <w:spacing w:after="0" w:line="240" w:lineRule="auto"/>
              <w:rPr>
                <w:sz w:val="20"/>
                <w:szCs w:val="20"/>
                <w:lang w:eastAsia="sk-SK"/>
              </w:rPr>
            </w:pPr>
            <w:r w:rsidRPr="007E1464">
              <w:rPr>
                <w:sz w:val="20"/>
                <w:szCs w:val="20"/>
                <w:lang w:eastAsia="sk-SK"/>
              </w:rPr>
              <w:t>4. Fondy sociálneho zabezpečenia</w:t>
            </w:r>
          </w:p>
        </w:tc>
        <w:tc>
          <w:tcPr>
            <w:tcW w:w="1003" w:type="dxa"/>
            <w:tcBorders>
              <w:top w:val="nil"/>
              <w:left w:val="nil"/>
              <w:bottom w:val="single" w:sz="4" w:space="0" w:color="auto"/>
              <w:right w:val="nil"/>
            </w:tcBorders>
            <w:shd w:val="clear" w:color="auto" w:fill="auto"/>
            <w:vAlign w:val="center"/>
            <w:hideMark/>
          </w:tcPr>
          <w:p w14:paraId="7F790ECD"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S.1314</w:t>
            </w:r>
          </w:p>
        </w:tc>
        <w:tc>
          <w:tcPr>
            <w:tcW w:w="1388" w:type="dxa"/>
            <w:tcBorders>
              <w:top w:val="nil"/>
              <w:left w:val="nil"/>
              <w:bottom w:val="single" w:sz="4" w:space="0" w:color="auto"/>
              <w:right w:val="nil"/>
            </w:tcBorders>
            <w:shd w:val="clear" w:color="auto" w:fill="auto"/>
            <w:vAlign w:val="center"/>
            <w:hideMark/>
          </w:tcPr>
          <w:p w14:paraId="6239C143"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-0,3</w:t>
            </w:r>
          </w:p>
        </w:tc>
        <w:tc>
          <w:tcPr>
            <w:tcW w:w="1450" w:type="dxa"/>
            <w:tcBorders>
              <w:top w:val="nil"/>
              <w:left w:val="nil"/>
              <w:bottom w:val="single" w:sz="4" w:space="0" w:color="auto"/>
              <w:right w:val="nil"/>
            </w:tcBorders>
            <w:shd w:val="clear" w:color="auto" w:fill="auto"/>
            <w:vAlign w:val="center"/>
            <w:hideMark/>
          </w:tcPr>
          <w:p w14:paraId="5CB80BAB"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0,4</w:t>
            </w:r>
          </w:p>
        </w:tc>
        <w:tc>
          <w:tcPr>
            <w:tcW w:w="1103" w:type="dxa"/>
            <w:tcBorders>
              <w:top w:val="nil"/>
              <w:left w:val="nil"/>
              <w:bottom w:val="single" w:sz="4" w:space="0" w:color="auto"/>
              <w:right w:val="nil"/>
            </w:tcBorders>
            <w:shd w:val="clear" w:color="auto" w:fill="auto"/>
            <w:vAlign w:val="center"/>
            <w:hideMark/>
          </w:tcPr>
          <w:p w14:paraId="1BA48148" w14:textId="77777777" w:rsidR="006C0DD0" w:rsidRPr="007E1464" w:rsidRDefault="006C0DD0" w:rsidP="00500BD0">
            <w:pPr>
              <w:spacing w:after="0" w:line="240" w:lineRule="auto"/>
              <w:jc w:val="center"/>
              <w:rPr>
                <w:sz w:val="20"/>
                <w:szCs w:val="20"/>
                <w:lang w:eastAsia="sk-SK"/>
              </w:rPr>
            </w:pPr>
            <w:r w:rsidRPr="007E1464">
              <w:rPr>
                <w:sz w:val="20"/>
                <w:szCs w:val="20"/>
                <w:lang w:eastAsia="sk-SK"/>
              </w:rPr>
              <w:t>0,0</w:t>
            </w:r>
          </w:p>
        </w:tc>
        <w:tc>
          <w:tcPr>
            <w:tcW w:w="1103" w:type="dxa"/>
            <w:tcBorders>
              <w:top w:val="nil"/>
              <w:left w:val="nil"/>
              <w:bottom w:val="single" w:sz="4" w:space="0" w:color="auto"/>
              <w:right w:val="nil"/>
            </w:tcBorders>
            <w:shd w:val="clear" w:color="auto" w:fill="auto"/>
            <w:vAlign w:val="center"/>
            <w:hideMark/>
          </w:tcPr>
          <w:p w14:paraId="110058B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39 040</w:t>
            </w:r>
          </w:p>
        </w:tc>
      </w:tr>
    </w:tbl>
    <w:p w14:paraId="07BC8EEA" w14:textId="2149AF62" w:rsidR="006C0DD0" w:rsidRPr="00915764" w:rsidRDefault="006C0DD0" w:rsidP="006C0DD0">
      <w:pPr>
        <w:spacing w:after="0" w:line="240" w:lineRule="auto"/>
        <w:ind w:left="6372"/>
        <w:jc w:val="right"/>
        <w:rPr>
          <w:iCs/>
          <w:sz w:val="16"/>
          <w:szCs w:val="16"/>
          <w:lang w:eastAsia="sk-SK"/>
        </w:rPr>
      </w:pPr>
      <w:r w:rsidRPr="00915764">
        <w:rPr>
          <w:iCs/>
          <w:sz w:val="16"/>
          <w:szCs w:val="16"/>
          <w:lang w:eastAsia="sk-SK"/>
        </w:rPr>
        <w:t xml:space="preserve">Zdroj: </w:t>
      </w:r>
      <w:r w:rsidR="00915764">
        <w:rPr>
          <w:iCs/>
          <w:sz w:val="16"/>
          <w:szCs w:val="16"/>
          <w:lang w:eastAsia="sk-SK"/>
        </w:rPr>
        <w:t>ŠÚ</w:t>
      </w:r>
      <w:r w:rsidRPr="00915764">
        <w:rPr>
          <w:iCs/>
          <w:sz w:val="16"/>
          <w:szCs w:val="16"/>
          <w:lang w:eastAsia="sk-SK"/>
        </w:rPr>
        <w:t xml:space="preserve"> SR</w:t>
      </w:r>
    </w:p>
    <w:p w14:paraId="67C36B7D" w14:textId="2FB13760" w:rsidR="006C0DD0" w:rsidRPr="00863DC7" w:rsidRDefault="006C0DD0" w:rsidP="006C0DD0">
      <w:pPr>
        <w:spacing w:before="120" w:after="0" w:line="336" w:lineRule="auto"/>
        <w:jc w:val="both"/>
        <w:rPr>
          <w:szCs w:val="22"/>
        </w:rPr>
      </w:pPr>
      <w:r w:rsidRPr="00863DC7">
        <w:rPr>
          <w:szCs w:val="22"/>
        </w:rPr>
        <w:t xml:space="preserve">Z pohľadu sektorového členenia sa na schodku najviac podieľala ústredná správa a v rámci nej štátny rozpočet so schodkom </w:t>
      </w:r>
      <w:r w:rsidRPr="00863DC7">
        <w:rPr>
          <w:szCs w:val="22"/>
          <w:lang w:val="en-US"/>
        </w:rPr>
        <w:t>1 570 847</w:t>
      </w:r>
      <w:r w:rsidRPr="00863DC7">
        <w:rPr>
          <w:szCs w:val="22"/>
        </w:rPr>
        <w:t> tis.</w:t>
      </w:r>
      <w:r>
        <w:rPr>
          <w:szCs w:val="22"/>
        </w:rPr>
        <w:t> </w:t>
      </w:r>
      <w:r w:rsidRPr="00863DC7">
        <w:rPr>
          <w:szCs w:val="22"/>
        </w:rPr>
        <w:t xml:space="preserve">eur, čo predstavuje oproti roku 2017 </w:t>
      </w:r>
      <w:r w:rsidR="00E7130C">
        <w:rPr>
          <w:szCs w:val="22"/>
        </w:rPr>
        <w:t xml:space="preserve">zhoršenie </w:t>
      </w:r>
      <w:r w:rsidRPr="00863DC7">
        <w:rPr>
          <w:szCs w:val="22"/>
        </w:rPr>
        <w:t>o</w:t>
      </w:r>
      <w:r w:rsidR="00E7130C">
        <w:rPr>
          <w:szCs w:val="22"/>
        </w:rPr>
        <w:t> 444 611 </w:t>
      </w:r>
      <w:r w:rsidRPr="00863DC7">
        <w:rPr>
          <w:szCs w:val="22"/>
        </w:rPr>
        <w:t>tis.</w:t>
      </w:r>
      <w:r>
        <w:rPr>
          <w:szCs w:val="22"/>
        </w:rPr>
        <w:t> </w:t>
      </w:r>
      <w:r w:rsidRPr="00863DC7">
        <w:rPr>
          <w:szCs w:val="22"/>
        </w:rPr>
        <w:t>eur.</w:t>
      </w:r>
      <w:r>
        <w:rPr>
          <w:szCs w:val="22"/>
        </w:rPr>
        <w:t xml:space="preserve"> Negatívny vplyv schodku štátneho rozpočtu na ústrednú správu bol kompenzovaný pozitívnym výsledkom ústredných zdravotníckych zariadení vo výške 219 797 tis. eur a pozitívnym výsledkom štátnych fondov vo výške 101 098 tis. eur, ktoré </w:t>
      </w:r>
      <w:r w:rsidR="009D7FBF">
        <w:rPr>
          <w:szCs w:val="22"/>
        </w:rPr>
        <w:t>pomohli znížiť</w:t>
      </w:r>
      <w:r>
        <w:rPr>
          <w:szCs w:val="22"/>
        </w:rPr>
        <w:t xml:space="preserve"> celkový schodok ústrednej správy na 1 125 478 tis. eur. </w:t>
      </w:r>
    </w:p>
    <w:p w14:paraId="4EFF9B5C" w14:textId="77777777" w:rsidR="006C0DD0" w:rsidRPr="00F73C7B" w:rsidRDefault="006C0DD0" w:rsidP="006C0DD0">
      <w:pPr>
        <w:spacing w:before="120" w:after="0" w:line="336" w:lineRule="auto"/>
        <w:jc w:val="both"/>
        <w:rPr>
          <w:i/>
          <w:szCs w:val="22"/>
        </w:rPr>
      </w:pPr>
      <w:r w:rsidRPr="00F73C7B">
        <w:rPr>
          <w:i/>
          <w:szCs w:val="22"/>
        </w:rPr>
        <w:t>Schodok štátneho rozpočtu</w:t>
      </w:r>
    </w:p>
    <w:p w14:paraId="3EF8096A" w14:textId="7B960769" w:rsidR="006C0DD0" w:rsidRPr="00863DC7" w:rsidRDefault="006C0DD0" w:rsidP="006C0DD0">
      <w:pPr>
        <w:spacing w:before="120" w:after="0" w:line="336" w:lineRule="auto"/>
        <w:jc w:val="both"/>
        <w:rPr>
          <w:szCs w:val="22"/>
        </w:rPr>
      </w:pPr>
      <w:r w:rsidRPr="00863DC7">
        <w:rPr>
          <w:szCs w:val="22"/>
        </w:rPr>
        <w:t xml:space="preserve">Na </w:t>
      </w:r>
      <w:r w:rsidR="00663043">
        <w:rPr>
          <w:szCs w:val="22"/>
        </w:rPr>
        <w:t>celkovú bilanciu</w:t>
      </w:r>
      <w:r w:rsidRPr="00863DC7">
        <w:rPr>
          <w:szCs w:val="22"/>
        </w:rPr>
        <w:t xml:space="preserve"> štátneho rozpočtu podľa ESA 2010 malo</w:t>
      </w:r>
      <w:r w:rsidR="00663043">
        <w:rPr>
          <w:szCs w:val="22"/>
        </w:rPr>
        <w:t xml:space="preserve"> pozitívny</w:t>
      </w:r>
      <w:r w:rsidRPr="00863DC7">
        <w:rPr>
          <w:szCs w:val="22"/>
        </w:rPr>
        <w:t xml:space="preserve"> vplyv najmä:</w:t>
      </w:r>
    </w:p>
    <w:p w14:paraId="4C8DFE0D" w14:textId="4FD5AB7F" w:rsidR="006C0DD0" w:rsidRPr="00863DC7" w:rsidRDefault="006C0DD0" w:rsidP="006C0DD0">
      <w:pPr>
        <w:numPr>
          <w:ilvl w:val="0"/>
          <w:numId w:val="47"/>
        </w:numPr>
        <w:spacing w:before="120" w:after="0" w:line="336" w:lineRule="auto"/>
        <w:ind w:left="426" w:hanging="426"/>
        <w:contextualSpacing/>
        <w:jc w:val="both"/>
        <w:rPr>
          <w:szCs w:val="22"/>
          <w:lang w:eastAsia="sk-SK"/>
        </w:rPr>
      </w:pPr>
      <w:r w:rsidRPr="00863DC7">
        <w:rPr>
          <w:szCs w:val="22"/>
          <w:lang w:eastAsia="sk-SK"/>
        </w:rPr>
        <w:t>zlepšenie akruálnych príjmov z daní, z ktorých najvýraznejšie medziročne rástla daň z pridanej hodnoty, daň z príjmov fyzických osôb zo závislej činnosti a sociálne odvody (viac v kapitole 2),</w:t>
      </w:r>
    </w:p>
    <w:p w14:paraId="7E580AB1" w14:textId="77777777" w:rsidR="006C0DD0" w:rsidRPr="00863DC7" w:rsidRDefault="006C0DD0" w:rsidP="006C0DD0">
      <w:pPr>
        <w:numPr>
          <w:ilvl w:val="0"/>
          <w:numId w:val="47"/>
        </w:numPr>
        <w:spacing w:before="120" w:after="0" w:line="336" w:lineRule="auto"/>
        <w:ind w:left="426" w:hanging="426"/>
        <w:contextualSpacing/>
        <w:jc w:val="both"/>
        <w:rPr>
          <w:szCs w:val="22"/>
          <w:lang w:eastAsia="sk-SK"/>
        </w:rPr>
      </w:pPr>
      <w:r w:rsidRPr="00863DC7">
        <w:rPr>
          <w:szCs w:val="22"/>
          <w:lang w:eastAsia="sk-SK"/>
        </w:rPr>
        <w:t>vyššie hotovostné príjmy z rozpočtu EU oproti roku 2017 o 747</w:t>
      </w:r>
      <w:r>
        <w:rPr>
          <w:szCs w:val="22"/>
          <w:lang w:eastAsia="sk-SK"/>
        </w:rPr>
        <w:t> </w:t>
      </w:r>
      <w:r w:rsidRPr="00863DC7">
        <w:rPr>
          <w:szCs w:val="22"/>
          <w:lang w:eastAsia="sk-SK"/>
        </w:rPr>
        <w:t>228</w:t>
      </w:r>
      <w:r>
        <w:rPr>
          <w:szCs w:val="22"/>
          <w:lang w:eastAsia="sk-SK"/>
        </w:rPr>
        <w:t> </w:t>
      </w:r>
      <w:r w:rsidRPr="00863DC7">
        <w:rPr>
          <w:szCs w:val="22"/>
          <w:lang w:eastAsia="sk-SK"/>
        </w:rPr>
        <w:t>tis.</w:t>
      </w:r>
      <w:r>
        <w:rPr>
          <w:szCs w:val="22"/>
          <w:lang w:eastAsia="sk-SK"/>
        </w:rPr>
        <w:t> </w:t>
      </w:r>
      <w:r w:rsidRPr="00863DC7">
        <w:rPr>
          <w:szCs w:val="22"/>
          <w:lang w:eastAsia="sk-SK"/>
        </w:rPr>
        <w:t>eur,</w:t>
      </w:r>
    </w:p>
    <w:p w14:paraId="129F1D91" w14:textId="77777777" w:rsidR="006C0DD0" w:rsidRPr="00863DC7" w:rsidRDefault="006C0DD0" w:rsidP="006C0DD0">
      <w:pPr>
        <w:numPr>
          <w:ilvl w:val="0"/>
          <w:numId w:val="47"/>
        </w:numPr>
        <w:spacing w:before="120" w:after="0" w:line="336" w:lineRule="auto"/>
        <w:ind w:left="426" w:hanging="426"/>
        <w:contextualSpacing/>
        <w:jc w:val="both"/>
        <w:rPr>
          <w:szCs w:val="22"/>
          <w:lang w:eastAsia="sk-SK"/>
        </w:rPr>
      </w:pPr>
      <w:r>
        <w:rPr>
          <w:szCs w:val="22"/>
          <w:lang w:eastAsia="sk-SK"/>
        </w:rPr>
        <w:t>d</w:t>
      </w:r>
      <w:r w:rsidRPr="00863DC7">
        <w:rPr>
          <w:szCs w:val="22"/>
          <w:lang w:eastAsia="sk-SK"/>
        </w:rPr>
        <w:t>ividendy a odvody zo zisku zaznamenali rast o 18</w:t>
      </w:r>
      <w:r>
        <w:rPr>
          <w:szCs w:val="22"/>
          <w:lang w:eastAsia="sk-SK"/>
        </w:rPr>
        <w:t> </w:t>
      </w:r>
      <w:r w:rsidRPr="00863DC7">
        <w:rPr>
          <w:szCs w:val="22"/>
          <w:lang w:eastAsia="sk-SK"/>
        </w:rPr>
        <w:t>743</w:t>
      </w:r>
      <w:r>
        <w:rPr>
          <w:szCs w:val="22"/>
          <w:lang w:eastAsia="sk-SK"/>
        </w:rPr>
        <w:t> </w:t>
      </w:r>
      <w:r w:rsidRPr="00863DC7">
        <w:rPr>
          <w:szCs w:val="22"/>
          <w:lang w:eastAsia="sk-SK"/>
        </w:rPr>
        <w:t>tis.</w:t>
      </w:r>
      <w:r>
        <w:rPr>
          <w:szCs w:val="22"/>
          <w:lang w:eastAsia="sk-SK"/>
        </w:rPr>
        <w:t> </w:t>
      </w:r>
      <w:r w:rsidRPr="00863DC7">
        <w:rPr>
          <w:szCs w:val="22"/>
          <w:lang w:eastAsia="sk-SK"/>
        </w:rPr>
        <w:t xml:space="preserve">eur, </w:t>
      </w:r>
    </w:p>
    <w:p w14:paraId="7D3E017D" w14:textId="600C5225" w:rsidR="006C0DD0" w:rsidRDefault="006C0DD0" w:rsidP="006C0DD0">
      <w:pPr>
        <w:numPr>
          <w:ilvl w:val="0"/>
          <w:numId w:val="47"/>
        </w:numPr>
        <w:spacing w:before="120" w:after="0" w:line="336" w:lineRule="auto"/>
        <w:ind w:left="426" w:hanging="426"/>
        <w:contextualSpacing/>
        <w:jc w:val="both"/>
        <w:rPr>
          <w:szCs w:val="22"/>
          <w:lang w:eastAsia="sk-SK"/>
        </w:rPr>
      </w:pPr>
      <w:r w:rsidRPr="00863DC7">
        <w:rPr>
          <w:szCs w:val="22"/>
          <w:lang w:eastAsia="sk-SK"/>
        </w:rPr>
        <w:t>nárast daňových príjmov štátnych finančných aktív z osobitného odvodu vybraných finančných inštitúcií a osobitného odvodu z podnikania v regulovaných odvetviach o 28</w:t>
      </w:r>
      <w:r>
        <w:rPr>
          <w:szCs w:val="22"/>
          <w:lang w:eastAsia="sk-SK"/>
        </w:rPr>
        <w:t> </w:t>
      </w:r>
      <w:r w:rsidRPr="00863DC7">
        <w:rPr>
          <w:szCs w:val="22"/>
          <w:lang w:eastAsia="sk-SK"/>
        </w:rPr>
        <w:t>638</w:t>
      </w:r>
      <w:r>
        <w:rPr>
          <w:szCs w:val="22"/>
          <w:lang w:eastAsia="sk-SK"/>
        </w:rPr>
        <w:t> </w:t>
      </w:r>
      <w:r w:rsidRPr="00863DC7">
        <w:rPr>
          <w:szCs w:val="22"/>
          <w:lang w:eastAsia="sk-SK"/>
        </w:rPr>
        <w:t>tis.</w:t>
      </w:r>
      <w:r>
        <w:rPr>
          <w:szCs w:val="22"/>
          <w:lang w:eastAsia="sk-SK"/>
        </w:rPr>
        <w:t> </w:t>
      </w:r>
      <w:r w:rsidRPr="00863DC7">
        <w:rPr>
          <w:szCs w:val="22"/>
          <w:lang w:eastAsia="sk-SK"/>
        </w:rPr>
        <w:t>eur</w:t>
      </w:r>
      <w:r w:rsidR="00E15F10">
        <w:rPr>
          <w:szCs w:val="22"/>
          <w:lang w:eastAsia="sk-SK"/>
        </w:rPr>
        <w:t xml:space="preserve"> (</w:t>
      </w:r>
      <w:r w:rsidR="00732DC9">
        <w:rPr>
          <w:szCs w:val="22"/>
          <w:lang w:eastAsia="sk-SK"/>
        </w:rPr>
        <w:t xml:space="preserve">nárast </w:t>
      </w:r>
      <w:r w:rsidR="00E15F10">
        <w:rPr>
          <w:szCs w:val="22"/>
          <w:lang w:eastAsia="sk-SK"/>
        </w:rPr>
        <w:t>v akruálnych daňových príjmoch bol 14 266 tis. eur)</w:t>
      </w:r>
      <w:r w:rsidRPr="00863DC7">
        <w:rPr>
          <w:szCs w:val="22"/>
          <w:lang w:eastAsia="sk-SK"/>
        </w:rPr>
        <w:t xml:space="preserve">. </w:t>
      </w:r>
    </w:p>
    <w:p w14:paraId="4ECC12FE" w14:textId="77777777" w:rsidR="006C0DD0" w:rsidRDefault="006C0DD0" w:rsidP="006C0DD0">
      <w:pPr>
        <w:spacing w:before="240" w:after="0" w:line="336" w:lineRule="auto"/>
        <w:jc w:val="both"/>
        <w:rPr>
          <w:szCs w:val="22"/>
          <w:lang w:eastAsia="sk-SK"/>
        </w:rPr>
      </w:pPr>
      <w:r w:rsidRPr="00863DC7">
        <w:rPr>
          <w:szCs w:val="22"/>
          <w:lang w:eastAsia="sk-SK"/>
        </w:rPr>
        <w:t>Tieto pozitívne vplyvy na schodok verejnej správy boli čiastočne kompenzované nasledovnými negatívnymi vplyvmi:</w:t>
      </w:r>
    </w:p>
    <w:p w14:paraId="06017A69" w14:textId="5C8FD784" w:rsidR="006C0DD0" w:rsidRDefault="006C0DD0" w:rsidP="006C0DD0">
      <w:pPr>
        <w:numPr>
          <w:ilvl w:val="0"/>
          <w:numId w:val="48"/>
        </w:numPr>
        <w:spacing w:before="120" w:after="0" w:line="336" w:lineRule="auto"/>
        <w:ind w:left="426" w:hanging="426"/>
        <w:contextualSpacing/>
        <w:jc w:val="both"/>
        <w:rPr>
          <w:szCs w:val="22"/>
          <w:lang w:eastAsia="sk-SK"/>
        </w:rPr>
      </w:pPr>
      <w:r>
        <w:rPr>
          <w:szCs w:val="22"/>
          <w:lang w:eastAsia="sk-SK"/>
        </w:rPr>
        <w:t xml:space="preserve">zhoršením pozície voči EÚ oproti roku 2017 o 14 103 tis. eur, čo bolo spôsobené najmä medziročným poklesom vyrovnávajúcej položky na schodok o 100 294 tis. eur (vyrovnávajúcou položkou sa eliminuje vplyv čerpania EÚ fondov na schodok verejnej správy), </w:t>
      </w:r>
    </w:p>
    <w:p w14:paraId="01C1C359" w14:textId="77777777" w:rsidR="006C0DD0" w:rsidRDefault="006C0DD0" w:rsidP="006C0DD0">
      <w:pPr>
        <w:numPr>
          <w:ilvl w:val="0"/>
          <w:numId w:val="48"/>
        </w:numPr>
        <w:spacing w:before="120" w:after="0" w:line="336" w:lineRule="auto"/>
        <w:ind w:left="426" w:hanging="426"/>
        <w:contextualSpacing/>
        <w:jc w:val="both"/>
        <w:rPr>
          <w:szCs w:val="22"/>
          <w:lang w:eastAsia="sk-SK"/>
        </w:rPr>
      </w:pPr>
      <w:r w:rsidRPr="00863DC7">
        <w:rPr>
          <w:szCs w:val="22"/>
          <w:lang w:eastAsia="sk-SK"/>
        </w:rPr>
        <w:t>vplyv časového rozlíšenia odvodu do EÚ o</w:t>
      </w:r>
      <w:r>
        <w:rPr>
          <w:szCs w:val="22"/>
          <w:lang w:eastAsia="sk-SK"/>
        </w:rPr>
        <w:t> </w:t>
      </w:r>
      <w:r w:rsidRPr="00863DC7">
        <w:rPr>
          <w:szCs w:val="22"/>
          <w:lang w:eastAsia="sk-SK"/>
        </w:rPr>
        <w:t>64</w:t>
      </w:r>
      <w:r>
        <w:rPr>
          <w:szCs w:val="22"/>
          <w:lang w:eastAsia="sk-SK"/>
        </w:rPr>
        <w:t> </w:t>
      </w:r>
      <w:r w:rsidRPr="00863DC7">
        <w:rPr>
          <w:szCs w:val="22"/>
          <w:lang w:eastAsia="sk-SK"/>
        </w:rPr>
        <w:t>426</w:t>
      </w:r>
      <w:r>
        <w:rPr>
          <w:szCs w:val="22"/>
          <w:lang w:eastAsia="sk-SK"/>
        </w:rPr>
        <w:t> </w:t>
      </w:r>
      <w:r w:rsidRPr="00863DC7">
        <w:rPr>
          <w:szCs w:val="22"/>
          <w:lang w:eastAsia="sk-SK"/>
        </w:rPr>
        <w:t>tis.</w:t>
      </w:r>
      <w:r>
        <w:rPr>
          <w:szCs w:val="22"/>
          <w:lang w:eastAsia="sk-SK"/>
        </w:rPr>
        <w:t> </w:t>
      </w:r>
      <w:r w:rsidRPr="00863DC7">
        <w:rPr>
          <w:szCs w:val="22"/>
          <w:lang w:eastAsia="sk-SK"/>
        </w:rPr>
        <w:t>eur (vplyv časového rozlíšenia v</w:t>
      </w:r>
      <w:r>
        <w:rPr>
          <w:szCs w:val="22"/>
          <w:lang w:eastAsia="sk-SK"/>
        </w:rPr>
        <w:t> </w:t>
      </w:r>
      <w:r w:rsidRPr="00863DC7">
        <w:rPr>
          <w:szCs w:val="22"/>
          <w:lang w:eastAsia="sk-SK"/>
        </w:rPr>
        <w:t>roku</w:t>
      </w:r>
      <w:r>
        <w:rPr>
          <w:szCs w:val="22"/>
          <w:lang w:eastAsia="sk-SK"/>
        </w:rPr>
        <w:t> </w:t>
      </w:r>
      <w:r w:rsidRPr="00863DC7">
        <w:rPr>
          <w:szCs w:val="22"/>
          <w:lang w:eastAsia="sk-SK"/>
        </w:rPr>
        <w:t>2017 bol pozitívny vo výške 32</w:t>
      </w:r>
      <w:r>
        <w:rPr>
          <w:szCs w:val="22"/>
          <w:lang w:eastAsia="sk-SK"/>
        </w:rPr>
        <w:t> </w:t>
      </w:r>
      <w:r w:rsidRPr="00863DC7">
        <w:rPr>
          <w:szCs w:val="22"/>
          <w:lang w:eastAsia="sk-SK"/>
        </w:rPr>
        <w:t>213</w:t>
      </w:r>
      <w:r>
        <w:rPr>
          <w:szCs w:val="22"/>
          <w:lang w:eastAsia="sk-SK"/>
        </w:rPr>
        <w:t> </w:t>
      </w:r>
      <w:r w:rsidRPr="00863DC7">
        <w:rPr>
          <w:szCs w:val="22"/>
          <w:lang w:eastAsia="sk-SK"/>
        </w:rPr>
        <w:t>tis.</w:t>
      </w:r>
      <w:r>
        <w:rPr>
          <w:szCs w:val="22"/>
          <w:lang w:eastAsia="sk-SK"/>
        </w:rPr>
        <w:t> </w:t>
      </w:r>
      <w:r w:rsidRPr="00863DC7">
        <w:rPr>
          <w:szCs w:val="22"/>
          <w:lang w:eastAsia="sk-SK"/>
        </w:rPr>
        <w:t>eur a v roku 2018 bol negatívny rovnako vo</w:t>
      </w:r>
      <w:r>
        <w:rPr>
          <w:szCs w:val="22"/>
          <w:lang w:eastAsia="sk-SK"/>
        </w:rPr>
        <w:t> </w:t>
      </w:r>
      <w:r w:rsidRPr="00863DC7">
        <w:rPr>
          <w:szCs w:val="22"/>
          <w:lang w:eastAsia="sk-SK"/>
        </w:rPr>
        <w:t>výške 32</w:t>
      </w:r>
      <w:r>
        <w:rPr>
          <w:szCs w:val="22"/>
          <w:lang w:eastAsia="sk-SK"/>
        </w:rPr>
        <w:t> </w:t>
      </w:r>
      <w:r w:rsidRPr="00863DC7">
        <w:rPr>
          <w:szCs w:val="22"/>
          <w:lang w:eastAsia="sk-SK"/>
        </w:rPr>
        <w:t>213</w:t>
      </w:r>
      <w:r>
        <w:rPr>
          <w:szCs w:val="22"/>
          <w:lang w:eastAsia="sk-SK"/>
        </w:rPr>
        <w:t> </w:t>
      </w:r>
      <w:r w:rsidRPr="00863DC7">
        <w:rPr>
          <w:szCs w:val="22"/>
          <w:lang w:eastAsia="sk-SK"/>
        </w:rPr>
        <w:t>tis.</w:t>
      </w:r>
      <w:r>
        <w:rPr>
          <w:szCs w:val="22"/>
          <w:lang w:eastAsia="sk-SK"/>
        </w:rPr>
        <w:t> </w:t>
      </w:r>
      <w:r w:rsidRPr="00863DC7">
        <w:rPr>
          <w:szCs w:val="22"/>
          <w:lang w:eastAsia="sk-SK"/>
        </w:rPr>
        <w:t>eur),</w:t>
      </w:r>
    </w:p>
    <w:p w14:paraId="016FDF77" w14:textId="77777777" w:rsidR="006C0DD0" w:rsidRDefault="006C0DD0" w:rsidP="006C0DD0">
      <w:pPr>
        <w:numPr>
          <w:ilvl w:val="0"/>
          <w:numId w:val="48"/>
        </w:numPr>
        <w:spacing w:before="120" w:after="0" w:line="336" w:lineRule="auto"/>
        <w:ind w:left="426" w:hanging="426"/>
        <w:contextualSpacing/>
        <w:jc w:val="both"/>
        <w:rPr>
          <w:szCs w:val="22"/>
          <w:lang w:eastAsia="sk-SK"/>
        </w:rPr>
      </w:pPr>
      <w:r w:rsidRPr="009D545E">
        <w:rPr>
          <w:szCs w:val="22"/>
          <w:lang w:eastAsia="sk-SK"/>
        </w:rPr>
        <w:t>časovým rozlíšením prijatých a platených úrokov, disážia a prémie v kapitole štátny dlh, a to vo</w:t>
      </w:r>
      <w:r>
        <w:rPr>
          <w:szCs w:val="22"/>
          <w:lang w:eastAsia="sk-SK"/>
        </w:rPr>
        <w:t> </w:t>
      </w:r>
      <w:r w:rsidRPr="009D545E">
        <w:rPr>
          <w:szCs w:val="22"/>
          <w:lang w:eastAsia="sk-SK"/>
        </w:rPr>
        <w:t>výške 54</w:t>
      </w:r>
      <w:r>
        <w:rPr>
          <w:szCs w:val="22"/>
          <w:lang w:eastAsia="sk-SK"/>
        </w:rPr>
        <w:t> </w:t>
      </w:r>
      <w:r w:rsidRPr="009D545E">
        <w:rPr>
          <w:szCs w:val="22"/>
          <w:lang w:eastAsia="sk-SK"/>
        </w:rPr>
        <w:t>526</w:t>
      </w:r>
      <w:r>
        <w:rPr>
          <w:szCs w:val="22"/>
          <w:lang w:eastAsia="sk-SK"/>
        </w:rPr>
        <w:t> </w:t>
      </w:r>
      <w:r w:rsidRPr="009D545E">
        <w:rPr>
          <w:szCs w:val="22"/>
          <w:lang w:eastAsia="sk-SK"/>
        </w:rPr>
        <w:t>tis.</w:t>
      </w:r>
      <w:r>
        <w:rPr>
          <w:szCs w:val="22"/>
          <w:lang w:eastAsia="sk-SK"/>
        </w:rPr>
        <w:t> </w:t>
      </w:r>
      <w:r w:rsidRPr="009D545E">
        <w:rPr>
          <w:szCs w:val="22"/>
          <w:lang w:eastAsia="sk-SK"/>
        </w:rPr>
        <w:t>eur (vplyv časového rozlíšenia na schodok v roku 2017 bol pozitívny vo</w:t>
      </w:r>
      <w:r>
        <w:rPr>
          <w:szCs w:val="22"/>
          <w:lang w:eastAsia="sk-SK"/>
        </w:rPr>
        <w:t> </w:t>
      </w:r>
      <w:r w:rsidRPr="009D545E">
        <w:rPr>
          <w:szCs w:val="22"/>
          <w:lang w:eastAsia="sk-SK"/>
        </w:rPr>
        <w:t>výške 48</w:t>
      </w:r>
      <w:r>
        <w:rPr>
          <w:szCs w:val="22"/>
          <w:lang w:eastAsia="sk-SK"/>
        </w:rPr>
        <w:t> </w:t>
      </w:r>
      <w:r w:rsidRPr="009D545E">
        <w:rPr>
          <w:szCs w:val="22"/>
          <w:lang w:eastAsia="sk-SK"/>
        </w:rPr>
        <w:t>593</w:t>
      </w:r>
      <w:r>
        <w:rPr>
          <w:szCs w:val="22"/>
          <w:lang w:eastAsia="sk-SK"/>
        </w:rPr>
        <w:t> </w:t>
      </w:r>
      <w:r w:rsidRPr="009D545E">
        <w:rPr>
          <w:szCs w:val="22"/>
          <w:lang w:eastAsia="sk-SK"/>
        </w:rPr>
        <w:t>tis.</w:t>
      </w:r>
      <w:r>
        <w:rPr>
          <w:szCs w:val="22"/>
          <w:lang w:eastAsia="sk-SK"/>
        </w:rPr>
        <w:t> </w:t>
      </w:r>
      <w:r w:rsidRPr="009D545E">
        <w:rPr>
          <w:szCs w:val="22"/>
          <w:lang w:eastAsia="sk-SK"/>
        </w:rPr>
        <w:t>eur a v</w:t>
      </w:r>
      <w:r>
        <w:rPr>
          <w:szCs w:val="22"/>
          <w:lang w:eastAsia="sk-SK"/>
        </w:rPr>
        <w:t> roku 2018 negatívny vo výške 5 </w:t>
      </w:r>
      <w:r w:rsidRPr="009D545E">
        <w:rPr>
          <w:szCs w:val="22"/>
          <w:lang w:eastAsia="sk-SK"/>
        </w:rPr>
        <w:t>933</w:t>
      </w:r>
      <w:r>
        <w:rPr>
          <w:szCs w:val="22"/>
          <w:lang w:eastAsia="sk-SK"/>
        </w:rPr>
        <w:t> </w:t>
      </w:r>
      <w:r w:rsidRPr="009D545E">
        <w:rPr>
          <w:szCs w:val="22"/>
          <w:lang w:eastAsia="sk-SK"/>
        </w:rPr>
        <w:t>tis.</w:t>
      </w:r>
      <w:r>
        <w:rPr>
          <w:szCs w:val="22"/>
          <w:lang w:eastAsia="sk-SK"/>
        </w:rPr>
        <w:t> </w:t>
      </w:r>
      <w:r w:rsidRPr="009D545E">
        <w:rPr>
          <w:szCs w:val="22"/>
          <w:lang w:eastAsia="sk-SK"/>
        </w:rPr>
        <w:t>eur),</w:t>
      </w:r>
    </w:p>
    <w:p w14:paraId="3BDC7934" w14:textId="636C3896" w:rsidR="006C0DD0" w:rsidRPr="00BA29DB" w:rsidRDefault="006C0DD0" w:rsidP="006C0DD0">
      <w:pPr>
        <w:numPr>
          <w:ilvl w:val="0"/>
          <w:numId w:val="48"/>
        </w:numPr>
        <w:spacing w:before="120" w:after="0" w:line="336" w:lineRule="auto"/>
        <w:ind w:left="426" w:hanging="426"/>
        <w:contextualSpacing/>
        <w:jc w:val="both"/>
        <w:rPr>
          <w:szCs w:val="22"/>
          <w:lang w:eastAsia="sk-SK"/>
        </w:rPr>
      </w:pPr>
      <w:r w:rsidRPr="009D545E">
        <w:rPr>
          <w:szCs w:val="22"/>
          <w:lang w:eastAsia="sk-SK"/>
        </w:rPr>
        <w:t>výdavkom štátnych finančných aktív z dôvodu oddlžovania zdravotníctva vo</w:t>
      </w:r>
      <w:r>
        <w:rPr>
          <w:szCs w:val="22"/>
          <w:lang w:eastAsia="sk-SK"/>
        </w:rPr>
        <w:t> </w:t>
      </w:r>
      <w:r w:rsidRPr="009D545E">
        <w:rPr>
          <w:szCs w:val="22"/>
          <w:lang w:eastAsia="sk-SK"/>
        </w:rPr>
        <w:t>výške 324</w:t>
      </w:r>
      <w:r>
        <w:rPr>
          <w:szCs w:val="22"/>
          <w:lang w:eastAsia="sk-SK"/>
        </w:rPr>
        <w:t> </w:t>
      </w:r>
      <w:r w:rsidRPr="009D545E">
        <w:rPr>
          <w:szCs w:val="22"/>
          <w:lang w:eastAsia="sk-SK"/>
        </w:rPr>
        <w:t>801</w:t>
      </w:r>
      <w:r>
        <w:rPr>
          <w:szCs w:val="22"/>
          <w:lang w:eastAsia="sk-SK"/>
        </w:rPr>
        <w:t> </w:t>
      </w:r>
      <w:r w:rsidRPr="009D545E">
        <w:rPr>
          <w:szCs w:val="22"/>
          <w:lang w:eastAsia="sk-SK"/>
        </w:rPr>
        <w:t>tis.</w:t>
      </w:r>
      <w:r>
        <w:rPr>
          <w:szCs w:val="22"/>
          <w:lang w:eastAsia="sk-SK"/>
        </w:rPr>
        <w:t> </w:t>
      </w:r>
      <w:r w:rsidRPr="009D545E">
        <w:rPr>
          <w:szCs w:val="22"/>
          <w:lang w:eastAsia="sk-SK"/>
        </w:rPr>
        <w:t>eur, z toho 187</w:t>
      </w:r>
      <w:r>
        <w:rPr>
          <w:szCs w:val="22"/>
          <w:lang w:eastAsia="sk-SK"/>
        </w:rPr>
        <w:t> </w:t>
      </w:r>
      <w:r w:rsidRPr="009D545E">
        <w:rPr>
          <w:szCs w:val="22"/>
          <w:lang w:eastAsia="sk-SK"/>
        </w:rPr>
        <w:t>219</w:t>
      </w:r>
      <w:r>
        <w:rPr>
          <w:szCs w:val="22"/>
          <w:lang w:eastAsia="sk-SK"/>
        </w:rPr>
        <w:t xml:space="preserve"> tis. eur </w:t>
      </w:r>
      <w:r w:rsidRPr="009D545E">
        <w:rPr>
          <w:szCs w:val="22"/>
          <w:lang w:eastAsia="sk-SK"/>
        </w:rPr>
        <w:t>bol transfer Sociálnej poisťovni, 109</w:t>
      </w:r>
      <w:r>
        <w:rPr>
          <w:szCs w:val="22"/>
          <w:lang w:eastAsia="sk-SK"/>
        </w:rPr>
        <w:t> </w:t>
      </w:r>
      <w:r w:rsidRPr="009D545E">
        <w:rPr>
          <w:szCs w:val="22"/>
          <w:lang w:eastAsia="sk-SK"/>
        </w:rPr>
        <w:t>557</w:t>
      </w:r>
      <w:r>
        <w:rPr>
          <w:szCs w:val="22"/>
          <w:lang w:eastAsia="sk-SK"/>
        </w:rPr>
        <w:t xml:space="preserve"> tis. eur </w:t>
      </w:r>
      <w:r w:rsidRPr="009D545E">
        <w:rPr>
          <w:szCs w:val="22"/>
          <w:lang w:eastAsia="sk-SK"/>
        </w:rPr>
        <w:t>bol transfer ostatným veriteľom zdravotníckych zariadení, 28</w:t>
      </w:r>
      <w:r>
        <w:rPr>
          <w:szCs w:val="22"/>
          <w:lang w:eastAsia="sk-SK"/>
        </w:rPr>
        <w:t> </w:t>
      </w:r>
      <w:r w:rsidRPr="009D545E">
        <w:rPr>
          <w:szCs w:val="22"/>
          <w:lang w:eastAsia="sk-SK"/>
        </w:rPr>
        <w:t>000</w:t>
      </w:r>
      <w:r>
        <w:rPr>
          <w:szCs w:val="22"/>
          <w:lang w:eastAsia="sk-SK"/>
        </w:rPr>
        <w:t xml:space="preserve"> tis. eur </w:t>
      </w:r>
      <w:r w:rsidRPr="009D545E">
        <w:rPr>
          <w:szCs w:val="22"/>
          <w:lang w:eastAsia="sk-SK"/>
        </w:rPr>
        <w:t>bol transfer Národnej Transfúznej službe SR, 25</w:t>
      </w:r>
      <w:r>
        <w:rPr>
          <w:szCs w:val="22"/>
          <w:lang w:eastAsia="sk-SK"/>
        </w:rPr>
        <w:t> </w:t>
      </w:r>
      <w:r w:rsidRPr="009D545E">
        <w:rPr>
          <w:szCs w:val="22"/>
          <w:lang w:eastAsia="sk-SK"/>
        </w:rPr>
        <w:t>tis.</w:t>
      </w:r>
      <w:r>
        <w:rPr>
          <w:szCs w:val="22"/>
          <w:lang w:eastAsia="sk-SK"/>
        </w:rPr>
        <w:t> </w:t>
      </w:r>
      <w:r w:rsidRPr="009D545E">
        <w:rPr>
          <w:szCs w:val="22"/>
          <w:lang w:eastAsia="sk-SK"/>
        </w:rPr>
        <w:t>eur bo</w:t>
      </w:r>
      <w:r>
        <w:rPr>
          <w:szCs w:val="22"/>
          <w:lang w:eastAsia="sk-SK"/>
        </w:rPr>
        <w:t>l</w:t>
      </w:r>
      <w:r w:rsidRPr="009D545E">
        <w:rPr>
          <w:szCs w:val="22"/>
          <w:lang w:eastAsia="sk-SK"/>
        </w:rPr>
        <w:t xml:space="preserve"> transfer Debitum</w:t>
      </w:r>
      <w:r>
        <w:rPr>
          <w:szCs w:val="22"/>
          <w:lang w:eastAsia="sk-SK"/>
        </w:rPr>
        <w:t>,</w:t>
      </w:r>
      <w:r w:rsidRPr="009D545E">
        <w:rPr>
          <w:szCs w:val="22"/>
          <w:lang w:eastAsia="sk-SK"/>
        </w:rPr>
        <w:t xml:space="preserve"> a.</w:t>
      </w:r>
      <w:r>
        <w:rPr>
          <w:szCs w:val="22"/>
          <w:lang w:eastAsia="sk-SK"/>
        </w:rPr>
        <w:t xml:space="preserve"> </w:t>
      </w:r>
      <w:r w:rsidRPr="009D545E">
        <w:rPr>
          <w:szCs w:val="22"/>
          <w:lang w:eastAsia="sk-SK"/>
        </w:rPr>
        <w:t>s. na procesné zabezpečenie úloh súvisi</w:t>
      </w:r>
      <w:r w:rsidR="000E228D">
        <w:rPr>
          <w:szCs w:val="22"/>
          <w:lang w:eastAsia="sk-SK"/>
        </w:rPr>
        <w:t xml:space="preserve">acich s oddlžením </w:t>
      </w:r>
      <w:r w:rsidR="000E228D" w:rsidRPr="00BA29DB">
        <w:rPr>
          <w:szCs w:val="22"/>
          <w:lang w:eastAsia="sk-SK"/>
        </w:rPr>
        <w:t xml:space="preserve">zdravotníctva (celkový vplyv oddlženia na saldo verejnej správy bol </w:t>
      </w:r>
      <w:r w:rsidR="00454020" w:rsidRPr="00BA29DB">
        <w:rPr>
          <w:szCs w:val="22"/>
          <w:lang w:eastAsia="sk-SK"/>
        </w:rPr>
        <w:t>neutrálny</w:t>
      </w:r>
      <w:r w:rsidR="000E228D" w:rsidRPr="00BA29DB">
        <w:rPr>
          <w:szCs w:val="22"/>
          <w:lang w:eastAsia="sk-SK"/>
        </w:rPr>
        <w:t>).</w:t>
      </w:r>
    </w:p>
    <w:tbl>
      <w:tblPr>
        <w:tblW w:w="9072" w:type="dxa"/>
        <w:tblCellMar>
          <w:left w:w="70" w:type="dxa"/>
          <w:right w:w="70" w:type="dxa"/>
        </w:tblCellMar>
        <w:tblLook w:val="04A0" w:firstRow="1" w:lastRow="0" w:firstColumn="1" w:lastColumn="0" w:noHBand="0" w:noVBand="1"/>
      </w:tblPr>
      <w:tblGrid>
        <w:gridCol w:w="190"/>
        <w:gridCol w:w="190"/>
        <w:gridCol w:w="3581"/>
        <w:gridCol w:w="1168"/>
        <w:gridCol w:w="1392"/>
        <w:gridCol w:w="1276"/>
        <w:gridCol w:w="1275"/>
      </w:tblGrid>
      <w:tr w:rsidR="006C0DD0" w:rsidRPr="007E1464" w14:paraId="78033BAD" w14:textId="77777777" w:rsidTr="002C4691">
        <w:trPr>
          <w:trHeight w:val="255"/>
        </w:trPr>
        <w:tc>
          <w:tcPr>
            <w:tcW w:w="9072" w:type="dxa"/>
            <w:gridSpan w:val="7"/>
            <w:tcBorders>
              <w:top w:val="nil"/>
              <w:left w:val="nil"/>
              <w:bottom w:val="single" w:sz="4" w:space="0" w:color="auto"/>
              <w:right w:val="nil"/>
            </w:tcBorders>
            <w:shd w:val="clear" w:color="000000" w:fill="000000"/>
            <w:noWrap/>
            <w:vAlign w:val="center"/>
            <w:hideMark/>
          </w:tcPr>
          <w:p w14:paraId="0BAFF2D3" w14:textId="40F2A2E5" w:rsidR="006C0DD0" w:rsidRPr="00DE332B" w:rsidRDefault="006C0DD0" w:rsidP="00C553E0">
            <w:pPr>
              <w:spacing w:before="120" w:after="120"/>
              <w:rPr>
                <w:b/>
                <w:bCs/>
                <w:color w:val="FFFFFF"/>
                <w:sz w:val="20"/>
                <w:szCs w:val="20"/>
              </w:rPr>
            </w:pPr>
            <w:r w:rsidRPr="00DE332B">
              <w:rPr>
                <w:b/>
                <w:bCs/>
                <w:color w:val="FFFFFF"/>
                <w:sz w:val="20"/>
                <w:szCs w:val="20"/>
              </w:rPr>
              <w:t xml:space="preserve">Schodok verejnej správy podľa jednotlivých </w:t>
            </w:r>
            <w:r w:rsidR="00C553E0">
              <w:rPr>
                <w:b/>
                <w:bCs/>
                <w:color w:val="FFFFFF"/>
                <w:sz w:val="20"/>
                <w:szCs w:val="20"/>
              </w:rPr>
              <w:t xml:space="preserve">(skupín) </w:t>
            </w:r>
            <w:r w:rsidRPr="00DE332B">
              <w:rPr>
                <w:b/>
                <w:bCs/>
                <w:color w:val="FFFFFF"/>
                <w:sz w:val="20"/>
                <w:szCs w:val="20"/>
              </w:rPr>
              <w:t xml:space="preserve">subjektov                                         </w:t>
            </w:r>
            <w:r w:rsidR="002C4691">
              <w:rPr>
                <w:b/>
                <w:bCs/>
                <w:color w:val="FFFFFF"/>
                <w:sz w:val="20"/>
                <w:szCs w:val="20"/>
              </w:rPr>
              <w:t xml:space="preserve">     </w:t>
            </w:r>
            <w:r w:rsidR="00C553E0">
              <w:rPr>
                <w:b/>
                <w:bCs/>
                <w:color w:val="FFFFFF"/>
                <w:sz w:val="20"/>
                <w:szCs w:val="20"/>
              </w:rPr>
              <w:t xml:space="preserve">       </w:t>
            </w:r>
            <w:r w:rsidR="002C4691">
              <w:rPr>
                <w:b/>
                <w:bCs/>
                <w:color w:val="FFFFFF"/>
                <w:sz w:val="20"/>
                <w:szCs w:val="20"/>
              </w:rPr>
              <w:t xml:space="preserve"> </w:t>
            </w:r>
            <w:r w:rsidRPr="00DE332B">
              <w:rPr>
                <w:b/>
                <w:bCs/>
                <w:color w:val="FFFFFF"/>
                <w:sz w:val="20"/>
                <w:szCs w:val="20"/>
              </w:rPr>
              <w:t>v tis. eur</w:t>
            </w:r>
          </w:p>
        </w:tc>
      </w:tr>
      <w:tr w:rsidR="006C0DD0" w:rsidRPr="007E1464" w14:paraId="2BA7368B" w14:textId="77777777" w:rsidTr="002C4691">
        <w:trPr>
          <w:trHeight w:val="255"/>
        </w:trPr>
        <w:tc>
          <w:tcPr>
            <w:tcW w:w="3961" w:type="dxa"/>
            <w:gridSpan w:val="3"/>
            <w:tcBorders>
              <w:top w:val="single" w:sz="4" w:space="0" w:color="auto"/>
              <w:left w:val="nil"/>
              <w:bottom w:val="nil"/>
              <w:right w:val="nil"/>
            </w:tcBorders>
            <w:shd w:val="clear" w:color="000000" w:fill="BFBFBF"/>
            <w:noWrap/>
            <w:vAlign w:val="center"/>
            <w:hideMark/>
          </w:tcPr>
          <w:p w14:paraId="2F155070"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 </w:t>
            </w:r>
          </w:p>
        </w:tc>
        <w:tc>
          <w:tcPr>
            <w:tcW w:w="1168" w:type="dxa"/>
            <w:tcBorders>
              <w:top w:val="nil"/>
              <w:left w:val="nil"/>
              <w:bottom w:val="nil"/>
              <w:right w:val="nil"/>
            </w:tcBorders>
            <w:shd w:val="clear" w:color="000000" w:fill="BFBFBF"/>
            <w:noWrap/>
            <w:vAlign w:val="center"/>
            <w:hideMark/>
          </w:tcPr>
          <w:p w14:paraId="5FBBA470"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2016</w:t>
            </w:r>
          </w:p>
        </w:tc>
        <w:tc>
          <w:tcPr>
            <w:tcW w:w="1392" w:type="dxa"/>
            <w:tcBorders>
              <w:top w:val="nil"/>
              <w:left w:val="nil"/>
              <w:bottom w:val="nil"/>
              <w:right w:val="nil"/>
            </w:tcBorders>
            <w:shd w:val="clear" w:color="000000" w:fill="BFBFBF"/>
            <w:noWrap/>
            <w:vAlign w:val="center"/>
            <w:hideMark/>
          </w:tcPr>
          <w:p w14:paraId="3CA04F07"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2017</w:t>
            </w:r>
          </w:p>
        </w:tc>
        <w:tc>
          <w:tcPr>
            <w:tcW w:w="1276" w:type="dxa"/>
            <w:tcBorders>
              <w:top w:val="nil"/>
              <w:left w:val="nil"/>
              <w:bottom w:val="nil"/>
              <w:right w:val="nil"/>
            </w:tcBorders>
            <w:shd w:val="clear" w:color="000000" w:fill="BFBFBF"/>
            <w:noWrap/>
            <w:vAlign w:val="center"/>
            <w:hideMark/>
          </w:tcPr>
          <w:p w14:paraId="6D04A06C"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2018</w:t>
            </w:r>
          </w:p>
        </w:tc>
        <w:tc>
          <w:tcPr>
            <w:tcW w:w="1275" w:type="dxa"/>
            <w:tcBorders>
              <w:top w:val="nil"/>
              <w:left w:val="nil"/>
              <w:bottom w:val="nil"/>
              <w:right w:val="nil"/>
            </w:tcBorders>
            <w:shd w:val="clear" w:color="000000" w:fill="BFBFBF"/>
            <w:noWrap/>
            <w:vAlign w:val="center"/>
            <w:hideMark/>
          </w:tcPr>
          <w:p w14:paraId="658B4A1D"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2018</w:t>
            </w:r>
          </w:p>
        </w:tc>
      </w:tr>
      <w:tr w:rsidR="006C0DD0" w:rsidRPr="007E1464" w14:paraId="02884C0F" w14:textId="77777777" w:rsidTr="002C4691">
        <w:trPr>
          <w:trHeight w:val="255"/>
        </w:trPr>
        <w:tc>
          <w:tcPr>
            <w:tcW w:w="3961" w:type="dxa"/>
            <w:gridSpan w:val="3"/>
            <w:tcBorders>
              <w:top w:val="nil"/>
              <w:left w:val="nil"/>
              <w:bottom w:val="nil"/>
              <w:right w:val="nil"/>
            </w:tcBorders>
            <w:shd w:val="clear" w:color="000000" w:fill="BFBFBF"/>
            <w:noWrap/>
            <w:vAlign w:val="center"/>
            <w:hideMark/>
          </w:tcPr>
          <w:p w14:paraId="48E43D93"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 </w:t>
            </w:r>
          </w:p>
        </w:tc>
        <w:tc>
          <w:tcPr>
            <w:tcW w:w="1168" w:type="dxa"/>
            <w:tcBorders>
              <w:top w:val="nil"/>
              <w:left w:val="nil"/>
              <w:bottom w:val="nil"/>
              <w:right w:val="nil"/>
            </w:tcBorders>
            <w:shd w:val="clear" w:color="000000" w:fill="BFBFBF"/>
            <w:noWrap/>
            <w:vAlign w:val="center"/>
            <w:hideMark/>
          </w:tcPr>
          <w:p w14:paraId="771B0A63"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Skutočnosť</w:t>
            </w:r>
          </w:p>
        </w:tc>
        <w:tc>
          <w:tcPr>
            <w:tcW w:w="1392" w:type="dxa"/>
            <w:tcBorders>
              <w:top w:val="nil"/>
              <w:left w:val="nil"/>
              <w:bottom w:val="nil"/>
              <w:right w:val="nil"/>
            </w:tcBorders>
            <w:shd w:val="clear" w:color="000000" w:fill="BFBFBF"/>
            <w:noWrap/>
            <w:vAlign w:val="center"/>
            <w:hideMark/>
          </w:tcPr>
          <w:p w14:paraId="636A7DEF"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Skutočnosť</w:t>
            </w:r>
          </w:p>
        </w:tc>
        <w:tc>
          <w:tcPr>
            <w:tcW w:w="1276" w:type="dxa"/>
            <w:tcBorders>
              <w:top w:val="nil"/>
              <w:left w:val="nil"/>
              <w:bottom w:val="nil"/>
              <w:right w:val="nil"/>
            </w:tcBorders>
            <w:shd w:val="clear" w:color="000000" w:fill="BFBFBF"/>
            <w:noWrap/>
            <w:vAlign w:val="center"/>
            <w:hideMark/>
          </w:tcPr>
          <w:p w14:paraId="076E3157"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Skutočnosť</w:t>
            </w:r>
          </w:p>
        </w:tc>
        <w:tc>
          <w:tcPr>
            <w:tcW w:w="1275" w:type="dxa"/>
            <w:tcBorders>
              <w:top w:val="nil"/>
              <w:left w:val="nil"/>
              <w:bottom w:val="nil"/>
              <w:right w:val="nil"/>
            </w:tcBorders>
            <w:shd w:val="clear" w:color="000000" w:fill="BFBFBF"/>
            <w:noWrap/>
            <w:vAlign w:val="center"/>
            <w:hideMark/>
          </w:tcPr>
          <w:p w14:paraId="29677F38" w14:textId="77777777" w:rsidR="006C0DD0" w:rsidRPr="007E1464" w:rsidRDefault="006C0DD0" w:rsidP="00500BD0">
            <w:pPr>
              <w:spacing w:after="0" w:line="240" w:lineRule="auto"/>
              <w:jc w:val="center"/>
              <w:rPr>
                <w:b/>
                <w:bCs/>
                <w:sz w:val="20"/>
                <w:szCs w:val="20"/>
                <w:lang w:eastAsia="sk-SK"/>
              </w:rPr>
            </w:pPr>
            <w:r w:rsidRPr="007E1464">
              <w:rPr>
                <w:b/>
                <w:bCs/>
                <w:sz w:val="20"/>
                <w:szCs w:val="20"/>
                <w:lang w:eastAsia="sk-SK"/>
              </w:rPr>
              <w:t>Rozpočet</w:t>
            </w:r>
          </w:p>
        </w:tc>
      </w:tr>
      <w:tr w:rsidR="006C0DD0" w:rsidRPr="007E1464" w14:paraId="7974A26A" w14:textId="77777777" w:rsidTr="002C4691">
        <w:trPr>
          <w:trHeight w:val="255"/>
        </w:trPr>
        <w:tc>
          <w:tcPr>
            <w:tcW w:w="3961" w:type="dxa"/>
            <w:gridSpan w:val="3"/>
            <w:tcBorders>
              <w:top w:val="nil"/>
              <w:left w:val="nil"/>
              <w:bottom w:val="nil"/>
              <w:right w:val="nil"/>
            </w:tcBorders>
            <w:shd w:val="clear" w:color="000000" w:fill="FFFFFF"/>
            <w:noWrap/>
            <w:vAlign w:val="center"/>
            <w:hideMark/>
          </w:tcPr>
          <w:p w14:paraId="41DA7E37" w14:textId="77777777" w:rsidR="006C0DD0" w:rsidRPr="007E1464" w:rsidRDefault="006C0DD0" w:rsidP="00500BD0">
            <w:pPr>
              <w:spacing w:after="0" w:line="240" w:lineRule="auto"/>
              <w:rPr>
                <w:b/>
                <w:bCs/>
                <w:color w:val="000000"/>
                <w:sz w:val="20"/>
                <w:szCs w:val="20"/>
                <w:lang w:eastAsia="sk-SK"/>
              </w:rPr>
            </w:pPr>
            <w:r w:rsidRPr="007E1464">
              <w:rPr>
                <w:b/>
                <w:bCs/>
                <w:color w:val="000000"/>
                <w:sz w:val="20"/>
                <w:szCs w:val="20"/>
                <w:lang w:eastAsia="sk-SK"/>
              </w:rPr>
              <w:t>Ústredná správa</w:t>
            </w:r>
            <w:r w:rsidRPr="007E1464">
              <w:rPr>
                <w:color w:val="000000"/>
                <w:sz w:val="20"/>
                <w:szCs w:val="20"/>
                <w:lang w:eastAsia="sk-SK"/>
              </w:rPr>
              <w:t>, z toho</w:t>
            </w:r>
          </w:p>
        </w:tc>
        <w:tc>
          <w:tcPr>
            <w:tcW w:w="1168" w:type="dxa"/>
            <w:tcBorders>
              <w:top w:val="nil"/>
              <w:left w:val="nil"/>
              <w:bottom w:val="nil"/>
              <w:right w:val="nil"/>
            </w:tcBorders>
            <w:shd w:val="clear" w:color="000000" w:fill="FFFFFF"/>
            <w:noWrap/>
            <w:vAlign w:val="center"/>
            <w:hideMark/>
          </w:tcPr>
          <w:p w14:paraId="7628E89C"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-2 234 214</w:t>
            </w:r>
          </w:p>
        </w:tc>
        <w:tc>
          <w:tcPr>
            <w:tcW w:w="1392" w:type="dxa"/>
            <w:tcBorders>
              <w:top w:val="nil"/>
              <w:left w:val="nil"/>
              <w:bottom w:val="nil"/>
              <w:right w:val="nil"/>
            </w:tcBorders>
            <w:shd w:val="clear" w:color="000000" w:fill="FFFFFF"/>
            <w:noWrap/>
            <w:vAlign w:val="center"/>
            <w:hideMark/>
          </w:tcPr>
          <w:p w14:paraId="1A709758"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-1 090 818</w:t>
            </w:r>
          </w:p>
        </w:tc>
        <w:tc>
          <w:tcPr>
            <w:tcW w:w="1276" w:type="dxa"/>
            <w:tcBorders>
              <w:top w:val="nil"/>
              <w:left w:val="nil"/>
              <w:bottom w:val="nil"/>
              <w:right w:val="nil"/>
            </w:tcBorders>
            <w:shd w:val="clear" w:color="000000" w:fill="BFBFBF"/>
            <w:noWrap/>
            <w:vAlign w:val="center"/>
            <w:hideMark/>
          </w:tcPr>
          <w:p w14:paraId="6C6AC962"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-1 125 478</w:t>
            </w:r>
          </w:p>
        </w:tc>
        <w:tc>
          <w:tcPr>
            <w:tcW w:w="1275" w:type="dxa"/>
            <w:tcBorders>
              <w:top w:val="nil"/>
              <w:left w:val="nil"/>
              <w:bottom w:val="nil"/>
              <w:right w:val="nil"/>
            </w:tcBorders>
            <w:shd w:val="clear" w:color="000000" w:fill="FFFFFF"/>
            <w:noWrap/>
            <w:vAlign w:val="center"/>
            <w:hideMark/>
          </w:tcPr>
          <w:p w14:paraId="57BC9A34"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-1 186 989</w:t>
            </w:r>
          </w:p>
        </w:tc>
      </w:tr>
      <w:tr w:rsidR="006C0DD0" w:rsidRPr="007E1464" w14:paraId="69DE2590" w14:textId="77777777" w:rsidTr="002C4691">
        <w:trPr>
          <w:trHeight w:val="315"/>
        </w:trPr>
        <w:tc>
          <w:tcPr>
            <w:tcW w:w="190" w:type="dxa"/>
            <w:tcBorders>
              <w:top w:val="nil"/>
              <w:left w:val="nil"/>
              <w:bottom w:val="nil"/>
              <w:right w:val="nil"/>
            </w:tcBorders>
            <w:shd w:val="clear" w:color="000000" w:fill="FFFFFF"/>
            <w:noWrap/>
            <w:vAlign w:val="center"/>
            <w:hideMark/>
          </w:tcPr>
          <w:p w14:paraId="0A87C16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15147BCB" w14:textId="77777777" w:rsidR="006C0DD0" w:rsidRPr="007E1464" w:rsidRDefault="006C0DD0" w:rsidP="00500BD0">
            <w:pPr>
              <w:spacing w:after="0" w:line="240" w:lineRule="auto"/>
              <w:rPr>
                <w:sz w:val="20"/>
                <w:szCs w:val="20"/>
                <w:lang w:eastAsia="sk-SK"/>
              </w:rPr>
            </w:pPr>
            <w:r w:rsidRPr="007E1464">
              <w:rPr>
                <w:sz w:val="20"/>
                <w:szCs w:val="20"/>
                <w:lang w:eastAsia="sk-SK"/>
              </w:rPr>
              <w:t>Štátny rozpočet</w:t>
            </w:r>
            <w:r w:rsidRPr="007E1464">
              <w:rPr>
                <w:sz w:val="20"/>
                <w:szCs w:val="20"/>
                <w:vertAlign w:val="superscript"/>
                <w:lang w:eastAsia="sk-SK"/>
              </w:rPr>
              <w:t>1</w:t>
            </w:r>
            <w:r w:rsidRPr="007E1464">
              <w:rPr>
                <w:color w:val="000000"/>
                <w:sz w:val="20"/>
                <w:szCs w:val="20"/>
                <w:vertAlign w:val="superscript"/>
                <w:lang w:eastAsia="sk-SK"/>
              </w:rPr>
              <w:t>)</w:t>
            </w:r>
          </w:p>
        </w:tc>
        <w:tc>
          <w:tcPr>
            <w:tcW w:w="1168" w:type="dxa"/>
            <w:tcBorders>
              <w:top w:val="nil"/>
              <w:left w:val="nil"/>
              <w:bottom w:val="nil"/>
              <w:right w:val="nil"/>
            </w:tcBorders>
            <w:shd w:val="clear" w:color="000000" w:fill="FFFFFF"/>
            <w:noWrap/>
            <w:vAlign w:val="center"/>
            <w:hideMark/>
          </w:tcPr>
          <w:p w14:paraId="4DDDE4A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-2 281 650</w:t>
            </w:r>
          </w:p>
        </w:tc>
        <w:tc>
          <w:tcPr>
            <w:tcW w:w="1392" w:type="dxa"/>
            <w:tcBorders>
              <w:top w:val="nil"/>
              <w:left w:val="nil"/>
              <w:bottom w:val="nil"/>
              <w:right w:val="nil"/>
            </w:tcBorders>
            <w:shd w:val="clear" w:color="000000" w:fill="FFFFFF"/>
            <w:noWrap/>
            <w:vAlign w:val="center"/>
            <w:hideMark/>
          </w:tcPr>
          <w:p w14:paraId="5498ABB6"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-1 126 236</w:t>
            </w:r>
          </w:p>
        </w:tc>
        <w:tc>
          <w:tcPr>
            <w:tcW w:w="1276" w:type="dxa"/>
            <w:tcBorders>
              <w:top w:val="nil"/>
              <w:left w:val="nil"/>
              <w:bottom w:val="nil"/>
              <w:right w:val="nil"/>
            </w:tcBorders>
            <w:shd w:val="clear" w:color="000000" w:fill="BFBFBF"/>
            <w:noWrap/>
            <w:vAlign w:val="center"/>
            <w:hideMark/>
          </w:tcPr>
          <w:p w14:paraId="000039F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-1 570 847</w:t>
            </w:r>
          </w:p>
        </w:tc>
        <w:tc>
          <w:tcPr>
            <w:tcW w:w="1275" w:type="dxa"/>
            <w:tcBorders>
              <w:top w:val="nil"/>
              <w:left w:val="nil"/>
              <w:bottom w:val="nil"/>
              <w:right w:val="nil"/>
            </w:tcBorders>
            <w:shd w:val="clear" w:color="000000" w:fill="FFFFFF"/>
            <w:noWrap/>
            <w:vAlign w:val="center"/>
            <w:hideMark/>
          </w:tcPr>
          <w:p w14:paraId="23BB775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-1 555 727</w:t>
            </w:r>
          </w:p>
        </w:tc>
      </w:tr>
      <w:tr w:rsidR="006C0DD0" w:rsidRPr="007E1464" w14:paraId="614C02BE" w14:textId="77777777" w:rsidTr="002C4691">
        <w:trPr>
          <w:trHeight w:val="255"/>
        </w:trPr>
        <w:tc>
          <w:tcPr>
            <w:tcW w:w="190" w:type="dxa"/>
            <w:tcBorders>
              <w:top w:val="nil"/>
              <w:left w:val="nil"/>
              <w:bottom w:val="nil"/>
              <w:right w:val="nil"/>
            </w:tcBorders>
            <w:shd w:val="clear" w:color="000000" w:fill="FFFFFF"/>
            <w:noWrap/>
            <w:vAlign w:val="center"/>
            <w:hideMark/>
          </w:tcPr>
          <w:p w14:paraId="0A53EE9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50F4D233" w14:textId="77777777" w:rsidR="006C0DD0" w:rsidRPr="007E1464" w:rsidRDefault="006C0DD0" w:rsidP="00500BD0">
            <w:pPr>
              <w:spacing w:after="0" w:line="240" w:lineRule="auto"/>
              <w:rPr>
                <w:sz w:val="20"/>
                <w:szCs w:val="20"/>
                <w:lang w:eastAsia="sk-SK"/>
              </w:rPr>
            </w:pPr>
            <w:r w:rsidRPr="007E1464">
              <w:rPr>
                <w:sz w:val="20"/>
                <w:szCs w:val="20"/>
                <w:lang w:eastAsia="sk-SK"/>
              </w:rPr>
              <w:t>Príspevkové organizácie ústrednej správy</w:t>
            </w:r>
          </w:p>
        </w:tc>
        <w:tc>
          <w:tcPr>
            <w:tcW w:w="1168" w:type="dxa"/>
            <w:tcBorders>
              <w:top w:val="nil"/>
              <w:left w:val="nil"/>
              <w:bottom w:val="nil"/>
              <w:right w:val="nil"/>
            </w:tcBorders>
            <w:shd w:val="clear" w:color="000000" w:fill="FFFFFF"/>
            <w:noWrap/>
            <w:vAlign w:val="center"/>
            <w:hideMark/>
          </w:tcPr>
          <w:p w14:paraId="5B30C2F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33 340</w:t>
            </w:r>
          </w:p>
        </w:tc>
        <w:tc>
          <w:tcPr>
            <w:tcW w:w="1392" w:type="dxa"/>
            <w:tcBorders>
              <w:top w:val="nil"/>
              <w:left w:val="nil"/>
              <w:bottom w:val="nil"/>
              <w:right w:val="nil"/>
            </w:tcBorders>
            <w:shd w:val="clear" w:color="000000" w:fill="FFFFFF"/>
            <w:noWrap/>
            <w:vAlign w:val="center"/>
            <w:hideMark/>
          </w:tcPr>
          <w:p w14:paraId="78B4992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31 361</w:t>
            </w:r>
          </w:p>
        </w:tc>
        <w:tc>
          <w:tcPr>
            <w:tcW w:w="1276" w:type="dxa"/>
            <w:tcBorders>
              <w:top w:val="nil"/>
              <w:left w:val="nil"/>
              <w:bottom w:val="nil"/>
              <w:right w:val="nil"/>
            </w:tcBorders>
            <w:shd w:val="clear" w:color="000000" w:fill="BFBFBF"/>
            <w:noWrap/>
            <w:vAlign w:val="center"/>
            <w:hideMark/>
          </w:tcPr>
          <w:p w14:paraId="43637C8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2 002</w:t>
            </w:r>
          </w:p>
        </w:tc>
        <w:tc>
          <w:tcPr>
            <w:tcW w:w="1275" w:type="dxa"/>
            <w:tcBorders>
              <w:top w:val="nil"/>
              <w:left w:val="nil"/>
              <w:bottom w:val="nil"/>
              <w:right w:val="nil"/>
            </w:tcBorders>
            <w:shd w:val="clear" w:color="000000" w:fill="FFFFFF"/>
            <w:noWrap/>
            <w:vAlign w:val="center"/>
            <w:hideMark/>
          </w:tcPr>
          <w:p w14:paraId="5AAE06E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-12 998</w:t>
            </w:r>
          </w:p>
        </w:tc>
      </w:tr>
      <w:tr w:rsidR="006C0DD0" w:rsidRPr="007E1464" w14:paraId="7F48E9E3" w14:textId="77777777" w:rsidTr="002C4691">
        <w:trPr>
          <w:trHeight w:val="255"/>
        </w:trPr>
        <w:tc>
          <w:tcPr>
            <w:tcW w:w="190" w:type="dxa"/>
            <w:tcBorders>
              <w:top w:val="nil"/>
              <w:left w:val="nil"/>
              <w:bottom w:val="nil"/>
              <w:right w:val="nil"/>
            </w:tcBorders>
            <w:shd w:val="clear" w:color="000000" w:fill="FFFFFF"/>
            <w:noWrap/>
            <w:vAlign w:val="center"/>
            <w:hideMark/>
          </w:tcPr>
          <w:p w14:paraId="3C1214A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1CAF3E82" w14:textId="77777777" w:rsidR="006C0DD0" w:rsidRPr="007E1464" w:rsidRDefault="006C0DD0" w:rsidP="00500BD0">
            <w:pPr>
              <w:spacing w:after="0" w:line="240" w:lineRule="auto"/>
              <w:rPr>
                <w:sz w:val="20"/>
                <w:szCs w:val="20"/>
                <w:lang w:eastAsia="sk-SK"/>
              </w:rPr>
            </w:pPr>
            <w:r w:rsidRPr="007E1464">
              <w:rPr>
                <w:sz w:val="20"/>
                <w:szCs w:val="20"/>
                <w:lang w:eastAsia="sk-SK"/>
              </w:rPr>
              <w:t>Štátne fondy</w:t>
            </w:r>
          </w:p>
        </w:tc>
        <w:tc>
          <w:tcPr>
            <w:tcW w:w="1168" w:type="dxa"/>
            <w:tcBorders>
              <w:top w:val="nil"/>
              <w:left w:val="nil"/>
              <w:bottom w:val="nil"/>
              <w:right w:val="nil"/>
            </w:tcBorders>
            <w:shd w:val="clear" w:color="000000" w:fill="FFFFFF"/>
            <w:noWrap/>
            <w:vAlign w:val="center"/>
            <w:hideMark/>
          </w:tcPr>
          <w:p w14:paraId="09FDD40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91 504</w:t>
            </w:r>
          </w:p>
        </w:tc>
        <w:tc>
          <w:tcPr>
            <w:tcW w:w="1392" w:type="dxa"/>
            <w:tcBorders>
              <w:top w:val="nil"/>
              <w:left w:val="nil"/>
              <w:bottom w:val="nil"/>
              <w:right w:val="nil"/>
            </w:tcBorders>
            <w:shd w:val="clear" w:color="000000" w:fill="FFFFFF"/>
            <w:noWrap/>
            <w:vAlign w:val="center"/>
            <w:hideMark/>
          </w:tcPr>
          <w:p w14:paraId="69BBB90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100 427</w:t>
            </w:r>
          </w:p>
        </w:tc>
        <w:tc>
          <w:tcPr>
            <w:tcW w:w="1276" w:type="dxa"/>
            <w:tcBorders>
              <w:top w:val="nil"/>
              <w:left w:val="nil"/>
              <w:bottom w:val="nil"/>
              <w:right w:val="nil"/>
            </w:tcBorders>
            <w:shd w:val="clear" w:color="000000" w:fill="BFBFBF"/>
            <w:noWrap/>
            <w:vAlign w:val="center"/>
            <w:hideMark/>
          </w:tcPr>
          <w:p w14:paraId="61B5387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101 098</w:t>
            </w:r>
          </w:p>
        </w:tc>
        <w:tc>
          <w:tcPr>
            <w:tcW w:w="1275" w:type="dxa"/>
            <w:tcBorders>
              <w:top w:val="nil"/>
              <w:left w:val="nil"/>
              <w:bottom w:val="nil"/>
              <w:right w:val="nil"/>
            </w:tcBorders>
            <w:shd w:val="clear" w:color="000000" w:fill="FFFFFF"/>
            <w:noWrap/>
            <w:vAlign w:val="center"/>
            <w:hideMark/>
          </w:tcPr>
          <w:p w14:paraId="004557E0" w14:textId="77777777" w:rsidR="006C0DD0" w:rsidRPr="007E1464" w:rsidRDefault="006C0DD0" w:rsidP="00500BD0">
            <w:pPr>
              <w:spacing w:after="0" w:line="240" w:lineRule="auto"/>
              <w:jc w:val="right"/>
              <w:rPr>
                <w:sz w:val="20"/>
                <w:szCs w:val="20"/>
                <w:lang w:eastAsia="sk-SK"/>
              </w:rPr>
            </w:pPr>
            <w:r w:rsidRPr="0057502F">
              <w:rPr>
                <w:sz w:val="20"/>
                <w:szCs w:val="20"/>
                <w:lang w:eastAsia="sk-SK"/>
              </w:rPr>
              <w:t>297</w:t>
            </w:r>
            <w:r w:rsidRPr="007E1464">
              <w:rPr>
                <w:sz w:val="20"/>
                <w:szCs w:val="20"/>
                <w:lang w:eastAsia="sk-SK"/>
              </w:rPr>
              <w:t xml:space="preserve"> 730</w:t>
            </w:r>
          </w:p>
        </w:tc>
      </w:tr>
      <w:tr w:rsidR="006C0DD0" w:rsidRPr="007E1464" w14:paraId="35E58206" w14:textId="77777777" w:rsidTr="002C4691">
        <w:trPr>
          <w:trHeight w:val="255"/>
        </w:trPr>
        <w:tc>
          <w:tcPr>
            <w:tcW w:w="190" w:type="dxa"/>
            <w:tcBorders>
              <w:top w:val="nil"/>
              <w:left w:val="nil"/>
              <w:bottom w:val="nil"/>
              <w:right w:val="nil"/>
            </w:tcBorders>
            <w:shd w:val="clear" w:color="000000" w:fill="FFFFFF"/>
            <w:noWrap/>
            <w:vAlign w:val="center"/>
            <w:hideMark/>
          </w:tcPr>
          <w:p w14:paraId="2B41AE8A"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11D1BCC7" w14:textId="77777777" w:rsidR="006C0DD0" w:rsidRPr="007E1464" w:rsidRDefault="006C0DD0" w:rsidP="00500BD0">
            <w:pPr>
              <w:spacing w:after="0" w:line="240" w:lineRule="auto"/>
              <w:rPr>
                <w:sz w:val="20"/>
                <w:szCs w:val="20"/>
                <w:lang w:eastAsia="sk-SK"/>
              </w:rPr>
            </w:pPr>
            <w:r w:rsidRPr="007E1464">
              <w:rPr>
                <w:sz w:val="20"/>
                <w:szCs w:val="20"/>
                <w:lang w:eastAsia="sk-SK"/>
              </w:rPr>
              <w:t>Eximbanka SR</w:t>
            </w:r>
          </w:p>
        </w:tc>
        <w:tc>
          <w:tcPr>
            <w:tcW w:w="1168" w:type="dxa"/>
            <w:tcBorders>
              <w:top w:val="nil"/>
              <w:left w:val="nil"/>
              <w:bottom w:val="nil"/>
              <w:right w:val="nil"/>
            </w:tcBorders>
            <w:shd w:val="clear" w:color="000000" w:fill="FFFFFF"/>
            <w:noWrap/>
            <w:vAlign w:val="center"/>
            <w:hideMark/>
          </w:tcPr>
          <w:p w14:paraId="3643CD33"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9 250</w:t>
            </w:r>
          </w:p>
        </w:tc>
        <w:tc>
          <w:tcPr>
            <w:tcW w:w="1392" w:type="dxa"/>
            <w:tcBorders>
              <w:top w:val="nil"/>
              <w:left w:val="nil"/>
              <w:bottom w:val="nil"/>
              <w:right w:val="nil"/>
            </w:tcBorders>
            <w:shd w:val="clear" w:color="000000" w:fill="FFFFFF"/>
            <w:noWrap/>
            <w:vAlign w:val="center"/>
            <w:hideMark/>
          </w:tcPr>
          <w:p w14:paraId="6223EC2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563</w:t>
            </w:r>
          </w:p>
        </w:tc>
        <w:tc>
          <w:tcPr>
            <w:tcW w:w="1276" w:type="dxa"/>
            <w:tcBorders>
              <w:top w:val="nil"/>
              <w:left w:val="nil"/>
              <w:bottom w:val="nil"/>
              <w:right w:val="nil"/>
            </w:tcBorders>
            <w:shd w:val="clear" w:color="000000" w:fill="BFBFBF"/>
            <w:noWrap/>
            <w:vAlign w:val="center"/>
            <w:hideMark/>
          </w:tcPr>
          <w:p w14:paraId="1726763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13 776</w:t>
            </w:r>
          </w:p>
        </w:tc>
        <w:tc>
          <w:tcPr>
            <w:tcW w:w="1275" w:type="dxa"/>
            <w:tcBorders>
              <w:top w:val="nil"/>
              <w:left w:val="nil"/>
              <w:bottom w:val="nil"/>
              <w:right w:val="nil"/>
            </w:tcBorders>
            <w:shd w:val="clear" w:color="000000" w:fill="FFFFFF"/>
            <w:noWrap/>
            <w:vAlign w:val="center"/>
            <w:hideMark/>
          </w:tcPr>
          <w:p w14:paraId="39922014" w14:textId="77777777" w:rsidR="006C0DD0" w:rsidRPr="007E1464" w:rsidRDefault="006C0DD0" w:rsidP="00500BD0">
            <w:pPr>
              <w:spacing w:after="0" w:line="240" w:lineRule="auto"/>
              <w:jc w:val="right"/>
              <w:rPr>
                <w:sz w:val="20"/>
                <w:szCs w:val="20"/>
                <w:lang w:eastAsia="sk-SK"/>
              </w:rPr>
            </w:pPr>
            <w:r w:rsidRPr="009C7510">
              <w:rPr>
                <w:sz w:val="20"/>
                <w:szCs w:val="20"/>
                <w:lang w:eastAsia="sk-SK"/>
              </w:rPr>
              <w:t>120</w:t>
            </w:r>
          </w:p>
        </w:tc>
      </w:tr>
      <w:tr w:rsidR="006C0DD0" w:rsidRPr="007E1464" w14:paraId="5AEBD378" w14:textId="77777777" w:rsidTr="002C4691">
        <w:trPr>
          <w:trHeight w:val="255"/>
        </w:trPr>
        <w:tc>
          <w:tcPr>
            <w:tcW w:w="190" w:type="dxa"/>
            <w:tcBorders>
              <w:top w:val="nil"/>
              <w:left w:val="nil"/>
              <w:bottom w:val="nil"/>
              <w:right w:val="nil"/>
            </w:tcBorders>
            <w:shd w:val="clear" w:color="000000" w:fill="FFFFFF"/>
            <w:noWrap/>
            <w:vAlign w:val="center"/>
            <w:hideMark/>
          </w:tcPr>
          <w:p w14:paraId="40B9E31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3649CB10" w14:textId="77777777" w:rsidR="006C0DD0" w:rsidRPr="007E1464" w:rsidRDefault="006C0DD0" w:rsidP="00500BD0">
            <w:pPr>
              <w:spacing w:after="0" w:line="240" w:lineRule="auto"/>
              <w:rPr>
                <w:sz w:val="20"/>
                <w:szCs w:val="20"/>
                <w:lang w:eastAsia="sk-SK"/>
              </w:rPr>
            </w:pPr>
            <w:r w:rsidRPr="007E1464">
              <w:rPr>
                <w:sz w:val="20"/>
                <w:szCs w:val="20"/>
                <w:lang w:eastAsia="sk-SK"/>
              </w:rPr>
              <w:t>Obchodné spoločnosti štátu</w:t>
            </w:r>
          </w:p>
        </w:tc>
        <w:tc>
          <w:tcPr>
            <w:tcW w:w="1168" w:type="dxa"/>
            <w:tcBorders>
              <w:top w:val="nil"/>
              <w:left w:val="nil"/>
              <w:bottom w:val="nil"/>
              <w:right w:val="nil"/>
            </w:tcBorders>
            <w:shd w:val="clear" w:color="000000" w:fill="FFFFFF"/>
            <w:noWrap/>
            <w:vAlign w:val="center"/>
            <w:hideMark/>
          </w:tcPr>
          <w:p w14:paraId="47FFF94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20 558</w:t>
            </w:r>
          </w:p>
        </w:tc>
        <w:tc>
          <w:tcPr>
            <w:tcW w:w="1392" w:type="dxa"/>
            <w:tcBorders>
              <w:top w:val="nil"/>
              <w:left w:val="nil"/>
              <w:bottom w:val="nil"/>
              <w:right w:val="nil"/>
            </w:tcBorders>
            <w:shd w:val="clear" w:color="000000" w:fill="FFFFFF"/>
            <w:noWrap/>
            <w:vAlign w:val="center"/>
            <w:hideMark/>
          </w:tcPr>
          <w:p w14:paraId="420A27A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-90 625</w:t>
            </w:r>
          </w:p>
        </w:tc>
        <w:tc>
          <w:tcPr>
            <w:tcW w:w="1276" w:type="dxa"/>
            <w:tcBorders>
              <w:top w:val="nil"/>
              <w:left w:val="nil"/>
              <w:bottom w:val="nil"/>
              <w:right w:val="nil"/>
            </w:tcBorders>
            <w:shd w:val="clear" w:color="000000" w:fill="BFBFBF"/>
            <w:noWrap/>
            <w:vAlign w:val="center"/>
            <w:hideMark/>
          </w:tcPr>
          <w:p w14:paraId="1AA000D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-14 402</w:t>
            </w:r>
          </w:p>
        </w:tc>
        <w:tc>
          <w:tcPr>
            <w:tcW w:w="1275" w:type="dxa"/>
            <w:tcBorders>
              <w:top w:val="nil"/>
              <w:left w:val="nil"/>
              <w:bottom w:val="nil"/>
              <w:right w:val="nil"/>
            </w:tcBorders>
            <w:shd w:val="clear" w:color="000000" w:fill="FFFFFF"/>
            <w:noWrap/>
            <w:vAlign w:val="center"/>
            <w:hideMark/>
          </w:tcPr>
          <w:p w14:paraId="074E1E44"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20 328</w:t>
            </w:r>
          </w:p>
        </w:tc>
      </w:tr>
      <w:tr w:rsidR="006C0DD0" w:rsidRPr="007E1464" w14:paraId="6343B7A4" w14:textId="77777777" w:rsidTr="002C4691">
        <w:trPr>
          <w:trHeight w:val="255"/>
        </w:trPr>
        <w:tc>
          <w:tcPr>
            <w:tcW w:w="190" w:type="dxa"/>
            <w:tcBorders>
              <w:top w:val="nil"/>
              <w:left w:val="nil"/>
              <w:bottom w:val="nil"/>
              <w:right w:val="nil"/>
            </w:tcBorders>
            <w:shd w:val="clear" w:color="000000" w:fill="FFFFFF"/>
            <w:noWrap/>
            <w:vAlign w:val="center"/>
            <w:hideMark/>
          </w:tcPr>
          <w:p w14:paraId="241C885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75A78B6E"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xml:space="preserve">   z toho:</w:t>
            </w:r>
          </w:p>
        </w:tc>
        <w:tc>
          <w:tcPr>
            <w:tcW w:w="1168" w:type="dxa"/>
            <w:tcBorders>
              <w:top w:val="nil"/>
              <w:left w:val="nil"/>
              <w:bottom w:val="nil"/>
              <w:right w:val="nil"/>
            </w:tcBorders>
            <w:shd w:val="clear" w:color="000000" w:fill="FFFFFF"/>
            <w:noWrap/>
            <w:vAlign w:val="center"/>
            <w:hideMark/>
          </w:tcPr>
          <w:p w14:paraId="379CF7A4"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1392" w:type="dxa"/>
            <w:tcBorders>
              <w:top w:val="nil"/>
              <w:left w:val="nil"/>
              <w:bottom w:val="nil"/>
              <w:right w:val="nil"/>
            </w:tcBorders>
            <w:shd w:val="clear" w:color="000000" w:fill="FFFFFF"/>
            <w:noWrap/>
            <w:vAlign w:val="center"/>
            <w:hideMark/>
          </w:tcPr>
          <w:p w14:paraId="1BD53203"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 </w:t>
            </w:r>
          </w:p>
        </w:tc>
        <w:tc>
          <w:tcPr>
            <w:tcW w:w="1276" w:type="dxa"/>
            <w:tcBorders>
              <w:top w:val="nil"/>
              <w:left w:val="nil"/>
              <w:bottom w:val="nil"/>
              <w:right w:val="nil"/>
            </w:tcBorders>
            <w:shd w:val="clear" w:color="000000" w:fill="BFBFBF"/>
            <w:noWrap/>
            <w:vAlign w:val="center"/>
            <w:hideMark/>
          </w:tcPr>
          <w:p w14:paraId="5CEC51FD"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1275" w:type="dxa"/>
            <w:tcBorders>
              <w:top w:val="nil"/>
              <w:left w:val="nil"/>
              <w:bottom w:val="nil"/>
              <w:right w:val="nil"/>
            </w:tcBorders>
            <w:shd w:val="clear" w:color="000000" w:fill="FFFFFF"/>
            <w:noWrap/>
            <w:vAlign w:val="center"/>
            <w:hideMark/>
          </w:tcPr>
          <w:p w14:paraId="711239E3"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r>
      <w:tr w:rsidR="006C0DD0" w:rsidRPr="007E1464" w14:paraId="2478A28C" w14:textId="77777777" w:rsidTr="002C4691">
        <w:trPr>
          <w:trHeight w:val="255"/>
        </w:trPr>
        <w:tc>
          <w:tcPr>
            <w:tcW w:w="190" w:type="dxa"/>
            <w:tcBorders>
              <w:top w:val="nil"/>
              <w:left w:val="nil"/>
              <w:bottom w:val="nil"/>
              <w:right w:val="nil"/>
            </w:tcBorders>
            <w:shd w:val="clear" w:color="000000" w:fill="FFFFFF"/>
            <w:noWrap/>
            <w:vAlign w:val="center"/>
            <w:hideMark/>
          </w:tcPr>
          <w:p w14:paraId="37E90A4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023C6817"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3581" w:type="dxa"/>
            <w:tcBorders>
              <w:top w:val="nil"/>
              <w:left w:val="nil"/>
              <w:bottom w:val="nil"/>
              <w:right w:val="nil"/>
            </w:tcBorders>
            <w:shd w:val="clear" w:color="000000" w:fill="FFFFFF"/>
            <w:noWrap/>
            <w:vAlign w:val="center"/>
            <w:hideMark/>
          </w:tcPr>
          <w:p w14:paraId="6271FE77" w14:textId="77777777" w:rsidR="006C0DD0" w:rsidRPr="007E1464" w:rsidRDefault="006C0DD0" w:rsidP="00500BD0">
            <w:pPr>
              <w:spacing w:after="0" w:line="240" w:lineRule="auto"/>
              <w:rPr>
                <w:sz w:val="20"/>
                <w:szCs w:val="20"/>
                <w:lang w:eastAsia="sk-SK"/>
              </w:rPr>
            </w:pPr>
            <w:r w:rsidRPr="007E1464">
              <w:rPr>
                <w:sz w:val="20"/>
                <w:szCs w:val="20"/>
                <w:lang w:eastAsia="sk-SK"/>
              </w:rPr>
              <w:t>Národná diaľničná spoločnosť, a.s.</w:t>
            </w:r>
          </w:p>
        </w:tc>
        <w:tc>
          <w:tcPr>
            <w:tcW w:w="1168" w:type="dxa"/>
            <w:tcBorders>
              <w:top w:val="nil"/>
              <w:left w:val="nil"/>
              <w:bottom w:val="nil"/>
              <w:right w:val="nil"/>
            </w:tcBorders>
            <w:shd w:val="clear" w:color="000000" w:fill="FFFFFF"/>
            <w:noWrap/>
            <w:vAlign w:val="center"/>
            <w:hideMark/>
          </w:tcPr>
          <w:p w14:paraId="4A3BF95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62 166</w:t>
            </w:r>
          </w:p>
        </w:tc>
        <w:tc>
          <w:tcPr>
            <w:tcW w:w="1392" w:type="dxa"/>
            <w:tcBorders>
              <w:top w:val="nil"/>
              <w:left w:val="nil"/>
              <w:bottom w:val="nil"/>
              <w:right w:val="nil"/>
            </w:tcBorders>
            <w:shd w:val="clear" w:color="000000" w:fill="FFFFFF"/>
            <w:noWrap/>
            <w:vAlign w:val="center"/>
            <w:hideMark/>
          </w:tcPr>
          <w:p w14:paraId="79D974D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-35 116</w:t>
            </w:r>
          </w:p>
        </w:tc>
        <w:tc>
          <w:tcPr>
            <w:tcW w:w="1276" w:type="dxa"/>
            <w:tcBorders>
              <w:top w:val="nil"/>
              <w:left w:val="nil"/>
              <w:bottom w:val="nil"/>
              <w:right w:val="nil"/>
            </w:tcBorders>
            <w:shd w:val="clear" w:color="000000" w:fill="BFBFBF"/>
            <w:noWrap/>
            <w:vAlign w:val="center"/>
            <w:hideMark/>
          </w:tcPr>
          <w:p w14:paraId="26644E13"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9 541</w:t>
            </w:r>
          </w:p>
        </w:tc>
        <w:tc>
          <w:tcPr>
            <w:tcW w:w="1275" w:type="dxa"/>
            <w:tcBorders>
              <w:top w:val="nil"/>
              <w:left w:val="nil"/>
              <w:bottom w:val="nil"/>
              <w:right w:val="nil"/>
            </w:tcBorders>
            <w:shd w:val="clear" w:color="000000" w:fill="FFFFFF"/>
            <w:noWrap/>
            <w:vAlign w:val="center"/>
            <w:hideMark/>
          </w:tcPr>
          <w:p w14:paraId="7113ED04" w14:textId="77777777" w:rsidR="006C0DD0" w:rsidRPr="000079A2" w:rsidRDefault="006C0DD0" w:rsidP="00500BD0">
            <w:pPr>
              <w:spacing w:after="0" w:line="240" w:lineRule="auto"/>
              <w:jc w:val="right"/>
              <w:rPr>
                <w:sz w:val="20"/>
                <w:szCs w:val="20"/>
                <w:lang w:eastAsia="sk-SK"/>
              </w:rPr>
            </w:pPr>
            <w:r w:rsidRPr="000079A2">
              <w:rPr>
                <w:sz w:val="20"/>
                <w:szCs w:val="20"/>
                <w:lang w:eastAsia="sk-SK"/>
              </w:rPr>
              <w:t>36 965</w:t>
            </w:r>
          </w:p>
        </w:tc>
      </w:tr>
      <w:tr w:rsidR="006C0DD0" w:rsidRPr="007E1464" w14:paraId="3313E18C" w14:textId="77777777" w:rsidTr="002C4691">
        <w:trPr>
          <w:trHeight w:val="255"/>
        </w:trPr>
        <w:tc>
          <w:tcPr>
            <w:tcW w:w="190" w:type="dxa"/>
            <w:tcBorders>
              <w:top w:val="nil"/>
              <w:left w:val="nil"/>
              <w:bottom w:val="nil"/>
              <w:right w:val="nil"/>
            </w:tcBorders>
            <w:shd w:val="clear" w:color="000000" w:fill="FFFFFF"/>
            <w:noWrap/>
            <w:vAlign w:val="center"/>
            <w:hideMark/>
          </w:tcPr>
          <w:p w14:paraId="4300A48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0AB3EC4B"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581" w:type="dxa"/>
            <w:tcBorders>
              <w:top w:val="nil"/>
              <w:left w:val="nil"/>
              <w:bottom w:val="nil"/>
              <w:right w:val="nil"/>
            </w:tcBorders>
            <w:shd w:val="clear" w:color="000000" w:fill="FFFFFF"/>
            <w:noWrap/>
            <w:vAlign w:val="center"/>
            <w:hideMark/>
          </w:tcPr>
          <w:p w14:paraId="337C9D4A" w14:textId="77777777" w:rsidR="006C0DD0" w:rsidRPr="007E1464" w:rsidRDefault="006C0DD0" w:rsidP="00500BD0">
            <w:pPr>
              <w:spacing w:after="0" w:line="240" w:lineRule="auto"/>
              <w:rPr>
                <w:sz w:val="20"/>
                <w:szCs w:val="20"/>
                <w:lang w:eastAsia="sk-SK"/>
              </w:rPr>
            </w:pPr>
            <w:r w:rsidRPr="007E1464">
              <w:rPr>
                <w:sz w:val="20"/>
                <w:szCs w:val="20"/>
                <w:lang w:eastAsia="sk-SK"/>
              </w:rPr>
              <w:t>JAVYS, a.s.</w:t>
            </w:r>
          </w:p>
        </w:tc>
        <w:tc>
          <w:tcPr>
            <w:tcW w:w="1168" w:type="dxa"/>
            <w:tcBorders>
              <w:top w:val="nil"/>
              <w:left w:val="nil"/>
              <w:bottom w:val="nil"/>
              <w:right w:val="nil"/>
            </w:tcBorders>
            <w:shd w:val="clear" w:color="000000" w:fill="FFFFFF"/>
            <w:noWrap/>
            <w:vAlign w:val="center"/>
            <w:hideMark/>
          </w:tcPr>
          <w:p w14:paraId="4EAAE18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12 345</w:t>
            </w:r>
          </w:p>
        </w:tc>
        <w:tc>
          <w:tcPr>
            <w:tcW w:w="1392" w:type="dxa"/>
            <w:tcBorders>
              <w:top w:val="nil"/>
              <w:left w:val="nil"/>
              <w:bottom w:val="nil"/>
              <w:right w:val="nil"/>
            </w:tcBorders>
            <w:shd w:val="clear" w:color="000000" w:fill="FFFFFF"/>
            <w:noWrap/>
            <w:vAlign w:val="center"/>
            <w:hideMark/>
          </w:tcPr>
          <w:p w14:paraId="0C9A89A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7 043</w:t>
            </w:r>
          </w:p>
        </w:tc>
        <w:tc>
          <w:tcPr>
            <w:tcW w:w="1276" w:type="dxa"/>
            <w:tcBorders>
              <w:top w:val="nil"/>
              <w:left w:val="nil"/>
              <w:bottom w:val="nil"/>
              <w:right w:val="nil"/>
            </w:tcBorders>
            <w:shd w:val="clear" w:color="000000" w:fill="BFBFBF"/>
            <w:noWrap/>
            <w:vAlign w:val="center"/>
            <w:hideMark/>
          </w:tcPr>
          <w:p w14:paraId="1F9F997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7 324</w:t>
            </w:r>
          </w:p>
        </w:tc>
        <w:tc>
          <w:tcPr>
            <w:tcW w:w="1275" w:type="dxa"/>
            <w:tcBorders>
              <w:top w:val="nil"/>
              <w:left w:val="nil"/>
              <w:bottom w:val="nil"/>
              <w:right w:val="nil"/>
            </w:tcBorders>
            <w:shd w:val="clear" w:color="000000" w:fill="FFFFFF"/>
            <w:noWrap/>
            <w:vAlign w:val="center"/>
            <w:hideMark/>
          </w:tcPr>
          <w:p w14:paraId="48CE72B8" w14:textId="77777777" w:rsidR="006C0DD0" w:rsidRPr="000079A2" w:rsidRDefault="006C0DD0" w:rsidP="00500BD0">
            <w:pPr>
              <w:spacing w:after="0" w:line="240" w:lineRule="auto"/>
              <w:jc w:val="right"/>
              <w:rPr>
                <w:sz w:val="20"/>
                <w:szCs w:val="20"/>
                <w:lang w:eastAsia="sk-SK"/>
              </w:rPr>
            </w:pPr>
            <w:r w:rsidRPr="000079A2">
              <w:rPr>
                <w:sz w:val="20"/>
                <w:szCs w:val="20"/>
                <w:lang w:eastAsia="sk-SK"/>
              </w:rPr>
              <w:t>-5 037</w:t>
            </w:r>
          </w:p>
        </w:tc>
      </w:tr>
      <w:tr w:rsidR="006C0DD0" w:rsidRPr="007E1464" w14:paraId="6B1D993E" w14:textId="77777777" w:rsidTr="002C4691">
        <w:trPr>
          <w:trHeight w:val="255"/>
        </w:trPr>
        <w:tc>
          <w:tcPr>
            <w:tcW w:w="190" w:type="dxa"/>
            <w:tcBorders>
              <w:top w:val="nil"/>
              <w:left w:val="nil"/>
              <w:bottom w:val="nil"/>
              <w:right w:val="nil"/>
            </w:tcBorders>
            <w:shd w:val="clear" w:color="000000" w:fill="FFFFFF"/>
            <w:noWrap/>
            <w:vAlign w:val="center"/>
            <w:hideMark/>
          </w:tcPr>
          <w:p w14:paraId="1CC0967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235A496D"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3581" w:type="dxa"/>
            <w:tcBorders>
              <w:top w:val="nil"/>
              <w:left w:val="nil"/>
              <w:bottom w:val="nil"/>
              <w:right w:val="nil"/>
            </w:tcBorders>
            <w:shd w:val="clear" w:color="000000" w:fill="FFFFFF"/>
            <w:noWrap/>
            <w:vAlign w:val="center"/>
            <w:hideMark/>
          </w:tcPr>
          <w:p w14:paraId="59BF926B" w14:textId="77777777" w:rsidR="006C0DD0" w:rsidRPr="007E1464" w:rsidRDefault="006C0DD0" w:rsidP="00500BD0">
            <w:pPr>
              <w:spacing w:after="0" w:line="240" w:lineRule="auto"/>
              <w:rPr>
                <w:sz w:val="20"/>
                <w:szCs w:val="20"/>
                <w:lang w:eastAsia="sk-SK"/>
              </w:rPr>
            </w:pPr>
            <w:r w:rsidRPr="007E1464">
              <w:rPr>
                <w:sz w:val="20"/>
                <w:szCs w:val="20"/>
                <w:lang w:eastAsia="sk-SK"/>
              </w:rPr>
              <w:t>Železnice Slovenskej republiky</w:t>
            </w:r>
          </w:p>
        </w:tc>
        <w:tc>
          <w:tcPr>
            <w:tcW w:w="1168" w:type="dxa"/>
            <w:tcBorders>
              <w:top w:val="nil"/>
              <w:left w:val="nil"/>
              <w:bottom w:val="nil"/>
              <w:right w:val="nil"/>
            </w:tcBorders>
            <w:shd w:val="clear" w:color="000000" w:fill="FFFFFF"/>
            <w:noWrap/>
            <w:vAlign w:val="center"/>
            <w:hideMark/>
          </w:tcPr>
          <w:p w14:paraId="2560F913"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23 464</w:t>
            </w:r>
          </w:p>
        </w:tc>
        <w:tc>
          <w:tcPr>
            <w:tcW w:w="1392" w:type="dxa"/>
            <w:tcBorders>
              <w:top w:val="nil"/>
              <w:left w:val="nil"/>
              <w:bottom w:val="nil"/>
              <w:right w:val="nil"/>
            </w:tcBorders>
            <w:shd w:val="clear" w:color="000000" w:fill="FFFFFF"/>
            <w:noWrap/>
            <w:vAlign w:val="center"/>
            <w:hideMark/>
          </w:tcPr>
          <w:p w14:paraId="14401E74"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-97 591</w:t>
            </w:r>
          </w:p>
        </w:tc>
        <w:tc>
          <w:tcPr>
            <w:tcW w:w="1276" w:type="dxa"/>
            <w:tcBorders>
              <w:top w:val="nil"/>
              <w:left w:val="nil"/>
              <w:bottom w:val="nil"/>
              <w:right w:val="nil"/>
            </w:tcBorders>
            <w:shd w:val="clear" w:color="000000" w:fill="BFBFBF"/>
            <w:noWrap/>
            <w:vAlign w:val="center"/>
            <w:hideMark/>
          </w:tcPr>
          <w:p w14:paraId="7ADD05BA"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537</w:t>
            </w:r>
          </w:p>
        </w:tc>
        <w:tc>
          <w:tcPr>
            <w:tcW w:w="1275" w:type="dxa"/>
            <w:tcBorders>
              <w:top w:val="nil"/>
              <w:left w:val="nil"/>
              <w:bottom w:val="nil"/>
              <w:right w:val="nil"/>
            </w:tcBorders>
            <w:shd w:val="clear" w:color="000000" w:fill="FFFFFF"/>
            <w:noWrap/>
            <w:vAlign w:val="center"/>
            <w:hideMark/>
          </w:tcPr>
          <w:p w14:paraId="0C31BC9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0</w:t>
            </w:r>
          </w:p>
        </w:tc>
      </w:tr>
      <w:tr w:rsidR="006C0DD0" w:rsidRPr="007E1464" w14:paraId="205E4E45" w14:textId="77777777" w:rsidTr="002C4691">
        <w:trPr>
          <w:trHeight w:val="255"/>
        </w:trPr>
        <w:tc>
          <w:tcPr>
            <w:tcW w:w="190" w:type="dxa"/>
            <w:tcBorders>
              <w:top w:val="nil"/>
              <w:left w:val="nil"/>
              <w:bottom w:val="nil"/>
              <w:right w:val="nil"/>
            </w:tcBorders>
            <w:shd w:val="clear" w:color="000000" w:fill="FFFFFF"/>
            <w:noWrap/>
            <w:vAlign w:val="center"/>
            <w:hideMark/>
          </w:tcPr>
          <w:p w14:paraId="698CC0E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57D24965"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581" w:type="dxa"/>
            <w:tcBorders>
              <w:top w:val="nil"/>
              <w:left w:val="nil"/>
              <w:bottom w:val="nil"/>
              <w:right w:val="nil"/>
            </w:tcBorders>
            <w:shd w:val="clear" w:color="000000" w:fill="FFFFFF"/>
            <w:noWrap/>
            <w:vAlign w:val="center"/>
            <w:hideMark/>
          </w:tcPr>
          <w:p w14:paraId="395686DA" w14:textId="77777777" w:rsidR="006C0DD0" w:rsidRPr="007E1464" w:rsidRDefault="006C0DD0" w:rsidP="00500BD0">
            <w:pPr>
              <w:spacing w:after="0" w:line="240" w:lineRule="auto"/>
              <w:rPr>
                <w:sz w:val="20"/>
                <w:szCs w:val="20"/>
                <w:lang w:eastAsia="sk-SK"/>
              </w:rPr>
            </w:pPr>
            <w:r w:rsidRPr="007E1464">
              <w:rPr>
                <w:sz w:val="20"/>
                <w:szCs w:val="20"/>
                <w:lang w:eastAsia="sk-SK"/>
              </w:rPr>
              <w:t>MH Invest II, s.r.o.</w:t>
            </w:r>
          </w:p>
        </w:tc>
        <w:tc>
          <w:tcPr>
            <w:tcW w:w="1168" w:type="dxa"/>
            <w:tcBorders>
              <w:top w:val="nil"/>
              <w:left w:val="nil"/>
              <w:bottom w:val="nil"/>
              <w:right w:val="nil"/>
            </w:tcBorders>
            <w:shd w:val="clear" w:color="000000" w:fill="FFFFFF"/>
            <w:noWrap/>
            <w:vAlign w:val="center"/>
            <w:hideMark/>
          </w:tcPr>
          <w:p w14:paraId="478026E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-20 207</w:t>
            </w:r>
          </w:p>
        </w:tc>
        <w:tc>
          <w:tcPr>
            <w:tcW w:w="1392" w:type="dxa"/>
            <w:tcBorders>
              <w:top w:val="nil"/>
              <w:left w:val="nil"/>
              <w:bottom w:val="nil"/>
              <w:right w:val="nil"/>
            </w:tcBorders>
            <w:shd w:val="clear" w:color="000000" w:fill="FFFFFF"/>
            <w:noWrap/>
            <w:vAlign w:val="center"/>
            <w:hideMark/>
          </w:tcPr>
          <w:p w14:paraId="1A6106E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23 429</w:t>
            </w:r>
          </w:p>
        </w:tc>
        <w:tc>
          <w:tcPr>
            <w:tcW w:w="1276" w:type="dxa"/>
            <w:tcBorders>
              <w:top w:val="nil"/>
              <w:left w:val="nil"/>
              <w:bottom w:val="nil"/>
              <w:right w:val="nil"/>
            </w:tcBorders>
            <w:shd w:val="clear" w:color="000000" w:fill="BFBFBF"/>
            <w:noWrap/>
            <w:vAlign w:val="center"/>
            <w:hideMark/>
          </w:tcPr>
          <w:p w14:paraId="175241A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-538</w:t>
            </w:r>
          </w:p>
        </w:tc>
        <w:tc>
          <w:tcPr>
            <w:tcW w:w="1275" w:type="dxa"/>
            <w:tcBorders>
              <w:top w:val="nil"/>
              <w:left w:val="nil"/>
              <w:bottom w:val="nil"/>
              <w:right w:val="nil"/>
            </w:tcBorders>
            <w:shd w:val="clear" w:color="000000" w:fill="FFFFFF"/>
            <w:noWrap/>
            <w:vAlign w:val="center"/>
            <w:hideMark/>
          </w:tcPr>
          <w:p w14:paraId="49AD81E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-655</w:t>
            </w:r>
          </w:p>
        </w:tc>
      </w:tr>
      <w:tr w:rsidR="006C0DD0" w:rsidRPr="007E1464" w14:paraId="661ACD12" w14:textId="77777777" w:rsidTr="002C4691">
        <w:trPr>
          <w:trHeight w:val="255"/>
        </w:trPr>
        <w:tc>
          <w:tcPr>
            <w:tcW w:w="190" w:type="dxa"/>
            <w:tcBorders>
              <w:top w:val="nil"/>
              <w:left w:val="nil"/>
              <w:bottom w:val="nil"/>
              <w:right w:val="nil"/>
            </w:tcBorders>
            <w:shd w:val="clear" w:color="000000" w:fill="FFFFFF"/>
            <w:noWrap/>
            <w:vAlign w:val="center"/>
            <w:hideMark/>
          </w:tcPr>
          <w:p w14:paraId="5CED797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1D5ABB1B"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581" w:type="dxa"/>
            <w:tcBorders>
              <w:top w:val="nil"/>
              <w:left w:val="nil"/>
              <w:bottom w:val="nil"/>
              <w:right w:val="nil"/>
            </w:tcBorders>
            <w:shd w:val="clear" w:color="000000" w:fill="FFFFFF"/>
            <w:noWrap/>
            <w:vAlign w:val="center"/>
            <w:hideMark/>
          </w:tcPr>
          <w:p w14:paraId="3CC8B69A" w14:textId="77777777" w:rsidR="006C0DD0" w:rsidRPr="007E1464" w:rsidRDefault="006C0DD0" w:rsidP="00500BD0">
            <w:pPr>
              <w:spacing w:after="0" w:line="240" w:lineRule="auto"/>
              <w:rPr>
                <w:sz w:val="20"/>
                <w:szCs w:val="20"/>
                <w:lang w:eastAsia="sk-SK"/>
              </w:rPr>
            </w:pPr>
            <w:r w:rsidRPr="007E1464">
              <w:rPr>
                <w:sz w:val="20"/>
                <w:szCs w:val="20"/>
                <w:lang w:eastAsia="sk-SK"/>
              </w:rPr>
              <w:t>MH Manažment, a.s.</w:t>
            </w:r>
          </w:p>
        </w:tc>
        <w:tc>
          <w:tcPr>
            <w:tcW w:w="1168" w:type="dxa"/>
            <w:tcBorders>
              <w:top w:val="nil"/>
              <w:left w:val="nil"/>
              <w:bottom w:val="nil"/>
              <w:right w:val="nil"/>
            </w:tcBorders>
            <w:shd w:val="clear" w:color="000000" w:fill="FFFFFF"/>
            <w:noWrap/>
            <w:vAlign w:val="center"/>
            <w:hideMark/>
          </w:tcPr>
          <w:p w14:paraId="7B1209D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-47 083</w:t>
            </w:r>
          </w:p>
        </w:tc>
        <w:tc>
          <w:tcPr>
            <w:tcW w:w="1392" w:type="dxa"/>
            <w:tcBorders>
              <w:top w:val="nil"/>
              <w:left w:val="nil"/>
              <w:bottom w:val="nil"/>
              <w:right w:val="nil"/>
            </w:tcBorders>
            <w:shd w:val="clear" w:color="000000" w:fill="FFFFFF"/>
            <w:noWrap/>
            <w:vAlign w:val="center"/>
            <w:hideMark/>
          </w:tcPr>
          <w:p w14:paraId="7E10330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-27 550</w:t>
            </w:r>
          </w:p>
        </w:tc>
        <w:tc>
          <w:tcPr>
            <w:tcW w:w="1276" w:type="dxa"/>
            <w:tcBorders>
              <w:top w:val="nil"/>
              <w:left w:val="nil"/>
              <w:bottom w:val="nil"/>
              <w:right w:val="nil"/>
            </w:tcBorders>
            <w:shd w:val="clear" w:color="000000" w:fill="BFBFBF"/>
            <w:noWrap/>
            <w:vAlign w:val="center"/>
            <w:hideMark/>
          </w:tcPr>
          <w:p w14:paraId="4E83718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-8 055</w:t>
            </w:r>
          </w:p>
        </w:tc>
        <w:tc>
          <w:tcPr>
            <w:tcW w:w="1275" w:type="dxa"/>
            <w:tcBorders>
              <w:top w:val="nil"/>
              <w:left w:val="nil"/>
              <w:bottom w:val="nil"/>
              <w:right w:val="nil"/>
            </w:tcBorders>
            <w:shd w:val="clear" w:color="000000" w:fill="FFFFFF"/>
            <w:noWrap/>
            <w:vAlign w:val="center"/>
            <w:hideMark/>
          </w:tcPr>
          <w:p w14:paraId="23A7595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-4 022</w:t>
            </w:r>
          </w:p>
        </w:tc>
      </w:tr>
      <w:tr w:rsidR="006C0DD0" w:rsidRPr="007E1464" w14:paraId="1281490D" w14:textId="77777777" w:rsidTr="002C4691">
        <w:trPr>
          <w:trHeight w:val="255"/>
        </w:trPr>
        <w:tc>
          <w:tcPr>
            <w:tcW w:w="190" w:type="dxa"/>
            <w:tcBorders>
              <w:top w:val="nil"/>
              <w:left w:val="nil"/>
              <w:bottom w:val="nil"/>
              <w:right w:val="nil"/>
            </w:tcBorders>
            <w:shd w:val="clear" w:color="000000" w:fill="FFFFFF"/>
            <w:noWrap/>
            <w:vAlign w:val="center"/>
            <w:hideMark/>
          </w:tcPr>
          <w:p w14:paraId="2D3A186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28C74B10"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581" w:type="dxa"/>
            <w:tcBorders>
              <w:top w:val="nil"/>
              <w:left w:val="nil"/>
              <w:bottom w:val="nil"/>
              <w:right w:val="nil"/>
            </w:tcBorders>
            <w:shd w:val="clear" w:color="000000" w:fill="FFFFFF"/>
            <w:noWrap/>
            <w:vAlign w:val="center"/>
            <w:hideMark/>
          </w:tcPr>
          <w:p w14:paraId="00977344" w14:textId="77777777" w:rsidR="006C0DD0" w:rsidRPr="007E1464" w:rsidRDefault="006C0DD0" w:rsidP="00500BD0">
            <w:pPr>
              <w:spacing w:after="0" w:line="240" w:lineRule="auto"/>
              <w:rPr>
                <w:sz w:val="20"/>
                <w:szCs w:val="20"/>
                <w:lang w:eastAsia="sk-SK"/>
              </w:rPr>
            </w:pPr>
            <w:r w:rsidRPr="007E1464">
              <w:rPr>
                <w:sz w:val="20"/>
                <w:szCs w:val="20"/>
                <w:lang w:eastAsia="sk-SK"/>
              </w:rPr>
              <w:t>MH Invest, s.r.o.</w:t>
            </w:r>
          </w:p>
        </w:tc>
        <w:tc>
          <w:tcPr>
            <w:tcW w:w="1168" w:type="dxa"/>
            <w:tcBorders>
              <w:top w:val="nil"/>
              <w:left w:val="nil"/>
              <w:bottom w:val="nil"/>
              <w:right w:val="nil"/>
            </w:tcBorders>
            <w:shd w:val="clear" w:color="000000" w:fill="FFFFFF"/>
            <w:noWrap/>
            <w:vAlign w:val="center"/>
            <w:hideMark/>
          </w:tcPr>
          <w:p w14:paraId="4D2DB1F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10 322</w:t>
            </w:r>
          </w:p>
        </w:tc>
        <w:tc>
          <w:tcPr>
            <w:tcW w:w="1392" w:type="dxa"/>
            <w:tcBorders>
              <w:top w:val="nil"/>
              <w:left w:val="nil"/>
              <w:bottom w:val="nil"/>
              <w:right w:val="nil"/>
            </w:tcBorders>
            <w:shd w:val="clear" w:color="000000" w:fill="FFFFFF"/>
            <w:noWrap/>
            <w:vAlign w:val="center"/>
            <w:hideMark/>
          </w:tcPr>
          <w:p w14:paraId="6D12699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25 267</w:t>
            </w:r>
          </w:p>
        </w:tc>
        <w:tc>
          <w:tcPr>
            <w:tcW w:w="1276" w:type="dxa"/>
            <w:tcBorders>
              <w:top w:val="nil"/>
              <w:left w:val="nil"/>
              <w:bottom w:val="nil"/>
              <w:right w:val="nil"/>
            </w:tcBorders>
            <w:shd w:val="clear" w:color="000000" w:fill="BFBFBF"/>
            <w:noWrap/>
            <w:vAlign w:val="center"/>
            <w:hideMark/>
          </w:tcPr>
          <w:p w14:paraId="766A998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-10 990</w:t>
            </w:r>
          </w:p>
        </w:tc>
        <w:tc>
          <w:tcPr>
            <w:tcW w:w="1275" w:type="dxa"/>
            <w:tcBorders>
              <w:top w:val="nil"/>
              <w:left w:val="nil"/>
              <w:bottom w:val="nil"/>
              <w:right w:val="nil"/>
            </w:tcBorders>
            <w:shd w:val="clear" w:color="000000" w:fill="FFFFFF"/>
            <w:noWrap/>
            <w:vAlign w:val="center"/>
            <w:hideMark/>
          </w:tcPr>
          <w:p w14:paraId="728FD23C"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-204</w:t>
            </w:r>
          </w:p>
        </w:tc>
      </w:tr>
      <w:tr w:rsidR="006C0DD0" w:rsidRPr="007E1464" w14:paraId="4E3D4A97" w14:textId="77777777" w:rsidTr="002C4691">
        <w:trPr>
          <w:trHeight w:val="255"/>
        </w:trPr>
        <w:tc>
          <w:tcPr>
            <w:tcW w:w="190" w:type="dxa"/>
            <w:tcBorders>
              <w:top w:val="nil"/>
              <w:left w:val="nil"/>
              <w:bottom w:val="nil"/>
              <w:right w:val="nil"/>
            </w:tcBorders>
            <w:shd w:val="clear" w:color="000000" w:fill="FFFFFF"/>
            <w:noWrap/>
            <w:vAlign w:val="center"/>
            <w:hideMark/>
          </w:tcPr>
          <w:p w14:paraId="04DC37F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190" w:type="dxa"/>
            <w:tcBorders>
              <w:top w:val="nil"/>
              <w:left w:val="nil"/>
              <w:bottom w:val="nil"/>
              <w:right w:val="nil"/>
            </w:tcBorders>
            <w:shd w:val="clear" w:color="000000" w:fill="FFFFFF"/>
            <w:noWrap/>
            <w:vAlign w:val="center"/>
            <w:hideMark/>
          </w:tcPr>
          <w:p w14:paraId="0F5ABF38"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3581" w:type="dxa"/>
            <w:tcBorders>
              <w:top w:val="nil"/>
              <w:left w:val="nil"/>
              <w:bottom w:val="nil"/>
              <w:right w:val="nil"/>
            </w:tcBorders>
            <w:shd w:val="clear" w:color="000000" w:fill="FFFFFF"/>
            <w:noWrap/>
            <w:vAlign w:val="center"/>
            <w:hideMark/>
          </w:tcPr>
          <w:p w14:paraId="27667055" w14:textId="77777777" w:rsidR="006C0DD0" w:rsidRPr="007E1464" w:rsidRDefault="006C0DD0" w:rsidP="00500BD0">
            <w:pPr>
              <w:spacing w:after="0" w:line="240" w:lineRule="auto"/>
              <w:rPr>
                <w:sz w:val="20"/>
                <w:szCs w:val="20"/>
                <w:lang w:eastAsia="sk-SK"/>
              </w:rPr>
            </w:pPr>
            <w:r w:rsidRPr="007E1464">
              <w:rPr>
                <w:sz w:val="20"/>
                <w:szCs w:val="20"/>
                <w:lang w:eastAsia="sk-SK"/>
              </w:rPr>
              <w:t>Železničná spoločnosť Slovensko,</w:t>
            </w:r>
            <w:r>
              <w:rPr>
                <w:sz w:val="20"/>
                <w:szCs w:val="20"/>
                <w:lang w:eastAsia="sk-SK"/>
              </w:rPr>
              <w:t xml:space="preserve"> </w:t>
            </w:r>
            <w:r w:rsidRPr="007E1464">
              <w:rPr>
                <w:sz w:val="20"/>
                <w:szCs w:val="20"/>
                <w:lang w:eastAsia="sk-SK"/>
              </w:rPr>
              <w:t>a.s.</w:t>
            </w:r>
          </w:p>
        </w:tc>
        <w:tc>
          <w:tcPr>
            <w:tcW w:w="1168" w:type="dxa"/>
            <w:tcBorders>
              <w:top w:val="nil"/>
              <w:left w:val="nil"/>
              <w:bottom w:val="nil"/>
              <w:right w:val="nil"/>
            </w:tcBorders>
            <w:shd w:val="clear" w:color="000000" w:fill="FFFFFF"/>
            <w:noWrap/>
            <w:vAlign w:val="center"/>
            <w:hideMark/>
          </w:tcPr>
          <w:p w14:paraId="1FF02E1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-20 449</w:t>
            </w:r>
          </w:p>
        </w:tc>
        <w:tc>
          <w:tcPr>
            <w:tcW w:w="1392" w:type="dxa"/>
            <w:tcBorders>
              <w:top w:val="nil"/>
              <w:left w:val="nil"/>
              <w:bottom w:val="nil"/>
              <w:right w:val="nil"/>
            </w:tcBorders>
            <w:shd w:val="clear" w:color="000000" w:fill="FFFFFF"/>
            <w:noWrap/>
            <w:vAlign w:val="center"/>
            <w:hideMark/>
          </w:tcPr>
          <w:p w14:paraId="5C241D1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13 893</w:t>
            </w:r>
          </w:p>
        </w:tc>
        <w:tc>
          <w:tcPr>
            <w:tcW w:w="1276" w:type="dxa"/>
            <w:tcBorders>
              <w:top w:val="nil"/>
              <w:left w:val="nil"/>
              <w:bottom w:val="nil"/>
              <w:right w:val="nil"/>
            </w:tcBorders>
            <w:shd w:val="clear" w:color="000000" w:fill="BFBFBF"/>
            <w:noWrap/>
            <w:vAlign w:val="center"/>
            <w:hideMark/>
          </w:tcPr>
          <w:p w14:paraId="707BD55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-12 221</w:t>
            </w:r>
          </w:p>
        </w:tc>
        <w:tc>
          <w:tcPr>
            <w:tcW w:w="1275" w:type="dxa"/>
            <w:tcBorders>
              <w:top w:val="nil"/>
              <w:left w:val="nil"/>
              <w:bottom w:val="nil"/>
              <w:right w:val="nil"/>
            </w:tcBorders>
            <w:shd w:val="clear" w:color="000000" w:fill="FFFFFF"/>
            <w:noWrap/>
            <w:vAlign w:val="center"/>
            <w:hideMark/>
          </w:tcPr>
          <w:p w14:paraId="59B34A7C"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-6 719</w:t>
            </w:r>
          </w:p>
        </w:tc>
      </w:tr>
      <w:tr w:rsidR="006C0DD0" w:rsidRPr="0057502F" w14:paraId="4A8F8960" w14:textId="77777777" w:rsidTr="002C4691">
        <w:trPr>
          <w:trHeight w:val="255"/>
        </w:trPr>
        <w:tc>
          <w:tcPr>
            <w:tcW w:w="190" w:type="dxa"/>
            <w:tcBorders>
              <w:top w:val="nil"/>
              <w:left w:val="nil"/>
              <w:bottom w:val="nil"/>
              <w:right w:val="nil"/>
            </w:tcBorders>
            <w:shd w:val="clear" w:color="000000" w:fill="FFFFFF"/>
            <w:noWrap/>
            <w:vAlign w:val="center"/>
            <w:hideMark/>
          </w:tcPr>
          <w:p w14:paraId="2063710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21F2E74A" w14:textId="77777777" w:rsidR="006C0DD0" w:rsidRPr="007E1464" w:rsidRDefault="006C0DD0" w:rsidP="00500BD0">
            <w:pPr>
              <w:spacing w:after="0" w:line="240" w:lineRule="auto"/>
              <w:rPr>
                <w:sz w:val="20"/>
                <w:szCs w:val="20"/>
                <w:lang w:eastAsia="sk-SK"/>
              </w:rPr>
            </w:pPr>
            <w:r w:rsidRPr="007E1464">
              <w:rPr>
                <w:sz w:val="20"/>
                <w:szCs w:val="20"/>
                <w:lang w:eastAsia="sk-SK"/>
              </w:rPr>
              <w:t>Verejné vysoké školy</w:t>
            </w:r>
          </w:p>
        </w:tc>
        <w:tc>
          <w:tcPr>
            <w:tcW w:w="1168" w:type="dxa"/>
            <w:tcBorders>
              <w:top w:val="nil"/>
              <w:left w:val="nil"/>
              <w:bottom w:val="nil"/>
              <w:right w:val="nil"/>
            </w:tcBorders>
            <w:shd w:val="clear" w:color="000000" w:fill="FFFFFF"/>
            <w:noWrap/>
            <w:vAlign w:val="center"/>
            <w:hideMark/>
          </w:tcPr>
          <w:p w14:paraId="7E9FD6F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40 133</w:t>
            </w:r>
          </w:p>
        </w:tc>
        <w:tc>
          <w:tcPr>
            <w:tcW w:w="1392" w:type="dxa"/>
            <w:tcBorders>
              <w:top w:val="nil"/>
              <w:left w:val="nil"/>
              <w:bottom w:val="nil"/>
              <w:right w:val="nil"/>
            </w:tcBorders>
            <w:shd w:val="clear" w:color="000000" w:fill="FFFFFF"/>
            <w:noWrap/>
            <w:vAlign w:val="center"/>
            <w:hideMark/>
          </w:tcPr>
          <w:p w14:paraId="5508020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19 336</w:t>
            </w:r>
          </w:p>
        </w:tc>
        <w:tc>
          <w:tcPr>
            <w:tcW w:w="1276" w:type="dxa"/>
            <w:tcBorders>
              <w:top w:val="nil"/>
              <w:left w:val="nil"/>
              <w:bottom w:val="nil"/>
              <w:right w:val="nil"/>
            </w:tcBorders>
            <w:shd w:val="clear" w:color="000000" w:fill="BFBFBF"/>
            <w:noWrap/>
            <w:vAlign w:val="center"/>
            <w:hideMark/>
          </w:tcPr>
          <w:p w14:paraId="2F42971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30 982</w:t>
            </w:r>
          </w:p>
        </w:tc>
        <w:tc>
          <w:tcPr>
            <w:tcW w:w="1275" w:type="dxa"/>
            <w:tcBorders>
              <w:top w:val="nil"/>
              <w:left w:val="nil"/>
              <w:bottom w:val="nil"/>
              <w:right w:val="nil"/>
            </w:tcBorders>
            <w:shd w:val="clear" w:color="000000" w:fill="FFFFFF"/>
            <w:noWrap/>
            <w:vAlign w:val="center"/>
            <w:hideMark/>
          </w:tcPr>
          <w:p w14:paraId="28AB3150" w14:textId="77777777" w:rsidR="006C0DD0" w:rsidRPr="0057502F" w:rsidRDefault="006C0DD0" w:rsidP="00500BD0">
            <w:pPr>
              <w:spacing w:after="0" w:line="240" w:lineRule="auto"/>
              <w:jc w:val="right"/>
              <w:rPr>
                <w:sz w:val="20"/>
                <w:szCs w:val="20"/>
                <w:lang w:eastAsia="sk-SK"/>
              </w:rPr>
            </w:pPr>
            <w:r w:rsidRPr="0057502F">
              <w:rPr>
                <w:sz w:val="20"/>
                <w:szCs w:val="20"/>
                <w:lang w:eastAsia="sk-SK"/>
              </w:rPr>
              <w:t>203</w:t>
            </w:r>
          </w:p>
        </w:tc>
      </w:tr>
      <w:tr w:rsidR="006C0DD0" w:rsidRPr="007E1464" w14:paraId="78C0A0F1" w14:textId="77777777" w:rsidTr="002C4691">
        <w:trPr>
          <w:trHeight w:val="255"/>
        </w:trPr>
        <w:tc>
          <w:tcPr>
            <w:tcW w:w="190" w:type="dxa"/>
            <w:tcBorders>
              <w:top w:val="nil"/>
              <w:left w:val="nil"/>
              <w:bottom w:val="nil"/>
              <w:right w:val="nil"/>
            </w:tcBorders>
            <w:shd w:val="clear" w:color="000000" w:fill="FFFFFF"/>
            <w:noWrap/>
            <w:vAlign w:val="center"/>
            <w:hideMark/>
          </w:tcPr>
          <w:p w14:paraId="7F96145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3B985AF3" w14:textId="77777777" w:rsidR="006C0DD0" w:rsidRPr="007E1464" w:rsidRDefault="006C0DD0" w:rsidP="00500BD0">
            <w:pPr>
              <w:spacing w:after="0" w:line="240" w:lineRule="auto"/>
              <w:rPr>
                <w:sz w:val="20"/>
                <w:szCs w:val="20"/>
                <w:lang w:eastAsia="sk-SK"/>
              </w:rPr>
            </w:pPr>
            <w:r w:rsidRPr="007E1464">
              <w:rPr>
                <w:sz w:val="20"/>
                <w:szCs w:val="20"/>
                <w:lang w:eastAsia="sk-SK"/>
              </w:rPr>
              <w:t>Zdravotnícke zariadenia ústrednej správy</w:t>
            </w:r>
          </w:p>
        </w:tc>
        <w:tc>
          <w:tcPr>
            <w:tcW w:w="1168" w:type="dxa"/>
            <w:tcBorders>
              <w:top w:val="nil"/>
              <w:left w:val="nil"/>
              <w:bottom w:val="nil"/>
              <w:right w:val="nil"/>
            </w:tcBorders>
            <w:shd w:val="clear" w:color="000000" w:fill="FFFFFF"/>
            <w:noWrap/>
            <w:vAlign w:val="center"/>
            <w:hideMark/>
          </w:tcPr>
          <w:p w14:paraId="5EE5FF6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-108 815</w:t>
            </w:r>
          </w:p>
        </w:tc>
        <w:tc>
          <w:tcPr>
            <w:tcW w:w="1392" w:type="dxa"/>
            <w:tcBorders>
              <w:top w:val="nil"/>
              <w:left w:val="nil"/>
              <w:bottom w:val="nil"/>
              <w:right w:val="nil"/>
            </w:tcBorders>
            <w:shd w:val="clear" w:color="000000" w:fill="FFFFFF"/>
            <w:noWrap/>
            <w:vAlign w:val="center"/>
            <w:hideMark/>
          </w:tcPr>
          <w:p w14:paraId="38841E8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-92 591</w:t>
            </w:r>
          </w:p>
        </w:tc>
        <w:tc>
          <w:tcPr>
            <w:tcW w:w="1276" w:type="dxa"/>
            <w:tcBorders>
              <w:top w:val="nil"/>
              <w:left w:val="nil"/>
              <w:bottom w:val="nil"/>
              <w:right w:val="nil"/>
            </w:tcBorders>
            <w:shd w:val="clear" w:color="000000" w:fill="BFBFBF"/>
            <w:noWrap/>
            <w:vAlign w:val="center"/>
            <w:hideMark/>
          </w:tcPr>
          <w:p w14:paraId="3F943AD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219 797</w:t>
            </w:r>
          </w:p>
        </w:tc>
        <w:tc>
          <w:tcPr>
            <w:tcW w:w="1275" w:type="dxa"/>
            <w:tcBorders>
              <w:top w:val="nil"/>
              <w:left w:val="nil"/>
              <w:bottom w:val="nil"/>
              <w:right w:val="nil"/>
            </w:tcBorders>
            <w:shd w:val="clear" w:color="000000" w:fill="FFFFFF"/>
            <w:noWrap/>
            <w:vAlign w:val="center"/>
            <w:hideMark/>
          </w:tcPr>
          <w:p w14:paraId="34A35355"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-16 657</w:t>
            </w:r>
          </w:p>
        </w:tc>
      </w:tr>
      <w:tr w:rsidR="006C0DD0" w:rsidRPr="007E1464" w14:paraId="0994B73B" w14:textId="77777777" w:rsidTr="002C4691">
        <w:trPr>
          <w:trHeight w:val="255"/>
        </w:trPr>
        <w:tc>
          <w:tcPr>
            <w:tcW w:w="190" w:type="dxa"/>
            <w:tcBorders>
              <w:top w:val="nil"/>
              <w:left w:val="nil"/>
              <w:bottom w:val="nil"/>
              <w:right w:val="nil"/>
            </w:tcBorders>
            <w:shd w:val="clear" w:color="000000" w:fill="FFFFFF"/>
            <w:noWrap/>
            <w:vAlign w:val="center"/>
            <w:hideMark/>
          </w:tcPr>
          <w:p w14:paraId="10EB3F2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2BE3847B" w14:textId="77777777" w:rsidR="006C0DD0" w:rsidRPr="007E1464" w:rsidRDefault="006C0DD0" w:rsidP="00500BD0">
            <w:pPr>
              <w:spacing w:after="0" w:line="240" w:lineRule="auto"/>
              <w:rPr>
                <w:sz w:val="20"/>
                <w:szCs w:val="20"/>
                <w:lang w:eastAsia="sk-SK"/>
              </w:rPr>
            </w:pPr>
            <w:r w:rsidRPr="007E1464">
              <w:rPr>
                <w:sz w:val="20"/>
                <w:szCs w:val="20"/>
                <w:lang w:eastAsia="sk-SK"/>
              </w:rPr>
              <w:t>Ostatné subjekty ústrednej správy</w:t>
            </w:r>
          </w:p>
        </w:tc>
        <w:tc>
          <w:tcPr>
            <w:tcW w:w="1168" w:type="dxa"/>
            <w:tcBorders>
              <w:top w:val="nil"/>
              <w:left w:val="nil"/>
              <w:bottom w:val="nil"/>
              <w:right w:val="nil"/>
            </w:tcBorders>
            <w:shd w:val="clear" w:color="000000" w:fill="FFFFFF"/>
            <w:noWrap/>
            <w:vAlign w:val="center"/>
            <w:hideMark/>
          </w:tcPr>
          <w:p w14:paraId="525E221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-38 534</w:t>
            </w:r>
          </w:p>
        </w:tc>
        <w:tc>
          <w:tcPr>
            <w:tcW w:w="1392" w:type="dxa"/>
            <w:tcBorders>
              <w:top w:val="nil"/>
              <w:left w:val="nil"/>
              <w:bottom w:val="nil"/>
              <w:right w:val="nil"/>
            </w:tcBorders>
            <w:shd w:val="clear" w:color="000000" w:fill="FFFFFF"/>
            <w:noWrap/>
            <w:vAlign w:val="center"/>
            <w:hideMark/>
          </w:tcPr>
          <w:p w14:paraId="004E000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66 947</w:t>
            </w:r>
          </w:p>
        </w:tc>
        <w:tc>
          <w:tcPr>
            <w:tcW w:w="1276" w:type="dxa"/>
            <w:tcBorders>
              <w:top w:val="nil"/>
              <w:left w:val="nil"/>
              <w:bottom w:val="nil"/>
              <w:right w:val="nil"/>
            </w:tcBorders>
            <w:shd w:val="clear" w:color="000000" w:fill="BFBFBF"/>
            <w:noWrap/>
            <w:vAlign w:val="center"/>
            <w:hideMark/>
          </w:tcPr>
          <w:p w14:paraId="4B62FCA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92 116</w:t>
            </w:r>
          </w:p>
        </w:tc>
        <w:tc>
          <w:tcPr>
            <w:tcW w:w="1275" w:type="dxa"/>
            <w:tcBorders>
              <w:top w:val="nil"/>
              <w:left w:val="nil"/>
              <w:bottom w:val="nil"/>
              <w:right w:val="nil"/>
            </w:tcBorders>
            <w:shd w:val="clear" w:color="000000" w:fill="FFFFFF"/>
            <w:noWrap/>
            <w:vAlign w:val="center"/>
            <w:hideMark/>
          </w:tcPr>
          <w:p w14:paraId="2F8482A5"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80 012</w:t>
            </w:r>
          </w:p>
        </w:tc>
      </w:tr>
      <w:tr w:rsidR="006C0DD0" w:rsidRPr="007E1464" w14:paraId="02561C2E" w14:textId="77777777" w:rsidTr="002C4691">
        <w:trPr>
          <w:trHeight w:val="255"/>
        </w:trPr>
        <w:tc>
          <w:tcPr>
            <w:tcW w:w="3961" w:type="dxa"/>
            <w:gridSpan w:val="3"/>
            <w:tcBorders>
              <w:top w:val="nil"/>
              <w:left w:val="nil"/>
              <w:bottom w:val="nil"/>
              <w:right w:val="nil"/>
            </w:tcBorders>
            <w:shd w:val="clear" w:color="000000" w:fill="FFFFFF"/>
            <w:noWrap/>
            <w:vAlign w:val="center"/>
            <w:hideMark/>
          </w:tcPr>
          <w:p w14:paraId="29460A42" w14:textId="77777777" w:rsidR="006C0DD0" w:rsidRPr="007E1464" w:rsidRDefault="006C0DD0" w:rsidP="00500BD0">
            <w:pPr>
              <w:spacing w:after="0" w:line="240" w:lineRule="auto"/>
              <w:rPr>
                <w:b/>
                <w:bCs/>
                <w:color w:val="000000"/>
                <w:sz w:val="20"/>
                <w:szCs w:val="20"/>
                <w:lang w:eastAsia="sk-SK"/>
              </w:rPr>
            </w:pPr>
            <w:r w:rsidRPr="007E1464">
              <w:rPr>
                <w:b/>
                <w:bCs/>
                <w:color w:val="000000"/>
                <w:sz w:val="20"/>
                <w:szCs w:val="20"/>
                <w:lang w:eastAsia="sk-SK"/>
              </w:rPr>
              <w:t>Miestna samospráva</w:t>
            </w:r>
            <w:r w:rsidRPr="007E1464">
              <w:rPr>
                <w:color w:val="000000"/>
                <w:sz w:val="20"/>
                <w:szCs w:val="20"/>
                <w:lang w:eastAsia="sk-SK"/>
              </w:rPr>
              <w:t>, z toho</w:t>
            </w:r>
          </w:p>
        </w:tc>
        <w:tc>
          <w:tcPr>
            <w:tcW w:w="1168" w:type="dxa"/>
            <w:tcBorders>
              <w:top w:val="nil"/>
              <w:left w:val="nil"/>
              <w:bottom w:val="nil"/>
              <w:right w:val="nil"/>
            </w:tcBorders>
            <w:shd w:val="clear" w:color="000000" w:fill="FFFFFF"/>
            <w:noWrap/>
            <w:vAlign w:val="center"/>
            <w:hideMark/>
          </w:tcPr>
          <w:p w14:paraId="7F0445D0"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443 342</w:t>
            </w:r>
          </w:p>
        </w:tc>
        <w:tc>
          <w:tcPr>
            <w:tcW w:w="1392" w:type="dxa"/>
            <w:tcBorders>
              <w:top w:val="nil"/>
              <w:left w:val="nil"/>
              <w:bottom w:val="nil"/>
              <w:right w:val="nil"/>
            </w:tcBorders>
            <w:shd w:val="clear" w:color="000000" w:fill="FFFFFF"/>
            <w:noWrap/>
            <w:vAlign w:val="center"/>
            <w:hideMark/>
          </w:tcPr>
          <w:p w14:paraId="61F73379"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-19 845</w:t>
            </w:r>
          </w:p>
        </w:tc>
        <w:tc>
          <w:tcPr>
            <w:tcW w:w="1276" w:type="dxa"/>
            <w:tcBorders>
              <w:top w:val="nil"/>
              <w:left w:val="nil"/>
              <w:bottom w:val="nil"/>
              <w:right w:val="nil"/>
            </w:tcBorders>
            <w:shd w:val="clear" w:color="000000" w:fill="BFBFBF"/>
            <w:noWrap/>
            <w:vAlign w:val="center"/>
            <w:hideMark/>
          </w:tcPr>
          <w:p w14:paraId="637E8CFC"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135 234</w:t>
            </w:r>
          </w:p>
        </w:tc>
        <w:tc>
          <w:tcPr>
            <w:tcW w:w="1275" w:type="dxa"/>
            <w:tcBorders>
              <w:top w:val="nil"/>
              <w:left w:val="nil"/>
              <w:bottom w:val="nil"/>
              <w:right w:val="nil"/>
            </w:tcBorders>
            <w:shd w:val="clear" w:color="000000" w:fill="FFFFFF"/>
            <w:noWrap/>
            <w:vAlign w:val="center"/>
            <w:hideMark/>
          </w:tcPr>
          <w:p w14:paraId="08F38C32" w14:textId="77777777" w:rsidR="006C0DD0" w:rsidRPr="00B27D68" w:rsidRDefault="006C0DD0" w:rsidP="00500BD0">
            <w:pPr>
              <w:spacing w:after="0" w:line="240" w:lineRule="auto"/>
              <w:jc w:val="right"/>
              <w:rPr>
                <w:b/>
                <w:bCs/>
                <w:sz w:val="20"/>
                <w:szCs w:val="20"/>
                <w:lang w:eastAsia="sk-SK"/>
              </w:rPr>
            </w:pPr>
            <w:r w:rsidRPr="00B27D68">
              <w:rPr>
                <w:b/>
                <w:bCs/>
                <w:sz w:val="20"/>
                <w:szCs w:val="20"/>
                <w:lang w:eastAsia="sk-SK"/>
              </w:rPr>
              <w:t>273 275</w:t>
            </w:r>
          </w:p>
        </w:tc>
      </w:tr>
      <w:tr w:rsidR="006C0DD0" w:rsidRPr="007E1464" w14:paraId="03F8393A" w14:textId="77777777" w:rsidTr="002C4691">
        <w:trPr>
          <w:trHeight w:val="315"/>
        </w:trPr>
        <w:tc>
          <w:tcPr>
            <w:tcW w:w="190" w:type="dxa"/>
            <w:tcBorders>
              <w:top w:val="nil"/>
              <w:left w:val="nil"/>
              <w:bottom w:val="nil"/>
              <w:right w:val="nil"/>
            </w:tcBorders>
            <w:shd w:val="clear" w:color="000000" w:fill="FFFFFF"/>
            <w:noWrap/>
            <w:vAlign w:val="center"/>
            <w:hideMark/>
          </w:tcPr>
          <w:p w14:paraId="3C83C529"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262F956F" w14:textId="77777777" w:rsidR="006C0DD0" w:rsidRPr="007E1464" w:rsidRDefault="006C0DD0" w:rsidP="00500BD0">
            <w:pPr>
              <w:spacing w:after="0" w:line="240" w:lineRule="auto"/>
              <w:rPr>
                <w:sz w:val="20"/>
                <w:szCs w:val="20"/>
                <w:lang w:eastAsia="sk-SK"/>
              </w:rPr>
            </w:pPr>
            <w:r w:rsidRPr="007E1464">
              <w:rPr>
                <w:sz w:val="20"/>
                <w:szCs w:val="20"/>
                <w:lang w:eastAsia="sk-SK"/>
              </w:rPr>
              <w:t>Obce</w:t>
            </w:r>
            <w:r w:rsidRPr="007E1464">
              <w:rPr>
                <w:sz w:val="20"/>
                <w:szCs w:val="20"/>
                <w:vertAlign w:val="superscript"/>
                <w:lang w:eastAsia="sk-SK"/>
              </w:rPr>
              <w:t xml:space="preserve"> </w:t>
            </w:r>
            <w:r w:rsidRPr="007E1464">
              <w:rPr>
                <w:sz w:val="20"/>
                <w:szCs w:val="20"/>
                <w:lang w:eastAsia="sk-SK"/>
              </w:rPr>
              <w:t>a ich rozpočtové organizácie</w:t>
            </w:r>
          </w:p>
        </w:tc>
        <w:tc>
          <w:tcPr>
            <w:tcW w:w="1168" w:type="dxa"/>
            <w:tcBorders>
              <w:top w:val="nil"/>
              <w:left w:val="nil"/>
              <w:bottom w:val="nil"/>
              <w:right w:val="nil"/>
            </w:tcBorders>
            <w:shd w:val="clear" w:color="000000" w:fill="FFFFFF"/>
            <w:noWrap/>
            <w:vAlign w:val="center"/>
            <w:hideMark/>
          </w:tcPr>
          <w:p w14:paraId="0A847E26"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340 655</w:t>
            </w:r>
          </w:p>
        </w:tc>
        <w:tc>
          <w:tcPr>
            <w:tcW w:w="1392" w:type="dxa"/>
            <w:tcBorders>
              <w:top w:val="nil"/>
              <w:left w:val="nil"/>
              <w:bottom w:val="nil"/>
              <w:right w:val="nil"/>
            </w:tcBorders>
            <w:shd w:val="clear" w:color="000000" w:fill="FFFFFF"/>
            <w:noWrap/>
            <w:vAlign w:val="center"/>
            <w:hideMark/>
          </w:tcPr>
          <w:p w14:paraId="17E81B79"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-15 130</w:t>
            </w:r>
          </w:p>
        </w:tc>
        <w:tc>
          <w:tcPr>
            <w:tcW w:w="1276" w:type="dxa"/>
            <w:tcBorders>
              <w:top w:val="nil"/>
              <w:left w:val="nil"/>
              <w:bottom w:val="nil"/>
              <w:right w:val="nil"/>
            </w:tcBorders>
            <w:shd w:val="clear" w:color="000000" w:fill="BFBFBF"/>
            <w:noWrap/>
            <w:vAlign w:val="center"/>
            <w:hideMark/>
          </w:tcPr>
          <w:p w14:paraId="3E72B61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-29 323</w:t>
            </w:r>
          </w:p>
        </w:tc>
        <w:tc>
          <w:tcPr>
            <w:tcW w:w="1275" w:type="dxa"/>
            <w:tcBorders>
              <w:top w:val="nil"/>
              <w:left w:val="nil"/>
              <w:bottom w:val="nil"/>
              <w:right w:val="nil"/>
            </w:tcBorders>
            <w:shd w:val="clear" w:color="000000" w:fill="FFFFFF"/>
            <w:noWrap/>
            <w:vAlign w:val="center"/>
            <w:hideMark/>
          </w:tcPr>
          <w:p w14:paraId="51C16979"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170 135</w:t>
            </w:r>
          </w:p>
        </w:tc>
      </w:tr>
      <w:tr w:rsidR="006C0DD0" w:rsidRPr="007E1464" w14:paraId="67600712" w14:textId="77777777" w:rsidTr="002C4691">
        <w:trPr>
          <w:trHeight w:val="525"/>
        </w:trPr>
        <w:tc>
          <w:tcPr>
            <w:tcW w:w="190" w:type="dxa"/>
            <w:tcBorders>
              <w:top w:val="nil"/>
              <w:left w:val="nil"/>
              <w:bottom w:val="nil"/>
              <w:right w:val="nil"/>
            </w:tcBorders>
            <w:shd w:val="clear" w:color="000000" w:fill="FFFFFF"/>
            <w:noWrap/>
            <w:vAlign w:val="center"/>
            <w:hideMark/>
          </w:tcPr>
          <w:p w14:paraId="64B8199E"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vAlign w:val="center"/>
            <w:hideMark/>
          </w:tcPr>
          <w:p w14:paraId="05BBC168" w14:textId="77777777" w:rsidR="006C0DD0" w:rsidRPr="007E1464" w:rsidRDefault="006C0DD0" w:rsidP="00500BD0">
            <w:pPr>
              <w:spacing w:after="0" w:line="240" w:lineRule="auto"/>
              <w:rPr>
                <w:sz w:val="20"/>
                <w:szCs w:val="20"/>
                <w:lang w:eastAsia="sk-SK"/>
              </w:rPr>
            </w:pPr>
            <w:r w:rsidRPr="007E1464">
              <w:rPr>
                <w:sz w:val="20"/>
                <w:szCs w:val="20"/>
                <w:lang w:eastAsia="sk-SK"/>
              </w:rPr>
              <w:t>Vyššie územné celky a ich rozpočtové organizácie</w:t>
            </w:r>
          </w:p>
        </w:tc>
        <w:tc>
          <w:tcPr>
            <w:tcW w:w="1168" w:type="dxa"/>
            <w:tcBorders>
              <w:top w:val="nil"/>
              <w:left w:val="nil"/>
              <w:bottom w:val="nil"/>
              <w:right w:val="nil"/>
            </w:tcBorders>
            <w:shd w:val="clear" w:color="000000" w:fill="FFFFFF"/>
            <w:noWrap/>
            <w:vAlign w:val="center"/>
            <w:hideMark/>
          </w:tcPr>
          <w:p w14:paraId="0EF761B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83 048</w:t>
            </w:r>
          </w:p>
        </w:tc>
        <w:tc>
          <w:tcPr>
            <w:tcW w:w="1392" w:type="dxa"/>
            <w:tcBorders>
              <w:top w:val="nil"/>
              <w:left w:val="nil"/>
              <w:bottom w:val="nil"/>
              <w:right w:val="nil"/>
            </w:tcBorders>
            <w:shd w:val="clear" w:color="000000" w:fill="FFFFFF"/>
            <w:noWrap/>
            <w:vAlign w:val="center"/>
            <w:hideMark/>
          </w:tcPr>
          <w:p w14:paraId="436B6B8A"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-16 489</w:t>
            </w:r>
          </w:p>
        </w:tc>
        <w:tc>
          <w:tcPr>
            <w:tcW w:w="1276" w:type="dxa"/>
            <w:tcBorders>
              <w:top w:val="nil"/>
              <w:left w:val="nil"/>
              <w:bottom w:val="nil"/>
              <w:right w:val="nil"/>
            </w:tcBorders>
            <w:shd w:val="clear" w:color="000000" w:fill="BFBFBF"/>
            <w:noWrap/>
            <w:vAlign w:val="center"/>
            <w:hideMark/>
          </w:tcPr>
          <w:p w14:paraId="0B09555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102 822</w:t>
            </w:r>
          </w:p>
        </w:tc>
        <w:tc>
          <w:tcPr>
            <w:tcW w:w="1275" w:type="dxa"/>
            <w:tcBorders>
              <w:top w:val="nil"/>
              <w:left w:val="nil"/>
              <w:bottom w:val="nil"/>
              <w:right w:val="nil"/>
            </w:tcBorders>
            <w:shd w:val="clear" w:color="000000" w:fill="FFFFFF"/>
            <w:noWrap/>
            <w:vAlign w:val="center"/>
            <w:hideMark/>
          </w:tcPr>
          <w:p w14:paraId="001CAE86"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90 093</w:t>
            </w:r>
          </w:p>
        </w:tc>
      </w:tr>
      <w:tr w:rsidR="006C0DD0" w:rsidRPr="007E1464" w14:paraId="2139EE93" w14:textId="77777777" w:rsidTr="002C4691">
        <w:trPr>
          <w:trHeight w:val="255"/>
        </w:trPr>
        <w:tc>
          <w:tcPr>
            <w:tcW w:w="190" w:type="dxa"/>
            <w:tcBorders>
              <w:top w:val="nil"/>
              <w:left w:val="nil"/>
              <w:bottom w:val="nil"/>
              <w:right w:val="nil"/>
            </w:tcBorders>
            <w:shd w:val="clear" w:color="000000" w:fill="FFFFFF"/>
            <w:noWrap/>
            <w:vAlign w:val="center"/>
            <w:hideMark/>
          </w:tcPr>
          <w:p w14:paraId="69FC26D0"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0969E9A9" w14:textId="77777777" w:rsidR="006C0DD0" w:rsidRPr="007E1464" w:rsidRDefault="006C0DD0" w:rsidP="00500BD0">
            <w:pPr>
              <w:spacing w:after="0" w:line="240" w:lineRule="auto"/>
              <w:rPr>
                <w:sz w:val="20"/>
                <w:szCs w:val="20"/>
                <w:lang w:eastAsia="sk-SK"/>
              </w:rPr>
            </w:pPr>
            <w:r w:rsidRPr="007E1464">
              <w:rPr>
                <w:sz w:val="20"/>
                <w:szCs w:val="20"/>
                <w:lang w:eastAsia="sk-SK"/>
              </w:rPr>
              <w:t>Príspevkové organizácie obcí</w:t>
            </w:r>
          </w:p>
        </w:tc>
        <w:tc>
          <w:tcPr>
            <w:tcW w:w="1168" w:type="dxa"/>
            <w:tcBorders>
              <w:top w:val="nil"/>
              <w:left w:val="nil"/>
              <w:bottom w:val="nil"/>
              <w:right w:val="nil"/>
            </w:tcBorders>
            <w:shd w:val="clear" w:color="000000" w:fill="FFFFFF"/>
            <w:noWrap/>
            <w:vAlign w:val="center"/>
            <w:hideMark/>
          </w:tcPr>
          <w:p w14:paraId="3F35A1AE"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11 510</w:t>
            </w:r>
          </w:p>
        </w:tc>
        <w:tc>
          <w:tcPr>
            <w:tcW w:w="1392" w:type="dxa"/>
            <w:tcBorders>
              <w:top w:val="nil"/>
              <w:left w:val="nil"/>
              <w:bottom w:val="nil"/>
              <w:right w:val="nil"/>
            </w:tcBorders>
            <w:shd w:val="clear" w:color="000000" w:fill="FFFFFF"/>
            <w:noWrap/>
            <w:vAlign w:val="center"/>
            <w:hideMark/>
          </w:tcPr>
          <w:p w14:paraId="07886D47"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7 642</w:t>
            </w:r>
          </w:p>
        </w:tc>
        <w:tc>
          <w:tcPr>
            <w:tcW w:w="1276" w:type="dxa"/>
            <w:tcBorders>
              <w:top w:val="nil"/>
              <w:left w:val="nil"/>
              <w:bottom w:val="nil"/>
              <w:right w:val="nil"/>
            </w:tcBorders>
            <w:shd w:val="clear" w:color="000000" w:fill="BFBFBF"/>
            <w:noWrap/>
            <w:vAlign w:val="center"/>
            <w:hideMark/>
          </w:tcPr>
          <w:p w14:paraId="17D4E0D6"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5 482</w:t>
            </w:r>
          </w:p>
        </w:tc>
        <w:tc>
          <w:tcPr>
            <w:tcW w:w="1275" w:type="dxa"/>
            <w:tcBorders>
              <w:top w:val="nil"/>
              <w:left w:val="nil"/>
              <w:bottom w:val="nil"/>
              <w:right w:val="nil"/>
            </w:tcBorders>
            <w:shd w:val="clear" w:color="000000" w:fill="FFFFFF"/>
            <w:noWrap/>
            <w:vAlign w:val="center"/>
            <w:hideMark/>
          </w:tcPr>
          <w:p w14:paraId="5CC23361"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2 020</w:t>
            </w:r>
          </w:p>
        </w:tc>
      </w:tr>
      <w:tr w:rsidR="006C0DD0" w:rsidRPr="007E1464" w14:paraId="4899146F" w14:textId="77777777" w:rsidTr="002C4691">
        <w:trPr>
          <w:trHeight w:val="255"/>
        </w:trPr>
        <w:tc>
          <w:tcPr>
            <w:tcW w:w="190" w:type="dxa"/>
            <w:tcBorders>
              <w:top w:val="nil"/>
              <w:left w:val="nil"/>
              <w:bottom w:val="nil"/>
              <w:right w:val="nil"/>
            </w:tcBorders>
            <w:shd w:val="clear" w:color="000000" w:fill="FFFFFF"/>
            <w:noWrap/>
            <w:vAlign w:val="center"/>
            <w:hideMark/>
          </w:tcPr>
          <w:p w14:paraId="46824B2E"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0F8AEC05" w14:textId="77777777" w:rsidR="006C0DD0" w:rsidRPr="007E1464" w:rsidRDefault="006C0DD0" w:rsidP="00500BD0">
            <w:pPr>
              <w:spacing w:after="0" w:line="240" w:lineRule="auto"/>
              <w:rPr>
                <w:sz w:val="20"/>
                <w:szCs w:val="20"/>
                <w:lang w:eastAsia="sk-SK"/>
              </w:rPr>
            </w:pPr>
            <w:r w:rsidRPr="007E1464">
              <w:rPr>
                <w:sz w:val="20"/>
                <w:szCs w:val="20"/>
                <w:lang w:eastAsia="sk-SK"/>
              </w:rPr>
              <w:t>Príspevkové organizácie VÚC</w:t>
            </w:r>
          </w:p>
        </w:tc>
        <w:tc>
          <w:tcPr>
            <w:tcW w:w="1168" w:type="dxa"/>
            <w:tcBorders>
              <w:top w:val="nil"/>
              <w:left w:val="nil"/>
              <w:bottom w:val="nil"/>
              <w:right w:val="nil"/>
            </w:tcBorders>
            <w:shd w:val="clear" w:color="000000" w:fill="FFFFFF"/>
            <w:noWrap/>
            <w:vAlign w:val="center"/>
            <w:hideMark/>
          </w:tcPr>
          <w:p w14:paraId="5F8D3A2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259</w:t>
            </w:r>
          </w:p>
        </w:tc>
        <w:tc>
          <w:tcPr>
            <w:tcW w:w="1392" w:type="dxa"/>
            <w:tcBorders>
              <w:top w:val="nil"/>
              <w:left w:val="nil"/>
              <w:bottom w:val="nil"/>
              <w:right w:val="nil"/>
            </w:tcBorders>
            <w:shd w:val="clear" w:color="000000" w:fill="FFFFFF"/>
            <w:noWrap/>
            <w:vAlign w:val="center"/>
            <w:hideMark/>
          </w:tcPr>
          <w:p w14:paraId="47FCEF2A"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-549</w:t>
            </w:r>
          </w:p>
        </w:tc>
        <w:tc>
          <w:tcPr>
            <w:tcW w:w="1276" w:type="dxa"/>
            <w:tcBorders>
              <w:top w:val="nil"/>
              <w:left w:val="nil"/>
              <w:bottom w:val="nil"/>
              <w:right w:val="nil"/>
            </w:tcBorders>
            <w:shd w:val="clear" w:color="000000" w:fill="BFBFBF"/>
            <w:noWrap/>
            <w:vAlign w:val="center"/>
            <w:hideMark/>
          </w:tcPr>
          <w:p w14:paraId="4D7007E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2 630</w:t>
            </w:r>
          </w:p>
        </w:tc>
        <w:tc>
          <w:tcPr>
            <w:tcW w:w="1275" w:type="dxa"/>
            <w:tcBorders>
              <w:top w:val="nil"/>
              <w:left w:val="nil"/>
              <w:bottom w:val="nil"/>
              <w:right w:val="nil"/>
            </w:tcBorders>
            <w:shd w:val="clear" w:color="000000" w:fill="FFFFFF"/>
            <w:noWrap/>
            <w:vAlign w:val="center"/>
            <w:hideMark/>
          </w:tcPr>
          <w:p w14:paraId="5DEC2D77"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1 740</w:t>
            </w:r>
          </w:p>
        </w:tc>
      </w:tr>
      <w:tr w:rsidR="006C0DD0" w:rsidRPr="007E1464" w14:paraId="5418B910" w14:textId="77777777" w:rsidTr="002C4691">
        <w:trPr>
          <w:trHeight w:val="255"/>
        </w:trPr>
        <w:tc>
          <w:tcPr>
            <w:tcW w:w="190" w:type="dxa"/>
            <w:tcBorders>
              <w:top w:val="nil"/>
              <w:left w:val="nil"/>
              <w:bottom w:val="nil"/>
              <w:right w:val="nil"/>
            </w:tcBorders>
            <w:shd w:val="clear" w:color="000000" w:fill="FFFFFF"/>
            <w:noWrap/>
            <w:vAlign w:val="center"/>
            <w:hideMark/>
          </w:tcPr>
          <w:p w14:paraId="33B1B6E0"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43C16CF7" w14:textId="77777777" w:rsidR="006C0DD0" w:rsidRPr="007E1464" w:rsidRDefault="006C0DD0" w:rsidP="00500BD0">
            <w:pPr>
              <w:spacing w:after="0" w:line="240" w:lineRule="auto"/>
              <w:rPr>
                <w:sz w:val="20"/>
                <w:szCs w:val="20"/>
                <w:lang w:eastAsia="sk-SK"/>
              </w:rPr>
            </w:pPr>
            <w:r w:rsidRPr="007E1464">
              <w:rPr>
                <w:sz w:val="20"/>
                <w:szCs w:val="20"/>
                <w:lang w:eastAsia="sk-SK"/>
              </w:rPr>
              <w:t>Dopravné podniky</w:t>
            </w:r>
          </w:p>
        </w:tc>
        <w:tc>
          <w:tcPr>
            <w:tcW w:w="1168" w:type="dxa"/>
            <w:tcBorders>
              <w:top w:val="nil"/>
              <w:left w:val="nil"/>
              <w:bottom w:val="nil"/>
              <w:right w:val="nil"/>
            </w:tcBorders>
            <w:shd w:val="clear" w:color="000000" w:fill="FFFFFF"/>
            <w:noWrap/>
            <w:vAlign w:val="center"/>
            <w:hideMark/>
          </w:tcPr>
          <w:p w14:paraId="6E7E256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12 509</w:t>
            </w:r>
          </w:p>
        </w:tc>
        <w:tc>
          <w:tcPr>
            <w:tcW w:w="1392" w:type="dxa"/>
            <w:tcBorders>
              <w:top w:val="nil"/>
              <w:left w:val="nil"/>
              <w:bottom w:val="nil"/>
              <w:right w:val="nil"/>
            </w:tcBorders>
            <w:shd w:val="clear" w:color="000000" w:fill="FFFFFF"/>
            <w:noWrap/>
            <w:vAlign w:val="center"/>
            <w:hideMark/>
          </w:tcPr>
          <w:p w14:paraId="786DF346"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8 505</w:t>
            </w:r>
          </w:p>
        </w:tc>
        <w:tc>
          <w:tcPr>
            <w:tcW w:w="1276" w:type="dxa"/>
            <w:tcBorders>
              <w:top w:val="nil"/>
              <w:left w:val="nil"/>
              <w:bottom w:val="nil"/>
              <w:right w:val="nil"/>
            </w:tcBorders>
            <w:shd w:val="clear" w:color="000000" w:fill="BFBFBF"/>
            <w:noWrap/>
            <w:vAlign w:val="center"/>
            <w:hideMark/>
          </w:tcPr>
          <w:p w14:paraId="2D1AC53C"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10 990</w:t>
            </w:r>
          </w:p>
        </w:tc>
        <w:tc>
          <w:tcPr>
            <w:tcW w:w="1275" w:type="dxa"/>
            <w:tcBorders>
              <w:top w:val="nil"/>
              <w:left w:val="nil"/>
              <w:bottom w:val="nil"/>
              <w:right w:val="nil"/>
            </w:tcBorders>
            <w:shd w:val="clear" w:color="000000" w:fill="FFFFFF"/>
            <w:noWrap/>
            <w:vAlign w:val="center"/>
            <w:hideMark/>
          </w:tcPr>
          <w:p w14:paraId="770D4B90"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9 270</w:t>
            </w:r>
          </w:p>
        </w:tc>
      </w:tr>
      <w:tr w:rsidR="006C0DD0" w:rsidRPr="007E1464" w14:paraId="44CB51D6" w14:textId="77777777" w:rsidTr="002C4691">
        <w:trPr>
          <w:trHeight w:val="495"/>
        </w:trPr>
        <w:tc>
          <w:tcPr>
            <w:tcW w:w="190" w:type="dxa"/>
            <w:tcBorders>
              <w:top w:val="nil"/>
              <w:left w:val="nil"/>
              <w:bottom w:val="nil"/>
              <w:right w:val="nil"/>
            </w:tcBorders>
            <w:shd w:val="clear" w:color="000000" w:fill="FFFFFF"/>
            <w:noWrap/>
            <w:vAlign w:val="center"/>
            <w:hideMark/>
          </w:tcPr>
          <w:p w14:paraId="53808E6D"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vAlign w:val="center"/>
            <w:hideMark/>
          </w:tcPr>
          <w:p w14:paraId="05E4CFDB" w14:textId="77777777" w:rsidR="006C0DD0" w:rsidRPr="007E1464" w:rsidRDefault="006C0DD0" w:rsidP="00500BD0">
            <w:pPr>
              <w:spacing w:after="0" w:line="240" w:lineRule="auto"/>
              <w:rPr>
                <w:sz w:val="20"/>
                <w:szCs w:val="20"/>
                <w:lang w:eastAsia="sk-SK"/>
              </w:rPr>
            </w:pPr>
            <w:r w:rsidRPr="007E1464">
              <w:rPr>
                <w:sz w:val="20"/>
                <w:szCs w:val="20"/>
                <w:lang w:eastAsia="sk-SK"/>
              </w:rPr>
              <w:t>Zdravotnícke zariadenia miestnej samosprávy</w:t>
            </w:r>
          </w:p>
        </w:tc>
        <w:tc>
          <w:tcPr>
            <w:tcW w:w="1168" w:type="dxa"/>
            <w:tcBorders>
              <w:top w:val="nil"/>
              <w:left w:val="nil"/>
              <w:bottom w:val="nil"/>
              <w:right w:val="nil"/>
            </w:tcBorders>
            <w:shd w:val="clear" w:color="000000" w:fill="FFFFFF"/>
            <w:noWrap/>
            <w:vAlign w:val="center"/>
            <w:hideMark/>
          </w:tcPr>
          <w:p w14:paraId="3606B96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-2 118</w:t>
            </w:r>
          </w:p>
        </w:tc>
        <w:tc>
          <w:tcPr>
            <w:tcW w:w="1392" w:type="dxa"/>
            <w:tcBorders>
              <w:top w:val="nil"/>
              <w:left w:val="nil"/>
              <w:bottom w:val="nil"/>
              <w:right w:val="nil"/>
            </w:tcBorders>
            <w:shd w:val="clear" w:color="000000" w:fill="FFFFFF"/>
            <w:noWrap/>
            <w:vAlign w:val="center"/>
            <w:hideMark/>
          </w:tcPr>
          <w:p w14:paraId="3B02C09D"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-7 805</w:t>
            </w:r>
          </w:p>
        </w:tc>
        <w:tc>
          <w:tcPr>
            <w:tcW w:w="1276" w:type="dxa"/>
            <w:tcBorders>
              <w:top w:val="nil"/>
              <w:left w:val="nil"/>
              <w:bottom w:val="nil"/>
              <w:right w:val="nil"/>
            </w:tcBorders>
            <w:shd w:val="clear" w:color="000000" w:fill="BFBFBF"/>
            <w:noWrap/>
            <w:vAlign w:val="center"/>
            <w:hideMark/>
          </w:tcPr>
          <w:p w14:paraId="73A422F8"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46 990</w:t>
            </w:r>
          </w:p>
        </w:tc>
        <w:tc>
          <w:tcPr>
            <w:tcW w:w="1275" w:type="dxa"/>
            <w:tcBorders>
              <w:top w:val="nil"/>
              <w:left w:val="nil"/>
              <w:bottom w:val="nil"/>
              <w:right w:val="nil"/>
            </w:tcBorders>
            <w:shd w:val="clear" w:color="000000" w:fill="FFFFFF"/>
            <w:noWrap/>
            <w:vAlign w:val="center"/>
            <w:hideMark/>
          </w:tcPr>
          <w:p w14:paraId="7ADE7F6C"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17</w:t>
            </w:r>
          </w:p>
        </w:tc>
      </w:tr>
      <w:tr w:rsidR="006C0DD0" w:rsidRPr="007E1464" w14:paraId="07A8B93D" w14:textId="77777777" w:rsidTr="002C4691">
        <w:trPr>
          <w:trHeight w:val="255"/>
        </w:trPr>
        <w:tc>
          <w:tcPr>
            <w:tcW w:w="190" w:type="dxa"/>
            <w:tcBorders>
              <w:top w:val="nil"/>
              <w:left w:val="nil"/>
              <w:bottom w:val="nil"/>
              <w:right w:val="nil"/>
            </w:tcBorders>
            <w:shd w:val="clear" w:color="000000" w:fill="FFFFFF"/>
            <w:noWrap/>
            <w:vAlign w:val="center"/>
            <w:hideMark/>
          </w:tcPr>
          <w:p w14:paraId="470F6578" w14:textId="77777777" w:rsidR="006C0DD0" w:rsidRPr="007E1464" w:rsidRDefault="006C0DD0" w:rsidP="00500BD0">
            <w:pPr>
              <w:spacing w:after="0" w:line="240" w:lineRule="auto"/>
              <w:rPr>
                <w:color w:val="000000"/>
                <w:sz w:val="20"/>
                <w:szCs w:val="20"/>
                <w:lang w:eastAsia="sk-SK"/>
              </w:rPr>
            </w:pPr>
            <w:r w:rsidRPr="007E1464">
              <w:rPr>
                <w:color w:val="000000"/>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34B4878F" w14:textId="77777777" w:rsidR="006C0DD0" w:rsidRPr="007E1464" w:rsidRDefault="006C0DD0" w:rsidP="00500BD0">
            <w:pPr>
              <w:spacing w:after="0" w:line="240" w:lineRule="auto"/>
              <w:rPr>
                <w:sz w:val="20"/>
                <w:szCs w:val="20"/>
                <w:lang w:eastAsia="sk-SK"/>
              </w:rPr>
            </w:pPr>
            <w:r w:rsidRPr="007E1464">
              <w:rPr>
                <w:sz w:val="20"/>
                <w:szCs w:val="20"/>
                <w:lang w:eastAsia="sk-SK"/>
              </w:rPr>
              <w:t>Ostatné subjekty miestnej samosprávy</w:t>
            </w:r>
          </w:p>
        </w:tc>
        <w:tc>
          <w:tcPr>
            <w:tcW w:w="1168" w:type="dxa"/>
            <w:tcBorders>
              <w:top w:val="nil"/>
              <w:left w:val="nil"/>
              <w:bottom w:val="nil"/>
              <w:right w:val="nil"/>
            </w:tcBorders>
            <w:shd w:val="clear" w:color="000000" w:fill="FFFFFF"/>
            <w:noWrap/>
            <w:vAlign w:val="center"/>
            <w:hideMark/>
          </w:tcPr>
          <w:p w14:paraId="0CC1400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-2 521</w:t>
            </w:r>
          </w:p>
        </w:tc>
        <w:tc>
          <w:tcPr>
            <w:tcW w:w="1392" w:type="dxa"/>
            <w:tcBorders>
              <w:top w:val="nil"/>
              <w:left w:val="nil"/>
              <w:bottom w:val="nil"/>
              <w:right w:val="nil"/>
            </w:tcBorders>
            <w:shd w:val="clear" w:color="000000" w:fill="FFFFFF"/>
            <w:noWrap/>
            <w:vAlign w:val="center"/>
            <w:hideMark/>
          </w:tcPr>
          <w:p w14:paraId="6CC34162"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3 981</w:t>
            </w:r>
          </w:p>
        </w:tc>
        <w:tc>
          <w:tcPr>
            <w:tcW w:w="1276" w:type="dxa"/>
            <w:tcBorders>
              <w:top w:val="nil"/>
              <w:left w:val="nil"/>
              <w:bottom w:val="nil"/>
              <w:right w:val="nil"/>
            </w:tcBorders>
            <w:shd w:val="clear" w:color="000000" w:fill="BFBFBF"/>
            <w:noWrap/>
            <w:vAlign w:val="center"/>
            <w:hideMark/>
          </w:tcPr>
          <w:p w14:paraId="19B046D0"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-4 357</w:t>
            </w:r>
          </w:p>
        </w:tc>
        <w:tc>
          <w:tcPr>
            <w:tcW w:w="1275" w:type="dxa"/>
            <w:tcBorders>
              <w:top w:val="nil"/>
              <w:left w:val="nil"/>
              <w:bottom w:val="nil"/>
              <w:right w:val="nil"/>
            </w:tcBorders>
            <w:shd w:val="clear" w:color="000000" w:fill="FFFFFF"/>
            <w:noWrap/>
            <w:vAlign w:val="center"/>
            <w:hideMark/>
          </w:tcPr>
          <w:p w14:paraId="1A9956EE"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0</w:t>
            </w:r>
          </w:p>
        </w:tc>
      </w:tr>
      <w:tr w:rsidR="006C0DD0" w:rsidRPr="007E1464" w14:paraId="2A5EBF14" w14:textId="77777777" w:rsidTr="002C4691">
        <w:trPr>
          <w:trHeight w:val="255"/>
        </w:trPr>
        <w:tc>
          <w:tcPr>
            <w:tcW w:w="3961" w:type="dxa"/>
            <w:gridSpan w:val="3"/>
            <w:tcBorders>
              <w:top w:val="nil"/>
              <w:left w:val="nil"/>
              <w:bottom w:val="nil"/>
              <w:right w:val="nil"/>
            </w:tcBorders>
            <w:shd w:val="clear" w:color="000000" w:fill="FFFFFF"/>
            <w:noWrap/>
            <w:vAlign w:val="center"/>
            <w:hideMark/>
          </w:tcPr>
          <w:p w14:paraId="6ED7054A" w14:textId="77777777" w:rsidR="006C0DD0" w:rsidRPr="007E1464" w:rsidRDefault="006C0DD0" w:rsidP="00500BD0">
            <w:pPr>
              <w:spacing w:after="0" w:line="240" w:lineRule="auto"/>
              <w:rPr>
                <w:b/>
                <w:bCs/>
                <w:color w:val="000000"/>
                <w:sz w:val="20"/>
                <w:szCs w:val="20"/>
                <w:lang w:eastAsia="sk-SK"/>
              </w:rPr>
            </w:pPr>
            <w:r w:rsidRPr="007E1464">
              <w:rPr>
                <w:b/>
                <w:bCs/>
                <w:color w:val="000000"/>
                <w:sz w:val="20"/>
                <w:szCs w:val="20"/>
                <w:lang w:eastAsia="sk-SK"/>
              </w:rPr>
              <w:t>Fondy sociálneho zabezpečenia</w:t>
            </w:r>
          </w:p>
        </w:tc>
        <w:tc>
          <w:tcPr>
            <w:tcW w:w="1168" w:type="dxa"/>
            <w:tcBorders>
              <w:top w:val="nil"/>
              <w:left w:val="nil"/>
              <w:bottom w:val="nil"/>
              <w:right w:val="nil"/>
            </w:tcBorders>
            <w:shd w:val="clear" w:color="000000" w:fill="FFFFFF"/>
            <w:noWrap/>
            <w:vAlign w:val="center"/>
            <w:hideMark/>
          </w:tcPr>
          <w:p w14:paraId="49F2E78F"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-215 732</w:t>
            </w:r>
          </w:p>
        </w:tc>
        <w:tc>
          <w:tcPr>
            <w:tcW w:w="1392" w:type="dxa"/>
            <w:tcBorders>
              <w:top w:val="nil"/>
              <w:left w:val="nil"/>
              <w:bottom w:val="nil"/>
              <w:right w:val="nil"/>
            </w:tcBorders>
            <w:shd w:val="clear" w:color="000000" w:fill="FFFFFF"/>
            <w:noWrap/>
            <w:vAlign w:val="center"/>
            <w:hideMark/>
          </w:tcPr>
          <w:p w14:paraId="06AA4693"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305 702</w:t>
            </w:r>
          </w:p>
        </w:tc>
        <w:tc>
          <w:tcPr>
            <w:tcW w:w="1276" w:type="dxa"/>
            <w:tcBorders>
              <w:top w:val="nil"/>
              <w:left w:val="nil"/>
              <w:bottom w:val="nil"/>
              <w:right w:val="nil"/>
            </w:tcBorders>
            <w:shd w:val="clear" w:color="000000" w:fill="BFBFBF"/>
            <w:noWrap/>
            <w:vAlign w:val="center"/>
            <w:hideMark/>
          </w:tcPr>
          <w:p w14:paraId="4D621EEA"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39 040</w:t>
            </w:r>
          </w:p>
        </w:tc>
        <w:tc>
          <w:tcPr>
            <w:tcW w:w="1275" w:type="dxa"/>
            <w:tcBorders>
              <w:top w:val="nil"/>
              <w:left w:val="nil"/>
              <w:bottom w:val="nil"/>
              <w:right w:val="nil"/>
            </w:tcBorders>
            <w:shd w:val="clear" w:color="000000" w:fill="FFFFFF"/>
            <w:noWrap/>
            <w:vAlign w:val="center"/>
            <w:hideMark/>
          </w:tcPr>
          <w:p w14:paraId="4848C29C" w14:textId="77777777" w:rsidR="006C0DD0" w:rsidRPr="00B27D68" w:rsidRDefault="006C0DD0" w:rsidP="00500BD0">
            <w:pPr>
              <w:spacing w:after="0" w:line="240" w:lineRule="auto"/>
              <w:jc w:val="right"/>
              <w:rPr>
                <w:b/>
                <w:bCs/>
                <w:sz w:val="20"/>
                <w:szCs w:val="20"/>
                <w:lang w:eastAsia="sk-SK"/>
              </w:rPr>
            </w:pPr>
            <w:r w:rsidRPr="00B27D68">
              <w:rPr>
                <w:b/>
                <w:bCs/>
                <w:sz w:val="20"/>
                <w:szCs w:val="20"/>
                <w:lang w:eastAsia="sk-SK"/>
              </w:rPr>
              <w:t>170 903</w:t>
            </w:r>
          </w:p>
        </w:tc>
      </w:tr>
      <w:tr w:rsidR="006C0DD0" w:rsidRPr="007E1464" w14:paraId="24D7F797" w14:textId="77777777" w:rsidTr="002C4691">
        <w:trPr>
          <w:trHeight w:val="255"/>
        </w:trPr>
        <w:tc>
          <w:tcPr>
            <w:tcW w:w="190" w:type="dxa"/>
            <w:tcBorders>
              <w:top w:val="nil"/>
              <w:left w:val="nil"/>
              <w:bottom w:val="nil"/>
              <w:right w:val="nil"/>
            </w:tcBorders>
            <w:shd w:val="clear" w:color="000000" w:fill="FFFFFF"/>
            <w:noWrap/>
            <w:vAlign w:val="center"/>
            <w:hideMark/>
          </w:tcPr>
          <w:p w14:paraId="0FD52508"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3771" w:type="dxa"/>
            <w:gridSpan w:val="2"/>
            <w:tcBorders>
              <w:top w:val="nil"/>
              <w:left w:val="nil"/>
              <w:bottom w:val="nil"/>
              <w:right w:val="nil"/>
            </w:tcBorders>
            <w:shd w:val="clear" w:color="000000" w:fill="FFFFFF"/>
            <w:noWrap/>
            <w:vAlign w:val="center"/>
            <w:hideMark/>
          </w:tcPr>
          <w:p w14:paraId="7EFA514F" w14:textId="77777777" w:rsidR="006C0DD0" w:rsidRPr="007E1464" w:rsidRDefault="006C0DD0" w:rsidP="00500BD0">
            <w:pPr>
              <w:spacing w:after="0" w:line="240" w:lineRule="auto"/>
              <w:rPr>
                <w:sz w:val="20"/>
                <w:szCs w:val="20"/>
                <w:lang w:eastAsia="sk-SK"/>
              </w:rPr>
            </w:pPr>
            <w:r w:rsidRPr="007E1464">
              <w:rPr>
                <w:sz w:val="20"/>
                <w:szCs w:val="20"/>
                <w:lang w:eastAsia="sk-SK"/>
              </w:rPr>
              <w:t>Sociálna poisťovňa</w:t>
            </w:r>
          </w:p>
        </w:tc>
        <w:tc>
          <w:tcPr>
            <w:tcW w:w="1168" w:type="dxa"/>
            <w:tcBorders>
              <w:top w:val="nil"/>
              <w:left w:val="nil"/>
              <w:bottom w:val="nil"/>
              <w:right w:val="nil"/>
            </w:tcBorders>
            <w:shd w:val="clear" w:color="000000" w:fill="FFFFFF"/>
            <w:noWrap/>
            <w:vAlign w:val="center"/>
            <w:hideMark/>
          </w:tcPr>
          <w:p w14:paraId="640E46B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-141 050</w:t>
            </w:r>
          </w:p>
        </w:tc>
        <w:tc>
          <w:tcPr>
            <w:tcW w:w="1392" w:type="dxa"/>
            <w:tcBorders>
              <w:top w:val="nil"/>
              <w:left w:val="nil"/>
              <w:bottom w:val="nil"/>
              <w:right w:val="nil"/>
            </w:tcBorders>
            <w:shd w:val="clear" w:color="000000" w:fill="FFFFFF"/>
            <w:noWrap/>
            <w:vAlign w:val="center"/>
            <w:hideMark/>
          </w:tcPr>
          <w:p w14:paraId="12BD01C1"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139 926</w:t>
            </w:r>
          </w:p>
        </w:tc>
        <w:tc>
          <w:tcPr>
            <w:tcW w:w="1276" w:type="dxa"/>
            <w:tcBorders>
              <w:top w:val="nil"/>
              <w:left w:val="nil"/>
              <w:bottom w:val="nil"/>
              <w:right w:val="nil"/>
            </w:tcBorders>
            <w:shd w:val="clear" w:color="000000" w:fill="BFBFBF"/>
            <w:noWrap/>
            <w:vAlign w:val="center"/>
            <w:hideMark/>
          </w:tcPr>
          <w:p w14:paraId="77F8FFF5"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27 888</w:t>
            </w:r>
          </w:p>
        </w:tc>
        <w:tc>
          <w:tcPr>
            <w:tcW w:w="1275" w:type="dxa"/>
            <w:tcBorders>
              <w:top w:val="nil"/>
              <w:left w:val="nil"/>
              <w:bottom w:val="nil"/>
              <w:right w:val="nil"/>
            </w:tcBorders>
            <w:shd w:val="clear" w:color="000000" w:fill="FFFFFF"/>
            <w:noWrap/>
            <w:vAlign w:val="center"/>
            <w:hideMark/>
          </w:tcPr>
          <w:p w14:paraId="268058B6"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40 872</w:t>
            </w:r>
          </w:p>
        </w:tc>
      </w:tr>
      <w:tr w:rsidR="006C0DD0" w:rsidRPr="007E1464" w14:paraId="1C1AF0CD" w14:textId="77777777" w:rsidTr="00F240C9">
        <w:trPr>
          <w:trHeight w:val="255"/>
        </w:trPr>
        <w:tc>
          <w:tcPr>
            <w:tcW w:w="190" w:type="dxa"/>
            <w:tcBorders>
              <w:top w:val="nil"/>
              <w:left w:val="nil"/>
              <w:bottom w:val="single" w:sz="4" w:space="0" w:color="auto"/>
              <w:right w:val="nil"/>
            </w:tcBorders>
            <w:shd w:val="clear" w:color="000000" w:fill="FFFFFF"/>
            <w:noWrap/>
            <w:vAlign w:val="center"/>
            <w:hideMark/>
          </w:tcPr>
          <w:p w14:paraId="0C421B8C" w14:textId="77777777" w:rsidR="006C0DD0" w:rsidRPr="007E1464" w:rsidRDefault="006C0DD0" w:rsidP="00500BD0">
            <w:pPr>
              <w:spacing w:after="0" w:line="240" w:lineRule="auto"/>
              <w:rPr>
                <w:sz w:val="20"/>
                <w:szCs w:val="20"/>
                <w:lang w:eastAsia="sk-SK"/>
              </w:rPr>
            </w:pPr>
            <w:r w:rsidRPr="007E1464">
              <w:rPr>
                <w:sz w:val="20"/>
                <w:szCs w:val="20"/>
                <w:lang w:eastAsia="sk-SK"/>
              </w:rPr>
              <w:t> </w:t>
            </w:r>
          </w:p>
        </w:tc>
        <w:tc>
          <w:tcPr>
            <w:tcW w:w="3771" w:type="dxa"/>
            <w:gridSpan w:val="2"/>
            <w:tcBorders>
              <w:top w:val="nil"/>
              <w:left w:val="nil"/>
              <w:bottom w:val="single" w:sz="4" w:space="0" w:color="auto"/>
              <w:right w:val="nil"/>
            </w:tcBorders>
            <w:shd w:val="clear" w:color="000000" w:fill="FFFFFF"/>
            <w:noWrap/>
            <w:vAlign w:val="center"/>
            <w:hideMark/>
          </w:tcPr>
          <w:p w14:paraId="5F278C78" w14:textId="77777777" w:rsidR="006C0DD0" w:rsidRPr="007E1464" w:rsidRDefault="006C0DD0" w:rsidP="00500BD0">
            <w:pPr>
              <w:spacing w:after="0" w:line="240" w:lineRule="auto"/>
              <w:rPr>
                <w:sz w:val="20"/>
                <w:szCs w:val="20"/>
                <w:lang w:eastAsia="sk-SK"/>
              </w:rPr>
            </w:pPr>
            <w:r w:rsidRPr="007E1464">
              <w:rPr>
                <w:sz w:val="20"/>
                <w:szCs w:val="20"/>
                <w:lang w:eastAsia="sk-SK"/>
              </w:rPr>
              <w:t>Verejné zdravotné poistenie</w:t>
            </w:r>
          </w:p>
        </w:tc>
        <w:tc>
          <w:tcPr>
            <w:tcW w:w="1168" w:type="dxa"/>
            <w:tcBorders>
              <w:top w:val="nil"/>
              <w:left w:val="nil"/>
              <w:bottom w:val="single" w:sz="4" w:space="0" w:color="auto"/>
              <w:right w:val="nil"/>
            </w:tcBorders>
            <w:shd w:val="clear" w:color="000000" w:fill="FFFFFF"/>
            <w:noWrap/>
            <w:vAlign w:val="center"/>
            <w:hideMark/>
          </w:tcPr>
          <w:p w14:paraId="0B44C3CB"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-74 682</w:t>
            </w:r>
          </w:p>
        </w:tc>
        <w:tc>
          <w:tcPr>
            <w:tcW w:w="1392" w:type="dxa"/>
            <w:tcBorders>
              <w:top w:val="nil"/>
              <w:left w:val="nil"/>
              <w:bottom w:val="single" w:sz="4" w:space="0" w:color="auto"/>
              <w:right w:val="nil"/>
            </w:tcBorders>
            <w:shd w:val="clear" w:color="000000" w:fill="FFFFFF"/>
            <w:noWrap/>
            <w:vAlign w:val="center"/>
            <w:hideMark/>
          </w:tcPr>
          <w:p w14:paraId="6818014F"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165 776</w:t>
            </w:r>
          </w:p>
        </w:tc>
        <w:tc>
          <w:tcPr>
            <w:tcW w:w="1276" w:type="dxa"/>
            <w:tcBorders>
              <w:top w:val="nil"/>
              <w:left w:val="nil"/>
              <w:bottom w:val="single" w:sz="4" w:space="0" w:color="auto"/>
              <w:right w:val="nil"/>
            </w:tcBorders>
            <w:shd w:val="clear" w:color="000000" w:fill="BFBFBF"/>
            <w:noWrap/>
            <w:vAlign w:val="center"/>
            <w:hideMark/>
          </w:tcPr>
          <w:p w14:paraId="7BF7273C" w14:textId="77777777" w:rsidR="006C0DD0" w:rsidRPr="007E1464" w:rsidRDefault="006C0DD0" w:rsidP="00500BD0">
            <w:pPr>
              <w:spacing w:after="0" w:line="240" w:lineRule="auto"/>
              <w:jc w:val="right"/>
              <w:rPr>
                <w:sz w:val="20"/>
                <w:szCs w:val="20"/>
                <w:lang w:eastAsia="sk-SK"/>
              </w:rPr>
            </w:pPr>
            <w:r w:rsidRPr="007E1464">
              <w:rPr>
                <w:sz w:val="20"/>
                <w:szCs w:val="20"/>
                <w:lang w:eastAsia="sk-SK"/>
              </w:rPr>
              <w:t>11 152</w:t>
            </w:r>
          </w:p>
        </w:tc>
        <w:tc>
          <w:tcPr>
            <w:tcW w:w="1275" w:type="dxa"/>
            <w:tcBorders>
              <w:top w:val="nil"/>
              <w:left w:val="nil"/>
              <w:bottom w:val="single" w:sz="4" w:space="0" w:color="auto"/>
              <w:right w:val="nil"/>
            </w:tcBorders>
            <w:shd w:val="clear" w:color="000000" w:fill="FFFFFF"/>
            <w:noWrap/>
            <w:vAlign w:val="center"/>
            <w:hideMark/>
          </w:tcPr>
          <w:p w14:paraId="53A92C72" w14:textId="77777777" w:rsidR="006C0DD0" w:rsidRPr="00B27D68" w:rsidRDefault="006C0DD0" w:rsidP="00500BD0">
            <w:pPr>
              <w:spacing w:after="0" w:line="240" w:lineRule="auto"/>
              <w:jc w:val="right"/>
              <w:rPr>
                <w:sz w:val="20"/>
                <w:szCs w:val="20"/>
                <w:lang w:eastAsia="sk-SK"/>
              </w:rPr>
            </w:pPr>
            <w:r w:rsidRPr="00B27D68">
              <w:rPr>
                <w:sz w:val="20"/>
                <w:szCs w:val="20"/>
                <w:lang w:eastAsia="sk-SK"/>
              </w:rPr>
              <w:t>130 031</w:t>
            </w:r>
          </w:p>
        </w:tc>
      </w:tr>
      <w:tr w:rsidR="006C0DD0" w:rsidRPr="007E1464" w14:paraId="3EEA30F4" w14:textId="77777777" w:rsidTr="00F240C9">
        <w:trPr>
          <w:trHeight w:val="255"/>
        </w:trPr>
        <w:tc>
          <w:tcPr>
            <w:tcW w:w="3961" w:type="dxa"/>
            <w:gridSpan w:val="3"/>
            <w:tcBorders>
              <w:top w:val="single" w:sz="4" w:space="0" w:color="auto"/>
              <w:left w:val="nil"/>
              <w:bottom w:val="nil"/>
              <w:right w:val="nil"/>
            </w:tcBorders>
            <w:shd w:val="clear" w:color="auto" w:fill="BFBFBF" w:themeFill="background1" w:themeFillShade="BF"/>
            <w:noWrap/>
            <w:vAlign w:val="center"/>
            <w:hideMark/>
          </w:tcPr>
          <w:p w14:paraId="5094A4B7" w14:textId="77777777" w:rsidR="006C0DD0" w:rsidRPr="007E1464" w:rsidRDefault="006C0DD0" w:rsidP="00500BD0">
            <w:pPr>
              <w:spacing w:after="0" w:line="240" w:lineRule="auto"/>
              <w:rPr>
                <w:b/>
                <w:bCs/>
                <w:sz w:val="20"/>
                <w:szCs w:val="20"/>
                <w:lang w:eastAsia="sk-SK"/>
              </w:rPr>
            </w:pPr>
            <w:r w:rsidRPr="007E1464">
              <w:rPr>
                <w:b/>
                <w:bCs/>
                <w:sz w:val="20"/>
                <w:szCs w:val="20"/>
                <w:lang w:eastAsia="sk-SK"/>
              </w:rPr>
              <w:t>Schodok verejnej správy spolu</w:t>
            </w:r>
          </w:p>
        </w:tc>
        <w:tc>
          <w:tcPr>
            <w:tcW w:w="1168" w:type="dxa"/>
            <w:tcBorders>
              <w:top w:val="single" w:sz="4" w:space="0" w:color="auto"/>
              <w:left w:val="nil"/>
              <w:bottom w:val="nil"/>
              <w:right w:val="nil"/>
            </w:tcBorders>
            <w:shd w:val="clear" w:color="auto" w:fill="BFBFBF" w:themeFill="background1" w:themeFillShade="BF"/>
            <w:noWrap/>
            <w:vAlign w:val="center"/>
            <w:hideMark/>
          </w:tcPr>
          <w:p w14:paraId="717FDBD1"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-2 006 604</w:t>
            </w:r>
          </w:p>
        </w:tc>
        <w:tc>
          <w:tcPr>
            <w:tcW w:w="1392" w:type="dxa"/>
            <w:tcBorders>
              <w:top w:val="single" w:sz="4" w:space="0" w:color="auto"/>
              <w:left w:val="nil"/>
              <w:bottom w:val="nil"/>
              <w:right w:val="nil"/>
            </w:tcBorders>
            <w:shd w:val="clear" w:color="auto" w:fill="BFBFBF" w:themeFill="background1" w:themeFillShade="BF"/>
            <w:noWrap/>
            <w:vAlign w:val="center"/>
            <w:hideMark/>
          </w:tcPr>
          <w:p w14:paraId="5120CAE0"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-804 961</w:t>
            </w:r>
          </w:p>
        </w:tc>
        <w:tc>
          <w:tcPr>
            <w:tcW w:w="1276" w:type="dxa"/>
            <w:tcBorders>
              <w:top w:val="single" w:sz="4" w:space="0" w:color="auto"/>
              <w:left w:val="nil"/>
              <w:bottom w:val="nil"/>
              <w:right w:val="nil"/>
            </w:tcBorders>
            <w:shd w:val="clear" w:color="auto" w:fill="BFBFBF" w:themeFill="background1" w:themeFillShade="BF"/>
            <w:noWrap/>
            <w:vAlign w:val="center"/>
            <w:hideMark/>
          </w:tcPr>
          <w:p w14:paraId="7213C738"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-951 204</w:t>
            </w:r>
          </w:p>
        </w:tc>
        <w:tc>
          <w:tcPr>
            <w:tcW w:w="1275" w:type="dxa"/>
            <w:tcBorders>
              <w:top w:val="single" w:sz="4" w:space="0" w:color="auto"/>
              <w:left w:val="nil"/>
              <w:bottom w:val="nil"/>
              <w:right w:val="nil"/>
            </w:tcBorders>
            <w:shd w:val="clear" w:color="auto" w:fill="BFBFBF" w:themeFill="background1" w:themeFillShade="BF"/>
            <w:noWrap/>
            <w:vAlign w:val="center"/>
            <w:hideMark/>
          </w:tcPr>
          <w:p w14:paraId="7BCE92FF"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-742 811</w:t>
            </w:r>
          </w:p>
        </w:tc>
      </w:tr>
      <w:tr w:rsidR="006C0DD0" w:rsidRPr="007E1464" w14:paraId="7292994B" w14:textId="77777777" w:rsidTr="00F240C9">
        <w:trPr>
          <w:trHeight w:val="255"/>
        </w:trPr>
        <w:tc>
          <w:tcPr>
            <w:tcW w:w="3961" w:type="dxa"/>
            <w:gridSpan w:val="3"/>
            <w:tcBorders>
              <w:top w:val="nil"/>
              <w:left w:val="nil"/>
              <w:bottom w:val="single" w:sz="4" w:space="0" w:color="auto"/>
              <w:right w:val="nil"/>
            </w:tcBorders>
            <w:shd w:val="clear" w:color="auto" w:fill="BFBFBF" w:themeFill="background1" w:themeFillShade="BF"/>
            <w:noWrap/>
            <w:vAlign w:val="center"/>
            <w:hideMark/>
          </w:tcPr>
          <w:p w14:paraId="3964E545" w14:textId="77777777" w:rsidR="006C0DD0" w:rsidRPr="007E1464" w:rsidRDefault="006C0DD0" w:rsidP="00500BD0">
            <w:pPr>
              <w:spacing w:after="0" w:line="240" w:lineRule="auto"/>
              <w:rPr>
                <w:b/>
                <w:bCs/>
                <w:sz w:val="20"/>
                <w:szCs w:val="20"/>
                <w:lang w:eastAsia="sk-SK"/>
              </w:rPr>
            </w:pPr>
            <w:r w:rsidRPr="007E1464">
              <w:rPr>
                <w:b/>
                <w:bCs/>
                <w:sz w:val="20"/>
                <w:szCs w:val="20"/>
                <w:lang w:eastAsia="sk-SK"/>
              </w:rPr>
              <w:t xml:space="preserve">           % z HDP</w:t>
            </w:r>
          </w:p>
        </w:tc>
        <w:tc>
          <w:tcPr>
            <w:tcW w:w="1168" w:type="dxa"/>
            <w:tcBorders>
              <w:top w:val="nil"/>
              <w:left w:val="nil"/>
              <w:bottom w:val="single" w:sz="4" w:space="0" w:color="auto"/>
              <w:right w:val="nil"/>
            </w:tcBorders>
            <w:shd w:val="clear" w:color="auto" w:fill="BFBFBF" w:themeFill="background1" w:themeFillShade="BF"/>
            <w:noWrap/>
            <w:vAlign w:val="center"/>
            <w:hideMark/>
          </w:tcPr>
          <w:p w14:paraId="6EBC5FBB"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-2,5</w:t>
            </w:r>
          </w:p>
        </w:tc>
        <w:tc>
          <w:tcPr>
            <w:tcW w:w="1392" w:type="dxa"/>
            <w:tcBorders>
              <w:top w:val="nil"/>
              <w:left w:val="nil"/>
              <w:bottom w:val="single" w:sz="4" w:space="0" w:color="auto"/>
              <w:right w:val="nil"/>
            </w:tcBorders>
            <w:shd w:val="clear" w:color="auto" w:fill="BFBFBF" w:themeFill="background1" w:themeFillShade="BF"/>
            <w:noWrap/>
            <w:vAlign w:val="center"/>
            <w:hideMark/>
          </w:tcPr>
          <w:p w14:paraId="4BB176B4"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-1,0</w:t>
            </w:r>
          </w:p>
        </w:tc>
        <w:tc>
          <w:tcPr>
            <w:tcW w:w="1276" w:type="dxa"/>
            <w:tcBorders>
              <w:top w:val="nil"/>
              <w:left w:val="nil"/>
              <w:bottom w:val="single" w:sz="4" w:space="0" w:color="auto"/>
              <w:right w:val="nil"/>
            </w:tcBorders>
            <w:shd w:val="clear" w:color="auto" w:fill="BFBFBF" w:themeFill="background1" w:themeFillShade="BF"/>
            <w:noWrap/>
            <w:vAlign w:val="center"/>
            <w:hideMark/>
          </w:tcPr>
          <w:p w14:paraId="7223B546"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-1,1</w:t>
            </w:r>
          </w:p>
        </w:tc>
        <w:tc>
          <w:tcPr>
            <w:tcW w:w="1275" w:type="dxa"/>
            <w:tcBorders>
              <w:top w:val="nil"/>
              <w:left w:val="nil"/>
              <w:bottom w:val="single" w:sz="4" w:space="0" w:color="auto"/>
              <w:right w:val="nil"/>
            </w:tcBorders>
            <w:shd w:val="clear" w:color="auto" w:fill="BFBFBF" w:themeFill="background1" w:themeFillShade="BF"/>
            <w:noWrap/>
            <w:vAlign w:val="center"/>
            <w:hideMark/>
          </w:tcPr>
          <w:p w14:paraId="5EEE2F1F" w14:textId="77777777" w:rsidR="006C0DD0" w:rsidRPr="007E1464" w:rsidRDefault="006C0DD0" w:rsidP="00500BD0">
            <w:pPr>
              <w:spacing w:after="0" w:line="240" w:lineRule="auto"/>
              <w:jc w:val="right"/>
              <w:rPr>
                <w:b/>
                <w:bCs/>
                <w:sz w:val="20"/>
                <w:szCs w:val="20"/>
                <w:lang w:eastAsia="sk-SK"/>
              </w:rPr>
            </w:pPr>
            <w:r w:rsidRPr="007E1464">
              <w:rPr>
                <w:b/>
                <w:bCs/>
                <w:sz w:val="20"/>
                <w:szCs w:val="20"/>
                <w:lang w:eastAsia="sk-SK"/>
              </w:rPr>
              <w:t>-0,8</w:t>
            </w:r>
          </w:p>
        </w:tc>
      </w:tr>
    </w:tbl>
    <w:p w14:paraId="7D0FB4B3" w14:textId="702C6D86" w:rsidR="006C0DD0" w:rsidRPr="00C90207" w:rsidRDefault="006C0DD0" w:rsidP="006C0DD0">
      <w:pPr>
        <w:spacing w:before="120" w:after="0" w:line="336" w:lineRule="auto"/>
        <w:jc w:val="both"/>
        <w:rPr>
          <w:sz w:val="18"/>
          <w:szCs w:val="18"/>
        </w:rPr>
      </w:pPr>
      <w:r w:rsidRPr="00C90207">
        <w:rPr>
          <w:sz w:val="18"/>
          <w:szCs w:val="18"/>
        </w:rPr>
        <w:t>1) Vrátane štátnych finančných aktív, mimorozpočtových účtov a salda účtu štátneho dlhu                                 Zdroj: M</w:t>
      </w:r>
      <w:r w:rsidR="002C4691" w:rsidRPr="00C90207">
        <w:rPr>
          <w:sz w:val="18"/>
          <w:szCs w:val="18"/>
        </w:rPr>
        <w:t>F</w:t>
      </w:r>
      <w:r w:rsidRPr="00C90207">
        <w:rPr>
          <w:sz w:val="18"/>
          <w:szCs w:val="18"/>
        </w:rPr>
        <w:t xml:space="preserve"> SR</w:t>
      </w:r>
    </w:p>
    <w:p w14:paraId="5E942AF1" w14:textId="68D7A385" w:rsidR="006C0DD0" w:rsidRPr="00652F64" w:rsidRDefault="006C0DD0" w:rsidP="006C0DD0">
      <w:pPr>
        <w:spacing w:before="120" w:line="336" w:lineRule="auto"/>
        <w:jc w:val="both"/>
        <w:rPr>
          <w:b/>
          <w:szCs w:val="22"/>
        </w:rPr>
      </w:pPr>
      <w:r w:rsidRPr="00652F64">
        <w:rPr>
          <w:b/>
          <w:szCs w:val="22"/>
        </w:rPr>
        <w:t xml:space="preserve">Nasledujúci text </w:t>
      </w:r>
      <w:r w:rsidRPr="00BA29DB">
        <w:rPr>
          <w:b/>
          <w:szCs w:val="22"/>
        </w:rPr>
        <w:t xml:space="preserve">hodnotí </w:t>
      </w:r>
      <w:r w:rsidR="0095386A" w:rsidRPr="00BA29DB">
        <w:rPr>
          <w:b/>
          <w:szCs w:val="22"/>
        </w:rPr>
        <w:t xml:space="preserve">skutočne dosiahnuté </w:t>
      </w:r>
      <w:r w:rsidRPr="00BA29DB">
        <w:rPr>
          <w:b/>
          <w:szCs w:val="22"/>
        </w:rPr>
        <w:t xml:space="preserve">saldo vybraných skupín </w:t>
      </w:r>
      <w:r w:rsidRPr="00652F64">
        <w:rPr>
          <w:b/>
          <w:szCs w:val="22"/>
        </w:rPr>
        <w:t>subjektov verejnej správy alebo konkrétnych subjektov</w:t>
      </w:r>
      <w:r w:rsidRPr="00045331">
        <w:rPr>
          <w:b/>
          <w:szCs w:val="22"/>
        </w:rPr>
        <w:t xml:space="preserve"> za rok 2018 a</w:t>
      </w:r>
      <w:r>
        <w:rPr>
          <w:b/>
          <w:szCs w:val="22"/>
        </w:rPr>
        <w:t> </w:t>
      </w:r>
      <w:r w:rsidRPr="00045331">
        <w:rPr>
          <w:b/>
          <w:szCs w:val="22"/>
        </w:rPr>
        <w:t xml:space="preserve">jeho </w:t>
      </w:r>
      <w:r>
        <w:rPr>
          <w:b/>
          <w:szCs w:val="22"/>
        </w:rPr>
        <w:t>medziročnú zmenu.</w:t>
      </w:r>
    </w:p>
    <w:p w14:paraId="7A257B97" w14:textId="77777777" w:rsidR="0095386A" w:rsidRDefault="0095386A">
      <w:pPr>
        <w:rPr>
          <w:szCs w:val="22"/>
        </w:rPr>
      </w:pPr>
      <w:r>
        <w:rPr>
          <w:szCs w:val="22"/>
        </w:rPr>
        <w:br w:type="page"/>
      </w:r>
    </w:p>
    <w:p w14:paraId="75403963" w14:textId="369385C6" w:rsidR="006C0DD0" w:rsidRPr="002B4FF1" w:rsidRDefault="006C0DD0" w:rsidP="006C0DD0">
      <w:pPr>
        <w:spacing w:before="120" w:line="336" w:lineRule="auto"/>
        <w:jc w:val="both"/>
      </w:pPr>
      <w:r>
        <w:rPr>
          <w:szCs w:val="22"/>
        </w:rPr>
        <w:t>P</w:t>
      </w:r>
      <w:r w:rsidRPr="00AE76F1">
        <w:rPr>
          <w:szCs w:val="22"/>
        </w:rPr>
        <w:t>rebyt</w:t>
      </w:r>
      <w:r>
        <w:rPr>
          <w:szCs w:val="22"/>
        </w:rPr>
        <w:t>o</w:t>
      </w:r>
      <w:r w:rsidRPr="00AE76F1">
        <w:rPr>
          <w:szCs w:val="22"/>
        </w:rPr>
        <w:t xml:space="preserve">k </w:t>
      </w:r>
      <w:r w:rsidRPr="00652F64">
        <w:rPr>
          <w:szCs w:val="22"/>
          <w:u w:val="single"/>
        </w:rPr>
        <w:t>príspevkových organizácií ústrednej správy</w:t>
      </w:r>
      <w:r>
        <w:rPr>
          <w:szCs w:val="22"/>
        </w:rPr>
        <w:t xml:space="preserve"> za rok 2018 bol medziročne nižší o 29 359 tis. eur.</w:t>
      </w:r>
      <w:r w:rsidRPr="00AE76F1">
        <w:rPr>
          <w:szCs w:val="22"/>
        </w:rPr>
        <w:t xml:space="preserve"> </w:t>
      </w:r>
      <w:r>
        <w:rPr>
          <w:szCs w:val="22"/>
        </w:rPr>
        <w:t>Aj keď h</w:t>
      </w:r>
      <w:r w:rsidRPr="00AE76F1">
        <w:rPr>
          <w:szCs w:val="22"/>
        </w:rPr>
        <w:t xml:space="preserve">otovostný prebytok v porovnaní s rokom 2017 bol vyšší o viac </w:t>
      </w:r>
      <w:r w:rsidRPr="00F0153D">
        <w:rPr>
          <w:szCs w:val="22"/>
        </w:rPr>
        <w:t>ako 22</w:t>
      </w:r>
      <w:r w:rsidR="00F0153D" w:rsidRPr="00F0153D">
        <w:rPr>
          <w:szCs w:val="22"/>
        </w:rPr>
        <w:t> 087 </w:t>
      </w:r>
      <w:r w:rsidR="00F74ACB" w:rsidRPr="00F0153D">
        <w:rPr>
          <w:szCs w:val="22"/>
        </w:rPr>
        <w:t>tis</w:t>
      </w:r>
      <w:r w:rsidRPr="00F0153D">
        <w:rPr>
          <w:szCs w:val="22"/>
        </w:rPr>
        <w:t>. eur, imputovaný záväzok voči prijatým zahraničným grantom zo zdrojov EÚ v roku 2018 v objeme viac ako 64</w:t>
      </w:r>
      <w:r w:rsidR="00F0153D" w:rsidRPr="00F0153D">
        <w:rPr>
          <w:szCs w:val="22"/>
        </w:rPr>
        <w:t> 164 </w:t>
      </w:r>
      <w:r w:rsidR="00F74ACB" w:rsidRPr="00F0153D">
        <w:rPr>
          <w:szCs w:val="22"/>
        </w:rPr>
        <w:t>tis</w:t>
      </w:r>
      <w:r w:rsidRPr="00F0153D">
        <w:rPr>
          <w:szCs w:val="22"/>
        </w:rPr>
        <w:t>. eur (Slovenská inovačná a energetická agentúra) spôsobil zníženie</w:t>
      </w:r>
      <w:r w:rsidRPr="00AE76F1">
        <w:rPr>
          <w:szCs w:val="22"/>
        </w:rPr>
        <w:t xml:space="preserve"> </w:t>
      </w:r>
      <w:r w:rsidR="00226B6B">
        <w:rPr>
          <w:szCs w:val="22"/>
        </w:rPr>
        <w:t xml:space="preserve">ESA </w:t>
      </w:r>
      <w:r w:rsidRPr="00AE76F1">
        <w:rPr>
          <w:szCs w:val="22"/>
        </w:rPr>
        <w:t xml:space="preserve">prebytku </w:t>
      </w:r>
      <w:r>
        <w:rPr>
          <w:szCs w:val="22"/>
        </w:rPr>
        <w:t xml:space="preserve">na </w:t>
      </w:r>
      <w:r w:rsidRPr="00AE76F1">
        <w:rPr>
          <w:szCs w:val="22"/>
        </w:rPr>
        <w:t>2</w:t>
      </w:r>
      <w:r>
        <w:rPr>
          <w:szCs w:val="22"/>
        </w:rPr>
        <w:t> </w:t>
      </w:r>
      <w:r w:rsidRPr="00AE76F1">
        <w:rPr>
          <w:szCs w:val="22"/>
        </w:rPr>
        <w:t>002</w:t>
      </w:r>
      <w:r>
        <w:rPr>
          <w:szCs w:val="22"/>
        </w:rPr>
        <w:t> </w:t>
      </w:r>
      <w:r w:rsidRPr="00AE76F1">
        <w:rPr>
          <w:szCs w:val="22"/>
        </w:rPr>
        <w:t>tis.</w:t>
      </w:r>
      <w:r>
        <w:rPr>
          <w:szCs w:val="22"/>
        </w:rPr>
        <w:t> </w:t>
      </w:r>
      <w:r w:rsidRPr="00AE76F1">
        <w:rPr>
          <w:szCs w:val="22"/>
        </w:rPr>
        <w:t>eur</w:t>
      </w:r>
      <w:r>
        <w:rPr>
          <w:szCs w:val="22"/>
        </w:rPr>
        <w:t>.</w:t>
      </w:r>
    </w:p>
    <w:p w14:paraId="3BE68300" w14:textId="77777777" w:rsidR="006C0DD0" w:rsidRDefault="006C0DD0" w:rsidP="006C0DD0">
      <w:pPr>
        <w:spacing w:before="120" w:after="0" w:line="336" w:lineRule="auto"/>
        <w:jc w:val="both"/>
        <w:rPr>
          <w:u w:val="single"/>
        </w:rPr>
      </w:pPr>
      <w:r w:rsidRPr="004C3559">
        <w:rPr>
          <w:szCs w:val="22"/>
        </w:rPr>
        <w:t xml:space="preserve">K zníženiu schodku verejnej správy prispeli </w:t>
      </w:r>
      <w:r w:rsidRPr="00652F64">
        <w:rPr>
          <w:szCs w:val="22"/>
          <w:u w:val="single"/>
        </w:rPr>
        <w:t>štátne fondy</w:t>
      </w:r>
      <w:r w:rsidRPr="004C3559">
        <w:rPr>
          <w:szCs w:val="22"/>
        </w:rPr>
        <w:t xml:space="preserve"> s prebytkom 101</w:t>
      </w:r>
      <w:r>
        <w:rPr>
          <w:szCs w:val="22"/>
        </w:rPr>
        <w:t> </w:t>
      </w:r>
      <w:r w:rsidRPr="004C3559">
        <w:rPr>
          <w:szCs w:val="22"/>
        </w:rPr>
        <w:t>098</w:t>
      </w:r>
      <w:r>
        <w:rPr>
          <w:szCs w:val="22"/>
        </w:rPr>
        <w:t> </w:t>
      </w:r>
      <w:r w:rsidRPr="004C3559">
        <w:rPr>
          <w:szCs w:val="22"/>
        </w:rPr>
        <w:t>tis.</w:t>
      </w:r>
      <w:r>
        <w:rPr>
          <w:szCs w:val="22"/>
        </w:rPr>
        <w:t> </w:t>
      </w:r>
      <w:r w:rsidRPr="004C3559">
        <w:rPr>
          <w:szCs w:val="22"/>
        </w:rPr>
        <w:t>eur. V tomto roku nastala hlavná zmena u Národného jadrového fondu, pri ktorom došlo k zmene ESA metodiky na</w:t>
      </w:r>
      <w:r>
        <w:rPr>
          <w:szCs w:val="22"/>
        </w:rPr>
        <w:t> </w:t>
      </w:r>
      <w:r w:rsidRPr="004C3559">
        <w:rPr>
          <w:szCs w:val="22"/>
        </w:rPr>
        <w:t xml:space="preserve">základe ktorej sa už v príjmoch nevykazujú prostriedky určené na skladovanie a budúcu likvidáciu jadrového odpadu, čo sa </w:t>
      </w:r>
      <w:r>
        <w:rPr>
          <w:szCs w:val="22"/>
        </w:rPr>
        <w:t>prejavilo</w:t>
      </w:r>
      <w:r w:rsidRPr="004C3559">
        <w:rPr>
          <w:szCs w:val="22"/>
        </w:rPr>
        <w:t xml:space="preserve"> aj do revidovaných dát za predchádzajúce roky.</w:t>
      </w:r>
      <w:r>
        <w:rPr>
          <w:szCs w:val="22"/>
        </w:rPr>
        <w:t xml:space="preserve"> </w:t>
      </w:r>
    </w:p>
    <w:p w14:paraId="153C708B" w14:textId="7FC39E24" w:rsidR="006C0DD0" w:rsidRDefault="006C0DD0" w:rsidP="006C0DD0">
      <w:pPr>
        <w:spacing w:before="120" w:after="0" w:line="336" w:lineRule="auto"/>
        <w:jc w:val="both"/>
      </w:pPr>
      <w:r w:rsidRPr="00D35EE1">
        <w:rPr>
          <w:u w:val="single"/>
        </w:rPr>
        <w:t>Exportno-importná banka Slovenskej republiky</w:t>
      </w:r>
      <w:r w:rsidRPr="009D2B45">
        <w:t xml:space="preserve"> </w:t>
      </w:r>
      <w:r w:rsidRPr="00EA1E35">
        <w:t>dosiahla v roku 2018 prebytok vo výške 13 776 tis. eur, čo predstavovalo nárast oproti roku 2018 o 13 213 tis. eur. Nárast na príjmoch z úrokov z</w:t>
      </w:r>
      <w:r w:rsidR="00E67CA0">
        <w:t xml:space="preserve"> financovania </w:t>
      </w:r>
      <w:r w:rsidRPr="00EA1E35">
        <w:t>vývozných úverov mierne zvýšil hotovostný prebytok oproti predchádzajúcemu roku. Vyšší ESA schodok dosiahla E</w:t>
      </w:r>
      <w:r>
        <w:t>ximbanka</w:t>
      </w:r>
      <w:r w:rsidRPr="00EA1E35">
        <w:t xml:space="preserve"> SR vďaka </w:t>
      </w:r>
      <w:r>
        <w:t>nižšiemu poklesu</w:t>
      </w:r>
      <w:r w:rsidRPr="00EA1E35">
        <w:t xml:space="preserve"> pohľadávok </w:t>
      </w:r>
      <w:r w:rsidRPr="00B312F9">
        <w:t>z</w:t>
      </w:r>
      <w:r>
        <w:t> </w:t>
      </w:r>
      <w:r w:rsidRPr="00B312F9">
        <w:t>poistenia</w:t>
      </w:r>
      <w:r>
        <w:t xml:space="preserve"> </w:t>
      </w:r>
      <w:r w:rsidRPr="00EA1E35">
        <w:t>oproti roku 2017 o 7 088 tis. </w:t>
      </w:r>
      <w:r w:rsidRPr="00B312F9">
        <w:t>eur</w:t>
      </w:r>
      <w:r w:rsidRPr="00EA1E35">
        <w:t xml:space="preserve"> (</w:t>
      </w:r>
      <w:r>
        <w:t xml:space="preserve">súvisiace s </w:t>
      </w:r>
      <w:r w:rsidRPr="00EA1E35">
        <w:t>vyšší</w:t>
      </w:r>
      <w:r>
        <w:t>m</w:t>
      </w:r>
      <w:r w:rsidRPr="00EA1E35">
        <w:t xml:space="preserve"> záujm</w:t>
      </w:r>
      <w:r>
        <w:t>om</w:t>
      </w:r>
      <w:r w:rsidRPr="00EA1E35">
        <w:t xml:space="preserve"> o vývozné a investičné úvery) a poklesu záväzku technických rezerv na poistenie (postupné čerpanie rezervy vo výške poistného patriaceho do</w:t>
      </w:r>
      <w:r>
        <w:t> </w:t>
      </w:r>
      <w:r w:rsidRPr="00EA1E35">
        <w:t>daného obdobia).</w:t>
      </w:r>
      <w:r>
        <w:rPr>
          <w:b/>
        </w:rPr>
        <w:t xml:space="preserve"> </w:t>
      </w:r>
    </w:p>
    <w:p w14:paraId="4AB63A4B" w14:textId="77777777" w:rsidR="006C0DD0" w:rsidRDefault="006C0DD0" w:rsidP="006C0DD0">
      <w:pPr>
        <w:spacing w:before="120" w:after="0" w:line="336" w:lineRule="auto"/>
        <w:jc w:val="both"/>
      </w:pPr>
      <w:r w:rsidRPr="00F51EFF">
        <w:rPr>
          <w:rFonts w:cs="Book Antiqua"/>
          <w:szCs w:val="22"/>
          <w:lang w:eastAsia="sk-SK"/>
        </w:rPr>
        <w:t xml:space="preserve">Zlepšenie hospodárenia </w:t>
      </w:r>
      <w:r w:rsidRPr="00C32E3D">
        <w:rPr>
          <w:rFonts w:cs="Book Antiqua"/>
          <w:szCs w:val="22"/>
          <w:u w:val="single"/>
          <w:lang w:eastAsia="sk-SK"/>
        </w:rPr>
        <w:t>Národnej diaľničnej spoločnosti, a. s.</w:t>
      </w:r>
      <w:r w:rsidRPr="00F51EFF">
        <w:rPr>
          <w:rFonts w:cs="Book Antiqua"/>
          <w:szCs w:val="22"/>
          <w:lang w:eastAsia="sk-SK"/>
        </w:rPr>
        <w:t xml:space="preserve"> (NDS) o 44 657 tis. eur v roku 2018 bolo spôsobené tým, že NDS prijala o 175 063 tis. eur vyššie granty a transfery a zaznamenala vyššie príjmy z predaja mýta a diaľničných známok o 19 105 tis. eur oproti predchádzajúcemu roku. Granty a transfery vzrástli najmä z dôvodu vyšších príjmov zo zdroja EÚ a spolufinancovania k EÚ (spolu nárast o</w:t>
      </w:r>
      <w:r>
        <w:rPr>
          <w:rFonts w:cs="Book Antiqua"/>
          <w:szCs w:val="22"/>
          <w:lang w:eastAsia="sk-SK"/>
        </w:rPr>
        <w:t> </w:t>
      </w:r>
      <w:r w:rsidRPr="00F51EFF">
        <w:rPr>
          <w:rFonts w:cs="Book Antiqua"/>
          <w:szCs w:val="22"/>
          <w:lang w:eastAsia="sk-SK"/>
        </w:rPr>
        <w:t>142</w:t>
      </w:r>
      <w:r>
        <w:rPr>
          <w:rFonts w:cs="Book Antiqua"/>
          <w:szCs w:val="22"/>
          <w:lang w:eastAsia="sk-SK"/>
        </w:rPr>
        <w:t> 495 tis</w:t>
      </w:r>
      <w:r w:rsidRPr="00F51EFF">
        <w:rPr>
          <w:rFonts w:cs="Book Antiqua"/>
          <w:szCs w:val="22"/>
          <w:lang w:eastAsia="sk-SK"/>
        </w:rPr>
        <w:t>. eur) a</w:t>
      </w:r>
      <w:r>
        <w:rPr>
          <w:rFonts w:cs="Book Antiqua"/>
          <w:szCs w:val="22"/>
          <w:lang w:eastAsia="sk-SK"/>
        </w:rPr>
        <w:t>ko aj</w:t>
      </w:r>
      <w:r w:rsidRPr="00F51EFF">
        <w:rPr>
          <w:rFonts w:cs="Book Antiqua"/>
          <w:szCs w:val="22"/>
          <w:lang w:eastAsia="sk-SK"/>
        </w:rPr>
        <w:t> vyššej investičnej dotácie zo štátneho rozpočtu (nárast o</w:t>
      </w:r>
      <w:r>
        <w:rPr>
          <w:rFonts w:cs="Book Antiqua"/>
          <w:szCs w:val="22"/>
          <w:lang w:eastAsia="sk-SK"/>
        </w:rPr>
        <w:t> </w:t>
      </w:r>
      <w:r w:rsidRPr="00F51EFF">
        <w:rPr>
          <w:rFonts w:cs="Book Antiqua"/>
          <w:szCs w:val="22"/>
          <w:lang w:eastAsia="sk-SK"/>
        </w:rPr>
        <w:t>29</w:t>
      </w:r>
      <w:r>
        <w:rPr>
          <w:rFonts w:cs="Book Antiqua"/>
          <w:szCs w:val="22"/>
          <w:lang w:eastAsia="sk-SK"/>
        </w:rPr>
        <w:t> 204 tis.</w:t>
      </w:r>
      <w:r w:rsidRPr="00F51EFF">
        <w:rPr>
          <w:rFonts w:cs="Book Antiqua"/>
          <w:szCs w:val="22"/>
          <w:lang w:eastAsia="sk-SK"/>
        </w:rPr>
        <w:t> eur).</w:t>
      </w:r>
      <w:r>
        <w:rPr>
          <w:rFonts w:cs="Book Antiqua"/>
          <w:szCs w:val="22"/>
          <w:lang w:eastAsia="sk-SK"/>
        </w:rPr>
        <w:t xml:space="preserve"> </w:t>
      </w:r>
      <w:r w:rsidRPr="00F51EFF">
        <w:rPr>
          <w:rFonts w:cs="Book Antiqua"/>
          <w:szCs w:val="22"/>
          <w:lang w:eastAsia="sk-SK"/>
        </w:rPr>
        <w:t>Čerpanie finančných prostriedkov v roku 2018 bolo umožnené na základe podpísania zmlúv o nenávratných finančných príspevkoch z fondov EÚ na stavby D1 Lietavská Lúčka – Višňové – Dubná skala, D3 Čadca, Bukov – Svrčinovec, D1 Budimír – Bidovce a D1 Prešov, západ – Prešov, juh. Nárast príjmov bol čiastočne eliminovaný vyššími investičnými výdavkami o 96 548 tis. eur a nára</w:t>
      </w:r>
      <w:r>
        <w:rPr>
          <w:rFonts w:cs="Book Antiqua"/>
          <w:szCs w:val="22"/>
          <w:lang w:eastAsia="sk-SK"/>
        </w:rPr>
        <w:t>stom záväzkov o 27 463 tis. eur.</w:t>
      </w:r>
      <w:r w:rsidRPr="00F51EFF">
        <w:rPr>
          <w:rFonts w:cs="Book Antiqua"/>
          <w:szCs w:val="22"/>
          <w:lang w:eastAsia="sk-SK"/>
        </w:rPr>
        <w:t xml:space="preserve"> </w:t>
      </w:r>
      <w:r>
        <w:rPr>
          <w:color w:val="000000"/>
        </w:rPr>
        <w:t xml:space="preserve">K nárastu záväzkov došlo z dôvodu vyššej fakturácie za mesiace november a december 2018, pričom splatnosť týchto faktúr pripadala na mesiace január a február, t. j. záväzky boli uhradené začiatkom roku 2019. Išlo prevažne o investičné záväzky (stavebné práce za jednotlivé projekty). </w:t>
      </w:r>
    </w:p>
    <w:p w14:paraId="4BE7391F" w14:textId="55AB1DA7" w:rsidR="006C0DD0" w:rsidRPr="00EA1E35" w:rsidRDefault="006C0DD0" w:rsidP="006C0DD0">
      <w:pPr>
        <w:spacing w:before="120" w:after="0" w:line="336" w:lineRule="auto"/>
        <w:jc w:val="both"/>
      </w:pPr>
      <w:r w:rsidRPr="001B47DE">
        <w:rPr>
          <w:u w:val="single"/>
        </w:rPr>
        <w:t>Železnice Slovenskej republiky</w:t>
      </w:r>
      <w:r>
        <w:rPr>
          <w:u w:val="single"/>
        </w:rPr>
        <w:t xml:space="preserve"> (ŽSR)</w:t>
      </w:r>
      <w:r w:rsidRPr="00EA1E35">
        <w:t xml:space="preserve"> dosiahli v roku 2018 prebytok 537 tis. eur, čo predstavovalo </w:t>
      </w:r>
      <w:r>
        <w:t>zlepšenie hospodárenia v metodike ESA 2010 oproti roku 2017 o 98 128 t</w:t>
      </w:r>
      <w:r w:rsidRPr="00EA1E35">
        <w:t xml:space="preserve">is. eur. V roku 2018 zaznamenali ŽSR nárast tržieb za predaj trakčnej elektriny, z distribúcie trakčnej elektriny a nárast tržieb z operatívneho prenájmu majetku. Nárast príjmov bol spôsobený aj prijatím väčšieho objemu grantov, transferov a dotácií zo zdrojov EÚ, zálohových platieb z programu CEF viazaných na projekty modernizácií železničných tratí a zo zdrojov štátneho rozpočtu v nadväznosti na uvoľnenie finančných prostriedkov, ktoré boli viazané v predchádzajúcom roku na použitie výdavkov do nasledujúcich rokov, keďže z dôvodu prebiehajúcich obstarávaní nedošlo v roku 2018 </w:t>
      </w:r>
      <w:r>
        <w:t xml:space="preserve">k </w:t>
      </w:r>
      <w:r w:rsidRPr="00EA1E35">
        <w:t>ich čerpaniu. V nadväznosti na</w:t>
      </w:r>
      <w:r>
        <w:t> </w:t>
      </w:r>
      <w:r w:rsidRPr="00EA1E35">
        <w:t xml:space="preserve">zmluvu o NFP k projektu modernizácie trate v úseku Púchov – Považská Teplá došlo k refundácii oprávnených výdavkov za úhrady realizované z vlastných zdrojov v minulých rokoch. Celková hodnota prijatých dotácií, grantov a transferov bola vo výške 511 983 tis. eur, čo predstavuje zvýšenie oproti roku 2017 o 99 949 tis. eur. Pozitívny vplyv na hospodárenie mal aj nárast pohľadávok (voči štátu </w:t>
      </w:r>
      <w:r>
        <w:t>–</w:t>
      </w:r>
      <w:r w:rsidRPr="00EA1E35">
        <w:t xml:space="preserve"> </w:t>
      </w:r>
      <w:r>
        <w:t xml:space="preserve">kapitálové transfery </w:t>
      </w:r>
      <w:r w:rsidRPr="00EA1E35">
        <w:t>na</w:t>
      </w:r>
      <w:r>
        <w:t> investičné dotácie</w:t>
      </w:r>
      <w:r w:rsidRPr="00EA1E35">
        <w:t xml:space="preserve">, </w:t>
      </w:r>
      <w:r>
        <w:t xml:space="preserve">voči </w:t>
      </w:r>
      <w:r w:rsidRPr="00EA1E35">
        <w:t>EÚ</w:t>
      </w:r>
      <w:r>
        <w:t xml:space="preserve">, ŠR a </w:t>
      </w:r>
      <w:r w:rsidRPr="00EA1E35">
        <w:t xml:space="preserve">spoločnosti Cargo Slovakia a.s.) a z titulu vyššej fakturácie dopravcom z dôvodu vyčerpania limitu poskytovaných kompenzácií na prevádzkovanie železničnej infraštruktúry. Prijaté kapitálové dotácie a transfery boli použité </w:t>
      </w:r>
      <w:r>
        <w:t xml:space="preserve">na </w:t>
      </w:r>
      <w:r w:rsidRPr="00EA1E35">
        <w:t>modernizáciu a rozvoj železničnej infraštruktúry. Z prostriedkov použitých na obstaranie kapitálových aktív sa realizovali investičné akcie ako modernizácie železničných tratí, terminály intermodálnej prepravy, výstavba a obnova železničnej siete. Celková hodnota investičných výdavkov bola vo výške 278</w:t>
      </w:r>
      <w:r>
        <w:t> </w:t>
      </w:r>
      <w:r w:rsidRPr="00EA1E35">
        <w:t>047</w:t>
      </w:r>
      <w:r>
        <w:t> </w:t>
      </w:r>
      <w:r w:rsidRPr="00EA1E35">
        <w:t>tis.</w:t>
      </w:r>
      <w:r>
        <w:t> </w:t>
      </w:r>
      <w:r w:rsidRPr="00EA1E35">
        <w:t>eur, čo bolo zvýšenie oproti roku 2017 o 43 832 tis. eur. Na prebytok ŽSR pozitívne vplýval aj pokles záväzkov z obchodného styku (pokles krátkodobých investičných záväzkov z titulu úhrady zádržného).</w:t>
      </w:r>
    </w:p>
    <w:p w14:paraId="008726FE" w14:textId="22F36E6C" w:rsidR="006C0DD0" w:rsidRPr="00C533A7" w:rsidRDefault="006C0DD0" w:rsidP="006C0DD0">
      <w:pPr>
        <w:spacing w:before="120" w:after="0" w:line="336" w:lineRule="auto"/>
        <w:jc w:val="both"/>
        <w:rPr>
          <w:szCs w:val="22"/>
        </w:rPr>
      </w:pPr>
      <w:r w:rsidRPr="00EA73B0">
        <w:rPr>
          <w:szCs w:val="22"/>
        </w:rPr>
        <w:t xml:space="preserve">Zhoršenie hospodárenia </w:t>
      </w:r>
      <w:r w:rsidRPr="00C32E3D">
        <w:rPr>
          <w:szCs w:val="22"/>
          <w:u w:val="single"/>
        </w:rPr>
        <w:t xml:space="preserve">spoločnosti </w:t>
      </w:r>
      <w:r w:rsidRPr="00E8014F">
        <w:rPr>
          <w:szCs w:val="22"/>
          <w:u w:val="single"/>
        </w:rPr>
        <w:t>M</w:t>
      </w:r>
      <w:r w:rsidR="00F74ACB">
        <w:rPr>
          <w:szCs w:val="22"/>
          <w:u w:val="single"/>
        </w:rPr>
        <w:t>H</w:t>
      </w:r>
      <w:r w:rsidRPr="00E8014F">
        <w:rPr>
          <w:szCs w:val="22"/>
          <w:u w:val="single"/>
        </w:rPr>
        <w:t xml:space="preserve"> Invest II, s. r. o.</w:t>
      </w:r>
      <w:r w:rsidRPr="00EA73B0">
        <w:rPr>
          <w:szCs w:val="22"/>
        </w:rPr>
        <w:t xml:space="preserve"> o 23 967 tis. eur v roku 2018 oproti predchádzajúcemu roku bolo spôsobené tým, že MH Invest II prijal</w:t>
      </w:r>
      <w:r>
        <w:rPr>
          <w:szCs w:val="22"/>
        </w:rPr>
        <w:t xml:space="preserve"> </w:t>
      </w:r>
      <w:r w:rsidRPr="00EA73B0">
        <w:rPr>
          <w:szCs w:val="22"/>
        </w:rPr>
        <w:t>o 27 195 tis. eur nižší ESA kapitálový transfer z</w:t>
      </w:r>
      <w:r>
        <w:rPr>
          <w:szCs w:val="22"/>
        </w:rPr>
        <w:t> </w:t>
      </w:r>
      <w:r w:rsidRPr="00EA73B0">
        <w:rPr>
          <w:szCs w:val="22"/>
        </w:rPr>
        <w:t>MH</w:t>
      </w:r>
      <w:r>
        <w:rPr>
          <w:szCs w:val="22"/>
        </w:rPr>
        <w:t> </w:t>
      </w:r>
      <w:r w:rsidRPr="00EA73B0">
        <w:rPr>
          <w:szCs w:val="22"/>
        </w:rPr>
        <w:t>SR</w:t>
      </w:r>
      <w:r>
        <w:rPr>
          <w:szCs w:val="22"/>
        </w:rPr>
        <w:t xml:space="preserve"> ako v roku 2017</w:t>
      </w:r>
      <w:r w:rsidRPr="00EA73B0">
        <w:rPr>
          <w:szCs w:val="22"/>
        </w:rPr>
        <w:t xml:space="preserve"> (formou vkladu do základného imania) </w:t>
      </w:r>
      <w:r>
        <w:rPr>
          <w:szCs w:val="22"/>
        </w:rPr>
        <w:t>v súvislosti s </w:t>
      </w:r>
      <w:r w:rsidRPr="00EA73B0">
        <w:rPr>
          <w:szCs w:val="22"/>
        </w:rPr>
        <w:t>realizáci</w:t>
      </w:r>
      <w:r>
        <w:rPr>
          <w:szCs w:val="22"/>
        </w:rPr>
        <w:t>o</w:t>
      </w:r>
      <w:r w:rsidRPr="00EA73B0">
        <w:rPr>
          <w:szCs w:val="22"/>
        </w:rPr>
        <w:t>u</w:t>
      </w:r>
      <w:r>
        <w:rPr>
          <w:szCs w:val="22"/>
        </w:rPr>
        <w:t xml:space="preserve"> projektov </w:t>
      </w:r>
      <w:r w:rsidRPr="00C533A7">
        <w:rPr>
          <w:szCs w:val="22"/>
        </w:rPr>
        <w:t>strategických parkov Košice – Pereš a Haniská.</w:t>
      </w:r>
    </w:p>
    <w:p w14:paraId="5BEF91BF" w14:textId="77777777" w:rsidR="006C0DD0" w:rsidRPr="00EA1E35" w:rsidRDefault="006C0DD0" w:rsidP="006C0DD0">
      <w:pPr>
        <w:spacing w:before="120" w:after="0" w:line="336" w:lineRule="auto"/>
        <w:jc w:val="both"/>
      </w:pPr>
      <w:r w:rsidRPr="00E8014F">
        <w:rPr>
          <w:u w:val="single"/>
        </w:rPr>
        <w:t>Spoločnosť MH Manažment, a.</w:t>
      </w:r>
      <w:r>
        <w:rPr>
          <w:u w:val="single"/>
        </w:rPr>
        <w:t xml:space="preserve"> </w:t>
      </w:r>
      <w:r w:rsidRPr="00E8014F">
        <w:rPr>
          <w:u w:val="single"/>
        </w:rPr>
        <w:t>s.</w:t>
      </w:r>
      <w:r w:rsidRPr="00EA1E35">
        <w:t xml:space="preserve"> oproti roku 2017 zlepšila svoje hospodárenie o 19 495 tis. eur a</w:t>
      </w:r>
      <w:r>
        <w:t> </w:t>
      </w:r>
      <w:r w:rsidRPr="00EA1E35">
        <w:t>za</w:t>
      </w:r>
      <w:r>
        <w:t> </w:t>
      </w:r>
      <w:r w:rsidRPr="00EA1E35">
        <w:t>rok 2018 dosiahla schodok 8 055 tis. eur</w:t>
      </w:r>
      <w:r>
        <w:t xml:space="preserve"> </w:t>
      </w:r>
      <w:r w:rsidRPr="00EA1E35">
        <w:t>(</w:t>
      </w:r>
      <w:r>
        <w:t xml:space="preserve">v roku 2017 </w:t>
      </w:r>
      <w:r w:rsidRPr="00EA1E35">
        <w:t xml:space="preserve">schodok 27 550 tis. eur). Na </w:t>
      </w:r>
      <w:r>
        <w:t>znížení</w:t>
      </w:r>
      <w:r w:rsidRPr="00EA1E35">
        <w:t xml:space="preserve"> schodku sa významnou mierou podieľal najmä pokles bežných výdavkov (o 19 333 tis. eur)</w:t>
      </w:r>
      <w:r>
        <w:t>, pričom n</w:t>
      </w:r>
      <w:r w:rsidRPr="00EA1E35">
        <w:t>ajviac sa znížili výdavky na špeciáln</w:t>
      </w:r>
      <w:r>
        <w:t>e</w:t>
      </w:r>
      <w:r w:rsidRPr="00EA1E35">
        <w:t xml:space="preserve"> služb</w:t>
      </w:r>
      <w:r>
        <w:t>y</w:t>
      </w:r>
      <w:r w:rsidRPr="00EA1E35">
        <w:t xml:space="preserve"> (úhrady nákladov spojené so súdnymi spormi), ktoré vznikli v súvislosti s rozhodnutiami o privatizácii, privatizačných projektoch a výdavky súvisiace s úhradami záväzkov vzniknutých v dôsledku odstúpenia od zmlúv</w:t>
      </w:r>
      <w:r>
        <w:t xml:space="preserve">, </w:t>
      </w:r>
      <w:r w:rsidRPr="00AE472A">
        <w:t>ktoré boli vo významnej miere realizované v roku 2017.</w:t>
      </w:r>
      <w:r w:rsidRPr="00EA1E35">
        <w:t xml:space="preserve"> Spoločnosť znížila výšku schodku aj tým, že v zmysle rozhodnutia vlády o použití finančných prostriedkov z prijatých dividend, ktoré vznikli z výkonu ich činnosti vyplatila v roku 2018 (9 800 tis. eur) oproti roku 2017 (17 300 tis. eur) menej finančných prostriedkov na posilnenie štátnych finančných aktív. Pozitívny vplyv na ESA schodok mal i nárast pohľadávok za nájom majetku</w:t>
      </w:r>
      <w:r>
        <w:t>.</w:t>
      </w:r>
      <w:r w:rsidRPr="00EA1E35">
        <w:t xml:space="preserve"> </w:t>
      </w:r>
    </w:p>
    <w:p w14:paraId="10B7446D" w14:textId="30594F0B" w:rsidR="006C0DD0" w:rsidRDefault="006C0DD0" w:rsidP="006C0DD0">
      <w:pPr>
        <w:spacing w:before="120" w:after="0" w:line="336" w:lineRule="auto"/>
        <w:jc w:val="both"/>
        <w:rPr>
          <w:szCs w:val="22"/>
        </w:rPr>
      </w:pPr>
      <w:r w:rsidRPr="004C3559">
        <w:rPr>
          <w:smallCaps/>
          <w:szCs w:val="22"/>
        </w:rPr>
        <w:t>K</w:t>
      </w:r>
      <w:r w:rsidRPr="004C3559">
        <w:rPr>
          <w:szCs w:val="22"/>
        </w:rPr>
        <w:t> zvýšeniu schodku</w:t>
      </w:r>
      <w:r w:rsidRPr="004C3559">
        <w:rPr>
          <w:smallCaps/>
          <w:szCs w:val="22"/>
        </w:rPr>
        <w:t> </w:t>
      </w:r>
      <w:r w:rsidRPr="004C3559">
        <w:rPr>
          <w:szCs w:val="22"/>
        </w:rPr>
        <w:t xml:space="preserve">verejnej správy v roku 2018 prispela aj </w:t>
      </w:r>
      <w:r w:rsidRPr="001B47DE">
        <w:rPr>
          <w:szCs w:val="22"/>
          <w:u w:val="single"/>
        </w:rPr>
        <w:t>spoločnosť MH Invest, s. r. o</w:t>
      </w:r>
      <w:r w:rsidRPr="004C3559">
        <w:rPr>
          <w:szCs w:val="22"/>
        </w:rPr>
        <w:t>.</w:t>
      </w:r>
      <w:r>
        <w:rPr>
          <w:szCs w:val="22"/>
        </w:rPr>
        <w:t xml:space="preserve"> zhoršením hospodárenia o 36 257 tis. eur v porovnaní s rokom 2017. Príjem</w:t>
      </w:r>
      <w:r w:rsidRPr="004C3559">
        <w:rPr>
          <w:szCs w:val="22"/>
        </w:rPr>
        <w:t xml:space="preserve"> z predaja pozemkov spoločnosti Jaguar Land Rover Slovakia</w:t>
      </w:r>
      <w:r>
        <w:rPr>
          <w:szCs w:val="22"/>
        </w:rPr>
        <w:t xml:space="preserve"> v sume 35 </w:t>
      </w:r>
      <w:r w:rsidRPr="00BA29DB">
        <w:rPr>
          <w:szCs w:val="22"/>
        </w:rPr>
        <w:t>579 tis. eur (za účelom vybudovania Strategického parku Nitra) bol kompenzovaný poklesom pohľadávky</w:t>
      </w:r>
      <w:r w:rsidR="005659EA" w:rsidRPr="00BA29DB">
        <w:rPr>
          <w:szCs w:val="22"/>
        </w:rPr>
        <w:t xml:space="preserve"> za tento predaný majetok</w:t>
      </w:r>
      <w:r w:rsidRPr="00BA29DB">
        <w:rPr>
          <w:szCs w:val="22"/>
        </w:rPr>
        <w:t xml:space="preserve">. V roku </w:t>
      </w:r>
      <w:r>
        <w:rPr>
          <w:szCs w:val="22"/>
        </w:rPr>
        <w:t>2018 spoločnosť MH Inv</w:t>
      </w:r>
      <w:r w:rsidR="007C7B2C">
        <w:rPr>
          <w:szCs w:val="22"/>
        </w:rPr>
        <w:t xml:space="preserve">est, s. r. o. neprijala žiadny </w:t>
      </w:r>
      <w:r>
        <w:rPr>
          <w:szCs w:val="22"/>
        </w:rPr>
        <w:t>ESA kapitálový transfer formou vkladu do ZI (v roku 2017 predstavoval tento transfer sumu 118 936 tis. eur). Pokles príjmov z ESA kapitálových transferov v roku 2018 bol čiastočne eliminovaný poklesom investičných výdavkov o 89 185 tis. eur z dôvodu presunu časti výdavk</w:t>
      </w:r>
      <w:r w:rsidR="00E67CA0">
        <w:rPr>
          <w:szCs w:val="22"/>
        </w:rPr>
        <w:t>ov pod Slovenskú správu ciest a</w:t>
      </w:r>
      <w:r>
        <w:rPr>
          <w:szCs w:val="22"/>
        </w:rPr>
        <w:t xml:space="preserve"> časového posunu realizácie projektov do nasledujúceho obdobia. </w:t>
      </w:r>
    </w:p>
    <w:p w14:paraId="61C8C816" w14:textId="52817449" w:rsidR="006C0DD0" w:rsidRDefault="006C0DD0" w:rsidP="006C0DD0">
      <w:pPr>
        <w:spacing w:before="120" w:after="0" w:line="336" w:lineRule="auto"/>
        <w:jc w:val="both"/>
      </w:pPr>
      <w:r w:rsidRPr="00E30E6C">
        <w:t xml:space="preserve">Hospodárenie </w:t>
      </w:r>
      <w:r w:rsidRPr="001B47DE">
        <w:rPr>
          <w:u w:val="single"/>
        </w:rPr>
        <w:t>Železničnej spoločnosti Slovensko, a.s.</w:t>
      </w:r>
      <w:r>
        <w:rPr>
          <w:u w:val="single"/>
        </w:rPr>
        <w:t xml:space="preserve"> (ŽSSK)</w:t>
      </w:r>
      <w:r w:rsidRPr="00EA1E35">
        <w:t xml:space="preserve"> v roku 2018 </w:t>
      </w:r>
      <w:r>
        <w:t xml:space="preserve">dosiahlo </w:t>
      </w:r>
      <w:r w:rsidRPr="00EA1E35">
        <w:t>schodok 12 221 tis. eur</w:t>
      </w:r>
      <w:r>
        <w:t xml:space="preserve"> a</w:t>
      </w:r>
      <w:r w:rsidRPr="00EA1E35">
        <w:t xml:space="preserve"> oproti roku 2017</w:t>
      </w:r>
      <w:r>
        <w:t xml:space="preserve"> bolo horšie o 26 114 tis. eur</w:t>
      </w:r>
      <w:r w:rsidRPr="00EA1E35">
        <w:t xml:space="preserve"> (</w:t>
      </w:r>
      <w:r>
        <w:t xml:space="preserve">v roku 2017 </w:t>
      </w:r>
      <w:r w:rsidRPr="00EA1E35">
        <w:t>prebytok 13 893 tis. eur)</w:t>
      </w:r>
      <w:r>
        <w:t xml:space="preserve">. Hospodárenie bolo </w:t>
      </w:r>
      <w:r w:rsidRPr="00EA1E35">
        <w:t xml:space="preserve">ovplyvnené najmä poklesom príjmov a nárastom výdavkov. Zníženie príjmov bolo najmä z administratívnych a iných poplatkov, ako pokuty za porušenie predpisov a platby za predaj výrobkov, tovarov a služieb (pokles o 12 268 tis. eur). </w:t>
      </w:r>
      <w:r>
        <w:t>Ž</w:t>
      </w:r>
      <w:r w:rsidRPr="00EA1E35">
        <w:t xml:space="preserve">SSK za rok 2018 však zaznamenala aj nárast príjmov z bežných a kapitálových tuzemských grantov a transferov z finančného vysporiadania doplatku zo </w:t>
      </w:r>
      <w:r>
        <w:t xml:space="preserve">Zmluvy o dopravných službách vo verejnom záujme </w:t>
      </w:r>
      <w:r w:rsidRPr="00EA1E35">
        <w:t>za rok 2016 a z poskytnutia zvýšenej jednorazovej úhrady d</w:t>
      </w:r>
      <w:r w:rsidR="00226B6B">
        <w:t>otácie vo výške 15 000 tis. eur</w:t>
      </w:r>
      <w:r w:rsidRPr="00EA1E35">
        <w:t xml:space="preserve"> (nárast celkom</w:t>
      </w:r>
      <w:r>
        <w:t xml:space="preserve"> o 15 856 tis. eur), ktorý bol </w:t>
      </w:r>
      <w:r w:rsidRPr="00EA1E35">
        <w:t>čiastočne eliminovaný poklesom príjmov zo zahraničných grantov (pokles o 766 tis. eur). Z dôvodu vyššieho čerpania dotácií boli recipročne zvýšené bežné a kapitálové výdavky. Hotovostný prebytok negatívne ovplyvnil nárast kapitálových výdavkov (o</w:t>
      </w:r>
      <w:r>
        <w:t> </w:t>
      </w:r>
      <w:r w:rsidRPr="00EA1E35">
        <w:t xml:space="preserve">15 190 tis. eur) - načerpanie dlhodobého investičného úveru na refinancovanie investícií </w:t>
      </w:r>
      <w:r>
        <w:t>Ž</w:t>
      </w:r>
      <w:r w:rsidRPr="00EA1E35">
        <w:t xml:space="preserve">SSK. Napriek hotovostného prebytku dosiahla </w:t>
      </w:r>
      <w:r>
        <w:t>Ž</w:t>
      </w:r>
      <w:r w:rsidRPr="00EA1E35">
        <w:t>SSK ESA schodok, pri ktorom nárast pohľadávok (o 4 527 tis. eur) zo zálohových platieb v zmysle nákupných zmlúv na nákup dieslových motorových jednotiek a elektrických jednotiek bol eliminovaný nárastom záväzkov (o 21 706 tis. eur)</w:t>
      </w:r>
      <w:r w:rsidR="00226B6B">
        <w:t>,</w:t>
      </w:r>
      <w:r w:rsidRPr="00EA1E35">
        <w:t xml:space="preserve"> najmä záväzkov z obchodného styku (</w:t>
      </w:r>
      <w:r>
        <w:t xml:space="preserve">napr. </w:t>
      </w:r>
      <w:r w:rsidRPr="00EA1E35">
        <w:t xml:space="preserve">zvýšenie nájomného z dôvodu zvýšenia </w:t>
      </w:r>
      <w:r>
        <w:t>počtu</w:t>
      </w:r>
      <w:r w:rsidRPr="00EA1E35">
        <w:t xml:space="preserve"> prenajatých rušňov a ponechanej zmluvne dohodnutej doby splatnosti), záväzkov na mzdy a odvody zamestnancov </w:t>
      </w:r>
      <w:r>
        <w:t xml:space="preserve">z dôvodu </w:t>
      </w:r>
      <w:r w:rsidRPr="00EA1E35">
        <w:t>zvýšeni</w:t>
      </w:r>
      <w:r>
        <w:t>a</w:t>
      </w:r>
      <w:r w:rsidRPr="00EA1E35">
        <w:t xml:space="preserve"> priemernej mzdy</w:t>
      </w:r>
      <w:r w:rsidR="00226B6B">
        <w:t>.</w:t>
      </w:r>
    </w:p>
    <w:p w14:paraId="6EB0E090" w14:textId="77777777" w:rsidR="006C0DD0" w:rsidRDefault="006C0DD0" w:rsidP="006C0DD0">
      <w:pPr>
        <w:spacing w:before="120" w:after="0" w:line="336" w:lineRule="auto"/>
        <w:jc w:val="both"/>
        <w:rPr>
          <w:szCs w:val="22"/>
        </w:rPr>
      </w:pPr>
      <w:r w:rsidRPr="00C32E3D">
        <w:rPr>
          <w:szCs w:val="22"/>
        </w:rPr>
        <w:t xml:space="preserve">Prebytok </w:t>
      </w:r>
      <w:r w:rsidRPr="00E3640A">
        <w:rPr>
          <w:szCs w:val="22"/>
          <w:u w:val="single"/>
        </w:rPr>
        <w:t>verejných vysokých škôl</w:t>
      </w:r>
      <w:r w:rsidRPr="004C3559">
        <w:rPr>
          <w:szCs w:val="22"/>
        </w:rPr>
        <w:t xml:space="preserve"> v roku 2018 sa zvýšil oproti roku 2017 o</w:t>
      </w:r>
      <w:r>
        <w:rPr>
          <w:szCs w:val="22"/>
        </w:rPr>
        <w:t> </w:t>
      </w:r>
      <w:r w:rsidRPr="004C3559">
        <w:rPr>
          <w:szCs w:val="22"/>
        </w:rPr>
        <w:t>11</w:t>
      </w:r>
      <w:r>
        <w:rPr>
          <w:szCs w:val="22"/>
        </w:rPr>
        <w:t> </w:t>
      </w:r>
      <w:r w:rsidRPr="004C3559">
        <w:rPr>
          <w:szCs w:val="22"/>
        </w:rPr>
        <w:t>646</w:t>
      </w:r>
      <w:r>
        <w:rPr>
          <w:szCs w:val="22"/>
        </w:rPr>
        <w:t> </w:t>
      </w:r>
      <w:r w:rsidRPr="004C3559">
        <w:rPr>
          <w:szCs w:val="22"/>
        </w:rPr>
        <w:t>tis.</w:t>
      </w:r>
      <w:r>
        <w:rPr>
          <w:szCs w:val="22"/>
        </w:rPr>
        <w:t> </w:t>
      </w:r>
      <w:r w:rsidRPr="004C3559">
        <w:rPr>
          <w:szCs w:val="22"/>
        </w:rPr>
        <w:t xml:space="preserve">eur, najmä z dôvodu medziročného nárastu grantov a transferov, </w:t>
      </w:r>
      <w:r w:rsidRPr="00B77C51">
        <w:rPr>
          <w:szCs w:val="22"/>
        </w:rPr>
        <w:t xml:space="preserve">ktoré sú určené na valorizáciu platov zamestnancov verejných vysokých škôl a taktiež na rekonštrukciu vysokoškolských študentských domovov. </w:t>
      </w:r>
    </w:p>
    <w:p w14:paraId="12A3D5B9" w14:textId="7A676A4D" w:rsidR="006C0DD0" w:rsidRPr="004C3559" w:rsidRDefault="006C0DD0" w:rsidP="006C0DD0">
      <w:pPr>
        <w:spacing w:before="120" w:after="0" w:line="336" w:lineRule="auto"/>
        <w:jc w:val="both"/>
        <w:rPr>
          <w:szCs w:val="22"/>
        </w:rPr>
      </w:pPr>
      <w:r w:rsidRPr="00B17061">
        <w:rPr>
          <w:szCs w:val="22"/>
          <w:u w:val="single"/>
        </w:rPr>
        <w:t>Z ostatných subjektov ústrednej správy</w:t>
      </w:r>
      <w:r>
        <w:rPr>
          <w:szCs w:val="22"/>
        </w:rPr>
        <w:t xml:space="preserve"> mal p</w:t>
      </w:r>
      <w:r w:rsidRPr="004C3559">
        <w:rPr>
          <w:szCs w:val="22"/>
        </w:rPr>
        <w:t xml:space="preserve">ozitívny vplyv na hospodárenie verejnej správy aj </w:t>
      </w:r>
      <w:r>
        <w:rPr>
          <w:szCs w:val="22"/>
        </w:rPr>
        <w:t>Rozhlas a televízia Slovenska (</w:t>
      </w:r>
      <w:r w:rsidRPr="00E3640A">
        <w:rPr>
          <w:szCs w:val="22"/>
          <w:u w:val="single"/>
        </w:rPr>
        <w:t>RTVS</w:t>
      </w:r>
      <w:r>
        <w:rPr>
          <w:szCs w:val="22"/>
          <w:u w:val="single"/>
        </w:rPr>
        <w:t>)</w:t>
      </w:r>
      <w:r w:rsidRPr="004C3559">
        <w:rPr>
          <w:szCs w:val="22"/>
        </w:rPr>
        <w:t>, ktorá skončila s prebytkom 10</w:t>
      </w:r>
      <w:r>
        <w:rPr>
          <w:szCs w:val="22"/>
        </w:rPr>
        <w:t> </w:t>
      </w:r>
      <w:r w:rsidRPr="004C3559">
        <w:rPr>
          <w:szCs w:val="22"/>
        </w:rPr>
        <w:t>756</w:t>
      </w:r>
      <w:r>
        <w:rPr>
          <w:szCs w:val="22"/>
        </w:rPr>
        <w:t> </w:t>
      </w:r>
      <w:r w:rsidRPr="004C3559">
        <w:rPr>
          <w:szCs w:val="22"/>
        </w:rPr>
        <w:t>tis.</w:t>
      </w:r>
      <w:r>
        <w:rPr>
          <w:szCs w:val="22"/>
        </w:rPr>
        <w:t> </w:t>
      </w:r>
      <w:r w:rsidRPr="004C3559">
        <w:rPr>
          <w:szCs w:val="22"/>
        </w:rPr>
        <w:t>eur, a to najmä z dôvodu, že RTVS oproti roku 2017 obd</w:t>
      </w:r>
      <w:r w:rsidR="003340E1">
        <w:rPr>
          <w:szCs w:val="22"/>
        </w:rPr>
        <w:t>r</w:t>
      </w:r>
      <w:r w:rsidRPr="004C3559">
        <w:rPr>
          <w:szCs w:val="22"/>
        </w:rPr>
        <w:t>žala na základe zmluvy so štátom vyššie transfery o 6</w:t>
      </w:r>
      <w:r>
        <w:rPr>
          <w:szCs w:val="22"/>
        </w:rPr>
        <w:t> </w:t>
      </w:r>
      <w:r w:rsidRPr="004C3559">
        <w:rPr>
          <w:szCs w:val="22"/>
        </w:rPr>
        <w:t>559</w:t>
      </w:r>
      <w:r>
        <w:rPr>
          <w:szCs w:val="22"/>
        </w:rPr>
        <w:t> </w:t>
      </w:r>
      <w:r w:rsidRPr="004C3559">
        <w:rPr>
          <w:szCs w:val="22"/>
        </w:rPr>
        <w:t>tis.</w:t>
      </w:r>
      <w:r>
        <w:rPr>
          <w:szCs w:val="22"/>
        </w:rPr>
        <w:t> </w:t>
      </w:r>
      <w:r w:rsidRPr="004C3559">
        <w:rPr>
          <w:szCs w:val="22"/>
        </w:rPr>
        <w:t>eur, ktoré sú prevažne určené na investície, a rovnako získala aj účelový dar na projekt rozvoja a ochrany kultúrnych hodnôt Slovenska s dôrazom na folklór vo výške 1</w:t>
      </w:r>
      <w:r>
        <w:rPr>
          <w:szCs w:val="22"/>
        </w:rPr>
        <w:t> </w:t>
      </w:r>
      <w:r w:rsidRPr="004C3559">
        <w:rPr>
          <w:szCs w:val="22"/>
        </w:rPr>
        <w:t>150</w:t>
      </w:r>
      <w:r>
        <w:rPr>
          <w:szCs w:val="22"/>
        </w:rPr>
        <w:t> </w:t>
      </w:r>
      <w:r w:rsidRPr="004C3559">
        <w:rPr>
          <w:szCs w:val="22"/>
        </w:rPr>
        <w:t>tis.</w:t>
      </w:r>
      <w:r>
        <w:rPr>
          <w:szCs w:val="22"/>
        </w:rPr>
        <w:t> </w:t>
      </w:r>
      <w:r w:rsidRPr="004C3559">
        <w:rPr>
          <w:szCs w:val="22"/>
        </w:rPr>
        <w:t xml:space="preserve">eur. Taktiež vzrástli daňové príjmy </w:t>
      </w:r>
      <w:r>
        <w:rPr>
          <w:szCs w:val="22"/>
        </w:rPr>
        <w:t xml:space="preserve">o 1 588 tis. eur </w:t>
      </w:r>
      <w:r w:rsidRPr="004C3559">
        <w:rPr>
          <w:szCs w:val="22"/>
        </w:rPr>
        <w:t xml:space="preserve">v dôsledku </w:t>
      </w:r>
      <w:r w:rsidRPr="008D5F9A">
        <w:rPr>
          <w:szCs w:val="22"/>
        </w:rPr>
        <w:t>zvýšeného počtu platiteľov</w:t>
      </w:r>
      <w:r w:rsidRPr="004C3559">
        <w:rPr>
          <w:szCs w:val="22"/>
        </w:rPr>
        <w:t xml:space="preserve"> a vyššieho výberu úhrad nedoplatkov za</w:t>
      </w:r>
      <w:r>
        <w:rPr>
          <w:szCs w:val="22"/>
        </w:rPr>
        <w:t> </w:t>
      </w:r>
      <w:r w:rsidRPr="004C3559">
        <w:rPr>
          <w:szCs w:val="22"/>
        </w:rPr>
        <w:t xml:space="preserve">minulé obdobia. Tretím faktorom </w:t>
      </w:r>
      <w:r>
        <w:rPr>
          <w:szCs w:val="22"/>
        </w:rPr>
        <w:t>boli</w:t>
      </w:r>
      <w:r w:rsidRPr="004C3559">
        <w:rPr>
          <w:szCs w:val="22"/>
        </w:rPr>
        <w:t xml:space="preserve"> nižšie kapitálové výdavky, keďže RTVS ukončila projekty v hodnote 1</w:t>
      </w:r>
      <w:r>
        <w:rPr>
          <w:szCs w:val="22"/>
        </w:rPr>
        <w:t> </w:t>
      </w:r>
      <w:r w:rsidRPr="004C3559">
        <w:rPr>
          <w:szCs w:val="22"/>
        </w:rPr>
        <w:t>907</w:t>
      </w:r>
      <w:r>
        <w:rPr>
          <w:szCs w:val="22"/>
        </w:rPr>
        <w:t> </w:t>
      </w:r>
      <w:r w:rsidRPr="004C3559">
        <w:rPr>
          <w:szCs w:val="22"/>
        </w:rPr>
        <w:t>tis.</w:t>
      </w:r>
      <w:r>
        <w:rPr>
          <w:szCs w:val="22"/>
        </w:rPr>
        <w:t> </w:t>
      </w:r>
      <w:r w:rsidRPr="004C3559">
        <w:rPr>
          <w:szCs w:val="22"/>
        </w:rPr>
        <w:t>eur, čo je o 5</w:t>
      </w:r>
      <w:r>
        <w:rPr>
          <w:szCs w:val="22"/>
        </w:rPr>
        <w:t> </w:t>
      </w:r>
      <w:r w:rsidRPr="004C3559">
        <w:rPr>
          <w:szCs w:val="22"/>
        </w:rPr>
        <w:t>053</w:t>
      </w:r>
      <w:r>
        <w:rPr>
          <w:szCs w:val="22"/>
        </w:rPr>
        <w:t> </w:t>
      </w:r>
      <w:r w:rsidRPr="004C3559">
        <w:rPr>
          <w:szCs w:val="22"/>
        </w:rPr>
        <w:t>tis.</w:t>
      </w:r>
      <w:r>
        <w:rPr>
          <w:szCs w:val="22"/>
        </w:rPr>
        <w:t> </w:t>
      </w:r>
      <w:r w:rsidRPr="004C3559">
        <w:rPr>
          <w:szCs w:val="22"/>
        </w:rPr>
        <w:t xml:space="preserve">eur menej ako tomu bolo v predchádzajúcom roku. </w:t>
      </w:r>
    </w:p>
    <w:p w14:paraId="324AD2C7" w14:textId="77777777" w:rsidR="006C0DD0" w:rsidRDefault="006C0DD0" w:rsidP="006C0DD0">
      <w:pPr>
        <w:spacing w:before="120" w:after="0" w:line="336" w:lineRule="auto"/>
        <w:jc w:val="both"/>
        <w:rPr>
          <w:szCs w:val="22"/>
        </w:rPr>
      </w:pPr>
      <w:r w:rsidRPr="00674D92">
        <w:rPr>
          <w:szCs w:val="22"/>
          <w:u w:val="single"/>
        </w:rPr>
        <w:t xml:space="preserve">Štátne neziskové organizácie </w:t>
      </w:r>
      <w:r w:rsidRPr="008D5F9A">
        <w:rPr>
          <w:szCs w:val="22"/>
        </w:rPr>
        <w:t>dosiahli v roku 2018 vyšší prebytok o</w:t>
      </w:r>
      <w:r>
        <w:rPr>
          <w:szCs w:val="22"/>
        </w:rPr>
        <w:t> </w:t>
      </w:r>
      <w:r w:rsidRPr="008D5F9A">
        <w:rPr>
          <w:szCs w:val="22"/>
        </w:rPr>
        <w:t>12</w:t>
      </w:r>
      <w:r>
        <w:rPr>
          <w:szCs w:val="22"/>
        </w:rPr>
        <w:t> </w:t>
      </w:r>
      <w:r w:rsidRPr="008D5F9A">
        <w:rPr>
          <w:szCs w:val="22"/>
        </w:rPr>
        <w:t>915</w:t>
      </w:r>
      <w:r>
        <w:rPr>
          <w:szCs w:val="22"/>
        </w:rPr>
        <w:t> </w:t>
      </w:r>
      <w:r w:rsidRPr="008D5F9A">
        <w:rPr>
          <w:szCs w:val="22"/>
        </w:rPr>
        <w:t>tis.</w:t>
      </w:r>
      <w:r>
        <w:rPr>
          <w:szCs w:val="22"/>
        </w:rPr>
        <w:t> eur v porovnaní s </w:t>
      </w:r>
      <w:r w:rsidRPr="008D5F9A">
        <w:rPr>
          <w:szCs w:val="22"/>
        </w:rPr>
        <w:t>rokom 2017. Tento výsledok je spôsobený najmä zmenou počtu subjektov v skupine neziskových organizácií štátu, keďže v predchádzajúcom roku bol jej súčasťou aj</w:t>
      </w:r>
      <w:r>
        <w:rPr>
          <w:szCs w:val="22"/>
        </w:rPr>
        <w:t xml:space="preserve"> Recyklačný fond so schodkom 10 </w:t>
      </w:r>
      <w:r w:rsidRPr="008D5F9A">
        <w:rPr>
          <w:szCs w:val="22"/>
        </w:rPr>
        <w:t>890</w:t>
      </w:r>
      <w:r>
        <w:rPr>
          <w:szCs w:val="22"/>
        </w:rPr>
        <w:t> tis. </w:t>
      </w:r>
      <w:r w:rsidRPr="008D5F9A">
        <w:rPr>
          <w:szCs w:val="22"/>
        </w:rPr>
        <w:t>eur a v roku 2018 vstúpil do likvidácie, čo malo pozitívny vplyv na vývoj salda roku 2018. Taktiež boli preradené do sektora verejnej správy</w:t>
      </w:r>
      <w:r>
        <w:rPr>
          <w:szCs w:val="22"/>
        </w:rPr>
        <w:t xml:space="preserve"> </w:t>
      </w:r>
      <w:r w:rsidRPr="008D5F9A">
        <w:rPr>
          <w:szCs w:val="22"/>
        </w:rPr>
        <w:t>Garančný fond investícií</w:t>
      </w:r>
      <w:r>
        <w:rPr>
          <w:szCs w:val="22"/>
        </w:rPr>
        <w:t xml:space="preserve"> (schodok 149 tis. eur)</w:t>
      </w:r>
      <w:r w:rsidRPr="008D5F9A">
        <w:rPr>
          <w:szCs w:val="22"/>
        </w:rPr>
        <w:t xml:space="preserve"> a Fond pre ochranu</w:t>
      </w:r>
      <w:r w:rsidRPr="004C3559">
        <w:rPr>
          <w:szCs w:val="22"/>
        </w:rPr>
        <w:t xml:space="preserve"> vkladov</w:t>
      </w:r>
      <w:r>
        <w:rPr>
          <w:szCs w:val="22"/>
        </w:rPr>
        <w:t xml:space="preserve"> (prebytok 3 350 tis. eur). </w:t>
      </w:r>
    </w:p>
    <w:p w14:paraId="7B84FB73" w14:textId="77777777" w:rsidR="006C0DD0" w:rsidRPr="00164F4B" w:rsidRDefault="006C0DD0" w:rsidP="006C0DD0">
      <w:pPr>
        <w:spacing w:before="120" w:after="0" w:line="336" w:lineRule="auto"/>
        <w:jc w:val="both"/>
        <w:rPr>
          <w:szCs w:val="22"/>
        </w:rPr>
      </w:pPr>
      <w:r w:rsidRPr="00C533A7">
        <w:rPr>
          <w:szCs w:val="22"/>
        </w:rPr>
        <w:t xml:space="preserve">Pozitívy vplyv na schodok verejnej správy malo </w:t>
      </w:r>
      <w:r w:rsidRPr="00C32E3D">
        <w:rPr>
          <w:szCs w:val="22"/>
        </w:rPr>
        <w:t xml:space="preserve">aj hospodárenie </w:t>
      </w:r>
      <w:r w:rsidRPr="00E3640A">
        <w:rPr>
          <w:szCs w:val="22"/>
          <w:u w:val="single"/>
        </w:rPr>
        <w:t>ústredných zdravotníckych zariadení</w:t>
      </w:r>
      <w:r w:rsidRPr="00C533A7">
        <w:rPr>
          <w:szCs w:val="22"/>
        </w:rPr>
        <w:t>, ktoré dosiahli na základe jesennej notifikácie výšku prebytku 219</w:t>
      </w:r>
      <w:r>
        <w:rPr>
          <w:szCs w:val="22"/>
        </w:rPr>
        <w:t> </w:t>
      </w:r>
      <w:r w:rsidRPr="00C533A7">
        <w:rPr>
          <w:szCs w:val="22"/>
        </w:rPr>
        <w:t>797 tis. eur. Napriek hotovostnému schodku 14</w:t>
      </w:r>
      <w:r>
        <w:rPr>
          <w:szCs w:val="22"/>
        </w:rPr>
        <w:t> </w:t>
      </w:r>
      <w:r w:rsidRPr="00C533A7">
        <w:rPr>
          <w:szCs w:val="22"/>
        </w:rPr>
        <w:t>572</w:t>
      </w:r>
      <w:r>
        <w:rPr>
          <w:szCs w:val="22"/>
        </w:rPr>
        <w:t> </w:t>
      </w:r>
      <w:r w:rsidRPr="00C533A7">
        <w:rPr>
          <w:szCs w:val="22"/>
        </w:rPr>
        <w:t>tis. eur zaznamenali zdravotnícke zariadenia celkový pokles záväzkov vo výške 178 703 tis.</w:t>
      </w:r>
      <w:r>
        <w:rPr>
          <w:szCs w:val="22"/>
        </w:rPr>
        <w:t> </w:t>
      </w:r>
      <w:r w:rsidRPr="00C533A7">
        <w:rPr>
          <w:szCs w:val="22"/>
        </w:rPr>
        <w:t xml:space="preserve">eur najmä z titulu oddlžovania, v rámci ktorého došlo k odpusteniu dlhu voči Sociálnej poisťovni a voči </w:t>
      </w:r>
      <w:r w:rsidRPr="00D168EB">
        <w:rPr>
          <w:szCs w:val="22"/>
        </w:rPr>
        <w:t>ostatným veriteľom (dodávateľom).</w:t>
      </w:r>
    </w:p>
    <w:p w14:paraId="37AF5ED8" w14:textId="77777777" w:rsidR="006C0DD0" w:rsidRDefault="006C0DD0" w:rsidP="006C0DD0">
      <w:pPr>
        <w:spacing w:before="120" w:after="0" w:line="336" w:lineRule="auto"/>
        <w:jc w:val="both"/>
      </w:pPr>
      <w:r w:rsidRPr="00E3640A">
        <w:rPr>
          <w:u w:val="single"/>
        </w:rPr>
        <w:t xml:space="preserve">Miestna samospráva </w:t>
      </w:r>
      <w:r>
        <w:rPr>
          <w:u w:val="single"/>
        </w:rPr>
        <w:t xml:space="preserve">ako celok </w:t>
      </w:r>
      <w:r w:rsidRPr="00E3640A">
        <w:rPr>
          <w:u w:val="single"/>
        </w:rPr>
        <w:t>dosiahla prebytok</w:t>
      </w:r>
      <w:r w:rsidRPr="00EA1E35">
        <w:t xml:space="preserve"> 135 234 tis. eur, čo </w:t>
      </w:r>
      <w:r>
        <w:t>predstavuje medziročné zlepšenie</w:t>
      </w:r>
      <w:r w:rsidRPr="00EA1E35">
        <w:t xml:space="preserve"> salda oproti roku 2017</w:t>
      </w:r>
      <w:r>
        <w:t xml:space="preserve"> o 155 079 tis. eur (v roku 2017</w:t>
      </w:r>
      <w:r w:rsidRPr="00EA1E35">
        <w:t xml:space="preserve"> schodok 19 845 tis. eur</w:t>
      </w:r>
      <w:r>
        <w:t>)</w:t>
      </w:r>
      <w:r w:rsidRPr="00EA1E35">
        <w:t>.</w:t>
      </w:r>
    </w:p>
    <w:p w14:paraId="5DD645E1" w14:textId="22D9A17E" w:rsidR="006C0DD0" w:rsidRDefault="006C0DD0" w:rsidP="006C0DD0">
      <w:pPr>
        <w:spacing w:before="120" w:after="0" w:line="336" w:lineRule="auto"/>
        <w:jc w:val="both"/>
      </w:pPr>
      <w:r w:rsidRPr="00714F76">
        <w:rPr>
          <w:u w:val="single"/>
        </w:rPr>
        <w:t>Obce</w:t>
      </w:r>
      <w:r w:rsidRPr="00EA1E35">
        <w:t xml:space="preserve"> sa podieľali na tomto výsledku hodnotou schodku 29 323 tis. eur, čo predstavovalo zhoršenie oproti roku 2017 o 14 193 tis. eur. K negatívnemu vývoju salda obcí prispel vyšší medziročný nárast celkových výdavkov ako bol nárast celkových príjmo</w:t>
      </w:r>
      <w:r>
        <w:t xml:space="preserve">v. Obce v porovnaní s rokom 2017 zaznamenali zvýšenie vo všetkých druhoch príjmov (okrem iných nedaňových príjmov), najviac narástli </w:t>
      </w:r>
      <w:r w:rsidR="00814343">
        <w:t xml:space="preserve">celkové </w:t>
      </w:r>
      <w:r>
        <w:t xml:space="preserve">daňové </w:t>
      </w:r>
      <w:r w:rsidRPr="00BA29DB">
        <w:t>príjmy</w:t>
      </w:r>
      <w:r w:rsidR="00814343" w:rsidRPr="00BA29DB">
        <w:t xml:space="preserve"> o sumu 225 014 tis. eur</w:t>
      </w:r>
      <w:r w:rsidRPr="00BA29DB">
        <w:t xml:space="preserve">, </w:t>
      </w:r>
      <w:r w:rsidR="00814343" w:rsidRPr="00BA29DB">
        <w:t>z toho najmä výnos d</w:t>
      </w:r>
      <w:r w:rsidRPr="00BA29DB">
        <w:t xml:space="preserve">ane z príjmov poukázaný územnej samospráve o sumu </w:t>
      </w:r>
      <w:r w:rsidR="00814343" w:rsidRPr="00BA29DB">
        <w:t>204 672</w:t>
      </w:r>
      <w:r w:rsidRPr="00BA29DB">
        <w:t> tis. eur. Nárast bežných výdavkov bol spôsobený hlavne zvýšením výdavkov na mzdy, platy a ostatné osobné vyrovnania</w:t>
      </w:r>
      <w:r w:rsidR="00411DA0" w:rsidRPr="00BA29DB">
        <w:t xml:space="preserve"> </w:t>
      </w:r>
      <w:r w:rsidR="00411DA0">
        <w:t>(o 117 007 tis. eur)</w:t>
      </w:r>
      <w:r>
        <w:t xml:space="preserve"> a s tým súvisiace odvody do orgánov sociálneho a zdravotného poistenia</w:t>
      </w:r>
      <w:r w:rsidR="00411DA0">
        <w:t xml:space="preserve"> (o 43 461 tis. eur)</w:t>
      </w:r>
      <w:r>
        <w:t xml:space="preserve">, </w:t>
      </w:r>
      <w:r w:rsidRPr="00EA1E35">
        <w:t xml:space="preserve">výdavkov na tovary a služby </w:t>
      </w:r>
      <w:r>
        <w:t xml:space="preserve">o sumu 160 468 tis. eur. </w:t>
      </w:r>
      <w:r w:rsidRPr="00EA1E35">
        <w:t>Kapitálové výdavky sa oproti roku 2017 zvýšili o 280 441 tis. eur</w:t>
      </w:r>
      <w:r>
        <w:t xml:space="preserve">, z toho </w:t>
      </w:r>
      <w:r w:rsidRPr="00EA1E35">
        <w:t>výdavk</w:t>
      </w:r>
      <w:r>
        <w:t>y</w:t>
      </w:r>
      <w:r w:rsidRPr="00EA1E35">
        <w:t xml:space="preserve"> na</w:t>
      </w:r>
      <w:r>
        <w:t xml:space="preserve"> </w:t>
      </w:r>
      <w:r w:rsidRPr="00EA1E35">
        <w:t>obstarávanie kapitálových aktív</w:t>
      </w:r>
      <w:r>
        <w:t xml:space="preserve"> narástli o sumu 277 226 tis. eur</w:t>
      </w:r>
      <w:r w:rsidRPr="00EA1E35">
        <w:t>.</w:t>
      </w:r>
      <w:r>
        <w:t xml:space="preserve"> </w:t>
      </w:r>
      <w:r w:rsidRPr="00EA1E35">
        <w:t>Obce</w:t>
      </w:r>
      <w:r>
        <w:t xml:space="preserve"> </w:t>
      </w:r>
      <w:r w:rsidRPr="00EA1E35">
        <w:t>investovali najmä do rekonštrukcie a výstavby infraštruktúry (kanalizácie, nájomné byty, komunikácie a</w:t>
      </w:r>
      <w:r w:rsidR="002C2D2B">
        <w:t xml:space="preserve"> </w:t>
      </w:r>
      <w:r w:rsidRPr="00EA1E35">
        <w:t>ČOV, budovy a</w:t>
      </w:r>
      <w:r w:rsidR="002C2D2B">
        <w:t xml:space="preserve"> </w:t>
      </w:r>
      <w:r w:rsidRPr="00EA1E35">
        <w:t>námestia, revitalizácie</w:t>
      </w:r>
      <w:r>
        <w:t xml:space="preserve"> verejných priestorov</w:t>
      </w:r>
      <w:r w:rsidRPr="00EA1E35">
        <w:t>).</w:t>
      </w:r>
      <w:r w:rsidR="002C2D2B">
        <w:t xml:space="preserve"> </w:t>
      </w:r>
      <w:r w:rsidRPr="002E65EC">
        <w:t>Pri</w:t>
      </w:r>
      <w:r w:rsidRPr="00EA1E35">
        <w:t> kapitálových výdavkoch bolo vyššie krytie z úverových zdrojov, spolufinancovanie z prostriedkov EÚ a z prostriedkov minulých rokov. Negatívny vplyv mal aj pokles pohľadávok z nedaňových príjmov o 5 541 tis. eur, ktoré sú tvorené hlavne z príjmov z prenájmu a predaja majetku, z pokút, z administratívnych a iných poplatkov a nárast záväzkov voči zamestnancom (o 8 549 tis. eur), voči orgánom sociálneho a zdravotného poistenia (o 4 385 tis. eur) a  na obstarávanie kapitálových aktív (o 5 490 tis. eur).</w:t>
      </w:r>
    </w:p>
    <w:p w14:paraId="0043B889" w14:textId="0B985D35" w:rsidR="006C0DD0" w:rsidRPr="00353CD6" w:rsidRDefault="006C0DD0" w:rsidP="006C0DD0">
      <w:pPr>
        <w:spacing w:before="120" w:after="0" w:line="336" w:lineRule="auto"/>
        <w:jc w:val="both"/>
      </w:pPr>
      <w:r w:rsidRPr="00E4675A">
        <w:rPr>
          <w:u w:val="single"/>
        </w:rPr>
        <w:t>Vyššie územné celky</w:t>
      </w:r>
      <w:r w:rsidRPr="00EA1E35">
        <w:t xml:space="preserve"> dosiahli v roku 2018 prebytok 102 822 tis. eur, čo predstavuje oproti roku</w:t>
      </w:r>
      <w:r>
        <w:t> </w:t>
      </w:r>
      <w:r w:rsidRPr="00EA1E35">
        <w:t xml:space="preserve">2017 </w:t>
      </w:r>
      <w:r>
        <w:t xml:space="preserve">zlepšenie hospodárenia </w:t>
      </w:r>
      <w:r w:rsidRPr="00EA1E35">
        <w:t>o 119 311 tis. eur</w:t>
      </w:r>
      <w:r>
        <w:t xml:space="preserve"> (2017</w:t>
      </w:r>
      <w:r w:rsidR="005048D3">
        <w:t>:</w:t>
      </w:r>
      <w:r>
        <w:t xml:space="preserve"> schodok 16 489 tis. eur).</w:t>
      </w:r>
      <w:r w:rsidRPr="00EA1E35">
        <w:t xml:space="preserve"> Na tento pozitívny vývoj salda vplýval predovšetkým medziročný nárast celkových príjmov, ktorý bol vyšší v porovnaní s</w:t>
      </w:r>
      <w:r w:rsidR="00494871">
        <w:t> </w:t>
      </w:r>
      <w:r w:rsidRPr="00EA1E35">
        <w:t xml:space="preserve">nárastom výdavkov. </w:t>
      </w:r>
      <w:r w:rsidRPr="007F3A85">
        <w:t>Zvýšili sa najmä daňové príjmy, a to výnos dane z príjmov poukázaný územnej samospráve o sumu 86 819 tis. eur, boli prijaté vyššie granty a transfery o 33 981 tis. eur (tuzemské bežné transfery zo štátneho rozpočtu na úhradu nákladov preneseného výkonu štátnej správy, kapitálové transfery zo ŠR) predovšetkým na činnosť príspevkových a neziskových organizácií poskytujúcich verejnoprospešné služby. Pozitívny vplyv mal</w:t>
      </w:r>
      <w:r w:rsidR="00BD2931" w:rsidRPr="007F3A85">
        <w:t>o aj nižšie čerpanie</w:t>
      </w:r>
      <w:r w:rsidRPr="007F3A85">
        <w:t xml:space="preserve"> výdavkov </w:t>
      </w:r>
      <w:r w:rsidR="00BD2931" w:rsidRPr="007F3A85">
        <w:t>na tovary a služby o </w:t>
      </w:r>
      <w:r w:rsidR="007F3A85" w:rsidRPr="007F3A85">
        <w:t>7 676 tis. eur</w:t>
      </w:r>
      <w:r w:rsidRPr="007F3A85">
        <w:t xml:space="preserve"> a pokles kapitálových výdavkov na obstarávanie kapitálových aktív a na kapitálové transfery o 26 758 tis. eur.</w:t>
      </w:r>
      <w:r w:rsidRPr="00EA1E35">
        <w:t xml:space="preserve"> Pozitívny vplyv spôsobený poklesom záväzkov</w:t>
      </w:r>
      <w:r>
        <w:t xml:space="preserve"> </w:t>
      </w:r>
      <w:r w:rsidRPr="00AE472A">
        <w:t>(záväzky z obchodného styku, ostatné záväzky zo zmluvných vzťahov a iné záväzky z titulu</w:t>
      </w:r>
      <w:r w:rsidR="00494871">
        <w:t xml:space="preserve"> zrážok, finančných zábezpek na </w:t>
      </w:r>
      <w:r w:rsidRPr="00AE472A">
        <w:t>verejné obstarávanie, mylných platieb</w:t>
      </w:r>
      <w:r>
        <w:t xml:space="preserve"> atď</w:t>
      </w:r>
      <w:r w:rsidRPr="00AE472A">
        <w:t>.) bol čiastočne eliminovaný nárastom pohľadávok</w:t>
      </w:r>
      <w:r w:rsidRPr="00353CD6">
        <w:t xml:space="preserve"> (pohľadávky z nedaňových príjmov VÚC a RO, iné pohľadávky a z nákladov budúcich období).</w:t>
      </w:r>
    </w:p>
    <w:p w14:paraId="410B138C" w14:textId="77777777" w:rsidR="006C0DD0" w:rsidRDefault="006C0DD0" w:rsidP="006C0DD0">
      <w:pPr>
        <w:spacing w:before="120" w:after="0" w:line="336" w:lineRule="auto"/>
        <w:jc w:val="both"/>
      </w:pPr>
      <w:r w:rsidRPr="00E3640A">
        <w:rPr>
          <w:u w:val="single"/>
        </w:rPr>
        <w:t>Dopravné podniky samosprávy</w:t>
      </w:r>
      <w:r>
        <w:rPr>
          <w:rStyle w:val="Odkaznapoznmkupodiarou"/>
          <w:u w:val="single"/>
        </w:rPr>
        <w:footnoteReference w:id="5"/>
      </w:r>
      <w:r w:rsidRPr="00EA1E35">
        <w:t xml:space="preserve"> v roku 2018 zlepšili svoje hospodárenie (prebytok 10 990 tis. eur) o 2 485 tis. eur oproti roku 2017 (prebytok 8 505 tis. eur). Pozitívny vplyv mal pokles záväzkov o 13 055 tis. eur (najväčší podiel na poklese mal DP Bratislava, a.s.) a to znížením záväzkov z obchodného styku a záväzkov z ostatného a operatívneho prenájmu</w:t>
      </w:r>
      <w:r>
        <w:t xml:space="preserve"> </w:t>
      </w:r>
      <w:r w:rsidRPr="00AE472A">
        <w:t>(išlo najmä o zrušenie úprav minulých rokov v zmysle IFRS).</w:t>
      </w:r>
      <w:r>
        <w:t xml:space="preserve"> Na medziročný rozdiel salda mal vplyv aj </w:t>
      </w:r>
      <w:r w:rsidRPr="002F050F">
        <w:t>pokles pohľadávok o 8 894 tis. eur (poskytnuté preddavky na dlhodobý hmotný majetok, pohľadávky z obchodného styku, iné pohľadávky a ostatné pohľadávky voči prepojeným účtovným jednotkám).</w:t>
      </w:r>
    </w:p>
    <w:p w14:paraId="60F9A90B" w14:textId="77777777" w:rsidR="006C0DD0" w:rsidRPr="00C533A7" w:rsidRDefault="006C0DD0" w:rsidP="006C0DD0">
      <w:pPr>
        <w:spacing w:before="120" w:after="0" w:line="336" w:lineRule="auto"/>
        <w:jc w:val="both"/>
        <w:rPr>
          <w:szCs w:val="22"/>
        </w:rPr>
      </w:pPr>
      <w:r w:rsidRPr="00E3640A">
        <w:rPr>
          <w:szCs w:val="22"/>
          <w:u w:val="single"/>
        </w:rPr>
        <w:t>Miestne zdravotnícke zariadenia</w:t>
      </w:r>
      <w:r w:rsidRPr="00C533A7">
        <w:rPr>
          <w:szCs w:val="22"/>
        </w:rPr>
        <w:t xml:space="preserve"> dosiahli v roku 2018 prebytok vo výške 46 990 tis. eur. Napriek hotovostnému prebytku 2 660 tis. eur zaznamenali nemocnice pokles celkových záväzkov vo výške 42 848 tis. eur. Tento výrazný pokles záväzkov bol ovplyvnený najmä I. etapou oddlžovania zdravotníckych zariadení (z miestnej samosprávy boli zapojené do oddlžovania len príspevkové organizácie vyšších územných celkov), v rámci ktorého došlo k odpusteniu dlhu voči Sociálnej poisťovni a voči ostatným veriteľom (dodávateľom).</w:t>
      </w:r>
    </w:p>
    <w:p w14:paraId="64D6E249" w14:textId="7C29C7DE" w:rsidR="006C0DD0" w:rsidRPr="00C533A7" w:rsidRDefault="006C0DD0" w:rsidP="006C0DD0">
      <w:pPr>
        <w:spacing w:before="120" w:after="0" w:line="336" w:lineRule="auto"/>
        <w:jc w:val="both"/>
        <w:rPr>
          <w:szCs w:val="22"/>
        </w:rPr>
      </w:pPr>
      <w:r>
        <w:rPr>
          <w:szCs w:val="22"/>
        </w:rPr>
        <w:t>K z</w:t>
      </w:r>
      <w:r w:rsidRPr="00C533A7">
        <w:rPr>
          <w:szCs w:val="22"/>
        </w:rPr>
        <w:t>níženiu schodku verejnej správy za rok 2018</w:t>
      </w:r>
      <w:r>
        <w:rPr>
          <w:szCs w:val="22"/>
        </w:rPr>
        <w:t xml:space="preserve"> napomohlo aj dosiahnutie</w:t>
      </w:r>
      <w:r w:rsidRPr="00C533A7">
        <w:rPr>
          <w:szCs w:val="22"/>
        </w:rPr>
        <w:t xml:space="preserve"> </w:t>
      </w:r>
      <w:r w:rsidRPr="00C32E3D">
        <w:rPr>
          <w:szCs w:val="22"/>
        </w:rPr>
        <w:t xml:space="preserve">prebytku </w:t>
      </w:r>
      <w:r w:rsidRPr="001844BA">
        <w:rPr>
          <w:szCs w:val="22"/>
          <w:u w:val="single"/>
        </w:rPr>
        <w:t>fondov verejného zdravotného poistenia</w:t>
      </w:r>
      <w:r w:rsidRPr="00C533A7">
        <w:rPr>
          <w:rStyle w:val="Odkaznapoznmkupodiarou"/>
          <w:szCs w:val="22"/>
        </w:rPr>
        <w:footnoteReference w:id="6"/>
      </w:r>
      <w:r w:rsidRPr="00C533A7">
        <w:rPr>
          <w:szCs w:val="22"/>
        </w:rPr>
        <w:t xml:space="preserve"> v hodnote 11 152 tis. eur. Príjmy fondov verejného zdravotného poistenia rástli v roku 2018 rýchlejšie ako výdavky, na čom mali najvyšší podiel príjmy z výberu poistného. Priaznivý vývoj pokračoval aj v roku 2018 vďaka minuloročnému zrušeniu maximálneho vymeriavacieho základu pre výpočet preddavku poistného, ako aj poklesu miery nezamestnanosti a s tým súvisiaci vyšší výber poistného za zamestna</w:t>
      </w:r>
      <w:r w:rsidR="00914526">
        <w:rPr>
          <w:szCs w:val="22"/>
        </w:rPr>
        <w:t>ncov. V roku 2018 sa vybralo na</w:t>
      </w:r>
      <w:r w:rsidRPr="00C533A7">
        <w:rPr>
          <w:szCs w:val="22"/>
        </w:rPr>
        <w:t xml:space="preserve"> príjmoch </w:t>
      </w:r>
      <w:r w:rsidR="00914526">
        <w:rPr>
          <w:szCs w:val="22"/>
        </w:rPr>
        <w:t>z </w:t>
      </w:r>
      <w:r w:rsidR="00914526" w:rsidRPr="00BA29DB">
        <w:rPr>
          <w:szCs w:val="22"/>
        </w:rPr>
        <w:t xml:space="preserve">odvodov </w:t>
      </w:r>
      <w:r w:rsidR="00AF606F" w:rsidRPr="00BA29DB">
        <w:rPr>
          <w:szCs w:val="22"/>
        </w:rPr>
        <w:t xml:space="preserve">v hotovostnom vyjadrení </w:t>
      </w:r>
      <w:r w:rsidRPr="00BA29DB">
        <w:rPr>
          <w:szCs w:val="22"/>
        </w:rPr>
        <w:t xml:space="preserve">o 153 431 tis. eur viac ako v predchádzajúcom roku. Fondy verejného zdravotného poistenia </w:t>
      </w:r>
      <w:r w:rsidRPr="00C533A7">
        <w:rPr>
          <w:szCs w:val="22"/>
        </w:rPr>
        <w:t>aj napriek vyššiemu hotovostnému prebytku zaznamenali v roku 2018 nižší ESA prebytok. Dôvodom bol</w:t>
      </w:r>
      <w:r>
        <w:rPr>
          <w:szCs w:val="22"/>
        </w:rPr>
        <w:t xml:space="preserve"> pokles</w:t>
      </w:r>
      <w:r w:rsidRPr="00C533A7">
        <w:rPr>
          <w:szCs w:val="22"/>
        </w:rPr>
        <w:t xml:space="preserve"> pohľadávok (najmä voči Úradu pre dohľad nad zdravotnou starostlivosťou) v roku 2018 o 8</w:t>
      </w:r>
      <w:r>
        <w:rPr>
          <w:szCs w:val="22"/>
        </w:rPr>
        <w:t> </w:t>
      </w:r>
      <w:r w:rsidRPr="00C533A7">
        <w:rPr>
          <w:szCs w:val="22"/>
        </w:rPr>
        <w:t>188</w:t>
      </w:r>
      <w:r>
        <w:rPr>
          <w:szCs w:val="22"/>
        </w:rPr>
        <w:t> tis. </w:t>
      </w:r>
      <w:r w:rsidRPr="00C533A7">
        <w:rPr>
          <w:szCs w:val="22"/>
        </w:rPr>
        <w:t>eur. V porovnaní s rokom  2017 záväzky poklesli o 28 622 tis. eur (pokles záväzkov v roku 2017 bol 31</w:t>
      </w:r>
      <w:r>
        <w:rPr>
          <w:szCs w:val="22"/>
        </w:rPr>
        <w:t> </w:t>
      </w:r>
      <w:r w:rsidRPr="00C533A7">
        <w:rPr>
          <w:szCs w:val="22"/>
        </w:rPr>
        <w:t>848</w:t>
      </w:r>
      <w:r>
        <w:rPr>
          <w:szCs w:val="22"/>
        </w:rPr>
        <w:t> </w:t>
      </w:r>
      <w:r w:rsidRPr="00C533A7">
        <w:rPr>
          <w:szCs w:val="22"/>
        </w:rPr>
        <w:t>tis.</w:t>
      </w:r>
      <w:r>
        <w:rPr>
          <w:szCs w:val="22"/>
        </w:rPr>
        <w:t> </w:t>
      </w:r>
      <w:r w:rsidRPr="00C533A7">
        <w:rPr>
          <w:szCs w:val="22"/>
        </w:rPr>
        <w:t>eur). Išlo najmä o</w:t>
      </w:r>
      <w:r>
        <w:rPr>
          <w:szCs w:val="22"/>
        </w:rPr>
        <w:t> </w:t>
      </w:r>
      <w:r w:rsidRPr="00C533A7">
        <w:rPr>
          <w:szCs w:val="22"/>
        </w:rPr>
        <w:t>záväzky voči poskytovateľom zdravotnej starostlivosti, lekárňam, výdajniam a optikám. Na</w:t>
      </w:r>
      <w:r>
        <w:rPr>
          <w:szCs w:val="22"/>
        </w:rPr>
        <w:t> </w:t>
      </w:r>
      <w:r w:rsidRPr="00C533A7">
        <w:rPr>
          <w:szCs w:val="22"/>
        </w:rPr>
        <w:t>zníženie ESA prebytku fondov verejného zdravotného poistenia negatívne vplýval aj výdavkový transfer z verejnej časti zdravotného poistenia do súkromnej časti zdravotných poisťovní (splátka istiny úveru a výplata dividend akcionárom a platba za správu verejného zdravotného poistenia) v sume 190 467 tis. eur (t. j. oproti predchádzajúcemu roku bol nárast tohto transferu o 92 436 tis. eur).</w:t>
      </w:r>
    </w:p>
    <w:p w14:paraId="22B3FBD0" w14:textId="16BC6F95" w:rsidR="006C0DD0" w:rsidRPr="00CC59A3" w:rsidRDefault="006C0DD0" w:rsidP="006C0DD0">
      <w:pPr>
        <w:spacing w:before="120" w:after="0" w:line="336" w:lineRule="auto"/>
        <w:jc w:val="both"/>
        <w:rPr>
          <w:szCs w:val="22"/>
        </w:rPr>
      </w:pPr>
      <w:r w:rsidRPr="001E5789">
        <w:rPr>
          <w:szCs w:val="22"/>
          <w:u w:val="single"/>
        </w:rPr>
        <w:t>Sociálna poisťovňa dosiahla</w:t>
      </w:r>
      <w:r w:rsidRPr="00C533A7">
        <w:rPr>
          <w:szCs w:val="22"/>
        </w:rPr>
        <w:t xml:space="preserve"> v roku 2018 ESA prebytok 27 888 tis. eur, avšak si zhoršila hospodárenie oproti roku 2017 o 112 038 tis. eur. Hotovostný prebytok bol oproti predchádzajúcemu roku o 67</w:t>
      </w:r>
      <w:r>
        <w:rPr>
          <w:szCs w:val="22"/>
        </w:rPr>
        <w:t> </w:t>
      </w:r>
      <w:r w:rsidRPr="00C533A7">
        <w:rPr>
          <w:szCs w:val="22"/>
        </w:rPr>
        <w:t>960</w:t>
      </w:r>
      <w:r>
        <w:rPr>
          <w:szCs w:val="22"/>
        </w:rPr>
        <w:t> </w:t>
      </w:r>
      <w:r w:rsidRPr="00C533A7">
        <w:rPr>
          <w:szCs w:val="22"/>
        </w:rPr>
        <w:t>tis.</w:t>
      </w:r>
      <w:r>
        <w:rPr>
          <w:szCs w:val="22"/>
        </w:rPr>
        <w:t> </w:t>
      </w:r>
      <w:r w:rsidRPr="00C533A7">
        <w:rPr>
          <w:szCs w:val="22"/>
        </w:rPr>
        <w:t>eur vyšší, čoho dôsledkom bolo pokračovanie trendu vyššej tvorby fondov poisťovne v </w:t>
      </w:r>
      <w:r w:rsidRPr="00BA29DB">
        <w:rPr>
          <w:szCs w:val="22"/>
        </w:rPr>
        <w:t>roku 2018, ktorá súvisí so zvýšením maximálneho vymeriavacieho základu na odvody. V </w:t>
      </w:r>
      <w:r w:rsidR="008B6C59" w:rsidRPr="00BA29DB">
        <w:rPr>
          <w:szCs w:val="22"/>
        </w:rPr>
        <w:t xml:space="preserve">roku 2018 sa </w:t>
      </w:r>
      <w:r w:rsidR="003340E1" w:rsidRPr="00BA29DB">
        <w:rPr>
          <w:szCs w:val="22"/>
        </w:rPr>
        <w:t xml:space="preserve">v hotovostnom vyjadrení </w:t>
      </w:r>
      <w:r w:rsidR="008B6C59" w:rsidRPr="00BA29DB">
        <w:rPr>
          <w:szCs w:val="22"/>
        </w:rPr>
        <w:t xml:space="preserve">vybralo </w:t>
      </w:r>
      <w:r w:rsidR="008B6C59">
        <w:rPr>
          <w:szCs w:val="22"/>
        </w:rPr>
        <w:t>na</w:t>
      </w:r>
      <w:r w:rsidRPr="00C533A7">
        <w:rPr>
          <w:szCs w:val="22"/>
        </w:rPr>
        <w:t xml:space="preserve"> príjmoch</w:t>
      </w:r>
      <w:r w:rsidR="008B6C59">
        <w:rPr>
          <w:szCs w:val="22"/>
        </w:rPr>
        <w:t xml:space="preserve"> z odvodov</w:t>
      </w:r>
      <w:r w:rsidRPr="00C533A7">
        <w:rPr>
          <w:szCs w:val="22"/>
        </w:rPr>
        <w:t xml:space="preserve"> o</w:t>
      </w:r>
      <w:r>
        <w:rPr>
          <w:szCs w:val="22"/>
        </w:rPr>
        <w:t> </w:t>
      </w:r>
      <w:r w:rsidRPr="00C533A7">
        <w:rPr>
          <w:szCs w:val="22"/>
        </w:rPr>
        <w:t>773</w:t>
      </w:r>
      <w:r>
        <w:rPr>
          <w:szCs w:val="22"/>
        </w:rPr>
        <w:t> </w:t>
      </w:r>
      <w:r w:rsidRPr="00C533A7">
        <w:rPr>
          <w:szCs w:val="22"/>
        </w:rPr>
        <w:t>622 tis. eur viac ako v predchádzajúcom roku, dôsledkom čoho bol poskytnutý nižší transfer zo štátneho rozpočtu SR o</w:t>
      </w:r>
      <w:r>
        <w:rPr>
          <w:szCs w:val="22"/>
        </w:rPr>
        <w:t> </w:t>
      </w:r>
      <w:r w:rsidRPr="00C533A7">
        <w:rPr>
          <w:szCs w:val="22"/>
        </w:rPr>
        <w:t>309</w:t>
      </w:r>
      <w:r>
        <w:rPr>
          <w:szCs w:val="22"/>
        </w:rPr>
        <w:t> </w:t>
      </w:r>
      <w:r w:rsidRPr="00C533A7">
        <w:rPr>
          <w:szCs w:val="22"/>
        </w:rPr>
        <w:t>mil.</w:t>
      </w:r>
      <w:r>
        <w:rPr>
          <w:szCs w:val="22"/>
        </w:rPr>
        <w:t> </w:t>
      </w:r>
      <w:r w:rsidRPr="00C533A7">
        <w:rPr>
          <w:szCs w:val="22"/>
        </w:rPr>
        <w:t>eur menej ako v roku 2017. Daňové príjmy v roku 2018 výrazne ovplyvnilo oddlžovanie zdravotníckych zariadení, kde v rámci I. etapy oddlžovania prijala Sociálna poisťovňa transfer zo Štátnych finančných aktív vo</w:t>
      </w:r>
      <w:r w:rsidR="00A20394">
        <w:rPr>
          <w:szCs w:val="22"/>
        </w:rPr>
        <w:t> </w:t>
      </w:r>
      <w:r w:rsidRPr="00C533A7">
        <w:rPr>
          <w:szCs w:val="22"/>
        </w:rPr>
        <w:t>výške 187</w:t>
      </w:r>
      <w:r>
        <w:rPr>
          <w:szCs w:val="22"/>
        </w:rPr>
        <w:t> 219 </w:t>
      </w:r>
      <w:r w:rsidRPr="00C533A7">
        <w:rPr>
          <w:szCs w:val="22"/>
        </w:rPr>
        <w:t>tis.</w:t>
      </w:r>
      <w:r>
        <w:rPr>
          <w:szCs w:val="22"/>
        </w:rPr>
        <w:t> </w:t>
      </w:r>
      <w:r w:rsidRPr="00C533A7">
        <w:rPr>
          <w:szCs w:val="22"/>
        </w:rPr>
        <w:t>eur. Taktiež sa zvýšili aj príjmy od ekonomicky aktívneho obyvateľstva súvisiace s</w:t>
      </w:r>
      <w:r w:rsidR="009E3E54">
        <w:rPr>
          <w:szCs w:val="22"/>
        </w:rPr>
        <w:t> </w:t>
      </w:r>
      <w:r w:rsidRPr="00C533A7">
        <w:rPr>
          <w:szCs w:val="22"/>
        </w:rPr>
        <w:t>rastom priemernej mzdy v hospodárstve. Pozitívny vplyv na hotovostný prebytok bol kompenzovaný negatívnym vplyvom poklesu pohľadávok na poistnom z titulu oddlže</w:t>
      </w:r>
      <w:r w:rsidR="00A20394">
        <w:rPr>
          <w:szCs w:val="22"/>
        </w:rPr>
        <w:t>nia zdravotníckych zariadení vo </w:t>
      </w:r>
      <w:r w:rsidRPr="00C533A7">
        <w:rPr>
          <w:szCs w:val="22"/>
        </w:rPr>
        <w:t>výške 205</w:t>
      </w:r>
      <w:r>
        <w:rPr>
          <w:szCs w:val="22"/>
        </w:rPr>
        <w:t> </w:t>
      </w:r>
      <w:r w:rsidRPr="00C533A7">
        <w:rPr>
          <w:szCs w:val="22"/>
        </w:rPr>
        <w:t>990</w:t>
      </w:r>
      <w:r>
        <w:rPr>
          <w:szCs w:val="22"/>
        </w:rPr>
        <w:t> </w:t>
      </w:r>
      <w:r w:rsidRPr="00C533A7">
        <w:rPr>
          <w:szCs w:val="22"/>
        </w:rPr>
        <w:t>tis.</w:t>
      </w:r>
      <w:r>
        <w:rPr>
          <w:szCs w:val="22"/>
        </w:rPr>
        <w:t> </w:t>
      </w:r>
      <w:r w:rsidRPr="00C533A7">
        <w:rPr>
          <w:szCs w:val="22"/>
        </w:rPr>
        <w:t xml:space="preserve">eur. Pozitívny vplyv na hospodárenie mal </w:t>
      </w:r>
      <w:r>
        <w:rPr>
          <w:szCs w:val="22"/>
        </w:rPr>
        <w:t xml:space="preserve">najmä nárast </w:t>
      </w:r>
      <w:r w:rsidRPr="00C533A7">
        <w:rPr>
          <w:szCs w:val="22"/>
        </w:rPr>
        <w:t>pohľadáv</w:t>
      </w:r>
      <w:r>
        <w:rPr>
          <w:szCs w:val="22"/>
        </w:rPr>
        <w:t xml:space="preserve">ok </w:t>
      </w:r>
      <w:r w:rsidRPr="00C533A7">
        <w:rPr>
          <w:szCs w:val="22"/>
        </w:rPr>
        <w:t>na poistnom voči zdravotníckym</w:t>
      </w:r>
      <w:r>
        <w:rPr>
          <w:szCs w:val="22"/>
        </w:rPr>
        <w:t xml:space="preserve">  zariadeniam vo výške 87 840</w:t>
      </w:r>
      <w:r w:rsidRPr="00C533A7">
        <w:rPr>
          <w:szCs w:val="22"/>
        </w:rPr>
        <w:t> tis.</w:t>
      </w:r>
      <w:r>
        <w:rPr>
          <w:szCs w:val="22"/>
        </w:rPr>
        <w:t> </w:t>
      </w:r>
      <w:r w:rsidRPr="00C533A7">
        <w:rPr>
          <w:szCs w:val="22"/>
        </w:rPr>
        <w:t>eur (dôvodom je zmena prevodníka na základe ktorého pohľadávky na poistnom ovplyvňujú ESA bilanciu). Negatívne ovplyvnil hospodárenie aj nárast záväzkov o 3 1</w:t>
      </w:r>
      <w:r>
        <w:rPr>
          <w:szCs w:val="22"/>
        </w:rPr>
        <w:t>64</w:t>
      </w:r>
      <w:r w:rsidRPr="00C533A7">
        <w:rPr>
          <w:szCs w:val="22"/>
        </w:rPr>
        <w:t> tis. eur, išlo predovšetkým o záväzky z dodávateľských vzťahov.</w:t>
      </w:r>
      <w:r>
        <w:rPr>
          <w:szCs w:val="22"/>
        </w:rPr>
        <w:t xml:space="preserve"> </w:t>
      </w:r>
    </w:p>
    <w:p w14:paraId="6DD0269D" w14:textId="77777777" w:rsidR="006C0DD0" w:rsidRDefault="006C0DD0" w:rsidP="006C0DD0">
      <w:pPr>
        <w:spacing w:before="120" w:after="0" w:line="336" w:lineRule="auto"/>
        <w:jc w:val="both"/>
        <w:rPr>
          <w:szCs w:val="22"/>
        </w:rPr>
      </w:pPr>
      <w:r w:rsidRPr="00C533A7">
        <w:rPr>
          <w:szCs w:val="22"/>
        </w:rPr>
        <w:t>Vplyv oddlžovania jednotlivých subjektov verejnej správy zapojených do procesu oddlžovania mal na celkové hospodárenie verejnej správy neutrálny vplyv.</w:t>
      </w:r>
    </w:p>
    <w:p w14:paraId="0C831E49" w14:textId="29A53A3C" w:rsidR="003D050C" w:rsidRPr="006C0DD0" w:rsidRDefault="003D050C" w:rsidP="00B051D3">
      <w:pPr>
        <w:pStyle w:val="Nadpis2"/>
        <w:numPr>
          <w:ilvl w:val="0"/>
          <w:numId w:val="0"/>
        </w:numPr>
        <w:spacing w:after="120"/>
        <w:ind w:left="896"/>
      </w:pPr>
      <w:bookmarkStart w:id="21" w:name="_Toc23264792"/>
      <w:r w:rsidRPr="006C0DD0">
        <w:t>1</w:t>
      </w:r>
      <w:r w:rsidR="00C102B8" w:rsidRPr="006C0DD0">
        <w:t>.2.</w:t>
      </w:r>
      <w:r w:rsidR="00C102B8" w:rsidRPr="006C0DD0">
        <w:tab/>
      </w:r>
      <w:r w:rsidRPr="006C0DD0">
        <w:t>Dlh verejnej správy</w:t>
      </w:r>
      <w:bookmarkEnd w:id="21"/>
      <w:r w:rsidRPr="006C0DD0">
        <w:t xml:space="preserve"> </w:t>
      </w:r>
    </w:p>
    <w:p w14:paraId="23D74BCE" w14:textId="77777777" w:rsidR="006C0DD0" w:rsidRPr="00F156BD" w:rsidRDefault="006C0DD0" w:rsidP="006C0DD0">
      <w:pPr>
        <w:spacing w:after="120" w:line="336" w:lineRule="auto"/>
        <w:jc w:val="both"/>
        <w:rPr>
          <w:szCs w:val="22"/>
        </w:rPr>
      </w:pPr>
      <w:r w:rsidRPr="00F156BD">
        <w:rPr>
          <w:b/>
          <w:szCs w:val="22"/>
        </w:rPr>
        <w:t>Hrubý dlh verejnej správy</w:t>
      </w:r>
      <w:r w:rsidRPr="00F156BD">
        <w:rPr>
          <w:szCs w:val="22"/>
        </w:rPr>
        <w:t xml:space="preserve"> (maastrichtský dlh) dosiahol k 31.12.2018 výšku </w:t>
      </w:r>
      <w:r w:rsidRPr="00F156BD">
        <w:rPr>
          <w:b/>
          <w:bCs/>
          <w:szCs w:val="22"/>
        </w:rPr>
        <w:t>43 821 768</w:t>
      </w:r>
      <w:r w:rsidRPr="00F156BD">
        <w:rPr>
          <w:b/>
          <w:szCs w:val="22"/>
        </w:rPr>
        <w:t> tis. eur (49,4 % HDP)</w:t>
      </w:r>
      <w:r w:rsidRPr="00F156BD">
        <w:rPr>
          <w:szCs w:val="22"/>
        </w:rPr>
        <w:t xml:space="preserve"> a medziročne sa jeho pomer k HDP znížil o 1,9 p. b.</w:t>
      </w:r>
    </w:p>
    <w:p w14:paraId="1583F38F" w14:textId="77777777" w:rsidR="006C0DD0" w:rsidRPr="00D410B4" w:rsidRDefault="006C0DD0" w:rsidP="006C0DD0">
      <w:pPr>
        <w:spacing w:after="120" w:line="336" w:lineRule="auto"/>
        <w:jc w:val="both"/>
        <w:rPr>
          <w:szCs w:val="22"/>
        </w:rPr>
      </w:pPr>
      <w:r w:rsidRPr="001E5789">
        <w:rPr>
          <w:szCs w:val="22"/>
          <w:u w:val="single"/>
        </w:rPr>
        <w:t xml:space="preserve">Dlh verejnej správy je </w:t>
      </w:r>
      <w:r>
        <w:rPr>
          <w:szCs w:val="22"/>
          <w:u w:val="single"/>
        </w:rPr>
        <w:t xml:space="preserve">koncipovaný ako </w:t>
      </w:r>
      <w:r w:rsidRPr="001E5789">
        <w:rPr>
          <w:szCs w:val="22"/>
          <w:u w:val="single"/>
        </w:rPr>
        <w:t>konsolidovaný ukazovateľ</w:t>
      </w:r>
      <w:r w:rsidRPr="00D410B4">
        <w:rPr>
          <w:szCs w:val="22"/>
        </w:rPr>
        <w:t xml:space="preserve">, čo znamená, že </w:t>
      </w:r>
      <w:r>
        <w:rPr>
          <w:szCs w:val="22"/>
        </w:rPr>
        <w:t xml:space="preserve">poskytnuté a prijaté </w:t>
      </w:r>
      <w:r w:rsidRPr="00D410B4">
        <w:rPr>
          <w:szCs w:val="22"/>
        </w:rPr>
        <w:t>pôžičky medzi jednotlivými subjektmi</w:t>
      </w:r>
      <w:r>
        <w:rPr>
          <w:szCs w:val="22"/>
        </w:rPr>
        <w:t xml:space="preserve"> </w:t>
      </w:r>
      <w:r w:rsidRPr="00D410B4">
        <w:rPr>
          <w:szCs w:val="22"/>
        </w:rPr>
        <w:t xml:space="preserve">verejnej správy sú eliminované. </w:t>
      </w:r>
      <w:r>
        <w:rPr>
          <w:szCs w:val="22"/>
        </w:rPr>
        <w:t xml:space="preserve">Skupiny subjektov </w:t>
      </w:r>
      <w:r w:rsidRPr="00D410B4">
        <w:rPr>
          <w:szCs w:val="22"/>
        </w:rPr>
        <w:t xml:space="preserve">verejnej správy uvedené nižšie v tabuľke sú </w:t>
      </w:r>
      <w:r>
        <w:rPr>
          <w:szCs w:val="22"/>
        </w:rPr>
        <w:t>vnútorne</w:t>
      </w:r>
      <w:r w:rsidRPr="00D410B4">
        <w:rPr>
          <w:szCs w:val="22"/>
        </w:rPr>
        <w:t xml:space="preserve"> skonsolidované</w:t>
      </w:r>
      <w:r>
        <w:rPr>
          <w:szCs w:val="22"/>
        </w:rPr>
        <w:t xml:space="preserve"> o vzájomné vzťahy v rámci danej skupiny (napríklad územná samospráva). U</w:t>
      </w:r>
      <w:r w:rsidRPr="00D410B4">
        <w:rPr>
          <w:szCs w:val="22"/>
        </w:rPr>
        <w:t xml:space="preserve">vedená hodnota konsolidácie predstavuje len pôžičky medzi týmito </w:t>
      </w:r>
      <w:r>
        <w:rPr>
          <w:szCs w:val="22"/>
        </w:rPr>
        <w:t>skupinami subjektov</w:t>
      </w:r>
      <w:r w:rsidRPr="00D410B4">
        <w:rPr>
          <w:szCs w:val="22"/>
        </w:rPr>
        <w:t>. Celková výška konsolidácie v roku 2018 predstavovala 1 421 569 tis. eur. Z pohľadu výšky vzájomných pôžičiek a výpožičiek vo verejnej správe tvorí najvýznamnejšiu položku konsolidácie Štátny fond rozvoja bývania, ktorý poskytuje návratné finančné prostriedky, najmä subjektom územnej samosprávy v oblasti podpory bývania (728 099 tis. eur). Ďalšou významnou položkou konsolidácie je návratná finančná výpomoc poskytnutá zo štátneho rozpočtu Agentúre pre</w:t>
      </w:r>
      <w:r>
        <w:rPr>
          <w:szCs w:val="22"/>
        </w:rPr>
        <w:t> </w:t>
      </w:r>
      <w:r w:rsidRPr="00D410B4">
        <w:rPr>
          <w:szCs w:val="22"/>
        </w:rPr>
        <w:t>núdzové zásoby ropy a ropných výrobkov (410</w:t>
      </w:r>
      <w:r>
        <w:rPr>
          <w:szCs w:val="22"/>
        </w:rPr>
        <w:t> </w:t>
      </w:r>
      <w:r w:rsidRPr="00D410B4">
        <w:rPr>
          <w:szCs w:val="22"/>
        </w:rPr>
        <w:t>000</w:t>
      </w:r>
      <w:r>
        <w:rPr>
          <w:szCs w:val="22"/>
        </w:rPr>
        <w:t> </w:t>
      </w:r>
      <w:r w:rsidRPr="00D410B4">
        <w:rPr>
          <w:szCs w:val="22"/>
        </w:rPr>
        <w:t>tis.</w:t>
      </w:r>
      <w:r>
        <w:rPr>
          <w:szCs w:val="22"/>
        </w:rPr>
        <w:t> </w:t>
      </w:r>
      <w:r w:rsidRPr="00D410B4">
        <w:rPr>
          <w:szCs w:val="22"/>
        </w:rPr>
        <w:t>eur) a imputovaná pôžička Agentúry pre</w:t>
      </w:r>
      <w:r>
        <w:rPr>
          <w:szCs w:val="22"/>
        </w:rPr>
        <w:t> </w:t>
      </w:r>
      <w:r w:rsidRPr="00D410B4">
        <w:rPr>
          <w:szCs w:val="22"/>
        </w:rPr>
        <w:t>núdzové zásoby ropy a ropných výrobkov (227 832 tis. eur). Ostatnú časť konsolidácie tvoria najmä návratné finančné výpomoci poskytnuté zo štátneho rozpočtu mestám, obciam a ostatným subjektom verejnej správy (46 315 tis. eur). Okrem týchto vzťahov sa pri výpočte maastrichtského dlhu v rámci zložky „štátny dlh“ abstrahuje od záväzkov Ministerstva financií SR voči Štátnej pokladnici z tzv.</w:t>
      </w:r>
      <w:r>
        <w:rPr>
          <w:szCs w:val="22"/>
        </w:rPr>
        <w:t> </w:t>
      </w:r>
      <w:r w:rsidRPr="00D410B4">
        <w:rPr>
          <w:szCs w:val="22"/>
        </w:rPr>
        <w:t>refinančného systému (9 004 192 tis. eur) a od záväzkov z vkladov subjektov verejnej správy v Štátnej pokladnici (8 885 533 tis. eur).</w:t>
      </w:r>
    </w:p>
    <w:tbl>
      <w:tblPr>
        <w:tblW w:w="5000" w:type="pct"/>
        <w:tblCellMar>
          <w:left w:w="70" w:type="dxa"/>
          <w:right w:w="70" w:type="dxa"/>
        </w:tblCellMar>
        <w:tblLook w:val="04A0" w:firstRow="1" w:lastRow="0" w:firstColumn="1" w:lastColumn="0" w:noHBand="0" w:noVBand="1"/>
      </w:tblPr>
      <w:tblGrid>
        <w:gridCol w:w="4707"/>
        <w:gridCol w:w="1040"/>
        <w:gridCol w:w="1040"/>
        <w:gridCol w:w="1128"/>
        <w:gridCol w:w="1156"/>
      </w:tblGrid>
      <w:tr w:rsidR="006C0DD0" w:rsidRPr="00F156BD" w14:paraId="6149EFA5" w14:textId="77777777" w:rsidTr="00482590">
        <w:trPr>
          <w:trHeight w:val="422"/>
        </w:trPr>
        <w:tc>
          <w:tcPr>
            <w:tcW w:w="3741" w:type="pct"/>
            <w:gridSpan w:val="3"/>
            <w:tcBorders>
              <w:top w:val="single" w:sz="4" w:space="0" w:color="auto"/>
              <w:left w:val="nil"/>
              <w:bottom w:val="single" w:sz="4" w:space="0" w:color="auto"/>
              <w:right w:val="nil"/>
            </w:tcBorders>
            <w:shd w:val="clear" w:color="000000" w:fill="000000"/>
            <w:noWrap/>
            <w:vAlign w:val="center"/>
            <w:hideMark/>
          </w:tcPr>
          <w:p w14:paraId="022360A3" w14:textId="77777777" w:rsidR="006C0DD0" w:rsidRPr="00F156BD" w:rsidRDefault="006C0DD0" w:rsidP="00500BD0">
            <w:pPr>
              <w:spacing w:after="0" w:line="240" w:lineRule="auto"/>
              <w:rPr>
                <w:b/>
                <w:bCs/>
                <w:color w:val="FFFFFF"/>
                <w:sz w:val="20"/>
                <w:szCs w:val="20"/>
                <w:lang w:eastAsia="sk-SK"/>
              </w:rPr>
            </w:pPr>
            <w:r w:rsidRPr="00F156BD">
              <w:rPr>
                <w:b/>
                <w:bCs/>
                <w:color w:val="FFFFFF"/>
                <w:sz w:val="20"/>
                <w:szCs w:val="20"/>
                <w:lang w:eastAsia="sk-SK"/>
              </w:rPr>
              <w:t>Maastrichtský dlh verejnej správy podľa jednotlivých subjektov</w:t>
            </w:r>
          </w:p>
        </w:tc>
        <w:tc>
          <w:tcPr>
            <w:tcW w:w="622" w:type="pct"/>
            <w:tcBorders>
              <w:top w:val="single" w:sz="4" w:space="0" w:color="auto"/>
              <w:left w:val="nil"/>
              <w:bottom w:val="single" w:sz="4" w:space="0" w:color="auto"/>
              <w:right w:val="nil"/>
            </w:tcBorders>
            <w:shd w:val="clear" w:color="000000" w:fill="000000"/>
            <w:noWrap/>
            <w:vAlign w:val="center"/>
            <w:hideMark/>
          </w:tcPr>
          <w:p w14:paraId="223EFCB9" w14:textId="77777777" w:rsidR="006C0DD0" w:rsidRPr="00F156BD" w:rsidRDefault="006C0DD0" w:rsidP="00500BD0">
            <w:pPr>
              <w:spacing w:after="0" w:line="240" w:lineRule="auto"/>
              <w:rPr>
                <w:b/>
                <w:bCs/>
                <w:color w:val="FFFFFF"/>
                <w:sz w:val="20"/>
                <w:szCs w:val="20"/>
                <w:lang w:eastAsia="sk-SK"/>
              </w:rPr>
            </w:pPr>
            <w:r w:rsidRPr="00F156BD">
              <w:rPr>
                <w:b/>
                <w:bCs/>
                <w:color w:val="FFFFFF"/>
                <w:sz w:val="20"/>
                <w:szCs w:val="20"/>
                <w:lang w:eastAsia="sk-SK"/>
              </w:rPr>
              <w:t> </w:t>
            </w:r>
          </w:p>
        </w:tc>
        <w:tc>
          <w:tcPr>
            <w:tcW w:w="637" w:type="pct"/>
            <w:tcBorders>
              <w:top w:val="single" w:sz="4" w:space="0" w:color="auto"/>
              <w:left w:val="nil"/>
              <w:bottom w:val="single" w:sz="4" w:space="0" w:color="auto"/>
              <w:right w:val="nil"/>
            </w:tcBorders>
            <w:shd w:val="clear" w:color="000000" w:fill="000000"/>
            <w:noWrap/>
            <w:vAlign w:val="center"/>
            <w:hideMark/>
          </w:tcPr>
          <w:p w14:paraId="6571FED4" w14:textId="77777777" w:rsidR="006C0DD0" w:rsidRPr="00F156BD" w:rsidRDefault="006C0DD0" w:rsidP="00500BD0">
            <w:pPr>
              <w:spacing w:after="0" w:line="240" w:lineRule="auto"/>
              <w:jc w:val="right"/>
              <w:rPr>
                <w:b/>
                <w:bCs/>
                <w:color w:val="FFFFFF"/>
                <w:sz w:val="20"/>
                <w:szCs w:val="20"/>
                <w:lang w:eastAsia="sk-SK"/>
              </w:rPr>
            </w:pPr>
            <w:r w:rsidRPr="00F156BD">
              <w:rPr>
                <w:b/>
                <w:bCs/>
                <w:color w:val="FFFFFF"/>
                <w:sz w:val="20"/>
                <w:szCs w:val="20"/>
                <w:lang w:eastAsia="sk-SK"/>
              </w:rPr>
              <w:t>tis. eur</w:t>
            </w:r>
          </w:p>
        </w:tc>
      </w:tr>
      <w:tr w:rsidR="006C0DD0" w:rsidRPr="00F156BD" w14:paraId="5EBBB813" w14:textId="77777777" w:rsidTr="000437EA">
        <w:trPr>
          <w:trHeight w:val="111"/>
        </w:trPr>
        <w:tc>
          <w:tcPr>
            <w:tcW w:w="2595" w:type="pct"/>
            <w:tcBorders>
              <w:top w:val="nil"/>
              <w:left w:val="nil"/>
              <w:bottom w:val="nil"/>
              <w:right w:val="nil"/>
            </w:tcBorders>
            <w:shd w:val="clear" w:color="000000" w:fill="BFBFBF"/>
            <w:vAlign w:val="center"/>
            <w:hideMark/>
          </w:tcPr>
          <w:p w14:paraId="6C7B649B" w14:textId="77777777" w:rsidR="006C0DD0" w:rsidRPr="00F156BD" w:rsidRDefault="006C0DD0" w:rsidP="00500BD0">
            <w:pPr>
              <w:spacing w:after="0" w:line="240" w:lineRule="auto"/>
              <w:jc w:val="both"/>
              <w:rPr>
                <w:b/>
                <w:bCs/>
                <w:sz w:val="20"/>
                <w:szCs w:val="20"/>
                <w:lang w:eastAsia="sk-SK"/>
              </w:rPr>
            </w:pPr>
            <w:r w:rsidRPr="00F156BD">
              <w:rPr>
                <w:b/>
                <w:bCs/>
                <w:sz w:val="20"/>
                <w:szCs w:val="20"/>
                <w:lang w:eastAsia="sk-SK"/>
              </w:rPr>
              <w:t> </w:t>
            </w:r>
          </w:p>
        </w:tc>
        <w:tc>
          <w:tcPr>
            <w:tcW w:w="573" w:type="pct"/>
            <w:tcBorders>
              <w:top w:val="nil"/>
              <w:left w:val="nil"/>
              <w:bottom w:val="nil"/>
              <w:right w:val="nil"/>
            </w:tcBorders>
            <w:shd w:val="clear" w:color="000000" w:fill="BFBFBF"/>
            <w:vAlign w:val="center"/>
            <w:hideMark/>
          </w:tcPr>
          <w:p w14:paraId="54CF7C14" w14:textId="3BD6AAC7" w:rsidR="006C0DD0" w:rsidRPr="00F156BD" w:rsidRDefault="006C0DD0" w:rsidP="00500BD0">
            <w:pPr>
              <w:spacing w:after="0" w:line="240" w:lineRule="auto"/>
              <w:jc w:val="center"/>
              <w:rPr>
                <w:b/>
                <w:bCs/>
                <w:sz w:val="20"/>
                <w:szCs w:val="20"/>
                <w:lang w:eastAsia="sk-SK"/>
              </w:rPr>
            </w:pPr>
            <w:r w:rsidRPr="00F156BD">
              <w:rPr>
                <w:b/>
                <w:bCs/>
                <w:sz w:val="20"/>
                <w:szCs w:val="20"/>
                <w:lang w:eastAsia="sk-SK"/>
              </w:rPr>
              <w:t>31.12.2016</w:t>
            </w:r>
          </w:p>
        </w:tc>
        <w:tc>
          <w:tcPr>
            <w:tcW w:w="573" w:type="pct"/>
            <w:tcBorders>
              <w:top w:val="nil"/>
              <w:left w:val="nil"/>
              <w:bottom w:val="nil"/>
              <w:right w:val="nil"/>
            </w:tcBorders>
            <w:shd w:val="clear" w:color="000000" w:fill="BFBFBF"/>
            <w:vAlign w:val="center"/>
            <w:hideMark/>
          </w:tcPr>
          <w:p w14:paraId="36D7E927" w14:textId="191CE313" w:rsidR="006C0DD0" w:rsidRPr="00F156BD" w:rsidRDefault="006C0DD0" w:rsidP="00500BD0">
            <w:pPr>
              <w:spacing w:after="0" w:line="240" w:lineRule="auto"/>
              <w:jc w:val="center"/>
              <w:rPr>
                <w:b/>
                <w:bCs/>
                <w:sz w:val="20"/>
                <w:szCs w:val="20"/>
                <w:lang w:eastAsia="sk-SK"/>
              </w:rPr>
            </w:pPr>
            <w:r w:rsidRPr="00F156BD">
              <w:rPr>
                <w:b/>
                <w:bCs/>
                <w:sz w:val="20"/>
                <w:szCs w:val="20"/>
                <w:lang w:eastAsia="sk-SK"/>
              </w:rPr>
              <w:t>31.12.2017</w:t>
            </w:r>
          </w:p>
        </w:tc>
        <w:tc>
          <w:tcPr>
            <w:tcW w:w="622" w:type="pct"/>
            <w:tcBorders>
              <w:top w:val="nil"/>
              <w:left w:val="nil"/>
              <w:bottom w:val="nil"/>
              <w:right w:val="nil"/>
            </w:tcBorders>
            <w:shd w:val="clear" w:color="000000" w:fill="BFBFBF"/>
            <w:vAlign w:val="center"/>
            <w:hideMark/>
          </w:tcPr>
          <w:p w14:paraId="14184780" w14:textId="04400734" w:rsidR="006C0DD0" w:rsidRPr="00F156BD" w:rsidRDefault="006C0DD0" w:rsidP="00500BD0">
            <w:pPr>
              <w:spacing w:after="0" w:line="240" w:lineRule="auto"/>
              <w:jc w:val="center"/>
              <w:rPr>
                <w:b/>
                <w:bCs/>
                <w:sz w:val="20"/>
                <w:szCs w:val="20"/>
                <w:lang w:eastAsia="sk-SK"/>
              </w:rPr>
            </w:pPr>
            <w:r w:rsidRPr="00F156BD">
              <w:rPr>
                <w:b/>
                <w:bCs/>
                <w:sz w:val="20"/>
                <w:szCs w:val="20"/>
                <w:lang w:eastAsia="sk-SK"/>
              </w:rPr>
              <w:t xml:space="preserve"> 31.12.2018</w:t>
            </w:r>
          </w:p>
        </w:tc>
        <w:tc>
          <w:tcPr>
            <w:tcW w:w="637" w:type="pct"/>
            <w:tcBorders>
              <w:top w:val="nil"/>
              <w:left w:val="nil"/>
              <w:bottom w:val="nil"/>
              <w:right w:val="nil"/>
            </w:tcBorders>
            <w:shd w:val="clear" w:color="000000" w:fill="BFBFBF"/>
            <w:vAlign w:val="center"/>
            <w:hideMark/>
          </w:tcPr>
          <w:p w14:paraId="027BB42C" w14:textId="77777777" w:rsidR="006C0DD0" w:rsidRPr="00F156BD" w:rsidRDefault="006C0DD0" w:rsidP="00500BD0">
            <w:pPr>
              <w:spacing w:after="0" w:line="240" w:lineRule="auto"/>
              <w:jc w:val="center"/>
              <w:rPr>
                <w:b/>
                <w:bCs/>
                <w:sz w:val="20"/>
                <w:szCs w:val="20"/>
                <w:lang w:eastAsia="sk-SK"/>
              </w:rPr>
            </w:pPr>
            <w:r w:rsidRPr="00F156BD">
              <w:rPr>
                <w:b/>
                <w:bCs/>
                <w:sz w:val="20"/>
                <w:szCs w:val="20"/>
                <w:lang w:eastAsia="sk-SK"/>
              </w:rPr>
              <w:t>Zmena</w:t>
            </w:r>
          </w:p>
        </w:tc>
      </w:tr>
      <w:tr w:rsidR="006C0DD0" w:rsidRPr="00F156BD" w14:paraId="583C82C2" w14:textId="77777777" w:rsidTr="000437EA">
        <w:trPr>
          <w:trHeight w:val="167"/>
        </w:trPr>
        <w:tc>
          <w:tcPr>
            <w:tcW w:w="2595" w:type="pct"/>
            <w:tcBorders>
              <w:top w:val="nil"/>
              <w:left w:val="nil"/>
              <w:bottom w:val="single" w:sz="4" w:space="0" w:color="auto"/>
              <w:right w:val="nil"/>
            </w:tcBorders>
            <w:shd w:val="clear" w:color="000000" w:fill="BFBFBF"/>
            <w:noWrap/>
            <w:vAlign w:val="bottom"/>
            <w:hideMark/>
          </w:tcPr>
          <w:p w14:paraId="6291A4AB" w14:textId="77777777" w:rsidR="006C0DD0" w:rsidRPr="00F156BD" w:rsidRDefault="006C0DD0" w:rsidP="00500BD0">
            <w:pPr>
              <w:spacing w:after="0" w:line="240" w:lineRule="auto"/>
              <w:jc w:val="center"/>
              <w:rPr>
                <w:sz w:val="20"/>
                <w:szCs w:val="20"/>
                <w:lang w:eastAsia="sk-SK"/>
              </w:rPr>
            </w:pPr>
            <w:r w:rsidRPr="00F156BD">
              <w:rPr>
                <w:sz w:val="20"/>
                <w:szCs w:val="20"/>
                <w:lang w:eastAsia="sk-SK"/>
              </w:rPr>
              <w:t> </w:t>
            </w:r>
          </w:p>
        </w:tc>
        <w:tc>
          <w:tcPr>
            <w:tcW w:w="573" w:type="pct"/>
            <w:tcBorders>
              <w:top w:val="nil"/>
              <w:left w:val="nil"/>
              <w:bottom w:val="single" w:sz="4" w:space="0" w:color="auto"/>
              <w:right w:val="nil"/>
            </w:tcBorders>
            <w:shd w:val="clear" w:color="000000" w:fill="BFBFBF"/>
            <w:noWrap/>
            <w:vAlign w:val="bottom"/>
            <w:hideMark/>
          </w:tcPr>
          <w:p w14:paraId="086716F5" w14:textId="77777777" w:rsidR="006C0DD0" w:rsidRPr="00F156BD" w:rsidRDefault="006C0DD0" w:rsidP="00500BD0">
            <w:pPr>
              <w:spacing w:after="0" w:line="240" w:lineRule="auto"/>
              <w:jc w:val="center"/>
              <w:rPr>
                <w:sz w:val="20"/>
                <w:szCs w:val="20"/>
                <w:lang w:eastAsia="sk-SK"/>
              </w:rPr>
            </w:pPr>
            <w:r w:rsidRPr="00F156BD">
              <w:rPr>
                <w:sz w:val="20"/>
                <w:szCs w:val="20"/>
                <w:lang w:eastAsia="sk-SK"/>
              </w:rPr>
              <w:t>1</w:t>
            </w:r>
          </w:p>
        </w:tc>
        <w:tc>
          <w:tcPr>
            <w:tcW w:w="573" w:type="pct"/>
            <w:tcBorders>
              <w:top w:val="nil"/>
              <w:left w:val="nil"/>
              <w:bottom w:val="single" w:sz="4" w:space="0" w:color="auto"/>
              <w:right w:val="nil"/>
            </w:tcBorders>
            <w:shd w:val="clear" w:color="000000" w:fill="BFBFBF"/>
            <w:noWrap/>
            <w:vAlign w:val="bottom"/>
            <w:hideMark/>
          </w:tcPr>
          <w:p w14:paraId="75E85884" w14:textId="77777777" w:rsidR="006C0DD0" w:rsidRPr="00F156BD" w:rsidRDefault="006C0DD0" w:rsidP="00500BD0">
            <w:pPr>
              <w:spacing w:after="0" w:line="240" w:lineRule="auto"/>
              <w:jc w:val="center"/>
              <w:rPr>
                <w:sz w:val="20"/>
                <w:szCs w:val="20"/>
                <w:lang w:eastAsia="sk-SK"/>
              </w:rPr>
            </w:pPr>
            <w:r w:rsidRPr="00F156BD">
              <w:rPr>
                <w:sz w:val="20"/>
                <w:szCs w:val="20"/>
                <w:lang w:eastAsia="sk-SK"/>
              </w:rPr>
              <w:t>2</w:t>
            </w:r>
          </w:p>
        </w:tc>
        <w:tc>
          <w:tcPr>
            <w:tcW w:w="622" w:type="pct"/>
            <w:tcBorders>
              <w:top w:val="nil"/>
              <w:left w:val="nil"/>
              <w:bottom w:val="single" w:sz="4" w:space="0" w:color="auto"/>
              <w:right w:val="nil"/>
            </w:tcBorders>
            <w:shd w:val="clear" w:color="000000" w:fill="BFBFBF"/>
            <w:noWrap/>
            <w:vAlign w:val="bottom"/>
            <w:hideMark/>
          </w:tcPr>
          <w:p w14:paraId="6D98C3E6" w14:textId="77777777" w:rsidR="006C0DD0" w:rsidRPr="00F156BD" w:rsidRDefault="006C0DD0" w:rsidP="00500BD0">
            <w:pPr>
              <w:spacing w:after="0" w:line="240" w:lineRule="auto"/>
              <w:jc w:val="center"/>
              <w:rPr>
                <w:sz w:val="20"/>
                <w:szCs w:val="20"/>
                <w:lang w:eastAsia="sk-SK"/>
              </w:rPr>
            </w:pPr>
            <w:r w:rsidRPr="00F156BD">
              <w:rPr>
                <w:sz w:val="20"/>
                <w:szCs w:val="20"/>
                <w:lang w:eastAsia="sk-SK"/>
              </w:rPr>
              <w:t>3</w:t>
            </w:r>
          </w:p>
        </w:tc>
        <w:tc>
          <w:tcPr>
            <w:tcW w:w="637" w:type="pct"/>
            <w:tcBorders>
              <w:top w:val="nil"/>
              <w:left w:val="nil"/>
              <w:bottom w:val="single" w:sz="4" w:space="0" w:color="auto"/>
              <w:right w:val="nil"/>
            </w:tcBorders>
            <w:shd w:val="clear" w:color="000000" w:fill="BFBFBF"/>
            <w:noWrap/>
            <w:vAlign w:val="bottom"/>
            <w:hideMark/>
          </w:tcPr>
          <w:p w14:paraId="18A049D1" w14:textId="77777777" w:rsidR="006C0DD0" w:rsidRPr="00F156BD" w:rsidRDefault="006C0DD0" w:rsidP="00500BD0">
            <w:pPr>
              <w:spacing w:after="0" w:line="240" w:lineRule="auto"/>
              <w:jc w:val="center"/>
              <w:rPr>
                <w:sz w:val="20"/>
                <w:szCs w:val="20"/>
                <w:lang w:eastAsia="sk-SK"/>
              </w:rPr>
            </w:pPr>
            <w:r w:rsidRPr="00F156BD">
              <w:rPr>
                <w:sz w:val="20"/>
                <w:szCs w:val="20"/>
                <w:lang w:eastAsia="sk-SK"/>
              </w:rPr>
              <w:t>4=(3-2)</w:t>
            </w:r>
          </w:p>
        </w:tc>
      </w:tr>
      <w:tr w:rsidR="006C0DD0" w:rsidRPr="00F156BD" w14:paraId="6B718C6B" w14:textId="77777777" w:rsidTr="00500BD0">
        <w:trPr>
          <w:trHeight w:val="255"/>
        </w:trPr>
        <w:tc>
          <w:tcPr>
            <w:tcW w:w="2595" w:type="pct"/>
            <w:tcBorders>
              <w:top w:val="nil"/>
              <w:left w:val="nil"/>
              <w:bottom w:val="nil"/>
              <w:right w:val="nil"/>
            </w:tcBorders>
            <w:shd w:val="clear" w:color="auto" w:fill="auto"/>
            <w:noWrap/>
            <w:vAlign w:val="bottom"/>
            <w:hideMark/>
          </w:tcPr>
          <w:p w14:paraId="24713048" w14:textId="77777777" w:rsidR="006C0DD0" w:rsidRPr="00F156BD" w:rsidRDefault="006C0DD0" w:rsidP="00500BD0">
            <w:pPr>
              <w:spacing w:after="0" w:line="240" w:lineRule="auto"/>
              <w:rPr>
                <w:b/>
                <w:bCs/>
                <w:sz w:val="20"/>
                <w:szCs w:val="20"/>
                <w:lang w:eastAsia="sk-SK"/>
              </w:rPr>
            </w:pPr>
            <w:r w:rsidRPr="00F156BD">
              <w:rPr>
                <w:b/>
                <w:bCs/>
                <w:sz w:val="20"/>
                <w:szCs w:val="20"/>
                <w:lang w:eastAsia="sk-SK"/>
              </w:rPr>
              <w:t>Ústredná správa</w:t>
            </w:r>
          </w:p>
        </w:tc>
        <w:tc>
          <w:tcPr>
            <w:tcW w:w="573" w:type="pct"/>
            <w:tcBorders>
              <w:top w:val="nil"/>
              <w:left w:val="nil"/>
              <w:bottom w:val="nil"/>
              <w:right w:val="nil"/>
            </w:tcBorders>
            <w:shd w:val="clear" w:color="auto" w:fill="auto"/>
            <w:noWrap/>
            <w:vAlign w:val="bottom"/>
            <w:hideMark/>
          </w:tcPr>
          <w:p w14:paraId="255611E6"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41 973 563</w:t>
            </w:r>
          </w:p>
        </w:tc>
        <w:tc>
          <w:tcPr>
            <w:tcW w:w="573" w:type="pct"/>
            <w:tcBorders>
              <w:top w:val="nil"/>
              <w:left w:val="nil"/>
              <w:bottom w:val="nil"/>
              <w:right w:val="nil"/>
            </w:tcBorders>
            <w:shd w:val="clear" w:color="auto" w:fill="auto"/>
            <w:noWrap/>
            <w:vAlign w:val="bottom"/>
            <w:hideMark/>
          </w:tcPr>
          <w:p w14:paraId="71F972ED"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43 022 294</w:t>
            </w:r>
          </w:p>
        </w:tc>
        <w:tc>
          <w:tcPr>
            <w:tcW w:w="622" w:type="pct"/>
            <w:tcBorders>
              <w:top w:val="nil"/>
              <w:left w:val="nil"/>
              <w:bottom w:val="nil"/>
              <w:right w:val="nil"/>
            </w:tcBorders>
            <w:shd w:val="clear" w:color="auto" w:fill="auto"/>
            <w:noWrap/>
            <w:vAlign w:val="bottom"/>
            <w:hideMark/>
          </w:tcPr>
          <w:p w14:paraId="09BAEE27"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43 821 768</w:t>
            </w:r>
          </w:p>
        </w:tc>
        <w:tc>
          <w:tcPr>
            <w:tcW w:w="637" w:type="pct"/>
            <w:tcBorders>
              <w:top w:val="nil"/>
              <w:left w:val="nil"/>
              <w:bottom w:val="nil"/>
              <w:right w:val="nil"/>
            </w:tcBorders>
            <w:shd w:val="clear" w:color="auto" w:fill="auto"/>
            <w:noWrap/>
            <w:vAlign w:val="bottom"/>
            <w:hideMark/>
          </w:tcPr>
          <w:p w14:paraId="634F11FA"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799 474</w:t>
            </w:r>
          </w:p>
        </w:tc>
      </w:tr>
      <w:tr w:rsidR="006C0DD0" w:rsidRPr="00F156BD" w14:paraId="15B3A3D4" w14:textId="77777777" w:rsidTr="000437EA">
        <w:trPr>
          <w:trHeight w:val="231"/>
        </w:trPr>
        <w:tc>
          <w:tcPr>
            <w:tcW w:w="2595" w:type="pct"/>
            <w:tcBorders>
              <w:top w:val="nil"/>
              <w:left w:val="nil"/>
              <w:bottom w:val="nil"/>
              <w:right w:val="nil"/>
            </w:tcBorders>
            <w:shd w:val="clear" w:color="auto" w:fill="auto"/>
            <w:noWrap/>
            <w:vAlign w:val="bottom"/>
            <w:hideMark/>
          </w:tcPr>
          <w:p w14:paraId="7E24D496" w14:textId="77777777" w:rsidR="006C0DD0" w:rsidRPr="00F156BD" w:rsidRDefault="006C0DD0" w:rsidP="00500BD0">
            <w:pPr>
              <w:spacing w:after="0" w:line="240" w:lineRule="auto"/>
              <w:ind w:firstLineChars="100" w:firstLine="200"/>
              <w:rPr>
                <w:sz w:val="20"/>
                <w:szCs w:val="20"/>
                <w:lang w:eastAsia="sk-SK"/>
              </w:rPr>
            </w:pPr>
            <w:r w:rsidRPr="00F156BD">
              <w:rPr>
                <w:sz w:val="20"/>
                <w:szCs w:val="20"/>
                <w:lang w:eastAsia="sk-SK"/>
              </w:rPr>
              <w:t xml:space="preserve">z toho: </w:t>
            </w:r>
          </w:p>
        </w:tc>
        <w:tc>
          <w:tcPr>
            <w:tcW w:w="573" w:type="pct"/>
            <w:tcBorders>
              <w:top w:val="nil"/>
              <w:left w:val="nil"/>
              <w:bottom w:val="nil"/>
              <w:right w:val="nil"/>
            </w:tcBorders>
            <w:shd w:val="clear" w:color="auto" w:fill="auto"/>
            <w:noWrap/>
            <w:vAlign w:val="bottom"/>
            <w:hideMark/>
          </w:tcPr>
          <w:p w14:paraId="65FC7819" w14:textId="77777777" w:rsidR="006C0DD0" w:rsidRPr="00F156BD" w:rsidRDefault="006C0DD0" w:rsidP="00500BD0">
            <w:pPr>
              <w:spacing w:after="0" w:line="240" w:lineRule="auto"/>
              <w:ind w:firstLineChars="100" w:firstLine="200"/>
              <w:rPr>
                <w:sz w:val="20"/>
                <w:szCs w:val="20"/>
                <w:lang w:eastAsia="sk-SK"/>
              </w:rPr>
            </w:pPr>
          </w:p>
        </w:tc>
        <w:tc>
          <w:tcPr>
            <w:tcW w:w="573" w:type="pct"/>
            <w:tcBorders>
              <w:top w:val="nil"/>
              <w:left w:val="nil"/>
              <w:bottom w:val="nil"/>
              <w:right w:val="nil"/>
            </w:tcBorders>
            <w:shd w:val="clear" w:color="auto" w:fill="auto"/>
            <w:noWrap/>
            <w:vAlign w:val="bottom"/>
            <w:hideMark/>
          </w:tcPr>
          <w:p w14:paraId="21984FCB" w14:textId="77777777" w:rsidR="006C0DD0" w:rsidRPr="00F156BD" w:rsidRDefault="006C0DD0" w:rsidP="00500BD0">
            <w:pPr>
              <w:spacing w:after="0" w:line="240" w:lineRule="auto"/>
              <w:rPr>
                <w:sz w:val="20"/>
                <w:szCs w:val="20"/>
                <w:lang w:eastAsia="sk-SK"/>
              </w:rPr>
            </w:pPr>
          </w:p>
        </w:tc>
        <w:tc>
          <w:tcPr>
            <w:tcW w:w="622" w:type="pct"/>
            <w:tcBorders>
              <w:top w:val="nil"/>
              <w:left w:val="nil"/>
              <w:bottom w:val="nil"/>
              <w:right w:val="nil"/>
            </w:tcBorders>
            <w:shd w:val="clear" w:color="auto" w:fill="auto"/>
            <w:noWrap/>
            <w:vAlign w:val="bottom"/>
            <w:hideMark/>
          </w:tcPr>
          <w:p w14:paraId="6B39EA1F" w14:textId="77777777" w:rsidR="006C0DD0" w:rsidRPr="00F156BD" w:rsidRDefault="006C0DD0" w:rsidP="00500BD0">
            <w:pPr>
              <w:spacing w:after="0" w:line="240" w:lineRule="auto"/>
              <w:rPr>
                <w:sz w:val="20"/>
                <w:szCs w:val="20"/>
                <w:lang w:eastAsia="sk-SK"/>
              </w:rPr>
            </w:pPr>
          </w:p>
        </w:tc>
        <w:tc>
          <w:tcPr>
            <w:tcW w:w="637" w:type="pct"/>
            <w:tcBorders>
              <w:top w:val="nil"/>
              <w:left w:val="nil"/>
              <w:bottom w:val="nil"/>
              <w:right w:val="nil"/>
            </w:tcBorders>
            <w:shd w:val="clear" w:color="auto" w:fill="auto"/>
            <w:noWrap/>
            <w:vAlign w:val="bottom"/>
            <w:hideMark/>
          </w:tcPr>
          <w:p w14:paraId="27D79D20" w14:textId="77777777" w:rsidR="006C0DD0" w:rsidRPr="00F156BD" w:rsidRDefault="006C0DD0" w:rsidP="00500BD0">
            <w:pPr>
              <w:spacing w:after="0" w:line="240" w:lineRule="auto"/>
              <w:rPr>
                <w:sz w:val="20"/>
                <w:szCs w:val="20"/>
                <w:lang w:eastAsia="sk-SK"/>
              </w:rPr>
            </w:pPr>
          </w:p>
        </w:tc>
      </w:tr>
      <w:tr w:rsidR="006C0DD0" w:rsidRPr="00F156BD" w14:paraId="7A702BEE" w14:textId="77777777" w:rsidTr="000437EA">
        <w:trPr>
          <w:trHeight w:val="149"/>
        </w:trPr>
        <w:tc>
          <w:tcPr>
            <w:tcW w:w="2595" w:type="pct"/>
            <w:tcBorders>
              <w:top w:val="nil"/>
              <w:left w:val="nil"/>
              <w:bottom w:val="nil"/>
              <w:right w:val="nil"/>
            </w:tcBorders>
            <w:shd w:val="clear" w:color="auto" w:fill="auto"/>
            <w:noWrap/>
            <w:vAlign w:val="bottom"/>
            <w:hideMark/>
          </w:tcPr>
          <w:p w14:paraId="27A0AF45"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 xml:space="preserve">Štátny dlh  </w:t>
            </w:r>
            <w:r w:rsidRPr="00F156BD">
              <w:rPr>
                <w:sz w:val="20"/>
                <w:szCs w:val="20"/>
                <w:vertAlign w:val="superscript"/>
                <w:lang w:eastAsia="sk-SK"/>
              </w:rPr>
              <w:t>1)</w:t>
            </w:r>
          </w:p>
        </w:tc>
        <w:tc>
          <w:tcPr>
            <w:tcW w:w="573" w:type="pct"/>
            <w:tcBorders>
              <w:top w:val="nil"/>
              <w:left w:val="nil"/>
              <w:bottom w:val="nil"/>
              <w:right w:val="nil"/>
            </w:tcBorders>
            <w:shd w:val="clear" w:color="auto" w:fill="auto"/>
            <w:noWrap/>
            <w:vAlign w:val="bottom"/>
            <w:hideMark/>
          </w:tcPr>
          <w:p w14:paraId="5A70A6D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40 647 852</w:t>
            </w:r>
          </w:p>
        </w:tc>
        <w:tc>
          <w:tcPr>
            <w:tcW w:w="573" w:type="pct"/>
            <w:tcBorders>
              <w:top w:val="nil"/>
              <w:left w:val="nil"/>
              <w:bottom w:val="nil"/>
              <w:right w:val="nil"/>
            </w:tcBorders>
            <w:shd w:val="clear" w:color="auto" w:fill="auto"/>
            <w:noWrap/>
            <w:vAlign w:val="bottom"/>
            <w:hideMark/>
          </w:tcPr>
          <w:p w14:paraId="2EBD1F2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41 769 746</w:t>
            </w:r>
          </w:p>
        </w:tc>
        <w:tc>
          <w:tcPr>
            <w:tcW w:w="622" w:type="pct"/>
            <w:tcBorders>
              <w:top w:val="nil"/>
              <w:left w:val="nil"/>
              <w:bottom w:val="nil"/>
              <w:right w:val="nil"/>
            </w:tcBorders>
            <w:shd w:val="clear" w:color="auto" w:fill="auto"/>
            <w:noWrap/>
            <w:vAlign w:val="bottom"/>
            <w:hideMark/>
          </w:tcPr>
          <w:p w14:paraId="2860287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42 560 165</w:t>
            </w:r>
          </w:p>
        </w:tc>
        <w:tc>
          <w:tcPr>
            <w:tcW w:w="637" w:type="pct"/>
            <w:tcBorders>
              <w:top w:val="nil"/>
              <w:left w:val="nil"/>
              <w:bottom w:val="nil"/>
              <w:right w:val="nil"/>
            </w:tcBorders>
            <w:shd w:val="clear" w:color="auto" w:fill="auto"/>
            <w:noWrap/>
            <w:vAlign w:val="bottom"/>
            <w:hideMark/>
          </w:tcPr>
          <w:p w14:paraId="0BFCC07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790 419</w:t>
            </w:r>
          </w:p>
        </w:tc>
      </w:tr>
      <w:tr w:rsidR="006C0DD0" w:rsidRPr="00F156BD" w14:paraId="4C07A559" w14:textId="77777777" w:rsidTr="00500BD0">
        <w:trPr>
          <w:trHeight w:val="255"/>
        </w:trPr>
        <w:tc>
          <w:tcPr>
            <w:tcW w:w="2595" w:type="pct"/>
            <w:tcBorders>
              <w:top w:val="nil"/>
              <w:left w:val="nil"/>
              <w:bottom w:val="nil"/>
              <w:right w:val="nil"/>
            </w:tcBorders>
            <w:shd w:val="clear" w:color="auto" w:fill="auto"/>
            <w:noWrap/>
            <w:vAlign w:val="bottom"/>
            <w:hideMark/>
          </w:tcPr>
          <w:p w14:paraId="3C524B16"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Príspevkové organizácie ústrednej správy</w:t>
            </w:r>
          </w:p>
        </w:tc>
        <w:tc>
          <w:tcPr>
            <w:tcW w:w="573" w:type="pct"/>
            <w:tcBorders>
              <w:top w:val="nil"/>
              <w:left w:val="nil"/>
              <w:bottom w:val="nil"/>
              <w:right w:val="nil"/>
            </w:tcBorders>
            <w:shd w:val="clear" w:color="auto" w:fill="auto"/>
            <w:noWrap/>
            <w:vAlign w:val="bottom"/>
            <w:hideMark/>
          </w:tcPr>
          <w:p w14:paraId="3C176E1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5 030</w:t>
            </w:r>
          </w:p>
        </w:tc>
        <w:tc>
          <w:tcPr>
            <w:tcW w:w="573" w:type="pct"/>
            <w:tcBorders>
              <w:top w:val="nil"/>
              <w:left w:val="nil"/>
              <w:bottom w:val="nil"/>
              <w:right w:val="nil"/>
            </w:tcBorders>
            <w:shd w:val="clear" w:color="auto" w:fill="auto"/>
            <w:noWrap/>
            <w:vAlign w:val="bottom"/>
            <w:hideMark/>
          </w:tcPr>
          <w:p w14:paraId="69E8810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3 730</w:t>
            </w:r>
          </w:p>
        </w:tc>
        <w:tc>
          <w:tcPr>
            <w:tcW w:w="622" w:type="pct"/>
            <w:tcBorders>
              <w:top w:val="nil"/>
              <w:left w:val="nil"/>
              <w:bottom w:val="nil"/>
              <w:right w:val="nil"/>
            </w:tcBorders>
            <w:shd w:val="clear" w:color="auto" w:fill="auto"/>
            <w:noWrap/>
            <w:vAlign w:val="bottom"/>
            <w:hideMark/>
          </w:tcPr>
          <w:p w14:paraId="17AA438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16 154</w:t>
            </w:r>
          </w:p>
        </w:tc>
        <w:tc>
          <w:tcPr>
            <w:tcW w:w="637" w:type="pct"/>
            <w:tcBorders>
              <w:top w:val="nil"/>
              <w:left w:val="nil"/>
              <w:bottom w:val="nil"/>
              <w:right w:val="nil"/>
            </w:tcBorders>
            <w:shd w:val="clear" w:color="auto" w:fill="auto"/>
            <w:noWrap/>
            <w:vAlign w:val="bottom"/>
            <w:hideMark/>
          </w:tcPr>
          <w:p w14:paraId="79EE74E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12 424</w:t>
            </w:r>
          </w:p>
        </w:tc>
      </w:tr>
      <w:tr w:rsidR="006C0DD0" w:rsidRPr="00F156BD" w14:paraId="1DAF34DF" w14:textId="77777777" w:rsidTr="00500BD0">
        <w:trPr>
          <w:trHeight w:val="255"/>
        </w:trPr>
        <w:tc>
          <w:tcPr>
            <w:tcW w:w="2595" w:type="pct"/>
            <w:tcBorders>
              <w:top w:val="nil"/>
              <w:left w:val="nil"/>
              <w:bottom w:val="nil"/>
              <w:right w:val="nil"/>
            </w:tcBorders>
            <w:shd w:val="clear" w:color="auto" w:fill="auto"/>
            <w:noWrap/>
            <w:vAlign w:val="bottom"/>
            <w:hideMark/>
          </w:tcPr>
          <w:p w14:paraId="5C5F22AB"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Ex</w:t>
            </w:r>
            <w:r>
              <w:rPr>
                <w:sz w:val="20"/>
                <w:szCs w:val="20"/>
                <w:lang w:eastAsia="sk-SK"/>
              </w:rPr>
              <w:t>imbanka SR</w:t>
            </w:r>
          </w:p>
        </w:tc>
        <w:tc>
          <w:tcPr>
            <w:tcW w:w="573" w:type="pct"/>
            <w:tcBorders>
              <w:top w:val="nil"/>
              <w:left w:val="nil"/>
              <w:bottom w:val="nil"/>
              <w:right w:val="nil"/>
            </w:tcBorders>
            <w:shd w:val="clear" w:color="auto" w:fill="auto"/>
            <w:noWrap/>
            <w:vAlign w:val="bottom"/>
            <w:hideMark/>
          </w:tcPr>
          <w:p w14:paraId="48C1E41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25 644</w:t>
            </w:r>
          </w:p>
        </w:tc>
        <w:tc>
          <w:tcPr>
            <w:tcW w:w="573" w:type="pct"/>
            <w:tcBorders>
              <w:top w:val="nil"/>
              <w:left w:val="nil"/>
              <w:bottom w:val="nil"/>
              <w:right w:val="nil"/>
            </w:tcBorders>
            <w:shd w:val="clear" w:color="auto" w:fill="auto"/>
            <w:noWrap/>
            <w:vAlign w:val="bottom"/>
            <w:hideMark/>
          </w:tcPr>
          <w:p w14:paraId="51575A3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9 542</w:t>
            </w:r>
          </w:p>
        </w:tc>
        <w:tc>
          <w:tcPr>
            <w:tcW w:w="622" w:type="pct"/>
            <w:tcBorders>
              <w:top w:val="nil"/>
              <w:left w:val="nil"/>
              <w:bottom w:val="nil"/>
              <w:right w:val="nil"/>
            </w:tcBorders>
            <w:shd w:val="clear" w:color="auto" w:fill="auto"/>
            <w:noWrap/>
            <w:vAlign w:val="bottom"/>
            <w:hideMark/>
          </w:tcPr>
          <w:p w14:paraId="1F2D858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10 121</w:t>
            </w:r>
          </w:p>
        </w:tc>
        <w:tc>
          <w:tcPr>
            <w:tcW w:w="637" w:type="pct"/>
            <w:tcBorders>
              <w:top w:val="nil"/>
              <w:left w:val="nil"/>
              <w:bottom w:val="nil"/>
              <w:right w:val="nil"/>
            </w:tcBorders>
            <w:shd w:val="clear" w:color="auto" w:fill="auto"/>
            <w:noWrap/>
            <w:vAlign w:val="bottom"/>
            <w:hideMark/>
          </w:tcPr>
          <w:p w14:paraId="3067EB0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579</w:t>
            </w:r>
          </w:p>
        </w:tc>
      </w:tr>
      <w:tr w:rsidR="006C0DD0" w:rsidRPr="00F156BD" w14:paraId="50857D0E" w14:textId="77777777" w:rsidTr="000437EA">
        <w:trPr>
          <w:trHeight w:val="68"/>
        </w:trPr>
        <w:tc>
          <w:tcPr>
            <w:tcW w:w="2595" w:type="pct"/>
            <w:tcBorders>
              <w:top w:val="nil"/>
              <w:left w:val="nil"/>
              <w:bottom w:val="nil"/>
              <w:right w:val="nil"/>
            </w:tcBorders>
            <w:shd w:val="clear" w:color="auto" w:fill="auto"/>
            <w:noWrap/>
            <w:vAlign w:val="bottom"/>
            <w:hideMark/>
          </w:tcPr>
          <w:p w14:paraId="658C08A1"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Obchodné spoločnosti štátu</w:t>
            </w:r>
          </w:p>
        </w:tc>
        <w:tc>
          <w:tcPr>
            <w:tcW w:w="573" w:type="pct"/>
            <w:tcBorders>
              <w:top w:val="nil"/>
              <w:left w:val="nil"/>
              <w:bottom w:val="nil"/>
              <w:right w:val="nil"/>
            </w:tcBorders>
            <w:shd w:val="clear" w:color="auto" w:fill="auto"/>
            <w:noWrap/>
            <w:vAlign w:val="bottom"/>
            <w:hideMark/>
          </w:tcPr>
          <w:p w14:paraId="4833FC7A"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688 104</w:t>
            </w:r>
          </w:p>
        </w:tc>
        <w:tc>
          <w:tcPr>
            <w:tcW w:w="573" w:type="pct"/>
            <w:tcBorders>
              <w:top w:val="nil"/>
              <w:left w:val="nil"/>
              <w:bottom w:val="nil"/>
              <w:right w:val="nil"/>
            </w:tcBorders>
            <w:shd w:val="clear" w:color="auto" w:fill="auto"/>
            <w:noWrap/>
            <w:vAlign w:val="bottom"/>
            <w:hideMark/>
          </w:tcPr>
          <w:p w14:paraId="0D69B50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660 088</w:t>
            </w:r>
          </w:p>
        </w:tc>
        <w:tc>
          <w:tcPr>
            <w:tcW w:w="622" w:type="pct"/>
            <w:tcBorders>
              <w:top w:val="nil"/>
              <w:left w:val="nil"/>
              <w:bottom w:val="nil"/>
              <w:right w:val="nil"/>
            </w:tcBorders>
            <w:shd w:val="clear" w:color="auto" w:fill="auto"/>
            <w:noWrap/>
            <w:vAlign w:val="bottom"/>
            <w:hideMark/>
          </w:tcPr>
          <w:p w14:paraId="2B53A0A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665 149</w:t>
            </w:r>
          </w:p>
        </w:tc>
        <w:tc>
          <w:tcPr>
            <w:tcW w:w="637" w:type="pct"/>
            <w:tcBorders>
              <w:top w:val="nil"/>
              <w:left w:val="nil"/>
              <w:bottom w:val="nil"/>
              <w:right w:val="nil"/>
            </w:tcBorders>
            <w:shd w:val="clear" w:color="auto" w:fill="auto"/>
            <w:noWrap/>
            <w:vAlign w:val="bottom"/>
            <w:hideMark/>
          </w:tcPr>
          <w:p w14:paraId="42479E0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5 061</w:t>
            </w:r>
          </w:p>
        </w:tc>
      </w:tr>
      <w:tr w:rsidR="006C0DD0" w:rsidRPr="00F156BD" w14:paraId="18A13270" w14:textId="77777777" w:rsidTr="00500BD0">
        <w:trPr>
          <w:trHeight w:val="255"/>
        </w:trPr>
        <w:tc>
          <w:tcPr>
            <w:tcW w:w="2595" w:type="pct"/>
            <w:tcBorders>
              <w:top w:val="nil"/>
              <w:left w:val="nil"/>
              <w:bottom w:val="nil"/>
              <w:right w:val="nil"/>
            </w:tcBorders>
            <w:shd w:val="clear" w:color="auto" w:fill="auto"/>
            <w:noWrap/>
            <w:vAlign w:val="bottom"/>
            <w:hideMark/>
          </w:tcPr>
          <w:p w14:paraId="2C1B631F" w14:textId="77777777" w:rsidR="006C0DD0" w:rsidRPr="00F156BD" w:rsidRDefault="006C0DD0" w:rsidP="00500BD0">
            <w:pPr>
              <w:spacing w:after="0" w:line="240" w:lineRule="auto"/>
              <w:ind w:firstLineChars="300" w:firstLine="600"/>
              <w:rPr>
                <w:sz w:val="20"/>
                <w:szCs w:val="20"/>
                <w:lang w:eastAsia="sk-SK"/>
              </w:rPr>
            </w:pPr>
            <w:r w:rsidRPr="00F156BD">
              <w:rPr>
                <w:sz w:val="20"/>
                <w:szCs w:val="20"/>
                <w:lang w:eastAsia="sk-SK"/>
              </w:rPr>
              <w:t>z toho:</w:t>
            </w:r>
          </w:p>
        </w:tc>
        <w:tc>
          <w:tcPr>
            <w:tcW w:w="573" w:type="pct"/>
            <w:tcBorders>
              <w:top w:val="nil"/>
              <w:left w:val="nil"/>
              <w:bottom w:val="nil"/>
              <w:right w:val="nil"/>
            </w:tcBorders>
            <w:shd w:val="clear" w:color="auto" w:fill="auto"/>
            <w:noWrap/>
            <w:vAlign w:val="bottom"/>
            <w:hideMark/>
          </w:tcPr>
          <w:p w14:paraId="31B6585B" w14:textId="77777777" w:rsidR="006C0DD0" w:rsidRPr="00F156BD" w:rsidRDefault="006C0DD0" w:rsidP="00500BD0">
            <w:pPr>
              <w:spacing w:after="0" w:line="240" w:lineRule="auto"/>
              <w:ind w:firstLineChars="300" w:firstLine="600"/>
              <w:rPr>
                <w:sz w:val="20"/>
                <w:szCs w:val="20"/>
                <w:lang w:eastAsia="sk-SK"/>
              </w:rPr>
            </w:pPr>
          </w:p>
        </w:tc>
        <w:tc>
          <w:tcPr>
            <w:tcW w:w="573" w:type="pct"/>
            <w:tcBorders>
              <w:top w:val="nil"/>
              <w:left w:val="nil"/>
              <w:bottom w:val="nil"/>
              <w:right w:val="nil"/>
            </w:tcBorders>
            <w:shd w:val="clear" w:color="auto" w:fill="auto"/>
            <w:noWrap/>
            <w:vAlign w:val="bottom"/>
            <w:hideMark/>
          </w:tcPr>
          <w:p w14:paraId="3B686876" w14:textId="77777777" w:rsidR="006C0DD0" w:rsidRPr="00F156BD" w:rsidRDefault="006C0DD0" w:rsidP="00500BD0">
            <w:pPr>
              <w:spacing w:after="0" w:line="240" w:lineRule="auto"/>
              <w:rPr>
                <w:sz w:val="20"/>
                <w:szCs w:val="20"/>
                <w:lang w:eastAsia="sk-SK"/>
              </w:rPr>
            </w:pPr>
          </w:p>
        </w:tc>
        <w:tc>
          <w:tcPr>
            <w:tcW w:w="622" w:type="pct"/>
            <w:tcBorders>
              <w:top w:val="nil"/>
              <w:left w:val="nil"/>
              <w:bottom w:val="nil"/>
              <w:right w:val="nil"/>
            </w:tcBorders>
            <w:shd w:val="clear" w:color="auto" w:fill="auto"/>
            <w:noWrap/>
            <w:vAlign w:val="bottom"/>
            <w:hideMark/>
          </w:tcPr>
          <w:p w14:paraId="2F7C42B2" w14:textId="77777777" w:rsidR="006C0DD0" w:rsidRPr="00F156BD" w:rsidRDefault="006C0DD0" w:rsidP="00500BD0">
            <w:pPr>
              <w:spacing w:after="0" w:line="240" w:lineRule="auto"/>
              <w:rPr>
                <w:sz w:val="20"/>
                <w:szCs w:val="20"/>
                <w:lang w:eastAsia="sk-SK"/>
              </w:rPr>
            </w:pPr>
          </w:p>
        </w:tc>
        <w:tc>
          <w:tcPr>
            <w:tcW w:w="637" w:type="pct"/>
            <w:tcBorders>
              <w:top w:val="nil"/>
              <w:left w:val="nil"/>
              <w:bottom w:val="nil"/>
              <w:right w:val="nil"/>
            </w:tcBorders>
            <w:shd w:val="clear" w:color="auto" w:fill="auto"/>
            <w:noWrap/>
            <w:vAlign w:val="bottom"/>
            <w:hideMark/>
          </w:tcPr>
          <w:p w14:paraId="4D17799C" w14:textId="77777777" w:rsidR="006C0DD0" w:rsidRPr="00F156BD" w:rsidRDefault="006C0DD0" w:rsidP="00500BD0">
            <w:pPr>
              <w:spacing w:after="0" w:line="240" w:lineRule="auto"/>
              <w:rPr>
                <w:sz w:val="20"/>
                <w:szCs w:val="20"/>
                <w:lang w:eastAsia="sk-SK"/>
              </w:rPr>
            </w:pPr>
          </w:p>
        </w:tc>
      </w:tr>
      <w:tr w:rsidR="006C0DD0" w:rsidRPr="00F156BD" w14:paraId="4BA9CBF4" w14:textId="77777777" w:rsidTr="00500BD0">
        <w:trPr>
          <w:trHeight w:val="255"/>
        </w:trPr>
        <w:tc>
          <w:tcPr>
            <w:tcW w:w="2595" w:type="pct"/>
            <w:tcBorders>
              <w:top w:val="nil"/>
              <w:left w:val="nil"/>
              <w:bottom w:val="nil"/>
              <w:right w:val="nil"/>
            </w:tcBorders>
            <w:shd w:val="clear" w:color="auto" w:fill="auto"/>
            <w:noWrap/>
            <w:vAlign w:val="bottom"/>
            <w:hideMark/>
          </w:tcPr>
          <w:p w14:paraId="7B18A137"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Železničná spoločnosť</w:t>
            </w:r>
            <w:r>
              <w:rPr>
                <w:sz w:val="20"/>
                <w:szCs w:val="20"/>
                <w:lang w:eastAsia="sk-SK"/>
              </w:rPr>
              <w:t xml:space="preserve"> Slovensko</w:t>
            </w:r>
            <w:r w:rsidRPr="00F156BD">
              <w:rPr>
                <w:sz w:val="20"/>
                <w:szCs w:val="20"/>
                <w:lang w:eastAsia="sk-SK"/>
              </w:rPr>
              <w:t>, a. s.</w:t>
            </w:r>
          </w:p>
        </w:tc>
        <w:tc>
          <w:tcPr>
            <w:tcW w:w="573" w:type="pct"/>
            <w:tcBorders>
              <w:top w:val="nil"/>
              <w:left w:val="nil"/>
              <w:bottom w:val="nil"/>
              <w:right w:val="nil"/>
            </w:tcBorders>
            <w:shd w:val="clear" w:color="auto" w:fill="auto"/>
            <w:noWrap/>
            <w:vAlign w:val="bottom"/>
            <w:hideMark/>
          </w:tcPr>
          <w:p w14:paraId="7AEDB37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343 945</w:t>
            </w:r>
          </w:p>
        </w:tc>
        <w:tc>
          <w:tcPr>
            <w:tcW w:w="573" w:type="pct"/>
            <w:tcBorders>
              <w:top w:val="nil"/>
              <w:left w:val="nil"/>
              <w:bottom w:val="nil"/>
              <w:right w:val="nil"/>
            </w:tcBorders>
            <w:shd w:val="clear" w:color="auto" w:fill="auto"/>
            <w:noWrap/>
            <w:vAlign w:val="bottom"/>
            <w:hideMark/>
          </w:tcPr>
          <w:p w14:paraId="0C0AB91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351 871</w:t>
            </w:r>
          </w:p>
        </w:tc>
        <w:tc>
          <w:tcPr>
            <w:tcW w:w="622" w:type="pct"/>
            <w:tcBorders>
              <w:top w:val="nil"/>
              <w:left w:val="nil"/>
              <w:bottom w:val="nil"/>
              <w:right w:val="nil"/>
            </w:tcBorders>
            <w:shd w:val="clear" w:color="auto" w:fill="auto"/>
            <w:noWrap/>
            <w:vAlign w:val="bottom"/>
            <w:hideMark/>
          </w:tcPr>
          <w:p w14:paraId="126A9D1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386 388</w:t>
            </w:r>
          </w:p>
        </w:tc>
        <w:tc>
          <w:tcPr>
            <w:tcW w:w="637" w:type="pct"/>
            <w:tcBorders>
              <w:top w:val="nil"/>
              <w:left w:val="nil"/>
              <w:bottom w:val="nil"/>
              <w:right w:val="nil"/>
            </w:tcBorders>
            <w:shd w:val="clear" w:color="auto" w:fill="auto"/>
            <w:noWrap/>
            <w:vAlign w:val="bottom"/>
            <w:hideMark/>
          </w:tcPr>
          <w:p w14:paraId="1F1A368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34 517</w:t>
            </w:r>
          </w:p>
        </w:tc>
      </w:tr>
      <w:tr w:rsidR="006C0DD0" w:rsidRPr="00F156BD" w14:paraId="0071A427" w14:textId="77777777" w:rsidTr="00500BD0">
        <w:trPr>
          <w:trHeight w:val="255"/>
        </w:trPr>
        <w:tc>
          <w:tcPr>
            <w:tcW w:w="2595" w:type="pct"/>
            <w:tcBorders>
              <w:top w:val="nil"/>
              <w:left w:val="nil"/>
              <w:bottom w:val="nil"/>
              <w:right w:val="nil"/>
            </w:tcBorders>
            <w:shd w:val="clear" w:color="auto" w:fill="auto"/>
            <w:noWrap/>
            <w:vAlign w:val="bottom"/>
            <w:hideMark/>
          </w:tcPr>
          <w:p w14:paraId="4C02285B"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Národná diaľničná spoločnosť, a. s.</w:t>
            </w:r>
          </w:p>
        </w:tc>
        <w:tc>
          <w:tcPr>
            <w:tcW w:w="573" w:type="pct"/>
            <w:tcBorders>
              <w:top w:val="nil"/>
              <w:left w:val="nil"/>
              <w:bottom w:val="nil"/>
              <w:right w:val="nil"/>
            </w:tcBorders>
            <w:shd w:val="clear" w:color="auto" w:fill="auto"/>
            <w:noWrap/>
            <w:vAlign w:val="bottom"/>
            <w:hideMark/>
          </w:tcPr>
          <w:p w14:paraId="09D3074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247 767</w:t>
            </w:r>
          </w:p>
        </w:tc>
        <w:tc>
          <w:tcPr>
            <w:tcW w:w="573" w:type="pct"/>
            <w:tcBorders>
              <w:top w:val="nil"/>
              <w:left w:val="nil"/>
              <w:bottom w:val="nil"/>
              <w:right w:val="nil"/>
            </w:tcBorders>
            <w:shd w:val="clear" w:color="auto" w:fill="auto"/>
            <w:noWrap/>
            <w:vAlign w:val="bottom"/>
            <w:hideMark/>
          </w:tcPr>
          <w:p w14:paraId="7FCBB91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208 898</w:t>
            </w:r>
          </w:p>
        </w:tc>
        <w:tc>
          <w:tcPr>
            <w:tcW w:w="622" w:type="pct"/>
            <w:tcBorders>
              <w:top w:val="nil"/>
              <w:left w:val="nil"/>
              <w:bottom w:val="nil"/>
              <w:right w:val="nil"/>
            </w:tcBorders>
            <w:shd w:val="clear" w:color="auto" w:fill="auto"/>
            <w:noWrap/>
            <w:vAlign w:val="bottom"/>
            <w:hideMark/>
          </w:tcPr>
          <w:p w14:paraId="45886FF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169 235</w:t>
            </w:r>
          </w:p>
        </w:tc>
        <w:tc>
          <w:tcPr>
            <w:tcW w:w="637" w:type="pct"/>
            <w:tcBorders>
              <w:top w:val="nil"/>
              <w:left w:val="nil"/>
              <w:bottom w:val="nil"/>
              <w:right w:val="nil"/>
            </w:tcBorders>
            <w:shd w:val="clear" w:color="auto" w:fill="auto"/>
            <w:noWrap/>
            <w:vAlign w:val="bottom"/>
            <w:hideMark/>
          </w:tcPr>
          <w:p w14:paraId="1E3C0AA8"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-39 663</w:t>
            </w:r>
          </w:p>
        </w:tc>
      </w:tr>
      <w:tr w:rsidR="006C0DD0" w:rsidRPr="00F156BD" w14:paraId="2746B85D" w14:textId="77777777" w:rsidTr="00500BD0">
        <w:trPr>
          <w:trHeight w:val="255"/>
        </w:trPr>
        <w:tc>
          <w:tcPr>
            <w:tcW w:w="2595" w:type="pct"/>
            <w:tcBorders>
              <w:top w:val="nil"/>
              <w:left w:val="nil"/>
              <w:bottom w:val="nil"/>
              <w:right w:val="nil"/>
            </w:tcBorders>
            <w:shd w:val="clear" w:color="auto" w:fill="auto"/>
            <w:noWrap/>
            <w:vAlign w:val="bottom"/>
            <w:hideMark/>
          </w:tcPr>
          <w:p w14:paraId="22B32CD5"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Železnice Slovenskej republiky</w:t>
            </w:r>
          </w:p>
        </w:tc>
        <w:tc>
          <w:tcPr>
            <w:tcW w:w="573" w:type="pct"/>
            <w:tcBorders>
              <w:top w:val="nil"/>
              <w:left w:val="nil"/>
              <w:bottom w:val="nil"/>
              <w:right w:val="nil"/>
            </w:tcBorders>
            <w:shd w:val="clear" w:color="auto" w:fill="auto"/>
            <w:noWrap/>
            <w:vAlign w:val="bottom"/>
            <w:hideMark/>
          </w:tcPr>
          <w:p w14:paraId="4ECBB7DA"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77 797</w:t>
            </w:r>
          </w:p>
        </w:tc>
        <w:tc>
          <w:tcPr>
            <w:tcW w:w="573" w:type="pct"/>
            <w:tcBorders>
              <w:top w:val="nil"/>
              <w:left w:val="nil"/>
              <w:bottom w:val="nil"/>
              <w:right w:val="nil"/>
            </w:tcBorders>
            <w:shd w:val="clear" w:color="auto" w:fill="auto"/>
            <w:noWrap/>
            <w:vAlign w:val="bottom"/>
            <w:hideMark/>
          </w:tcPr>
          <w:p w14:paraId="78590EA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78 340</w:t>
            </w:r>
          </w:p>
        </w:tc>
        <w:tc>
          <w:tcPr>
            <w:tcW w:w="622" w:type="pct"/>
            <w:tcBorders>
              <w:top w:val="nil"/>
              <w:left w:val="nil"/>
              <w:bottom w:val="nil"/>
              <w:right w:val="nil"/>
            </w:tcBorders>
            <w:shd w:val="clear" w:color="auto" w:fill="auto"/>
            <w:noWrap/>
            <w:vAlign w:val="bottom"/>
            <w:hideMark/>
          </w:tcPr>
          <w:p w14:paraId="0B9521B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83 218</w:t>
            </w:r>
          </w:p>
        </w:tc>
        <w:tc>
          <w:tcPr>
            <w:tcW w:w="637" w:type="pct"/>
            <w:tcBorders>
              <w:top w:val="nil"/>
              <w:left w:val="nil"/>
              <w:bottom w:val="nil"/>
              <w:right w:val="nil"/>
            </w:tcBorders>
            <w:shd w:val="clear" w:color="auto" w:fill="auto"/>
            <w:noWrap/>
            <w:vAlign w:val="bottom"/>
            <w:hideMark/>
          </w:tcPr>
          <w:p w14:paraId="733A867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4 878</w:t>
            </w:r>
          </w:p>
        </w:tc>
      </w:tr>
      <w:tr w:rsidR="006C0DD0" w:rsidRPr="00F156BD" w14:paraId="111150CE" w14:textId="77777777" w:rsidTr="00500BD0">
        <w:trPr>
          <w:trHeight w:val="255"/>
        </w:trPr>
        <w:tc>
          <w:tcPr>
            <w:tcW w:w="2595" w:type="pct"/>
            <w:tcBorders>
              <w:top w:val="nil"/>
              <w:left w:val="nil"/>
              <w:bottom w:val="nil"/>
              <w:right w:val="nil"/>
            </w:tcBorders>
            <w:shd w:val="clear" w:color="auto" w:fill="auto"/>
            <w:noWrap/>
            <w:vAlign w:val="bottom"/>
            <w:hideMark/>
          </w:tcPr>
          <w:p w14:paraId="5F1B95EF"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MH Manažment, a. s.</w:t>
            </w:r>
          </w:p>
        </w:tc>
        <w:tc>
          <w:tcPr>
            <w:tcW w:w="573" w:type="pct"/>
            <w:tcBorders>
              <w:top w:val="nil"/>
              <w:left w:val="nil"/>
              <w:bottom w:val="nil"/>
              <w:right w:val="nil"/>
            </w:tcBorders>
            <w:shd w:val="clear" w:color="auto" w:fill="auto"/>
            <w:noWrap/>
            <w:vAlign w:val="bottom"/>
            <w:hideMark/>
          </w:tcPr>
          <w:p w14:paraId="4053DCF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15 223</w:t>
            </w:r>
          </w:p>
        </w:tc>
        <w:tc>
          <w:tcPr>
            <w:tcW w:w="573" w:type="pct"/>
            <w:tcBorders>
              <w:top w:val="nil"/>
              <w:left w:val="nil"/>
              <w:bottom w:val="nil"/>
              <w:right w:val="nil"/>
            </w:tcBorders>
            <w:shd w:val="clear" w:color="auto" w:fill="auto"/>
            <w:noWrap/>
            <w:vAlign w:val="bottom"/>
            <w:hideMark/>
          </w:tcPr>
          <w:p w14:paraId="6C510C8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15 216</w:t>
            </w:r>
          </w:p>
        </w:tc>
        <w:tc>
          <w:tcPr>
            <w:tcW w:w="622" w:type="pct"/>
            <w:tcBorders>
              <w:top w:val="nil"/>
              <w:left w:val="nil"/>
              <w:bottom w:val="nil"/>
              <w:right w:val="nil"/>
            </w:tcBorders>
            <w:shd w:val="clear" w:color="auto" w:fill="auto"/>
            <w:noWrap/>
            <w:vAlign w:val="bottom"/>
            <w:hideMark/>
          </w:tcPr>
          <w:p w14:paraId="7C5B8417"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15 214</w:t>
            </w:r>
          </w:p>
        </w:tc>
        <w:tc>
          <w:tcPr>
            <w:tcW w:w="637" w:type="pct"/>
            <w:tcBorders>
              <w:top w:val="nil"/>
              <w:left w:val="nil"/>
              <w:bottom w:val="nil"/>
              <w:right w:val="nil"/>
            </w:tcBorders>
            <w:shd w:val="clear" w:color="auto" w:fill="auto"/>
            <w:noWrap/>
            <w:vAlign w:val="bottom"/>
            <w:hideMark/>
          </w:tcPr>
          <w:p w14:paraId="5DE764C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w:t>
            </w:r>
          </w:p>
        </w:tc>
      </w:tr>
      <w:tr w:rsidR="006C0DD0" w:rsidRPr="00F156BD" w14:paraId="16AE424A" w14:textId="77777777" w:rsidTr="00500BD0">
        <w:trPr>
          <w:trHeight w:val="255"/>
        </w:trPr>
        <w:tc>
          <w:tcPr>
            <w:tcW w:w="2595" w:type="pct"/>
            <w:tcBorders>
              <w:top w:val="nil"/>
              <w:left w:val="nil"/>
              <w:bottom w:val="nil"/>
              <w:right w:val="nil"/>
            </w:tcBorders>
            <w:shd w:val="clear" w:color="auto" w:fill="auto"/>
            <w:noWrap/>
            <w:vAlign w:val="bottom"/>
            <w:hideMark/>
          </w:tcPr>
          <w:p w14:paraId="605598A5"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JAVYS, a. s.</w:t>
            </w:r>
          </w:p>
        </w:tc>
        <w:tc>
          <w:tcPr>
            <w:tcW w:w="573" w:type="pct"/>
            <w:tcBorders>
              <w:top w:val="nil"/>
              <w:left w:val="nil"/>
              <w:bottom w:val="nil"/>
              <w:right w:val="nil"/>
            </w:tcBorders>
            <w:shd w:val="clear" w:color="auto" w:fill="auto"/>
            <w:noWrap/>
            <w:vAlign w:val="bottom"/>
            <w:hideMark/>
          </w:tcPr>
          <w:p w14:paraId="4ECDD96B"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565</w:t>
            </w:r>
          </w:p>
        </w:tc>
        <w:tc>
          <w:tcPr>
            <w:tcW w:w="573" w:type="pct"/>
            <w:tcBorders>
              <w:top w:val="nil"/>
              <w:left w:val="nil"/>
              <w:bottom w:val="nil"/>
              <w:right w:val="nil"/>
            </w:tcBorders>
            <w:shd w:val="clear" w:color="auto" w:fill="auto"/>
            <w:noWrap/>
            <w:vAlign w:val="bottom"/>
            <w:hideMark/>
          </w:tcPr>
          <w:p w14:paraId="4A1AB1CA"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2 971</w:t>
            </w:r>
          </w:p>
        </w:tc>
        <w:tc>
          <w:tcPr>
            <w:tcW w:w="622" w:type="pct"/>
            <w:tcBorders>
              <w:top w:val="nil"/>
              <w:left w:val="nil"/>
              <w:bottom w:val="nil"/>
              <w:right w:val="nil"/>
            </w:tcBorders>
            <w:shd w:val="clear" w:color="auto" w:fill="auto"/>
            <w:noWrap/>
            <w:vAlign w:val="bottom"/>
            <w:hideMark/>
          </w:tcPr>
          <w:p w14:paraId="7D237D01"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8 339</w:t>
            </w:r>
          </w:p>
        </w:tc>
        <w:tc>
          <w:tcPr>
            <w:tcW w:w="637" w:type="pct"/>
            <w:tcBorders>
              <w:top w:val="nil"/>
              <w:left w:val="nil"/>
              <w:bottom w:val="nil"/>
              <w:right w:val="nil"/>
            </w:tcBorders>
            <w:shd w:val="clear" w:color="auto" w:fill="auto"/>
            <w:noWrap/>
            <w:vAlign w:val="bottom"/>
            <w:hideMark/>
          </w:tcPr>
          <w:p w14:paraId="557F7B6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5 368</w:t>
            </w:r>
          </w:p>
        </w:tc>
      </w:tr>
      <w:tr w:rsidR="00482590" w:rsidRPr="00F156BD" w14:paraId="141EC249" w14:textId="77777777" w:rsidTr="00C05F79">
        <w:trPr>
          <w:trHeight w:val="111"/>
        </w:trPr>
        <w:tc>
          <w:tcPr>
            <w:tcW w:w="2595" w:type="pct"/>
            <w:tcBorders>
              <w:top w:val="nil"/>
              <w:left w:val="nil"/>
              <w:bottom w:val="nil"/>
              <w:right w:val="nil"/>
            </w:tcBorders>
            <w:shd w:val="clear" w:color="000000" w:fill="BFBFBF"/>
            <w:vAlign w:val="center"/>
            <w:hideMark/>
          </w:tcPr>
          <w:p w14:paraId="0AF483DE" w14:textId="77777777" w:rsidR="00482590" w:rsidRPr="00F156BD" w:rsidRDefault="00482590" w:rsidP="00C05F79">
            <w:pPr>
              <w:spacing w:after="0" w:line="240" w:lineRule="auto"/>
              <w:jc w:val="both"/>
              <w:rPr>
                <w:b/>
                <w:bCs/>
                <w:sz w:val="20"/>
                <w:szCs w:val="20"/>
                <w:lang w:eastAsia="sk-SK"/>
              </w:rPr>
            </w:pPr>
            <w:r w:rsidRPr="00F156BD">
              <w:rPr>
                <w:b/>
                <w:bCs/>
                <w:sz w:val="20"/>
                <w:szCs w:val="20"/>
                <w:lang w:eastAsia="sk-SK"/>
              </w:rPr>
              <w:t> </w:t>
            </w:r>
          </w:p>
        </w:tc>
        <w:tc>
          <w:tcPr>
            <w:tcW w:w="573" w:type="pct"/>
            <w:tcBorders>
              <w:top w:val="nil"/>
              <w:left w:val="nil"/>
              <w:bottom w:val="nil"/>
              <w:right w:val="nil"/>
            </w:tcBorders>
            <w:shd w:val="clear" w:color="000000" w:fill="BFBFBF"/>
            <w:vAlign w:val="center"/>
            <w:hideMark/>
          </w:tcPr>
          <w:p w14:paraId="61738648" w14:textId="77777777" w:rsidR="00482590" w:rsidRPr="00F156BD" w:rsidRDefault="00482590" w:rsidP="00C05F79">
            <w:pPr>
              <w:spacing w:after="0" w:line="240" w:lineRule="auto"/>
              <w:jc w:val="center"/>
              <w:rPr>
                <w:b/>
                <w:bCs/>
                <w:sz w:val="20"/>
                <w:szCs w:val="20"/>
                <w:lang w:eastAsia="sk-SK"/>
              </w:rPr>
            </w:pPr>
            <w:r w:rsidRPr="00F156BD">
              <w:rPr>
                <w:b/>
                <w:bCs/>
                <w:sz w:val="20"/>
                <w:szCs w:val="20"/>
                <w:lang w:eastAsia="sk-SK"/>
              </w:rPr>
              <w:t>31.12.2016</w:t>
            </w:r>
          </w:p>
        </w:tc>
        <w:tc>
          <w:tcPr>
            <w:tcW w:w="573" w:type="pct"/>
            <w:tcBorders>
              <w:top w:val="nil"/>
              <w:left w:val="nil"/>
              <w:bottom w:val="nil"/>
              <w:right w:val="nil"/>
            </w:tcBorders>
            <w:shd w:val="clear" w:color="000000" w:fill="BFBFBF"/>
            <w:vAlign w:val="center"/>
            <w:hideMark/>
          </w:tcPr>
          <w:p w14:paraId="27F35F8F" w14:textId="77777777" w:rsidR="00482590" w:rsidRPr="00F156BD" w:rsidRDefault="00482590" w:rsidP="00C05F79">
            <w:pPr>
              <w:spacing w:after="0" w:line="240" w:lineRule="auto"/>
              <w:jc w:val="center"/>
              <w:rPr>
                <w:b/>
                <w:bCs/>
                <w:sz w:val="20"/>
                <w:szCs w:val="20"/>
                <w:lang w:eastAsia="sk-SK"/>
              </w:rPr>
            </w:pPr>
            <w:r w:rsidRPr="00F156BD">
              <w:rPr>
                <w:b/>
                <w:bCs/>
                <w:sz w:val="20"/>
                <w:szCs w:val="20"/>
                <w:lang w:eastAsia="sk-SK"/>
              </w:rPr>
              <w:t>31.12.2017</w:t>
            </w:r>
          </w:p>
        </w:tc>
        <w:tc>
          <w:tcPr>
            <w:tcW w:w="622" w:type="pct"/>
            <w:tcBorders>
              <w:top w:val="nil"/>
              <w:left w:val="nil"/>
              <w:bottom w:val="nil"/>
              <w:right w:val="nil"/>
            </w:tcBorders>
            <w:shd w:val="clear" w:color="000000" w:fill="BFBFBF"/>
            <w:vAlign w:val="center"/>
            <w:hideMark/>
          </w:tcPr>
          <w:p w14:paraId="3EA5BDE7" w14:textId="77777777" w:rsidR="00482590" w:rsidRPr="00F156BD" w:rsidRDefault="00482590" w:rsidP="00C05F79">
            <w:pPr>
              <w:spacing w:after="0" w:line="240" w:lineRule="auto"/>
              <w:jc w:val="center"/>
              <w:rPr>
                <w:b/>
                <w:bCs/>
                <w:sz w:val="20"/>
                <w:szCs w:val="20"/>
                <w:lang w:eastAsia="sk-SK"/>
              </w:rPr>
            </w:pPr>
            <w:r w:rsidRPr="00F156BD">
              <w:rPr>
                <w:b/>
                <w:bCs/>
                <w:sz w:val="20"/>
                <w:szCs w:val="20"/>
                <w:lang w:eastAsia="sk-SK"/>
              </w:rPr>
              <w:t xml:space="preserve"> 31.12.2018</w:t>
            </w:r>
          </w:p>
        </w:tc>
        <w:tc>
          <w:tcPr>
            <w:tcW w:w="637" w:type="pct"/>
            <w:tcBorders>
              <w:top w:val="nil"/>
              <w:left w:val="nil"/>
              <w:bottom w:val="nil"/>
              <w:right w:val="nil"/>
            </w:tcBorders>
            <w:shd w:val="clear" w:color="000000" w:fill="BFBFBF"/>
            <w:vAlign w:val="center"/>
            <w:hideMark/>
          </w:tcPr>
          <w:p w14:paraId="77730F4C" w14:textId="77777777" w:rsidR="00482590" w:rsidRPr="00F156BD" w:rsidRDefault="00482590" w:rsidP="00C05F79">
            <w:pPr>
              <w:spacing w:after="0" w:line="240" w:lineRule="auto"/>
              <w:jc w:val="center"/>
              <w:rPr>
                <w:b/>
                <w:bCs/>
                <w:sz w:val="20"/>
                <w:szCs w:val="20"/>
                <w:lang w:eastAsia="sk-SK"/>
              </w:rPr>
            </w:pPr>
            <w:r w:rsidRPr="00F156BD">
              <w:rPr>
                <w:b/>
                <w:bCs/>
                <w:sz w:val="20"/>
                <w:szCs w:val="20"/>
                <w:lang w:eastAsia="sk-SK"/>
              </w:rPr>
              <w:t>Zmena</w:t>
            </w:r>
          </w:p>
        </w:tc>
      </w:tr>
      <w:tr w:rsidR="00482590" w:rsidRPr="00F156BD" w14:paraId="179F9B25" w14:textId="77777777" w:rsidTr="00C05F79">
        <w:trPr>
          <w:trHeight w:val="167"/>
        </w:trPr>
        <w:tc>
          <w:tcPr>
            <w:tcW w:w="2595" w:type="pct"/>
            <w:tcBorders>
              <w:top w:val="nil"/>
              <w:left w:val="nil"/>
              <w:bottom w:val="single" w:sz="4" w:space="0" w:color="auto"/>
              <w:right w:val="nil"/>
            </w:tcBorders>
            <w:shd w:val="clear" w:color="000000" w:fill="BFBFBF"/>
            <w:noWrap/>
            <w:vAlign w:val="bottom"/>
            <w:hideMark/>
          </w:tcPr>
          <w:p w14:paraId="7B101EBE" w14:textId="77777777" w:rsidR="00482590" w:rsidRPr="00F156BD" w:rsidRDefault="00482590" w:rsidP="00C05F79">
            <w:pPr>
              <w:spacing w:after="0" w:line="240" w:lineRule="auto"/>
              <w:jc w:val="center"/>
              <w:rPr>
                <w:sz w:val="20"/>
                <w:szCs w:val="20"/>
                <w:lang w:eastAsia="sk-SK"/>
              </w:rPr>
            </w:pPr>
            <w:r w:rsidRPr="00F156BD">
              <w:rPr>
                <w:sz w:val="20"/>
                <w:szCs w:val="20"/>
                <w:lang w:eastAsia="sk-SK"/>
              </w:rPr>
              <w:t> </w:t>
            </w:r>
          </w:p>
        </w:tc>
        <w:tc>
          <w:tcPr>
            <w:tcW w:w="573" w:type="pct"/>
            <w:tcBorders>
              <w:top w:val="nil"/>
              <w:left w:val="nil"/>
              <w:bottom w:val="single" w:sz="4" w:space="0" w:color="auto"/>
              <w:right w:val="nil"/>
            </w:tcBorders>
            <w:shd w:val="clear" w:color="000000" w:fill="BFBFBF"/>
            <w:noWrap/>
            <w:vAlign w:val="bottom"/>
            <w:hideMark/>
          </w:tcPr>
          <w:p w14:paraId="34785004" w14:textId="77777777" w:rsidR="00482590" w:rsidRPr="00F156BD" w:rsidRDefault="00482590" w:rsidP="00C05F79">
            <w:pPr>
              <w:spacing w:after="0" w:line="240" w:lineRule="auto"/>
              <w:jc w:val="center"/>
              <w:rPr>
                <w:sz w:val="20"/>
                <w:szCs w:val="20"/>
                <w:lang w:eastAsia="sk-SK"/>
              </w:rPr>
            </w:pPr>
            <w:r w:rsidRPr="00F156BD">
              <w:rPr>
                <w:sz w:val="20"/>
                <w:szCs w:val="20"/>
                <w:lang w:eastAsia="sk-SK"/>
              </w:rPr>
              <w:t>1</w:t>
            </w:r>
          </w:p>
        </w:tc>
        <w:tc>
          <w:tcPr>
            <w:tcW w:w="573" w:type="pct"/>
            <w:tcBorders>
              <w:top w:val="nil"/>
              <w:left w:val="nil"/>
              <w:bottom w:val="single" w:sz="4" w:space="0" w:color="auto"/>
              <w:right w:val="nil"/>
            </w:tcBorders>
            <w:shd w:val="clear" w:color="000000" w:fill="BFBFBF"/>
            <w:noWrap/>
            <w:vAlign w:val="bottom"/>
            <w:hideMark/>
          </w:tcPr>
          <w:p w14:paraId="06A28000" w14:textId="77777777" w:rsidR="00482590" w:rsidRPr="00F156BD" w:rsidRDefault="00482590" w:rsidP="00C05F79">
            <w:pPr>
              <w:spacing w:after="0" w:line="240" w:lineRule="auto"/>
              <w:jc w:val="center"/>
              <w:rPr>
                <w:sz w:val="20"/>
                <w:szCs w:val="20"/>
                <w:lang w:eastAsia="sk-SK"/>
              </w:rPr>
            </w:pPr>
            <w:r w:rsidRPr="00F156BD">
              <w:rPr>
                <w:sz w:val="20"/>
                <w:szCs w:val="20"/>
                <w:lang w:eastAsia="sk-SK"/>
              </w:rPr>
              <w:t>2</w:t>
            </w:r>
          </w:p>
        </w:tc>
        <w:tc>
          <w:tcPr>
            <w:tcW w:w="622" w:type="pct"/>
            <w:tcBorders>
              <w:top w:val="nil"/>
              <w:left w:val="nil"/>
              <w:bottom w:val="single" w:sz="4" w:space="0" w:color="auto"/>
              <w:right w:val="nil"/>
            </w:tcBorders>
            <w:shd w:val="clear" w:color="000000" w:fill="BFBFBF"/>
            <w:noWrap/>
            <w:vAlign w:val="bottom"/>
            <w:hideMark/>
          </w:tcPr>
          <w:p w14:paraId="23152B9C" w14:textId="77777777" w:rsidR="00482590" w:rsidRPr="00F156BD" w:rsidRDefault="00482590" w:rsidP="00C05F79">
            <w:pPr>
              <w:spacing w:after="0" w:line="240" w:lineRule="auto"/>
              <w:jc w:val="center"/>
              <w:rPr>
                <w:sz w:val="20"/>
                <w:szCs w:val="20"/>
                <w:lang w:eastAsia="sk-SK"/>
              </w:rPr>
            </w:pPr>
            <w:r w:rsidRPr="00F156BD">
              <w:rPr>
                <w:sz w:val="20"/>
                <w:szCs w:val="20"/>
                <w:lang w:eastAsia="sk-SK"/>
              </w:rPr>
              <w:t>3</w:t>
            </w:r>
          </w:p>
        </w:tc>
        <w:tc>
          <w:tcPr>
            <w:tcW w:w="637" w:type="pct"/>
            <w:tcBorders>
              <w:top w:val="nil"/>
              <w:left w:val="nil"/>
              <w:bottom w:val="single" w:sz="4" w:space="0" w:color="auto"/>
              <w:right w:val="nil"/>
            </w:tcBorders>
            <w:shd w:val="clear" w:color="000000" w:fill="BFBFBF"/>
            <w:noWrap/>
            <w:vAlign w:val="bottom"/>
            <w:hideMark/>
          </w:tcPr>
          <w:p w14:paraId="7E36CE91" w14:textId="77777777" w:rsidR="00482590" w:rsidRPr="00F156BD" w:rsidRDefault="00482590" w:rsidP="00C05F79">
            <w:pPr>
              <w:spacing w:after="0" w:line="240" w:lineRule="auto"/>
              <w:jc w:val="center"/>
              <w:rPr>
                <w:sz w:val="20"/>
                <w:szCs w:val="20"/>
                <w:lang w:eastAsia="sk-SK"/>
              </w:rPr>
            </w:pPr>
            <w:r w:rsidRPr="00F156BD">
              <w:rPr>
                <w:sz w:val="20"/>
                <w:szCs w:val="20"/>
                <w:lang w:eastAsia="sk-SK"/>
              </w:rPr>
              <w:t>4=(3-2)</w:t>
            </w:r>
          </w:p>
        </w:tc>
      </w:tr>
      <w:tr w:rsidR="006C0DD0" w:rsidRPr="00F156BD" w14:paraId="52E57F4B" w14:textId="77777777" w:rsidTr="00500BD0">
        <w:trPr>
          <w:trHeight w:val="255"/>
        </w:trPr>
        <w:tc>
          <w:tcPr>
            <w:tcW w:w="2595" w:type="pct"/>
            <w:tcBorders>
              <w:top w:val="nil"/>
              <w:left w:val="nil"/>
              <w:bottom w:val="nil"/>
              <w:right w:val="nil"/>
            </w:tcBorders>
            <w:shd w:val="clear" w:color="auto" w:fill="auto"/>
            <w:noWrap/>
            <w:vAlign w:val="bottom"/>
            <w:hideMark/>
          </w:tcPr>
          <w:p w14:paraId="3631CDE0"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MH Invest II., s. r. o.</w:t>
            </w:r>
          </w:p>
        </w:tc>
        <w:tc>
          <w:tcPr>
            <w:tcW w:w="573" w:type="pct"/>
            <w:tcBorders>
              <w:top w:val="nil"/>
              <w:left w:val="nil"/>
              <w:bottom w:val="nil"/>
              <w:right w:val="nil"/>
            </w:tcBorders>
            <w:shd w:val="clear" w:color="auto" w:fill="auto"/>
            <w:noWrap/>
            <w:vAlign w:val="bottom"/>
            <w:hideMark/>
          </w:tcPr>
          <w:p w14:paraId="2FB3DEA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2 737</w:t>
            </w:r>
          </w:p>
        </w:tc>
        <w:tc>
          <w:tcPr>
            <w:tcW w:w="573" w:type="pct"/>
            <w:tcBorders>
              <w:top w:val="nil"/>
              <w:left w:val="nil"/>
              <w:bottom w:val="nil"/>
              <w:right w:val="nil"/>
            </w:tcBorders>
            <w:shd w:val="clear" w:color="auto" w:fill="auto"/>
            <w:noWrap/>
            <w:vAlign w:val="bottom"/>
            <w:hideMark/>
          </w:tcPr>
          <w:p w14:paraId="22722D3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2 762</w:t>
            </w:r>
          </w:p>
        </w:tc>
        <w:tc>
          <w:tcPr>
            <w:tcW w:w="622" w:type="pct"/>
            <w:tcBorders>
              <w:top w:val="nil"/>
              <w:left w:val="nil"/>
              <w:bottom w:val="nil"/>
              <w:right w:val="nil"/>
            </w:tcBorders>
            <w:shd w:val="clear" w:color="auto" w:fill="auto"/>
            <w:noWrap/>
            <w:vAlign w:val="bottom"/>
            <w:hideMark/>
          </w:tcPr>
          <w:p w14:paraId="113DBB27"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2 755</w:t>
            </w:r>
          </w:p>
        </w:tc>
        <w:tc>
          <w:tcPr>
            <w:tcW w:w="637" w:type="pct"/>
            <w:tcBorders>
              <w:top w:val="nil"/>
              <w:left w:val="nil"/>
              <w:bottom w:val="nil"/>
              <w:right w:val="nil"/>
            </w:tcBorders>
            <w:shd w:val="clear" w:color="auto" w:fill="auto"/>
            <w:noWrap/>
            <w:vAlign w:val="bottom"/>
            <w:hideMark/>
          </w:tcPr>
          <w:p w14:paraId="084179A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w:t>
            </w:r>
          </w:p>
        </w:tc>
      </w:tr>
      <w:tr w:rsidR="006C0DD0" w:rsidRPr="00F156BD" w14:paraId="2BDF3FD0" w14:textId="77777777" w:rsidTr="00500BD0">
        <w:trPr>
          <w:trHeight w:val="255"/>
        </w:trPr>
        <w:tc>
          <w:tcPr>
            <w:tcW w:w="2595" w:type="pct"/>
            <w:tcBorders>
              <w:top w:val="nil"/>
              <w:left w:val="nil"/>
              <w:bottom w:val="nil"/>
              <w:right w:val="nil"/>
            </w:tcBorders>
            <w:shd w:val="clear" w:color="auto" w:fill="auto"/>
            <w:noWrap/>
            <w:vAlign w:val="bottom"/>
            <w:hideMark/>
          </w:tcPr>
          <w:p w14:paraId="495148D9" w14:textId="77777777" w:rsidR="006C0DD0" w:rsidRPr="00F156BD" w:rsidRDefault="006C0DD0" w:rsidP="00500BD0">
            <w:pPr>
              <w:spacing w:after="0" w:line="240" w:lineRule="auto"/>
              <w:ind w:firstLineChars="400" w:firstLine="800"/>
              <w:rPr>
                <w:sz w:val="20"/>
                <w:szCs w:val="20"/>
                <w:lang w:eastAsia="sk-SK"/>
              </w:rPr>
            </w:pPr>
            <w:r w:rsidRPr="00F156BD">
              <w:rPr>
                <w:sz w:val="20"/>
                <w:szCs w:val="20"/>
                <w:lang w:eastAsia="sk-SK"/>
              </w:rPr>
              <w:t>MH Invest, s. r .o.</w:t>
            </w:r>
          </w:p>
        </w:tc>
        <w:tc>
          <w:tcPr>
            <w:tcW w:w="573" w:type="pct"/>
            <w:tcBorders>
              <w:top w:val="nil"/>
              <w:left w:val="nil"/>
              <w:bottom w:val="nil"/>
              <w:right w:val="nil"/>
            </w:tcBorders>
            <w:shd w:val="clear" w:color="auto" w:fill="auto"/>
            <w:noWrap/>
            <w:vAlign w:val="bottom"/>
            <w:hideMark/>
          </w:tcPr>
          <w:p w14:paraId="4E64763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70</w:t>
            </w:r>
          </w:p>
        </w:tc>
        <w:tc>
          <w:tcPr>
            <w:tcW w:w="573" w:type="pct"/>
            <w:tcBorders>
              <w:top w:val="nil"/>
              <w:left w:val="nil"/>
              <w:bottom w:val="nil"/>
              <w:right w:val="nil"/>
            </w:tcBorders>
            <w:shd w:val="clear" w:color="auto" w:fill="auto"/>
            <w:noWrap/>
            <w:vAlign w:val="bottom"/>
            <w:hideMark/>
          </w:tcPr>
          <w:p w14:paraId="7F16E29B"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30</w:t>
            </w:r>
          </w:p>
        </w:tc>
        <w:tc>
          <w:tcPr>
            <w:tcW w:w="622" w:type="pct"/>
            <w:tcBorders>
              <w:top w:val="nil"/>
              <w:left w:val="nil"/>
              <w:bottom w:val="nil"/>
              <w:right w:val="nil"/>
            </w:tcBorders>
            <w:shd w:val="clear" w:color="auto" w:fill="auto"/>
            <w:noWrap/>
            <w:vAlign w:val="bottom"/>
            <w:hideMark/>
          </w:tcPr>
          <w:p w14:paraId="2C0045FA"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0</w:t>
            </w:r>
          </w:p>
        </w:tc>
        <w:tc>
          <w:tcPr>
            <w:tcW w:w="637" w:type="pct"/>
            <w:tcBorders>
              <w:top w:val="nil"/>
              <w:left w:val="nil"/>
              <w:bottom w:val="nil"/>
              <w:right w:val="nil"/>
            </w:tcBorders>
            <w:shd w:val="clear" w:color="auto" w:fill="auto"/>
            <w:noWrap/>
            <w:vAlign w:val="bottom"/>
            <w:hideMark/>
          </w:tcPr>
          <w:p w14:paraId="2189506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-30</w:t>
            </w:r>
          </w:p>
        </w:tc>
      </w:tr>
      <w:tr w:rsidR="006C0DD0" w:rsidRPr="00F156BD" w14:paraId="74C2FAF4" w14:textId="77777777" w:rsidTr="00500BD0">
        <w:trPr>
          <w:trHeight w:val="255"/>
        </w:trPr>
        <w:tc>
          <w:tcPr>
            <w:tcW w:w="2595" w:type="pct"/>
            <w:tcBorders>
              <w:top w:val="nil"/>
              <w:left w:val="nil"/>
              <w:bottom w:val="nil"/>
              <w:right w:val="nil"/>
            </w:tcBorders>
            <w:shd w:val="clear" w:color="auto" w:fill="auto"/>
            <w:noWrap/>
            <w:vAlign w:val="bottom"/>
            <w:hideMark/>
          </w:tcPr>
          <w:p w14:paraId="2E9FDCB7"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Verejné vysoké školy</w:t>
            </w:r>
          </w:p>
        </w:tc>
        <w:tc>
          <w:tcPr>
            <w:tcW w:w="573" w:type="pct"/>
            <w:tcBorders>
              <w:top w:val="nil"/>
              <w:left w:val="nil"/>
              <w:bottom w:val="nil"/>
              <w:right w:val="nil"/>
            </w:tcBorders>
            <w:shd w:val="clear" w:color="auto" w:fill="auto"/>
            <w:noWrap/>
            <w:vAlign w:val="bottom"/>
            <w:hideMark/>
          </w:tcPr>
          <w:p w14:paraId="45E31D4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8 218</w:t>
            </w:r>
          </w:p>
        </w:tc>
        <w:tc>
          <w:tcPr>
            <w:tcW w:w="573" w:type="pct"/>
            <w:tcBorders>
              <w:top w:val="nil"/>
              <w:left w:val="nil"/>
              <w:bottom w:val="nil"/>
              <w:right w:val="nil"/>
            </w:tcBorders>
            <w:shd w:val="clear" w:color="auto" w:fill="auto"/>
            <w:noWrap/>
            <w:vAlign w:val="bottom"/>
            <w:hideMark/>
          </w:tcPr>
          <w:p w14:paraId="34E689C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7 806</w:t>
            </w:r>
          </w:p>
        </w:tc>
        <w:tc>
          <w:tcPr>
            <w:tcW w:w="622" w:type="pct"/>
            <w:tcBorders>
              <w:top w:val="nil"/>
              <w:left w:val="nil"/>
              <w:bottom w:val="nil"/>
              <w:right w:val="nil"/>
            </w:tcBorders>
            <w:shd w:val="clear" w:color="auto" w:fill="auto"/>
            <w:noWrap/>
            <w:vAlign w:val="bottom"/>
            <w:hideMark/>
          </w:tcPr>
          <w:p w14:paraId="0B415DF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5 553</w:t>
            </w:r>
          </w:p>
        </w:tc>
        <w:tc>
          <w:tcPr>
            <w:tcW w:w="637" w:type="pct"/>
            <w:tcBorders>
              <w:top w:val="nil"/>
              <w:left w:val="nil"/>
              <w:bottom w:val="nil"/>
              <w:right w:val="nil"/>
            </w:tcBorders>
            <w:shd w:val="clear" w:color="auto" w:fill="auto"/>
            <w:noWrap/>
            <w:vAlign w:val="bottom"/>
            <w:hideMark/>
          </w:tcPr>
          <w:p w14:paraId="65BF3E3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-2 253</w:t>
            </w:r>
          </w:p>
        </w:tc>
      </w:tr>
      <w:tr w:rsidR="006C0DD0" w:rsidRPr="00F156BD" w14:paraId="1F1DA335" w14:textId="77777777" w:rsidTr="00500BD0">
        <w:trPr>
          <w:trHeight w:val="255"/>
        </w:trPr>
        <w:tc>
          <w:tcPr>
            <w:tcW w:w="2595" w:type="pct"/>
            <w:tcBorders>
              <w:top w:val="nil"/>
              <w:left w:val="nil"/>
              <w:bottom w:val="nil"/>
              <w:right w:val="nil"/>
            </w:tcBorders>
            <w:shd w:val="clear" w:color="auto" w:fill="auto"/>
            <w:noWrap/>
            <w:vAlign w:val="bottom"/>
            <w:hideMark/>
          </w:tcPr>
          <w:p w14:paraId="77225235"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Zdravotnícke zariadenia ústrednej správy</w:t>
            </w:r>
          </w:p>
        </w:tc>
        <w:tc>
          <w:tcPr>
            <w:tcW w:w="573" w:type="pct"/>
            <w:tcBorders>
              <w:top w:val="nil"/>
              <w:left w:val="nil"/>
              <w:bottom w:val="nil"/>
              <w:right w:val="nil"/>
            </w:tcBorders>
            <w:shd w:val="clear" w:color="auto" w:fill="auto"/>
            <w:noWrap/>
            <w:vAlign w:val="bottom"/>
            <w:hideMark/>
          </w:tcPr>
          <w:p w14:paraId="7AB8A6E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77 376</w:t>
            </w:r>
          </w:p>
        </w:tc>
        <w:tc>
          <w:tcPr>
            <w:tcW w:w="573" w:type="pct"/>
            <w:tcBorders>
              <w:top w:val="nil"/>
              <w:left w:val="nil"/>
              <w:bottom w:val="nil"/>
              <w:right w:val="nil"/>
            </w:tcBorders>
            <w:shd w:val="clear" w:color="auto" w:fill="auto"/>
            <w:noWrap/>
            <w:vAlign w:val="bottom"/>
            <w:hideMark/>
          </w:tcPr>
          <w:p w14:paraId="18E8ACB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109 649</w:t>
            </w:r>
          </w:p>
        </w:tc>
        <w:tc>
          <w:tcPr>
            <w:tcW w:w="622" w:type="pct"/>
            <w:tcBorders>
              <w:top w:val="nil"/>
              <w:left w:val="nil"/>
              <w:bottom w:val="nil"/>
              <w:right w:val="nil"/>
            </w:tcBorders>
            <w:shd w:val="clear" w:color="auto" w:fill="auto"/>
            <w:noWrap/>
            <w:vAlign w:val="bottom"/>
            <w:hideMark/>
          </w:tcPr>
          <w:p w14:paraId="3135A6A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152 218</w:t>
            </w:r>
          </w:p>
        </w:tc>
        <w:tc>
          <w:tcPr>
            <w:tcW w:w="637" w:type="pct"/>
            <w:tcBorders>
              <w:top w:val="nil"/>
              <w:left w:val="nil"/>
              <w:bottom w:val="nil"/>
              <w:right w:val="nil"/>
            </w:tcBorders>
            <w:shd w:val="clear" w:color="auto" w:fill="auto"/>
            <w:noWrap/>
            <w:vAlign w:val="bottom"/>
            <w:hideMark/>
          </w:tcPr>
          <w:p w14:paraId="7246BF1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42 569</w:t>
            </w:r>
          </w:p>
        </w:tc>
      </w:tr>
      <w:tr w:rsidR="006C0DD0" w:rsidRPr="00F156BD" w14:paraId="7AC05836" w14:textId="77777777" w:rsidTr="00500BD0">
        <w:trPr>
          <w:trHeight w:val="255"/>
        </w:trPr>
        <w:tc>
          <w:tcPr>
            <w:tcW w:w="2595" w:type="pct"/>
            <w:tcBorders>
              <w:top w:val="nil"/>
              <w:left w:val="nil"/>
              <w:bottom w:val="nil"/>
              <w:right w:val="nil"/>
            </w:tcBorders>
            <w:shd w:val="clear" w:color="auto" w:fill="auto"/>
            <w:noWrap/>
            <w:vAlign w:val="bottom"/>
            <w:hideMark/>
          </w:tcPr>
          <w:p w14:paraId="4F0AF79A"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Ostatné subjekty ústrednej správy</w:t>
            </w:r>
          </w:p>
        </w:tc>
        <w:tc>
          <w:tcPr>
            <w:tcW w:w="573" w:type="pct"/>
            <w:tcBorders>
              <w:top w:val="nil"/>
              <w:left w:val="nil"/>
              <w:bottom w:val="nil"/>
              <w:right w:val="nil"/>
            </w:tcBorders>
            <w:shd w:val="clear" w:color="auto" w:fill="auto"/>
            <w:noWrap/>
            <w:vAlign w:val="bottom"/>
            <w:hideMark/>
          </w:tcPr>
          <w:p w14:paraId="72C9B67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521 339</w:t>
            </w:r>
          </w:p>
        </w:tc>
        <w:tc>
          <w:tcPr>
            <w:tcW w:w="573" w:type="pct"/>
            <w:tcBorders>
              <w:top w:val="nil"/>
              <w:left w:val="nil"/>
              <w:bottom w:val="nil"/>
              <w:right w:val="nil"/>
            </w:tcBorders>
            <w:shd w:val="clear" w:color="auto" w:fill="auto"/>
            <w:noWrap/>
            <w:vAlign w:val="bottom"/>
            <w:hideMark/>
          </w:tcPr>
          <w:p w14:paraId="3F6B010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461 733</w:t>
            </w:r>
          </w:p>
        </w:tc>
        <w:tc>
          <w:tcPr>
            <w:tcW w:w="622" w:type="pct"/>
            <w:tcBorders>
              <w:top w:val="nil"/>
              <w:left w:val="nil"/>
              <w:bottom w:val="nil"/>
              <w:right w:val="nil"/>
            </w:tcBorders>
            <w:shd w:val="clear" w:color="auto" w:fill="auto"/>
            <w:noWrap/>
            <w:vAlign w:val="bottom"/>
            <w:hideMark/>
          </w:tcPr>
          <w:p w14:paraId="071329C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412 408</w:t>
            </w:r>
          </w:p>
        </w:tc>
        <w:tc>
          <w:tcPr>
            <w:tcW w:w="637" w:type="pct"/>
            <w:tcBorders>
              <w:top w:val="nil"/>
              <w:left w:val="nil"/>
              <w:bottom w:val="nil"/>
              <w:right w:val="nil"/>
            </w:tcBorders>
            <w:shd w:val="clear" w:color="auto" w:fill="auto"/>
            <w:noWrap/>
            <w:vAlign w:val="bottom"/>
            <w:hideMark/>
          </w:tcPr>
          <w:p w14:paraId="0535C48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-49 325</w:t>
            </w:r>
          </w:p>
        </w:tc>
      </w:tr>
      <w:tr w:rsidR="006C0DD0" w:rsidRPr="00F156BD" w14:paraId="6E3B84EF" w14:textId="77777777" w:rsidTr="000437EA">
        <w:trPr>
          <w:trHeight w:val="161"/>
        </w:trPr>
        <w:tc>
          <w:tcPr>
            <w:tcW w:w="2595" w:type="pct"/>
            <w:tcBorders>
              <w:top w:val="nil"/>
              <w:left w:val="nil"/>
              <w:bottom w:val="nil"/>
              <w:right w:val="nil"/>
            </w:tcBorders>
            <w:shd w:val="clear" w:color="auto" w:fill="auto"/>
            <w:noWrap/>
            <w:vAlign w:val="bottom"/>
            <w:hideMark/>
          </w:tcPr>
          <w:p w14:paraId="4004F72B" w14:textId="77777777" w:rsidR="006C0DD0" w:rsidRPr="00F156BD" w:rsidRDefault="006C0DD0" w:rsidP="00500BD0">
            <w:pPr>
              <w:spacing w:after="0" w:line="240" w:lineRule="auto"/>
              <w:rPr>
                <w:b/>
                <w:bCs/>
                <w:sz w:val="20"/>
                <w:szCs w:val="20"/>
                <w:lang w:eastAsia="sk-SK"/>
              </w:rPr>
            </w:pPr>
            <w:r w:rsidRPr="00F156BD">
              <w:rPr>
                <w:b/>
                <w:bCs/>
                <w:sz w:val="20"/>
                <w:szCs w:val="20"/>
                <w:lang w:eastAsia="sk-SK"/>
              </w:rPr>
              <w:t>Územná samospráva</w:t>
            </w:r>
          </w:p>
        </w:tc>
        <w:tc>
          <w:tcPr>
            <w:tcW w:w="573" w:type="pct"/>
            <w:tcBorders>
              <w:top w:val="nil"/>
              <w:left w:val="nil"/>
              <w:bottom w:val="nil"/>
              <w:right w:val="nil"/>
            </w:tcBorders>
            <w:shd w:val="clear" w:color="auto" w:fill="auto"/>
            <w:noWrap/>
            <w:vAlign w:val="bottom"/>
            <w:hideMark/>
          </w:tcPr>
          <w:p w14:paraId="198B07A9"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1 790 039</w:t>
            </w:r>
          </w:p>
        </w:tc>
        <w:tc>
          <w:tcPr>
            <w:tcW w:w="573" w:type="pct"/>
            <w:tcBorders>
              <w:top w:val="nil"/>
              <w:left w:val="nil"/>
              <w:bottom w:val="nil"/>
              <w:right w:val="nil"/>
            </w:tcBorders>
            <w:shd w:val="clear" w:color="auto" w:fill="auto"/>
            <w:noWrap/>
            <w:vAlign w:val="bottom"/>
            <w:hideMark/>
          </w:tcPr>
          <w:p w14:paraId="05B1AC79"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1 834 606</w:t>
            </w:r>
          </w:p>
        </w:tc>
        <w:tc>
          <w:tcPr>
            <w:tcW w:w="622" w:type="pct"/>
            <w:tcBorders>
              <w:top w:val="nil"/>
              <w:left w:val="nil"/>
              <w:bottom w:val="nil"/>
              <w:right w:val="nil"/>
            </w:tcBorders>
            <w:shd w:val="clear" w:color="auto" w:fill="auto"/>
            <w:noWrap/>
            <w:vAlign w:val="bottom"/>
            <w:hideMark/>
          </w:tcPr>
          <w:p w14:paraId="0C325BC7"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1 921 114</w:t>
            </w:r>
          </w:p>
        </w:tc>
        <w:tc>
          <w:tcPr>
            <w:tcW w:w="637" w:type="pct"/>
            <w:tcBorders>
              <w:top w:val="nil"/>
              <w:left w:val="nil"/>
              <w:bottom w:val="nil"/>
              <w:right w:val="nil"/>
            </w:tcBorders>
            <w:shd w:val="clear" w:color="auto" w:fill="auto"/>
            <w:noWrap/>
            <w:vAlign w:val="bottom"/>
            <w:hideMark/>
          </w:tcPr>
          <w:p w14:paraId="02F78F27"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86 508</w:t>
            </w:r>
          </w:p>
        </w:tc>
      </w:tr>
      <w:tr w:rsidR="006C0DD0" w:rsidRPr="00F156BD" w14:paraId="6DDFF12F" w14:textId="77777777" w:rsidTr="00500BD0">
        <w:trPr>
          <w:trHeight w:val="255"/>
        </w:trPr>
        <w:tc>
          <w:tcPr>
            <w:tcW w:w="2595" w:type="pct"/>
            <w:tcBorders>
              <w:top w:val="nil"/>
              <w:left w:val="nil"/>
              <w:bottom w:val="nil"/>
              <w:right w:val="nil"/>
            </w:tcBorders>
            <w:shd w:val="clear" w:color="auto" w:fill="auto"/>
            <w:noWrap/>
            <w:vAlign w:val="bottom"/>
            <w:hideMark/>
          </w:tcPr>
          <w:p w14:paraId="7C67C6C0"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Obce a ich rozpočtové organizácie</w:t>
            </w:r>
          </w:p>
        </w:tc>
        <w:tc>
          <w:tcPr>
            <w:tcW w:w="573" w:type="pct"/>
            <w:tcBorders>
              <w:top w:val="nil"/>
              <w:left w:val="nil"/>
              <w:bottom w:val="nil"/>
              <w:right w:val="nil"/>
            </w:tcBorders>
            <w:shd w:val="clear" w:color="auto" w:fill="auto"/>
            <w:noWrap/>
            <w:vAlign w:val="bottom"/>
            <w:hideMark/>
          </w:tcPr>
          <w:p w14:paraId="3440A352"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1 350 941</w:t>
            </w:r>
          </w:p>
        </w:tc>
        <w:tc>
          <w:tcPr>
            <w:tcW w:w="573" w:type="pct"/>
            <w:tcBorders>
              <w:top w:val="nil"/>
              <w:left w:val="nil"/>
              <w:bottom w:val="nil"/>
              <w:right w:val="nil"/>
            </w:tcBorders>
            <w:shd w:val="clear" w:color="auto" w:fill="auto"/>
            <w:noWrap/>
            <w:vAlign w:val="bottom"/>
            <w:hideMark/>
          </w:tcPr>
          <w:p w14:paraId="2EC6461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1 379 545</w:t>
            </w:r>
          </w:p>
        </w:tc>
        <w:tc>
          <w:tcPr>
            <w:tcW w:w="622" w:type="pct"/>
            <w:tcBorders>
              <w:top w:val="nil"/>
              <w:left w:val="nil"/>
              <w:bottom w:val="nil"/>
              <w:right w:val="nil"/>
            </w:tcBorders>
            <w:shd w:val="clear" w:color="auto" w:fill="auto"/>
            <w:noWrap/>
            <w:vAlign w:val="bottom"/>
            <w:hideMark/>
          </w:tcPr>
          <w:p w14:paraId="077C079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1 472 902</w:t>
            </w:r>
          </w:p>
        </w:tc>
        <w:tc>
          <w:tcPr>
            <w:tcW w:w="637" w:type="pct"/>
            <w:tcBorders>
              <w:top w:val="nil"/>
              <w:left w:val="nil"/>
              <w:bottom w:val="nil"/>
              <w:right w:val="nil"/>
            </w:tcBorders>
            <w:shd w:val="clear" w:color="auto" w:fill="auto"/>
            <w:noWrap/>
            <w:vAlign w:val="bottom"/>
            <w:hideMark/>
          </w:tcPr>
          <w:p w14:paraId="3C3C3C3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93 357</w:t>
            </w:r>
          </w:p>
        </w:tc>
      </w:tr>
      <w:tr w:rsidR="006C0DD0" w:rsidRPr="00F156BD" w14:paraId="26D32A66" w14:textId="77777777" w:rsidTr="00500BD0">
        <w:trPr>
          <w:trHeight w:val="255"/>
        </w:trPr>
        <w:tc>
          <w:tcPr>
            <w:tcW w:w="2595" w:type="pct"/>
            <w:tcBorders>
              <w:top w:val="nil"/>
              <w:left w:val="nil"/>
              <w:bottom w:val="nil"/>
              <w:right w:val="nil"/>
            </w:tcBorders>
            <w:shd w:val="clear" w:color="auto" w:fill="auto"/>
            <w:noWrap/>
            <w:vAlign w:val="bottom"/>
            <w:hideMark/>
          </w:tcPr>
          <w:p w14:paraId="43349009"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Vyššie územné celky a ich rozpočtové organizácie</w:t>
            </w:r>
          </w:p>
        </w:tc>
        <w:tc>
          <w:tcPr>
            <w:tcW w:w="573" w:type="pct"/>
            <w:tcBorders>
              <w:top w:val="nil"/>
              <w:left w:val="nil"/>
              <w:bottom w:val="nil"/>
              <w:right w:val="nil"/>
            </w:tcBorders>
            <w:shd w:val="clear" w:color="auto" w:fill="auto"/>
            <w:noWrap/>
            <w:vAlign w:val="bottom"/>
            <w:hideMark/>
          </w:tcPr>
          <w:p w14:paraId="52867BC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347 846</w:t>
            </w:r>
          </w:p>
        </w:tc>
        <w:tc>
          <w:tcPr>
            <w:tcW w:w="573" w:type="pct"/>
            <w:tcBorders>
              <w:top w:val="nil"/>
              <w:left w:val="nil"/>
              <w:bottom w:val="nil"/>
              <w:right w:val="nil"/>
            </w:tcBorders>
            <w:shd w:val="clear" w:color="auto" w:fill="auto"/>
            <w:noWrap/>
            <w:vAlign w:val="bottom"/>
            <w:hideMark/>
          </w:tcPr>
          <w:p w14:paraId="0C46E78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369 732</w:t>
            </w:r>
          </w:p>
        </w:tc>
        <w:tc>
          <w:tcPr>
            <w:tcW w:w="622" w:type="pct"/>
            <w:tcBorders>
              <w:top w:val="nil"/>
              <w:left w:val="nil"/>
              <w:bottom w:val="nil"/>
              <w:right w:val="nil"/>
            </w:tcBorders>
            <w:shd w:val="clear" w:color="auto" w:fill="auto"/>
            <w:noWrap/>
            <w:vAlign w:val="bottom"/>
            <w:hideMark/>
          </w:tcPr>
          <w:p w14:paraId="172CA09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362 819</w:t>
            </w:r>
          </w:p>
        </w:tc>
        <w:tc>
          <w:tcPr>
            <w:tcW w:w="637" w:type="pct"/>
            <w:tcBorders>
              <w:top w:val="nil"/>
              <w:left w:val="nil"/>
              <w:bottom w:val="nil"/>
              <w:right w:val="nil"/>
            </w:tcBorders>
            <w:shd w:val="clear" w:color="auto" w:fill="auto"/>
            <w:noWrap/>
            <w:vAlign w:val="bottom"/>
            <w:hideMark/>
          </w:tcPr>
          <w:p w14:paraId="2618F747"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-6 913</w:t>
            </w:r>
          </w:p>
        </w:tc>
      </w:tr>
      <w:tr w:rsidR="006C0DD0" w:rsidRPr="00F156BD" w14:paraId="3F3D72AA" w14:textId="77777777" w:rsidTr="00500BD0">
        <w:trPr>
          <w:trHeight w:val="255"/>
        </w:trPr>
        <w:tc>
          <w:tcPr>
            <w:tcW w:w="2595" w:type="pct"/>
            <w:tcBorders>
              <w:top w:val="nil"/>
              <w:left w:val="nil"/>
              <w:bottom w:val="nil"/>
              <w:right w:val="nil"/>
            </w:tcBorders>
            <w:shd w:val="clear" w:color="auto" w:fill="auto"/>
            <w:noWrap/>
            <w:vAlign w:val="bottom"/>
            <w:hideMark/>
          </w:tcPr>
          <w:p w14:paraId="0E0E4919"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Príspevkové organizácie obcí</w:t>
            </w:r>
          </w:p>
        </w:tc>
        <w:tc>
          <w:tcPr>
            <w:tcW w:w="573" w:type="pct"/>
            <w:tcBorders>
              <w:top w:val="nil"/>
              <w:left w:val="nil"/>
              <w:bottom w:val="nil"/>
              <w:right w:val="nil"/>
            </w:tcBorders>
            <w:shd w:val="clear" w:color="auto" w:fill="auto"/>
            <w:noWrap/>
            <w:vAlign w:val="bottom"/>
            <w:hideMark/>
          </w:tcPr>
          <w:p w14:paraId="551706D8"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962</w:t>
            </w:r>
          </w:p>
        </w:tc>
        <w:tc>
          <w:tcPr>
            <w:tcW w:w="573" w:type="pct"/>
            <w:tcBorders>
              <w:top w:val="nil"/>
              <w:left w:val="nil"/>
              <w:bottom w:val="nil"/>
              <w:right w:val="nil"/>
            </w:tcBorders>
            <w:shd w:val="clear" w:color="auto" w:fill="auto"/>
            <w:noWrap/>
            <w:vAlign w:val="bottom"/>
            <w:hideMark/>
          </w:tcPr>
          <w:p w14:paraId="6F6E603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1 327</w:t>
            </w:r>
          </w:p>
        </w:tc>
        <w:tc>
          <w:tcPr>
            <w:tcW w:w="622" w:type="pct"/>
            <w:tcBorders>
              <w:top w:val="nil"/>
              <w:left w:val="nil"/>
              <w:bottom w:val="nil"/>
              <w:right w:val="nil"/>
            </w:tcBorders>
            <w:shd w:val="clear" w:color="auto" w:fill="auto"/>
            <w:noWrap/>
            <w:vAlign w:val="bottom"/>
            <w:hideMark/>
          </w:tcPr>
          <w:p w14:paraId="786EE0D8"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1 540</w:t>
            </w:r>
          </w:p>
        </w:tc>
        <w:tc>
          <w:tcPr>
            <w:tcW w:w="637" w:type="pct"/>
            <w:tcBorders>
              <w:top w:val="nil"/>
              <w:left w:val="nil"/>
              <w:bottom w:val="nil"/>
              <w:right w:val="nil"/>
            </w:tcBorders>
            <w:shd w:val="clear" w:color="auto" w:fill="auto"/>
            <w:noWrap/>
            <w:vAlign w:val="bottom"/>
            <w:hideMark/>
          </w:tcPr>
          <w:p w14:paraId="50B4B2D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213</w:t>
            </w:r>
          </w:p>
        </w:tc>
      </w:tr>
      <w:tr w:rsidR="006C0DD0" w:rsidRPr="00F156BD" w14:paraId="4905CBC4" w14:textId="77777777" w:rsidTr="00500BD0">
        <w:trPr>
          <w:trHeight w:val="255"/>
        </w:trPr>
        <w:tc>
          <w:tcPr>
            <w:tcW w:w="2595" w:type="pct"/>
            <w:tcBorders>
              <w:top w:val="nil"/>
              <w:left w:val="nil"/>
              <w:bottom w:val="nil"/>
              <w:right w:val="nil"/>
            </w:tcBorders>
            <w:shd w:val="clear" w:color="auto" w:fill="auto"/>
            <w:noWrap/>
            <w:vAlign w:val="bottom"/>
            <w:hideMark/>
          </w:tcPr>
          <w:p w14:paraId="3364C311"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Príspevkové organizácie VÚC</w:t>
            </w:r>
          </w:p>
        </w:tc>
        <w:tc>
          <w:tcPr>
            <w:tcW w:w="573" w:type="pct"/>
            <w:tcBorders>
              <w:top w:val="nil"/>
              <w:left w:val="nil"/>
              <w:bottom w:val="nil"/>
              <w:right w:val="nil"/>
            </w:tcBorders>
            <w:shd w:val="clear" w:color="auto" w:fill="auto"/>
            <w:noWrap/>
            <w:vAlign w:val="bottom"/>
            <w:hideMark/>
          </w:tcPr>
          <w:p w14:paraId="3B9C3ED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1 339</w:t>
            </w:r>
          </w:p>
        </w:tc>
        <w:tc>
          <w:tcPr>
            <w:tcW w:w="573" w:type="pct"/>
            <w:tcBorders>
              <w:top w:val="nil"/>
              <w:left w:val="nil"/>
              <w:bottom w:val="nil"/>
              <w:right w:val="nil"/>
            </w:tcBorders>
            <w:shd w:val="clear" w:color="auto" w:fill="auto"/>
            <w:noWrap/>
            <w:vAlign w:val="bottom"/>
            <w:hideMark/>
          </w:tcPr>
          <w:p w14:paraId="7422910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881</w:t>
            </w:r>
          </w:p>
        </w:tc>
        <w:tc>
          <w:tcPr>
            <w:tcW w:w="622" w:type="pct"/>
            <w:tcBorders>
              <w:top w:val="nil"/>
              <w:left w:val="nil"/>
              <w:bottom w:val="nil"/>
              <w:right w:val="nil"/>
            </w:tcBorders>
            <w:shd w:val="clear" w:color="auto" w:fill="auto"/>
            <w:noWrap/>
            <w:vAlign w:val="bottom"/>
            <w:hideMark/>
          </w:tcPr>
          <w:p w14:paraId="6D22566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859</w:t>
            </w:r>
          </w:p>
        </w:tc>
        <w:tc>
          <w:tcPr>
            <w:tcW w:w="637" w:type="pct"/>
            <w:tcBorders>
              <w:top w:val="nil"/>
              <w:left w:val="nil"/>
              <w:bottom w:val="nil"/>
              <w:right w:val="nil"/>
            </w:tcBorders>
            <w:shd w:val="clear" w:color="auto" w:fill="auto"/>
            <w:noWrap/>
            <w:vAlign w:val="bottom"/>
            <w:hideMark/>
          </w:tcPr>
          <w:p w14:paraId="5959119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-22</w:t>
            </w:r>
          </w:p>
        </w:tc>
      </w:tr>
      <w:tr w:rsidR="006C0DD0" w:rsidRPr="00F156BD" w14:paraId="2A4432E8" w14:textId="77777777" w:rsidTr="00500BD0">
        <w:trPr>
          <w:trHeight w:val="255"/>
        </w:trPr>
        <w:tc>
          <w:tcPr>
            <w:tcW w:w="2595" w:type="pct"/>
            <w:tcBorders>
              <w:top w:val="nil"/>
              <w:left w:val="nil"/>
              <w:bottom w:val="nil"/>
              <w:right w:val="nil"/>
            </w:tcBorders>
            <w:shd w:val="clear" w:color="auto" w:fill="auto"/>
            <w:noWrap/>
            <w:vAlign w:val="bottom"/>
            <w:hideMark/>
          </w:tcPr>
          <w:p w14:paraId="7E66F138"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Dopravné podniky</w:t>
            </w:r>
          </w:p>
        </w:tc>
        <w:tc>
          <w:tcPr>
            <w:tcW w:w="573" w:type="pct"/>
            <w:tcBorders>
              <w:top w:val="nil"/>
              <w:left w:val="nil"/>
              <w:bottom w:val="nil"/>
              <w:right w:val="nil"/>
            </w:tcBorders>
            <w:shd w:val="clear" w:color="auto" w:fill="auto"/>
            <w:noWrap/>
            <w:vAlign w:val="bottom"/>
            <w:hideMark/>
          </w:tcPr>
          <w:p w14:paraId="4E40FB7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82 612</w:t>
            </w:r>
          </w:p>
        </w:tc>
        <w:tc>
          <w:tcPr>
            <w:tcW w:w="573" w:type="pct"/>
            <w:tcBorders>
              <w:top w:val="nil"/>
              <w:left w:val="nil"/>
              <w:bottom w:val="nil"/>
              <w:right w:val="nil"/>
            </w:tcBorders>
            <w:shd w:val="clear" w:color="auto" w:fill="auto"/>
            <w:noWrap/>
            <w:vAlign w:val="bottom"/>
            <w:hideMark/>
          </w:tcPr>
          <w:p w14:paraId="2DFAC88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79 469</w:t>
            </w:r>
          </w:p>
        </w:tc>
        <w:tc>
          <w:tcPr>
            <w:tcW w:w="622" w:type="pct"/>
            <w:tcBorders>
              <w:top w:val="nil"/>
              <w:left w:val="nil"/>
              <w:bottom w:val="nil"/>
              <w:right w:val="nil"/>
            </w:tcBorders>
            <w:shd w:val="clear" w:color="auto" w:fill="auto"/>
            <w:noWrap/>
            <w:vAlign w:val="bottom"/>
            <w:hideMark/>
          </w:tcPr>
          <w:p w14:paraId="08EC093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76 239</w:t>
            </w:r>
          </w:p>
        </w:tc>
        <w:tc>
          <w:tcPr>
            <w:tcW w:w="637" w:type="pct"/>
            <w:tcBorders>
              <w:top w:val="nil"/>
              <w:left w:val="nil"/>
              <w:bottom w:val="nil"/>
              <w:right w:val="nil"/>
            </w:tcBorders>
            <w:shd w:val="clear" w:color="auto" w:fill="auto"/>
            <w:noWrap/>
            <w:vAlign w:val="bottom"/>
            <w:hideMark/>
          </w:tcPr>
          <w:p w14:paraId="622B17F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-3 230</w:t>
            </w:r>
          </w:p>
        </w:tc>
      </w:tr>
      <w:tr w:rsidR="006C0DD0" w:rsidRPr="00F156BD" w14:paraId="7403F28B" w14:textId="77777777" w:rsidTr="00500BD0">
        <w:trPr>
          <w:trHeight w:val="255"/>
        </w:trPr>
        <w:tc>
          <w:tcPr>
            <w:tcW w:w="2595" w:type="pct"/>
            <w:tcBorders>
              <w:top w:val="nil"/>
              <w:left w:val="nil"/>
              <w:bottom w:val="nil"/>
              <w:right w:val="nil"/>
            </w:tcBorders>
            <w:shd w:val="clear" w:color="auto" w:fill="auto"/>
            <w:noWrap/>
            <w:vAlign w:val="bottom"/>
            <w:hideMark/>
          </w:tcPr>
          <w:p w14:paraId="1561BAA3"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Zdravotnícke zariadenia miestnej samosprávy</w:t>
            </w:r>
          </w:p>
        </w:tc>
        <w:tc>
          <w:tcPr>
            <w:tcW w:w="573" w:type="pct"/>
            <w:tcBorders>
              <w:top w:val="nil"/>
              <w:left w:val="nil"/>
              <w:bottom w:val="nil"/>
              <w:right w:val="nil"/>
            </w:tcBorders>
            <w:shd w:val="clear" w:color="auto" w:fill="auto"/>
            <w:noWrap/>
            <w:vAlign w:val="bottom"/>
            <w:hideMark/>
          </w:tcPr>
          <w:p w14:paraId="6141B63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1 257</w:t>
            </w:r>
          </w:p>
        </w:tc>
        <w:tc>
          <w:tcPr>
            <w:tcW w:w="573" w:type="pct"/>
            <w:tcBorders>
              <w:top w:val="nil"/>
              <w:left w:val="nil"/>
              <w:bottom w:val="nil"/>
              <w:right w:val="nil"/>
            </w:tcBorders>
            <w:shd w:val="clear" w:color="auto" w:fill="auto"/>
            <w:noWrap/>
            <w:vAlign w:val="bottom"/>
            <w:hideMark/>
          </w:tcPr>
          <w:p w14:paraId="30F81BE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1 075</w:t>
            </w:r>
          </w:p>
        </w:tc>
        <w:tc>
          <w:tcPr>
            <w:tcW w:w="622" w:type="pct"/>
            <w:tcBorders>
              <w:top w:val="nil"/>
              <w:left w:val="nil"/>
              <w:bottom w:val="nil"/>
              <w:right w:val="nil"/>
            </w:tcBorders>
            <w:shd w:val="clear" w:color="auto" w:fill="auto"/>
            <w:noWrap/>
            <w:vAlign w:val="bottom"/>
            <w:hideMark/>
          </w:tcPr>
          <w:p w14:paraId="3952F7B5"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3 472</w:t>
            </w:r>
          </w:p>
        </w:tc>
        <w:tc>
          <w:tcPr>
            <w:tcW w:w="637" w:type="pct"/>
            <w:tcBorders>
              <w:top w:val="nil"/>
              <w:left w:val="nil"/>
              <w:bottom w:val="nil"/>
              <w:right w:val="nil"/>
            </w:tcBorders>
            <w:shd w:val="clear" w:color="auto" w:fill="auto"/>
            <w:noWrap/>
            <w:vAlign w:val="bottom"/>
            <w:hideMark/>
          </w:tcPr>
          <w:p w14:paraId="3EF5BA9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2 397</w:t>
            </w:r>
          </w:p>
        </w:tc>
      </w:tr>
      <w:tr w:rsidR="006C0DD0" w:rsidRPr="00F156BD" w14:paraId="7659C73D" w14:textId="77777777" w:rsidTr="00500BD0">
        <w:trPr>
          <w:trHeight w:val="255"/>
        </w:trPr>
        <w:tc>
          <w:tcPr>
            <w:tcW w:w="2595" w:type="pct"/>
            <w:tcBorders>
              <w:top w:val="nil"/>
              <w:left w:val="nil"/>
              <w:bottom w:val="nil"/>
              <w:right w:val="nil"/>
            </w:tcBorders>
            <w:shd w:val="clear" w:color="auto" w:fill="auto"/>
            <w:noWrap/>
            <w:vAlign w:val="bottom"/>
            <w:hideMark/>
          </w:tcPr>
          <w:p w14:paraId="567CA778"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Ostatné subjekty miestnej samosprávy</w:t>
            </w:r>
          </w:p>
        </w:tc>
        <w:tc>
          <w:tcPr>
            <w:tcW w:w="573" w:type="pct"/>
            <w:tcBorders>
              <w:top w:val="nil"/>
              <w:left w:val="nil"/>
              <w:bottom w:val="nil"/>
              <w:right w:val="nil"/>
            </w:tcBorders>
            <w:shd w:val="clear" w:color="auto" w:fill="auto"/>
            <w:noWrap/>
            <w:vAlign w:val="bottom"/>
            <w:hideMark/>
          </w:tcPr>
          <w:p w14:paraId="073192D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5 082</w:t>
            </w:r>
          </w:p>
        </w:tc>
        <w:tc>
          <w:tcPr>
            <w:tcW w:w="573" w:type="pct"/>
            <w:tcBorders>
              <w:top w:val="nil"/>
              <w:left w:val="nil"/>
              <w:bottom w:val="nil"/>
              <w:right w:val="nil"/>
            </w:tcBorders>
            <w:shd w:val="clear" w:color="auto" w:fill="auto"/>
            <w:noWrap/>
            <w:vAlign w:val="bottom"/>
            <w:hideMark/>
          </w:tcPr>
          <w:p w14:paraId="13DC142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2 577</w:t>
            </w:r>
          </w:p>
        </w:tc>
        <w:tc>
          <w:tcPr>
            <w:tcW w:w="622" w:type="pct"/>
            <w:tcBorders>
              <w:top w:val="nil"/>
              <w:left w:val="nil"/>
              <w:bottom w:val="nil"/>
              <w:right w:val="nil"/>
            </w:tcBorders>
            <w:shd w:val="clear" w:color="auto" w:fill="auto"/>
            <w:noWrap/>
            <w:vAlign w:val="bottom"/>
            <w:hideMark/>
          </w:tcPr>
          <w:p w14:paraId="7CFF1820"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3 283</w:t>
            </w:r>
          </w:p>
        </w:tc>
        <w:tc>
          <w:tcPr>
            <w:tcW w:w="637" w:type="pct"/>
            <w:tcBorders>
              <w:top w:val="nil"/>
              <w:left w:val="nil"/>
              <w:bottom w:val="nil"/>
              <w:right w:val="nil"/>
            </w:tcBorders>
            <w:shd w:val="clear" w:color="auto" w:fill="auto"/>
            <w:noWrap/>
            <w:vAlign w:val="bottom"/>
            <w:hideMark/>
          </w:tcPr>
          <w:p w14:paraId="614D87A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706</w:t>
            </w:r>
          </w:p>
        </w:tc>
      </w:tr>
      <w:tr w:rsidR="006C0DD0" w:rsidRPr="00F156BD" w14:paraId="19D15C21" w14:textId="77777777" w:rsidTr="00500BD0">
        <w:trPr>
          <w:trHeight w:val="255"/>
        </w:trPr>
        <w:tc>
          <w:tcPr>
            <w:tcW w:w="2595" w:type="pct"/>
            <w:tcBorders>
              <w:top w:val="nil"/>
              <w:left w:val="nil"/>
              <w:bottom w:val="nil"/>
              <w:right w:val="nil"/>
            </w:tcBorders>
            <w:shd w:val="clear" w:color="auto" w:fill="auto"/>
            <w:noWrap/>
            <w:vAlign w:val="bottom"/>
            <w:hideMark/>
          </w:tcPr>
          <w:p w14:paraId="6D3D6A7D" w14:textId="77777777" w:rsidR="006C0DD0" w:rsidRPr="00F156BD" w:rsidRDefault="006C0DD0" w:rsidP="00500BD0">
            <w:pPr>
              <w:spacing w:after="0" w:line="240" w:lineRule="auto"/>
              <w:rPr>
                <w:b/>
                <w:bCs/>
                <w:sz w:val="20"/>
                <w:szCs w:val="20"/>
                <w:lang w:eastAsia="sk-SK"/>
              </w:rPr>
            </w:pPr>
            <w:r w:rsidRPr="00F156BD">
              <w:rPr>
                <w:b/>
                <w:bCs/>
                <w:sz w:val="20"/>
                <w:szCs w:val="20"/>
                <w:lang w:eastAsia="sk-SK"/>
              </w:rPr>
              <w:t>Fondy sociálneho zabezpečenia</w:t>
            </w:r>
          </w:p>
        </w:tc>
        <w:tc>
          <w:tcPr>
            <w:tcW w:w="573" w:type="pct"/>
            <w:tcBorders>
              <w:top w:val="nil"/>
              <w:left w:val="nil"/>
              <w:bottom w:val="nil"/>
              <w:right w:val="nil"/>
            </w:tcBorders>
            <w:shd w:val="clear" w:color="auto" w:fill="auto"/>
            <w:noWrap/>
            <w:vAlign w:val="bottom"/>
            <w:hideMark/>
          </w:tcPr>
          <w:p w14:paraId="682B3D03"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515</w:t>
            </w:r>
          </w:p>
        </w:tc>
        <w:tc>
          <w:tcPr>
            <w:tcW w:w="573" w:type="pct"/>
            <w:tcBorders>
              <w:top w:val="nil"/>
              <w:left w:val="nil"/>
              <w:bottom w:val="nil"/>
              <w:right w:val="nil"/>
            </w:tcBorders>
            <w:shd w:val="clear" w:color="auto" w:fill="auto"/>
            <w:noWrap/>
            <w:vAlign w:val="bottom"/>
            <w:hideMark/>
          </w:tcPr>
          <w:p w14:paraId="5DD082D1"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1 014</w:t>
            </w:r>
          </w:p>
        </w:tc>
        <w:tc>
          <w:tcPr>
            <w:tcW w:w="622" w:type="pct"/>
            <w:tcBorders>
              <w:top w:val="nil"/>
              <w:left w:val="nil"/>
              <w:bottom w:val="nil"/>
              <w:right w:val="nil"/>
            </w:tcBorders>
            <w:shd w:val="clear" w:color="auto" w:fill="auto"/>
            <w:noWrap/>
            <w:vAlign w:val="bottom"/>
            <w:hideMark/>
          </w:tcPr>
          <w:p w14:paraId="233766E4"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539</w:t>
            </w:r>
          </w:p>
        </w:tc>
        <w:tc>
          <w:tcPr>
            <w:tcW w:w="637" w:type="pct"/>
            <w:tcBorders>
              <w:top w:val="nil"/>
              <w:left w:val="nil"/>
              <w:bottom w:val="nil"/>
              <w:right w:val="nil"/>
            </w:tcBorders>
            <w:shd w:val="clear" w:color="auto" w:fill="auto"/>
            <w:noWrap/>
            <w:vAlign w:val="bottom"/>
            <w:hideMark/>
          </w:tcPr>
          <w:p w14:paraId="1F72FFF0"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-475</w:t>
            </w:r>
          </w:p>
        </w:tc>
      </w:tr>
      <w:tr w:rsidR="006C0DD0" w:rsidRPr="00F156BD" w14:paraId="5C549BA8" w14:textId="77777777" w:rsidTr="00500BD0">
        <w:trPr>
          <w:trHeight w:val="255"/>
        </w:trPr>
        <w:tc>
          <w:tcPr>
            <w:tcW w:w="2595" w:type="pct"/>
            <w:tcBorders>
              <w:top w:val="nil"/>
              <w:left w:val="nil"/>
              <w:bottom w:val="nil"/>
              <w:right w:val="nil"/>
            </w:tcBorders>
            <w:shd w:val="clear" w:color="auto" w:fill="auto"/>
            <w:noWrap/>
            <w:vAlign w:val="bottom"/>
            <w:hideMark/>
          </w:tcPr>
          <w:p w14:paraId="0FC80B79"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Sociálna poisťovňa</w:t>
            </w:r>
          </w:p>
        </w:tc>
        <w:tc>
          <w:tcPr>
            <w:tcW w:w="573" w:type="pct"/>
            <w:tcBorders>
              <w:top w:val="nil"/>
              <w:left w:val="nil"/>
              <w:bottom w:val="nil"/>
              <w:right w:val="nil"/>
            </w:tcBorders>
            <w:shd w:val="clear" w:color="auto" w:fill="auto"/>
            <w:noWrap/>
            <w:vAlign w:val="bottom"/>
            <w:hideMark/>
          </w:tcPr>
          <w:p w14:paraId="086CDE41"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250</w:t>
            </w:r>
          </w:p>
        </w:tc>
        <w:tc>
          <w:tcPr>
            <w:tcW w:w="573" w:type="pct"/>
            <w:tcBorders>
              <w:top w:val="nil"/>
              <w:left w:val="nil"/>
              <w:bottom w:val="nil"/>
              <w:right w:val="nil"/>
            </w:tcBorders>
            <w:shd w:val="clear" w:color="auto" w:fill="auto"/>
            <w:noWrap/>
            <w:vAlign w:val="bottom"/>
            <w:hideMark/>
          </w:tcPr>
          <w:p w14:paraId="5397070E"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278</w:t>
            </w:r>
          </w:p>
        </w:tc>
        <w:tc>
          <w:tcPr>
            <w:tcW w:w="622" w:type="pct"/>
            <w:tcBorders>
              <w:top w:val="nil"/>
              <w:left w:val="nil"/>
              <w:bottom w:val="nil"/>
              <w:right w:val="nil"/>
            </w:tcBorders>
            <w:shd w:val="clear" w:color="auto" w:fill="auto"/>
            <w:noWrap/>
            <w:vAlign w:val="bottom"/>
            <w:hideMark/>
          </w:tcPr>
          <w:p w14:paraId="63F67AB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395</w:t>
            </w:r>
          </w:p>
        </w:tc>
        <w:tc>
          <w:tcPr>
            <w:tcW w:w="637" w:type="pct"/>
            <w:tcBorders>
              <w:top w:val="nil"/>
              <w:left w:val="nil"/>
              <w:bottom w:val="nil"/>
              <w:right w:val="nil"/>
            </w:tcBorders>
            <w:shd w:val="clear" w:color="auto" w:fill="auto"/>
            <w:noWrap/>
            <w:vAlign w:val="bottom"/>
            <w:hideMark/>
          </w:tcPr>
          <w:p w14:paraId="01CE245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117</w:t>
            </w:r>
          </w:p>
        </w:tc>
      </w:tr>
      <w:tr w:rsidR="006C0DD0" w:rsidRPr="00F156BD" w14:paraId="1BFC9B74" w14:textId="77777777" w:rsidTr="00500BD0">
        <w:trPr>
          <w:trHeight w:val="255"/>
        </w:trPr>
        <w:tc>
          <w:tcPr>
            <w:tcW w:w="2595" w:type="pct"/>
            <w:tcBorders>
              <w:top w:val="nil"/>
              <w:left w:val="nil"/>
              <w:bottom w:val="nil"/>
              <w:right w:val="nil"/>
            </w:tcBorders>
            <w:shd w:val="clear" w:color="auto" w:fill="auto"/>
            <w:noWrap/>
            <w:vAlign w:val="bottom"/>
            <w:hideMark/>
          </w:tcPr>
          <w:p w14:paraId="34E46083"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Verejné zdravotné poistenie</w:t>
            </w:r>
          </w:p>
        </w:tc>
        <w:tc>
          <w:tcPr>
            <w:tcW w:w="573" w:type="pct"/>
            <w:tcBorders>
              <w:top w:val="nil"/>
              <w:left w:val="nil"/>
              <w:bottom w:val="nil"/>
              <w:right w:val="nil"/>
            </w:tcBorders>
            <w:shd w:val="clear" w:color="auto" w:fill="auto"/>
            <w:noWrap/>
            <w:vAlign w:val="bottom"/>
            <w:hideMark/>
          </w:tcPr>
          <w:p w14:paraId="3857625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265</w:t>
            </w:r>
          </w:p>
        </w:tc>
        <w:tc>
          <w:tcPr>
            <w:tcW w:w="573" w:type="pct"/>
            <w:tcBorders>
              <w:top w:val="nil"/>
              <w:left w:val="nil"/>
              <w:bottom w:val="nil"/>
              <w:right w:val="nil"/>
            </w:tcBorders>
            <w:shd w:val="clear" w:color="auto" w:fill="auto"/>
            <w:noWrap/>
            <w:vAlign w:val="bottom"/>
            <w:hideMark/>
          </w:tcPr>
          <w:p w14:paraId="0B63D0B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736</w:t>
            </w:r>
          </w:p>
        </w:tc>
        <w:tc>
          <w:tcPr>
            <w:tcW w:w="622" w:type="pct"/>
            <w:tcBorders>
              <w:top w:val="nil"/>
              <w:left w:val="nil"/>
              <w:bottom w:val="nil"/>
              <w:right w:val="nil"/>
            </w:tcBorders>
            <w:shd w:val="clear" w:color="auto" w:fill="auto"/>
            <w:noWrap/>
            <w:vAlign w:val="bottom"/>
            <w:hideMark/>
          </w:tcPr>
          <w:p w14:paraId="0F4B9A2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144</w:t>
            </w:r>
          </w:p>
        </w:tc>
        <w:tc>
          <w:tcPr>
            <w:tcW w:w="637" w:type="pct"/>
            <w:tcBorders>
              <w:top w:val="nil"/>
              <w:left w:val="nil"/>
              <w:bottom w:val="nil"/>
              <w:right w:val="nil"/>
            </w:tcBorders>
            <w:shd w:val="clear" w:color="auto" w:fill="auto"/>
            <w:noWrap/>
            <w:vAlign w:val="bottom"/>
            <w:hideMark/>
          </w:tcPr>
          <w:p w14:paraId="6266C767"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-592</w:t>
            </w:r>
          </w:p>
        </w:tc>
      </w:tr>
      <w:tr w:rsidR="006C0DD0" w:rsidRPr="00F156BD" w14:paraId="660531AB" w14:textId="77777777" w:rsidTr="00500BD0">
        <w:trPr>
          <w:trHeight w:val="255"/>
        </w:trPr>
        <w:tc>
          <w:tcPr>
            <w:tcW w:w="2595" w:type="pct"/>
            <w:tcBorders>
              <w:top w:val="nil"/>
              <w:left w:val="nil"/>
              <w:bottom w:val="nil"/>
              <w:right w:val="nil"/>
            </w:tcBorders>
            <w:shd w:val="clear" w:color="auto" w:fill="auto"/>
            <w:noWrap/>
            <w:vAlign w:val="bottom"/>
            <w:hideMark/>
          </w:tcPr>
          <w:p w14:paraId="44E46D3C" w14:textId="77777777" w:rsidR="006C0DD0" w:rsidRPr="00F156BD" w:rsidRDefault="006C0DD0" w:rsidP="00500BD0">
            <w:pPr>
              <w:spacing w:after="0" w:line="240" w:lineRule="auto"/>
              <w:rPr>
                <w:b/>
                <w:bCs/>
                <w:sz w:val="20"/>
                <w:szCs w:val="20"/>
                <w:lang w:eastAsia="sk-SK"/>
              </w:rPr>
            </w:pPr>
            <w:r w:rsidRPr="00F156BD">
              <w:rPr>
                <w:b/>
                <w:bCs/>
                <w:sz w:val="20"/>
                <w:szCs w:val="20"/>
                <w:lang w:eastAsia="sk-SK"/>
              </w:rPr>
              <w:t>Verejná správa spolu</w:t>
            </w:r>
          </w:p>
        </w:tc>
        <w:tc>
          <w:tcPr>
            <w:tcW w:w="573" w:type="pct"/>
            <w:tcBorders>
              <w:top w:val="nil"/>
              <w:left w:val="nil"/>
              <w:bottom w:val="nil"/>
              <w:right w:val="nil"/>
            </w:tcBorders>
            <w:shd w:val="clear" w:color="auto" w:fill="auto"/>
            <w:noWrap/>
            <w:vAlign w:val="bottom"/>
            <w:hideMark/>
          </w:tcPr>
          <w:p w14:paraId="0A3F6434"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43 764 117</w:t>
            </w:r>
          </w:p>
        </w:tc>
        <w:tc>
          <w:tcPr>
            <w:tcW w:w="573" w:type="pct"/>
            <w:tcBorders>
              <w:top w:val="nil"/>
              <w:left w:val="nil"/>
              <w:bottom w:val="nil"/>
              <w:right w:val="nil"/>
            </w:tcBorders>
            <w:shd w:val="clear" w:color="auto" w:fill="auto"/>
            <w:noWrap/>
            <w:vAlign w:val="bottom"/>
            <w:hideMark/>
          </w:tcPr>
          <w:p w14:paraId="3CF3C45B"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44 857 914</w:t>
            </w:r>
          </w:p>
        </w:tc>
        <w:tc>
          <w:tcPr>
            <w:tcW w:w="622" w:type="pct"/>
            <w:tcBorders>
              <w:top w:val="nil"/>
              <w:left w:val="nil"/>
              <w:bottom w:val="nil"/>
              <w:right w:val="nil"/>
            </w:tcBorders>
            <w:shd w:val="clear" w:color="auto" w:fill="auto"/>
            <w:noWrap/>
            <w:vAlign w:val="bottom"/>
            <w:hideMark/>
          </w:tcPr>
          <w:p w14:paraId="6EC0AA00"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45 743 421</w:t>
            </w:r>
          </w:p>
        </w:tc>
        <w:tc>
          <w:tcPr>
            <w:tcW w:w="637" w:type="pct"/>
            <w:tcBorders>
              <w:top w:val="nil"/>
              <w:left w:val="nil"/>
              <w:bottom w:val="nil"/>
              <w:right w:val="nil"/>
            </w:tcBorders>
            <w:shd w:val="clear" w:color="auto" w:fill="auto"/>
            <w:noWrap/>
            <w:vAlign w:val="bottom"/>
            <w:hideMark/>
          </w:tcPr>
          <w:p w14:paraId="7046C51F"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885 507</w:t>
            </w:r>
          </w:p>
        </w:tc>
      </w:tr>
      <w:tr w:rsidR="006C0DD0" w:rsidRPr="00F156BD" w14:paraId="083DA30A" w14:textId="77777777" w:rsidTr="00500BD0">
        <w:trPr>
          <w:trHeight w:val="255"/>
        </w:trPr>
        <w:tc>
          <w:tcPr>
            <w:tcW w:w="2595" w:type="pct"/>
            <w:tcBorders>
              <w:top w:val="nil"/>
              <w:left w:val="nil"/>
              <w:bottom w:val="nil"/>
              <w:right w:val="nil"/>
            </w:tcBorders>
            <w:shd w:val="clear" w:color="auto" w:fill="auto"/>
            <w:noWrap/>
            <w:vAlign w:val="bottom"/>
            <w:hideMark/>
          </w:tcPr>
          <w:p w14:paraId="704F4D40" w14:textId="77777777" w:rsidR="006C0DD0" w:rsidRPr="00F156BD" w:rsidRDefault="006C0DD0" w:rsidP="00500BD0">
            <w:pPr>
              <w:spacing w:after="0" w:line="240" w:lineRule="auto"/>
              <w:ind w:firstLineChars="200" w:firstLine="400"/>
              <w:rPr>
                <w:i/>
                <w:iCs/>
                <w:sz w:val="20"/>
                <w:szCs w:val="20"/>
                <w:lang w:eastAsia="sk-SK"/>
              </w:rPr>
            </w:pPr>
            <w:r w:rsidRPr="00F156BD">
              <w:rPr>
                <w:i/>
                <w:iCs/>
                <w:sz w:val="20"/>
                <w:szCs w:val="20"/>
                <w:lang w:eastAsia="sk-SK"/>
              </w:rPr>
              <w:t>Konsolidácia</w:t>
            </w:r>
          </w:p>
        </w:tc>
        <w:tc>
          <w:tcPr>
            <w:tcW w:w="573" w:type="pct"/>
            <w:tcBorders>
              <w:top w:val="nil"/>
              <w:left w:val="nil"/>
              <w:bottom w:val="nil"/>
              <w:right w:val="nil"/>
            </w:tcBorders>
            <w:shd w:val="clear" w:color="auto" w:fill="auto"/>
            <w:noWrap/>
            <w:vAlign w:val="bottom"/>
            <w:hideMark/>
          </w:tcPr>
          <w:p w14:paraId="2D53922D"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1 604 355</w:t>
            </w:r>
          </w:p>
        </w:tc>
        <w:tc>
          <w:tcPr>
            <w:tcW w:w="573" w:type="pct"/>
            <w:tcBorders>
              <w:top w:val="nil"/>
              <w:left w:val="nil"/>
              <w:bottom w:val="nil"/>
              <w:right w:val="nil"/>
            </w:tcBorders>
            <w:shd w:val="clear" w:color="auto" w:fill="auto"/>
            <w:noWrap/>
            <w:vAlign w:val="bottom"/>
            <w:hideMark/>
          </w:tcPr>
          <w:p w14:paraId="7A1BA0FC"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1 488 384</w:t>
            </w:r>
          </w:p>
        </w:tc>
        <w:tc>
          <w:tcPr>
            <w:tcW w:w="622" w:type="pct"/>
            <w:tcBorders>
              <w:top w:val="nil"/>
              <w:left w:val="nil"/>
              <w:bottom w:val="nil"/>
              <w:right w:val="nil"/>
            </w:tcBorders>
            <w:shd w:val="clear" w:color="auto" w:fill="auto"/>
            <w:noWrap/>
            <w:vAlign w:val="bottom"/>
            <w:hideMark/>
          </w:tcPr>
          <w:p w14:paraId="10FBDF2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1 421 569</w:t>
            </w:r>
          </w:p>
        </w:tc>
        <w:tc>
          <w:tcPr>
            <w:tcW w:w="637" w:type="pct"/>
            <w:tcBorders>
              <w:top w:val="nil"/>
              <w:left w:val="nil"/>
              <w:bottom w:val="nil"/>
              <w:right w:val="nil"/>
            </w:tcBorders>
            <w:shd w:val="clear" w:color="auto" w:fill="auto"/>
            <w:noWrap/>
            <w:vAlign w:val="bottom"/>
            <w:hideMark/>
          </w:tcPr>
          <w:p w14:paraId="29ADB676"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-66 815</w:t>
            </w:r>
          </w:p>
        </w:tc>
      </w:tr>
      <w:tr w:rsidR="006C0DD0" w:rsidRPr="00F156BD" w14:paraId="5A615818" w14:textId="77777777" w:rsidTr="00500BD0">
        <w:trPr>
          <w:trHeight w:val="255"/>
        </w:trPr>
        <w:tc>
          <w:tcPr>
            <w:tcW w:w="2595" w:type="pct"/>
            <w:tcBorders>
              <w:top w:val="nil"/>
              <w:left w:val="nil"/>
              <w:bottom w:val="nil"/>
              <w:right w:val="nil"/>
            </w:tcBorders>
            <w:shd w:val="clear" w:color="auto" w:fill="auto"/>
            <w:noWrap/>
            <w:vAlign w:val="bottom"/>
            <w:hideMark/>
          </w:tcPr>
          <w:p w14:paraId="3FA465C3" w14:textId="77777777" w:rsidR="006C0DD0" w:rsidRPr="00F156BD" w:rsidRDefault="006C0DD0" w:rsidP="00500BD0">
            <w:pPr>
              <w:spacing w:after="0" w:line="240" w:lineRule="auto"/>
              <w:ind w:firstLineChars="200" w:firstLine="400"/>
              <w:rPr>
                <w:sz w:val="20"/>
                <w:szCs w:val="20"/>
                <w:lang w:eastAsia="sk-SK"/>
              </w:rPr>
            </w:pPr>
            <w:r w:rsidRPr="00F156BD">
              <w:rPr>
                <w:sz w:val="20"/>
                <w:szCs w:val="20"/>
                <w:lang w:eastAsia="sk-SK"/>
              </w:rPr>
              <w:t>z toho: konsolidácia v skupine miestnej samosprávy</w:t>
            </w:r>
          </w:p>
        </w:tc>
        <w:tc>
          <w:tcPr>
            <w:tcW w:w="573" w:type="pct"/>
            <w:tcBorders>
              <w:top w:val="nil"/>
              <w:left w:val="nil"/>
              <w:bottom w:val="nil"/>
              <w:right w:val="nil"/>
            </w:tcBorders>
            <w:shd w:val="clear" w:color="auto" w:fill="auto"/>
            <w:noWrap/>
            <w:vAlign w:val="bottom"/>
            <w:hideMark/>
          </w:tcPr>
          <w:p w14:paraId="20E0CD59"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744 036</w:t>
            </w:r>
          </w:p>
        </w:tc>
        <w:tc>
          <w:tcPr>
            <w:tcW w:w="573" w:type="pct"/>
            <w:tcBorders>
              <w:top w:val="nil"/>
              <w:left w:val="nil"/>
              <w:bottom w:val="nil"/>
              <w:right w:val="nil"/>
            </w:tcBorders>
            <w:shd w:val="clear" w:color="auto" w:fill="auto"/>
            <w:noWrap/>
            <w:vAlign w:val="bottom"/>
            <w:hideMark/>
          </w:tcPr>
          <w:p w14:paraId="6B328B33"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750 213</w:t>
            </w:r>
          </w:p>
        </w:tc>
        <w:tc>
          <w:tcPr>
            <w:tcW w:w="622" w:type="pct"/>
            <w:tcBorders>
              <w:top w:val="nil"/>
              <w:left w:val="nil"/>
              <w:bottom w:val="nil"/>
              <w:right w:val="nil"/>
            </w:tcBorders>
            <w:shd w:val="clear" w:color="auto" w:fill="auto"/>
            <w:noWrap/>
            <w:vAlign w:val="bottom"/>
            <w:hideMark/>
          </w:tcPr>
          <w:p w14:paraId="0D130264"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775 960</w:t>
            </w:r>
          </w:p>
        </w:tc>
        <w:tc>
          <w:tcPr>
            <w:tcW w:w="637" w:type="pct"/>
            <w:tcBorders>
              <w:top w:val="nil"/>
              <w:left w:val="nil"/>
              <w:bottom w:val="nil"/>
              <w:right w:val="nil"/>
            </w:tcBorders>
            <w:shd w:val="clear" w:color="auto" w:fill="auto"/>
            <w:noWrap/>
            <w:vAlign w:val="bottom"/>
            <w:hideMark/>
          </w:tcPr>
          <w:p w14:paraId="2D4F684F" w14:textId="77777777" w:rsidR="006C0DD0" w:rsidRPr="00F156BD" w:rsidRDefault="006C0DD0" w:rsidP="00500BD0">
            <w:pPr>
              <w:spacing w:after="0" w:line="240" w:lineRule="auto"/>
              <w:jc w:val="right"/>
              <w:rPr>
                <w:sz w:val="20"/>
                <w:szCs w:val="20"/>
                <w:lang w:eastAsia="sk-SK"/>
              </w:rPr>
            </w:pPr>
            <w:r w:rsidRPr="00F156BD">
              <w:rPr>
                <w:sz w:val="20"/>
                <w:szCs w:val="20"/>
                <w:lang w:eastAsia="sk-SK"/>
              </w:rPr>
              <w:t>25 747</w:t>
            </w:r>
          </w:p>
        </w:tc>
      </w:tr>
      <w:tr w:rsidR="006C0DD0" w:rsidRPr="00F156BD" w14:paraId="1AE6AA96" w14:textId="77777777" w:rsidTr="000437EA">
        <w:trPr>
          <w:trHeight w:val="132"/>
        </w:trPr>
        <w:tc>
          <w:tcPr>
            <w:tcW w:w="2595" w:type="pct"/>
            <w:tcBorders>
              <w:top w:val="single" w:sz="4" w:space="0" w:color="auto"/>
              <w:left w:val="nil"/>
              <w:bottom w:val="nil"/>
              <w:right w:val="nil"/>
            </w:tcBorders>
            <w:shd w:val="clear" w:color="000000" w:fill="BFBFBF"/>
            <w:noWrap/>
            <w:vAlign w:val="bottom"/>
            <w:hideMark/>
          </w:tcPr>
          <w:p w14:paraId="637D6FCD" w14:textId="77777777" w:rsidR="006C0DD0" w:rsidRPr="00F156BD" w:rsidRDefault="006C0DD0" w:rsidP="00500BD0">
            <w:pPr>
              <w:spacing w:after="0" w:line="240" w:lineRule="auto"/>
              <w:rPr>
                <w:b/>
                <w:bCs/>
                <w:sz w:val="20"/>
                <w:szCs w:val="20"/>
                <w:lang w:eastAsia="sk-SK"/>
              </w:rPr>
            </w:pPr>
            <w:r w:rsidRPr="00F156BD">
              <w:rPr>
                <w:b/>
                <w:bCs/>
                <w:sz w:val="20"/>
                <w:szCs w:val="20"/>
                <w:lang w:eastAsia="sk-SK"/>
              </w:rPr>
              <w:t>Verejná správa spolu konsolidovaná</w:t>
            </w:r>
          </w:p>
        </w:tc>
        <w:tc>
          <w:tcPr>
            <w:tcW w:w="573" w:type="pct"/>
            <w:tcBorders>
              <w:top w:val="single" w:sz="4" w:space="0" w:color="auto"/>
              <w:left w:val="nil"/>
              <w:bottom w:val="nil"/>
              <w:right w:val="nil"/>
            </w:tcBorders>
            <w:shd w:val="clear" w:color="000000" w:fill="BFBFBF"/>
            <w:noWrap/>
            <w:vAlign w:val="bottom"/>
            <w:hideMark/>
          </w:tcPr>
          <w:p w14:paraId="5E36F891"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42 159 762</w:t>
            </w:r>
          </w:p>
        </w:tc>
        <w:tc>
          <w:tcPr>
            <w:tcW w:w="573" w:type="pct"/>
            <w:tcBorders>
              <w:top w:val="single" w:sz="4" w:space="0" w:color="auto"/>
              <w:left w:val="nil"/>
              <w:bottom w:val="nil"/>
              <w:right w:val="nil"/>
            </w:tcBorders>
            <w:shd w:val="clear" w:color="000000" w:fill="BFBFBF"/>
            <w:noWrap/>
            <w:vAlign w:val="bottom"/>
            <w:hideMark/>
          </w:tcPr>
          <w:p w14:paraId="7DEABE7E"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43 369 530</w:t>
            </w:r>
          </w:p>
        </w:tc>
        <w:tc>
          <w:tcPr>
            <w:tcW w:w="622" w:type="pct"/>
            <w:tcBorders>
              <w:top w:val="single" w:sz="4" w:space="0" w:color="auto"/>
              <w:left w:val="nil"/>
              <w:bottom w:val="nil"/>
              <w:right w:val="nil"/>
            </w:tcBorders>
            <w:shd w:val="clear" w:color="000000" w:fill="BFBFBF"/>
            <w:noWrap/>
            <w:vAlign w:val="bottom"/>
            <w:hideMark/>
          </w:tcPr>
          <w:p w14:paraId="319AF697"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44 321 852</w:t>
            </w:r>
          </w:p>
        </w:tc>
        <w:tc>
          <w:tcPr>
            <w:tcW w:w="637" w:type="pct"/>
            <w:tcBorders>
              <w:top w:val="single" w:sz="4" w:space="0" w:color="auto"/>
              <w:left w:val="nil"/>
              <w:bottom w:val="nil"/>
              <w:right w:val="nil"/>
            </w:tcBorders>
            <w:shd w:val="clear" w:color="000000" w:fill="BFBFBF"/>
            <w:noWrap/>
            <w:vAlign w:val="bottom"/>
            <w:hideMark/>
          </w:tcPr>
          <w:p w14:paraId="20F2BA6D"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952 322</w:t>
            </w:r>
          </w:p>
        </w:tc>
      </w:tr>
      <w:tr w:rsidR="006C0DD0" w:rsidRPr="00F156BD" w14:paraId="5344671D" w14:textId="77777777" w:rsidTr="00500BD0">
        <w:trPr>
          <w:trHeight w:val="255"/>
        </w:trPr>
        <w:tc>
          <w:tcPr>
            <w:tcW w:w="2595" w:type="pct"/>
            <w:tcBorders>
              <w:top w:val="nil"/>
              <w:left w:val="nil"/>
              <w:bottom w:val="single" w:sz="4" w:space="0" w:color="auto"/>
              <w:right w:val="nil"/>
            </w:tcBorders>
            <w:shd w:val="clear" w:color="000000" w:fill="BFBFBF"/>
            <w:noWrap/>
            <w:vAlign w:val="bottom"/>
            <w:hideMark/>
          </w:tcPr>
          <w:p w14:paraId="1E2AFECE" w14:textId="77777777" w:rsidR="006C0DD0" w:rsidRPr="00F156BD" w:rsidRDefault="006C0DD0" w:rsidP="00500BD0">
            <w:pPr>
              <w:spacing w:after="0" w:line="240" w:lineRule="auto"/>
              <w:ind w:firstLineChars="200" w:firstLine="402"/>
              <w:rPr>
                <w:b/>
                <w:bCs/>
                <w:sz w:val="20"/>
                <w:szCs w:val="20"/>
                <w:lang w:eastAsia="sk-SK"/>
              </w:rPr>
            </w:pPr>
            <w:r w:rsidRPr="00F156BD">
              <w:rPr>
                <w:b/>
                <w:bCs/>
                <w:sz w:val="20"/>
                <w:szCs w:val="20"/>
                <w:lang w:eastAsia="sk-SK"/>
              </w:rPr>
              <w:t>% z HDP</w:t>
            </w:r>
          </w:p>
        </w:tc>
        <w:tc>
          <w:tcPr>
            <w:tcW w:w="573" w:type="pct"/>
            <w:tcBorders>
              <w:top w:val="nil"/>
              <w:left w:val="nil"/>
              <w:bottom w:val="single" w:sz="4" w:space="0" w:color="auto"/>
              <w:right w:val="nil"/>
            </w:tcBorders>
            <w:shd w:val="clear" w:color="000000" w:fill="BFBFBF"/>
            <w:noWrap/>
            <w:vAlign w:val="bottom"/>
            <w:hideMark/>
          </w:tcPr>
          <w:p w14:paraId="727DF528"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52,0</w:t>
            </w:r>
          </w:p>
        </w:tc>
        <w:tc>
          <w:tcPr>
            <w:tcW w:w="573" w:type="pct"/>
            <w:tcBorders>
              <w:top w:val="nil"/>
              <w:left w:val="nil"/>
              <w:bottom w:val="single" w:sz="4" w:space="0" w:color="auto"/>
              <w:right w:val="nil"/>
            </w:tcBorders>
            <w:shd w:val="clear" w:color="000000" w:fill="BFBFBF"/>
            <w:noWrap/>
            <w:vAlign w:val="bottom"/>
            <w:hideMark/>
          </w:tcPr>
          <w:p w14:paraId="6532F4F1"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51,3</w:t>
            </w:r>
          </w:p>
        </w:tc>
        <w:tc>
          <w:tcPr>
            <w:tcW w:w="622" w:type="pct"/>
            <w:tcBorders>
              <w:top w:val="nil"/>
              <w:left w:val="nil"/>
              <w:bottom w:val="single" w:sz="4" w:space="0" w:color="auto"/>
              <w:right w:val="nil"/>
            </w:tcBorders>
            <w:shd w:val="clear" w:color="000000" w:fill="BFBFBF"/>
            <w:noWrap/>
            <w:vAlign w:val="bottom"/>
            <w:hideMark/>
          </w:tcPr>
          <w:p w14:paraId="6EEBB3AA"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49,4</w:t>
            </w:r>
          </w:p>
        </w:tc>
        <w:tc>
          <w:tcPr>
            <w:tcW w:w="637" w:type="pct"/>
            <w:tcBorders>
              <w:top w:val="nil"/>
              <w:left w:val="nil"/>
              <w:bottom w:val="single" w:sz="4" w:space="0" w:color="auto"/>
              <w:right w:val="nil"/>
            </w:tcBorders>
            <w:shd w:val="clear" w:color="000000" w:fill="BFBFBF"/>
            <w:noWrap/>
            <w:vAlign w:val="bottom"/>
            <w:hideMark/>
          </w:tcPr>
          <w:p w14:paraId="63587319" w14:textId="77777777" w:rsidR="006C0DD0" w:rsidRPr="00F156BD" w:rsidRDefault="006C0DD0" w:rsidP="00500BD0">
            <w:pPr>
              <w:spacing w:after="0" w:line="240" w:lineRule="auto"/>
              <w:jc w:val="right"/>
              <w:rPr>
                <w:b/>
                <w:bCs/>
                <w:sz w:val="20"/>
                <w:szCs w:val="20"/>
                <w:lang w:eastAsia="sk-SK"/>
              </w:rPr>
            </w:pPr>
            <w:r w:rsidRPr="00F156BD">
              <w:rPr>
                <w:b/>
                <w:bCs/>
                <w:sz w:val="20"/>
                <w:szCs w:val="20"/>
                <w:lang w:eastAsia="sk-SK"/>
              </w:rPr>
              <w:t>-1,9</w:t>
            </w:r>
          </w:p>
        </w:tc>
      </w:tr>
    </w:tbl>
    <w:p w14:paraId="0234A5FF" w14:textId="77777777" w:rsidR="006C0DD0" w:rsidRPr="00D410B4" w:rsidRDefault="006C0DD0" w:rsidP="006C0DD0">
      <w:pPr>
        <w:jc w:val="right"/>
        <w:rPr>
          <w:sz w:val="18"/>
          <w:szCs w:val="18"/>
        </w:rPr>
      </w:pPr>
      <w:r w:rsidRPr="00D410B4">
        <w:rPr>
          <w:sz w:val="18"/>
          <w:szCs w:val="18"/>
          <w:lang w:eastAsia="sk-SK"/>
        </w:rPr>
        <w:t>Zdroj: MF SR</w:t>
      </w:r>
    </w:p>
    <w:p w14:paraId="38D0CEAD" w14:textId="77777777" w:rsidR="006C0DD0" w:rsidRPr="00D410B4" w:rsidRDefault="006C0DD0" w:rsidP="006C0DD0">
      <w:pPr>
        <w:spacing w:before="120" w:after="0" w:line="336" w:lineRule="auto"/>
        <w:contextualSpacing/>
        <w:jc w:val="both"/>
        <w:rPr>
          <w:szCs w:val="22"/>
        </w:rPr>
      </w:pPr>
      <w:r w:rsidRPr="00D410B4">
        <w:rPr>
          <w:b/>
          <w:szCs w:val="22"/>
        </w:rPr>
        <w:t xml:space="preserve">Pozitívny </w:t>
      </w:r>
      <w:r w:rsidRPr="00D410B4">
        <w:rPr>
          <w:szCs w:val="22"/>
        </w:rPr>
        <w:t xml:space="preserve">vplyv na </w:t>
      </w:r>
      <w:r>
        <w:rPr>
          <w:szCs w:val="22"/>
        </w:rPr>
        <w:t>zmenu</w:t>
      </w:r>
      <w:r w:rsidRPr="00D410B4">
        <w:rPr>
          <w:szCs w:val="22"/>
        </w:rPr>
        <w:t xml:space="preserve"> maastrichtského dlhu v roku 2018 mali najmä tieto skutočnosti:</w:t>
      </w:r>
    </w:p>
    <w:p w14:paraId="3D958EAE" w14:textId="77777777" w:rsidR="006C0DD0" w:rsidRPr="00D410B4" w:rsidRDefault="006C0DD0" w:rsidP="006C0DD0">
      <w:pPr>
        <w:pStyle w:val="Odsekzoznamu"/>
        <w:numPr>
          <w:ilvl w:val="0"/>
          <w:numId w:val="10"/>
        </w:numPr>
        <w:spacing w:before="120" w:line="336" w:lineRule="auto"/>
        <w:ind w:left="357" w:hanging="357"/>
        <w:jc w:val="both"/>
        <w:rPr>
          <w:rFonts w:cs="Times New Roman"/>
        </w:rPr>
      </w:pPr>
      <w:r w:rsidRPr="00D410B4">
        <w:rPr>
          <w:rFonts w:cs="Times New Roman"/>
        </w:rPr>
        <w:t>splátky záväzkov zo štátnych dlhopisov v menovitej hodnote 3 200</w:t>
      </w:r>
      <w:r>
        <w:rPr>
          <w:rFonts w:cs="Times New Roman"/>
        </w:rPr>
        <w:t> </w:t>
      </w:r>
      <w:r w:rsidRPr="00D410B4">
        <w:rPr>
          <w:rFonts w:cs="Times New Roman"/>
        </w:rPr>
        <w:t>864</w:t>
      </w:r>
      <w:r>
        <w:rPr>
          <w:rFonts w:cs="Times New Roman"/>
        </w:rPr>
        <w:t> </w:t>
      </w:r>
      <w:r w:rsidRPr="00D410B4">
        <w:rPr>
          <w:rFonts w:cs="Times New Roman"/>
        </w:rPr>
        <w:t>tis.</w:t>
      </w:r>
      <w:r>
        <w:rPr>
          <w:rFonts w:cs="Times New Roman"/>
        </w:rPr>
        <w:t> </w:t>
      </w:r>
      <w:r w:rsidRPr="00D410B4">
        <w:rPr>
          <w:rFonts w:cs="Times New Roman"/>
        </w:rPr>
        <w:t>eur,</w:t>
      </w:r>
    </w:p>
    <w:p w14:paraId="2D8F6CCC" w14:textId="77777777" w:rsidR="006C0DD0" w:rsidRPr="00D410B4" w:rsidRDefault="006C0DD0" w:rsidP="006C0DD0">
      <w:pPr>
        <w:pStyle w:val="Odsekzoznamu"/>
        <w:numPr>
          <w:ilvl w:val="0"/>
          <w:numId w:val="10"/>
        </w:numPr>
        <w:spacing w:before="120" w:line="336" w:lineRule="auto"/>
        <w:ind w:left="357" w:hanging="357"/>
        <w:jc w:val="both"/>
        <w:rPr>
          <w:rFonts w:cs="Times New Roman"/>
        </w:rPr>
      </w:pPr>
      <w:r w:rsidRPr="00D410B4">
        <w:rPr>
          <w:rFonts w:cs="Times New Roman"/>
        </w:rPr>
        <w:t>splátky úverov v štátnom dlhu v menovitej hodnote 15</w:t>
      </w:r>
      <w:r>
        <w:rPr>
          <w:rFonts w:cs="Times New Roman"/>
        </w:rPr>
        <w:t> </w:t>
      </w:r>
      <w:r w:rsidRPr="00D410B4">
        <w:rPr>
          <w:rFonts w:cs="Times New Roman"/>
        </w:rPr>
        <w:t>169</w:t>
      </w:r>
      <w:r>
        <w:rPr>
          <w:rFonts w:cs="Times New Roman"/>
        </w:rPr>
        <w:t> </w:t>
      </w:r>
      <w:r w:rsidRPr="00D410B4">
        <w:rPr>
          <w:rFonts w:cs="Times New Roman"/>
        </w:rPr>
        <w:t>tis.</w:t>
      </w:r>
      <w:r>
        <w:rPr>
          <w:rFonts w:cs="Times New Roman"/>
        </w:rPr>
        <w:t> </w:t>
      </w:r>
      <w:r w:rsidRPr="00D410B4">
        <w:rPr>
          <w:rFonts w:cs="Times New Roman"/>
        </w:rPr>
        <w:t>eur,</w:t>
      </w:r>
    </w:p>
    <w:p w14:paraId="724DA1CD" w14:textId="77777777" w:rsidR="006C0DD0" w:rsidRPr="00D410B4" w:rsidRDefault="006C0DD0" w:rsidP="006C0DD0">
      <w:pPr>
        <w:pStyle w:val="Odsekzoznamu"/>
        <w:numPr>
          <w:ilvl w:val="0"/>
          <w:numId w:val="10"/>
        </w:numPr>
        <w:spacing w:before="120" w:line="336" w:lineRule="auto"/>
        <w:ind w:left="357" w:hanging="357"/>
        <w:jc w:val="both"/>
        <w:rPr>
          <w:rFonts w:cs="Times New Roman"/>
        </w:rPr>
      </w:pPr>
      <w:r w:rsidRPr="00D410B4">
        <w:rPr>
          <w:rFonts w:cs="Times New Roman"/>
        </w:rPr>
        <w:t>pokles zadlženosti Národnej diaľničnej spoločnosti, a. s. o 39</w:t>
      </w:r>
      <w:r>
        <w:rPr>
          <w:rFonts w:cs="Times New Roman"/>
        </w:rPr>
        <w:t> </w:t>
      </w:r>
      <w:r w:rsidRPr="00D410B4">
        <w:rPr>
          <w:rFonts w:cs="Times New Roman"/>
        </w:rPr>
        <w:t>663</w:t>
      </w:r>
      <w:r>
        <w:rPr>
          <w:rFonts w:cs="Times New Roman"/>
        </w:rPr>
        <w:t> </w:t>
      </w:r>
      <w:r w:rsidRPr="00D410B4">
        <w:rPr>
          <w:rFonts w:cs="Times New Roman"/>
        </w:rPr>
        <w:t>tis.</w:t>
      </w:r>
      <w:r>
        <w:rPr>
          <w:rFonts w:cs="Times New Roman"/>
        </w:rPr>
        <w:t> </w:t>
      </w:r>
      <w:r w:rsidRPr="00D410B4">
        <w:rPr>
          <w:rFonts w:cs="Times New Roman"/>
        </w:rPr>
        <w:t>eur z dôvodu splácania úverov z predchádzajúcich rokov,</w:t>
      </w:r>
    </w:p>
    <w:p w14:paraId="2745318E" w14:textId="77777777" w:rsidR="006C0DD0" w:rsidRPr="00D410B4" w:rsidRDefault="006C0DD0" w:rsidP="006C0DD0">
      <w:pPr>
        <w:pStyle w:val="Odsekzoznamu"/>
        <w:numPr>
          <w:ilvl w:val="0"/>
          <w:numId w:val="10"/>
        </w:numPr>
        <w:spacing w:before="120" w:line="336" w:lineRule="auto"/>
        <w:ind w:left="357" w:hanging="357"/>
        <w:jc w:val="both"/>
        <w:rPr>
          <w:rFonts w:cs="Times New Roman"/>
        </w:rPr>
      </w:pPr>
      <w:r w:rsidRPr="00D410B4">
        <w:rPr>
          <w:rFonts w:cs="Times New Roman"/>
        </w:rPr>
        <w:t>pokles zadlženosti dopravných podnikov miestnej samosprávy o 3</w:t>
      </w:r>
      <w:r>
        <w:rPr>
          <w:rFonts w:cs="Times New Roman"/>
        </w:rPr>
        <w:t> </w:t>
      </w:r>
      <w:r w:rsidRPr="00D410B4">
        <w:rPr>
          <w:rFonts w:cs="Times New Roman"/>
        </w:rPr>
        <w:t>230</w:t>
      </w:r>
      <w:r>
        <w:rPr>
          <w:rFonts w:cs="Times New Roman"/>
        </w:rPr>
        <w:t> </w:t>
      </w:r>
      <w:r w:rsidRPr="00D410B4">
        <w:rPr>
          <w:rFonts w:cs="Times New Roman"/>
        </w:rPr>
        <w:t>tis.</w:t>
      </w:r>
      <w:r>
        <w:rPr>
          <w:rFonts w:cs="Times New Roman"/>
        </w:rPr>
        <w:t> </w:t>
      </w:r>
      <w:r w:rsidRPr="00D410B4">
        <w:rPr>
          <w:rFonts w:cs="Times New Roman"/>
        </w:rPr>
        <w:t>eur</w:t>
      </w:r>
      <w:r>
        <w:rPr>
          <w:rFonts w:cs="Times New Roman"/>
        </w:rPr>
        <w:t xml:space="preserve"> </w:t>
      </w:r>
      <w:r w:rsidRPr="00D410B4">
        <w:rPr>
          <w:rFonts w:cs="Times New Roman"/>
        </w:rPr>
        <w:t xml:space="preserve">z dôvodu splácania </w:t>
      </w:r>
      <w:r>
        <w:rPr>
          <w:rFonts w:cs="Times New Roman"/>
        </w:rPr>
        <w:t>úverov z predchádzajúcich rokov</w:t>
      </w:r>
      <w:r w:rsidRPr="00D410B4">
        <w:rPr>
          <w:rFonts w:cs="Times New Roman"/>
        </w:rPr>
        <w:t>,</w:t>
      </w:r>
    </w:p>
    <w:p w14:paraId="248AE6A2" w14:textId="77777777" w:rsidR="006C0DD0" w:rsidRDefault="006C0DD0" w:rsidP="006C0DD0">
      <w:pPr>
        <w:pStyle w:val="Odsekzoznamu"/>
        <w:numPr>
          <w:ilvl w:val="0"/>
          <w:numId w:val="10"/>
        </w:numPr>
        <w:spacing w:before="120" w:line="336" w:lineRule="auto"/>
        <w:ind w:left="357" w:hanging="357"/>
        <w:jc w:val="both"/>
        <w:rPr>
          <w:rFonts w:cs="Times New Roman"/>
        </w:rPr>
      </w:pPr>
      <w:r w:rsidRPr="00D410B4">
        <w:rPr>
          <w:rFonts w:cs="Times New Roman"/>
        </w:rPr>
        <w:t>zníženie dlhu vyšších územných celkov o 6 913 tis.</w:t>
      </w:r>
      <w:r>
        <w:rPr>
          <w:rFonts w:cs="Times New Roman"/>
        </w:rPr>
        <w:t> </w:t>
      </w:r>
      <w:r w:rsidRPr="00D410B4">
        <w:rPr>
          <w:rFonts w:cs="Times New Roman"/>
        </w:rPr>
        <w:t>eur</w:t>
      </w:r>
      <w:r>
        <w:rPr>
          <w:rFonts w:cs="Times New Roman"/>
        </w:rPr>
        <w:t xml:space="preserve"> z dôvodu splácania úverov z predchádzajúcich rokov</w:t>
      </w:r>
      <w:r w:rsidRPr="00D410B4">
        <w:rPr>
          <w:rFonts w:cs="Times New Roman"/>
        </w:rPr>
        <w:t>.</w:t>
      </w:r>
    </w:p>
    <w:p w14:paraId="50A834D4" w14:textId="77777777" w:rsidR="006C0DD0" w:rsidRDefault="006C0DD0" w:rsidP="004D4908">
      <w:pPr>
        <w:spacing w:before="120" w:after="0" w:line="336" w:lineRule="auto"/>
        <w:jc w:val="both"/>
      </w:pPr>
      <w:r w:rsidRPr="005A01C0">
        <w:t>Naopak</w:t>
      </w:r>
      <w:r w:rsidRPr="00251265">
        <w:rPr>
          <w:b/>
        </w:rPr>
        <w:t>, negatívny</w:t>
      </w:r>
      <w:r w:rsidRPr="005A01C0">
        <w:t xml:space="preserve"> vplyv na zmenu maastrichtského dlhu v roku 2018 mali najmä tieto skutočnosti:</w:t>
      </w:r>
    </w:p>
    <w:p w14:paraId="5FFF76B7" w14:textId="77777777" w:rsidR="006C0DD0" w:rsidRPr="008873DD" w:rsidRDefault="006C0DD0" w:rsidP="006C0DD0">
      <w:pPr>
        <w:pStyle w:val="Odsekzoznamu"/>
        <w:numPr>
          <w:ilvl w:val="0"/>
          <w:numId w:val="49"/>
        </w:numPr>
        <w:spacing w:before="120" w:line="336" w:lineRule="auto"/>
        <w:ind w:left="426" w:hanging="426"/>
        <w:jc w:val="both"/>
      </w:pPr>
      <w:r w:rsidRPr="008873DD">
        <w:t xml:space="preserve">schodok štátneho rozpočtu na hotovostnej báze a ďalšie požiadavky na cudzie zdroje vyplývajúce z riadenia dlhu a likvidity v priebehu uplynulého roka, ktoré vyvolali potrebu emitovať </w:t>
      </w:r>
      <w:r>
        <w:t xml:space="preserve">štátne pokladničné poukážky v menovitej hodnote 800 000 tis eur a </w:t>
      </w:r>
      <w:r w:rsidRPr="008873DD">
        <w:t>štátne dlhopisy v menovitej hodnote 3 100 500 tis. eur,</w:t>
      </w:r>
    </w:p>
    <w:p w14:paraId="667A322E" w14:textId="77777777" w:rsidR="006C0DD0" w:rsidRPr="008873DD" w:rsidRDefault="006C0DD0" w:rsidP="006C0DD0">
      <w:pPr>
        <w:pStyle w:val="Odsekzoznamu"/>
        <w:numPr>
          <w:ilvl w:val="0"/>
          <w:numId w:val="10"/>
        </w:numPr>
        <w:spacing w:before="120" w:line="336" w:lineRule="auto"/>
        <w:ind w:left="357" w:hanging="357"/>
        <w:jc w:val="both"/>
        <w:rPr>
          <w:rFonts w:cs="Times New Roman"/>
        </w:rPr>
      </w:pPr>
      <w:r w:rsidRPr="008873DD">
        <w:rPr>
          <w:rFonts w:cs="Times New Roman"/>
        </w:rPr>
        <w:t>zvýšenie konsolidovaného dlhu obcí o 67 527 tis. eur,</w:t>
      </w:r>
    </w:p>
    <w:p w14:paraId="78E3F788" w14:textId="77777777" w:rsidR="006C0DD0" w:rsidRPr="00666084" w:rsidRDefault="006C0DD0" w:rsidP="006C0DD0">
      <w:pPr>
        <w:pStyle w:val="Odsekzoznamu"/>
        <w:numPr>
          <w:ilvl w:val="0"/>
          <w:numId w:val="10"/>
        </w:numPr>
        <w:spacing w:before="120" w:line="336" w:lineRule="auto"/>
        <w:ind w:left="357" w:hanging="357"/>
        <w:jc w:val="both"/>
        <w:rPr>
          <w:rFonts w:cs="Times New Roman"/>
        </w:rPr>
      </w:pPr>
      <w:r w:rsidRPr="00666084">
        <w:rPr>
          <w:rFonts w:cs="Times New Roman"/>
        </w:rPr>
        <w:t xml:space="preserve">nárast konsolidovaného dlhu </w:t>
      </w:r>
      <w:r>
        <w:rPr>
          <w:rFonts w:cs="Times New Roman"/>
        </w:rPr>
        <w:t xml:space="preserve">zdravotníckych zariadení </w:t>
      </w:r>
      <w:r w:rsidRPr="00666084">
        <w:rPr>
          <w:rFonts w:cs="Times New Roman"/>
        </w:rPr>
        <w:t>o 45 032 tis. eur</w:t>
      </w:r>
      <w:r>
        <w:rPr>
          <w:rFonts w:cs="Times New Roman"/>
        </w:rPr>
        <w:t xml:space="preserve"> zapríčinené najmä spätným započítaním hodnoty záväzkov zdravotníckych zariadení postúpených na nových veriteľov, ktoré podľa ESA 2010 zvyšujú hodnotu maastrichtského dlhu, </w:t>
      </w:r>
    </w:p>
    <w:p w14:paraId="5C9C2107" w14:textId="77777777" w:rsidR="006C0DD0" w:rsidRDefault="006C0DD0" w:rsidP="006C0DD0">
      <w:pPr>
        <w:pStyle w:val="Odsekzoznamu"/>
        <w:numPr>
          <w:ilvl w:val="0"/>
          <w:numId w:val="10"/>
        </w:numPr>
        <w:spacing w:before="120" w:line="336" w:lineRule="auto"/>
        <w:ind w:left="357" w:hanging="357"/>
        <w:jc w:val="both"/>
        <w:rPr>
          <w:rFonts w:cs="Times New Roman"/>
        </w:rPr>
      </w:pPr>
      <w:r w:rsidRPr="00666084">
        <w:rPr>
          <w:rFonts w:cs="Times New Roman"/>
        </w:rPr>
        <w:t>zvýšenie dlhu Železničnej spoločnosti Slovensko, a. s. o 34 517 tis. eur</w:t>
      </w:r>
      <w:r>
        <w:rPr>
          <w:rFonts w:cs="Times New Roman"/>
        </w:rPr>
        <w:t xml:space="preserve"> z dôvodu čerpania nových úverov</w:t>
      </w:r>
      <w:r w:rsidRPr="00666084">
        <w:rPr>
          <w:rFonts w:cs="Times New Roman"/>
        </w:rPr>
        <w:t>,</w:t>
      </w:r>
    </w:p>
    <w:p w14:paraId="6CABF6DC" w14:textId="77777777" w:rsidR="006C0DD0" w:rsidRDefault="006C0DD0" w:rsidP="006C0DD0">
      <w:pPr>
        <w:pStyle w:val="Odsekzoznamu"/>
        <w:numPr>
          <w:ilvl w:val="0"/>
          <w:numId w:val="10"/>
        </w:numPr>
        <w:spacing w:before="120" w:line="336" w:lineRule="auto"/>
        <w:ind w:left="357" w:hanging="357"/>
        <w:jc w:val="both"/>
        <w:rPr>
          <w:rFonts w:cs="Times New Roman"/>
        </w:rPr>
      </w:pPr>
      <w:r>
        <w:rPr>
          <w:rFonts w:cs="Times New Roman"/>
        </w:rPr>
        <w:t>zvýšenie dlhu subjektov verejnej správy v objeme 23 182 tis. eur z dôvodu zahrnutia dlhodobých záväzkov z obchodného styku a prijatých preddavkov do maastrichtského dlhu vyplývajúce zo zmeny metodiky ESA 2010.</w:t>
      </w:r>
    </w:p>
    <w:p w14:paraId="1C2A56A7" w14:textId="77777777" w:rsidR="006C0DD0" w:rsidRPr="00C062D8" w:rsidRDefault="006C0DD0" w:rsidP="006C0DD0">
      <w:pPr>
        <w:spacing w:before="120" w:after="120" w:line="336" w:lineRule="auto"/>
        <w:jc w:val="both"/>
      </w:pPr>
      <w:r w:rsidRPr="00C062D8">
        <w:t>V roku 2018 najviac prispel k nárastu dlhu hotovostný schodok štátneho rozpočtu vo</w:t>
      </w:r>
      <w:r>
        <w:t> </w:t>
      </w:r>
      <w:r w:rsidRPr="00C062D8">
        <w:t>výške 1 182 242 tis.</w:t>
      </w:r>
      <w:r>
        <w:t> </w:t>
      </w:r>
      <w:r w:rsidRPr="00C062D8">
        <w:t>eur, ktorý sa medziročne znížil o 37 890 tis.</w:t>
      </w:r>
      <w:r>
        <w:t> </w:t>
      </w:r>
      <w:r w:rsidRPr="00C062D8">
        <w:t>eur</w:t>
      </w:r>
      <w:r w:rsidRPr="00E26FC3">
        <w:rPr>
          <w:rStyle w:val="Odkaznapoznmkupodiarou"/>
          <w:szCs w:val="22"/>
        </w:rPr>
        <w:footnoteReference w:id="7"/>
      </w:r>
      <w:r w:rsidRPr="00C062D8">
        <w:t>.</w:t>
      </w:r>
    </w:p>
    <w:p w14:paraId="1F4AFA8B" w14:textId="77777777" w:rsidR="006C0DD0" w:rsidRDefault="006C0DD0" w:rsidP="006C0DD0">
      <w:pPr>
        <w:spacing w:before="120" w:line="336" w:lineRule="auto"/>
        <w:jc w:val="both"/>
      </w:pPr>
      <w:r>
        <w:t>Štátny dlh vo v</w:t>
      </w:r>
      <w:r w:rsidRPr="00091982">
        <w:rPr>
          <w:szCs w:val="22"/>
        </w:rPr>
        <w:t xml:space="preserve">ýške </w:t>
      </w:r>
      <w:r w:rsidRPr="00091982">
        <w:rPr>
          <w:szCs w:val="22"/>
          <w:lang w:eastAsia="sk-SK"/>
        </w:rPr>
        <w:t>42</w:t>
      </w:r>
      <w:r>
        <w:rPr>
          <w:szCs w:val="22"/>
          <w:lang w:eastAsia="sk-SK"/>
        </w:rPr>
        <w:t> </w:t>
      </w:r>
      <w:r w:rsidRPr="00091982">
        <w:rPr>
          <w:szCs w:val="22"/>
          <w:lang w:eastAsia="sk-SK"/>
        </w:rPr>
        <w:t>560</w:t>
      </w:r>
      <w:r>
        <w:rPr>
          <w:szCs w:val="22"/>
          <w:lang w:eastAsia="sk-SK"/>
        </w:rPr>
        <w:t> </w:t>
      </w:r>
      <w:r w:rsidRPr="00091982">
        <w:rPr>
          <w:szCs w:val="22"/>
          <w:lang w:eastAsia="sk-SK"/>
        </w:rPr>
        <w:t>165</w:t>
      </w:r>
      <w:r>
        <w:rPr>
          <w:szCs w:val="22"/>
          <w:lang w:eastAsia="sk-SK"/>
        </w:rPr>
        <w:t> </w:t>
      </w:r>
      <w:r w:rsidRPr="00091982">
        <w:rPr>
          <w:szCs w:val="22"/>
          <w:lang w:eastAsia="sk-SK"/>
        </w:rPr>
        <w:t>tis.</w:t>
      </w:r>
      <w:r>
        <w:rPr>
          <w:szCs w:val="22"/>
          <w:lang w:eastAsia="sk-SK"/>
        </w:rPr>
        <w:t> </w:t>
      </w:r>
      <w:r w:rsidRPr="00091982">
        <w:rPr>
          <w:szCs w:val="22"/>
          <w:lang w:eastAsia="sk-SK"/>
        </w:rPr>
        <w:t>eur</w:t>
      </w:r>
      <w:r>
        <w:t xml:space="preserve"> tvorí 96,0 % konsolidovaného dlhu verejnej správy. Z tejto hodnoty tvoria štátne dlhopisy a štátne pokladničné poukážky 37 737 291 tis. eur, zahraničné úvery od finančných inštitúcií, ktorých beneficientom je Ministerstvo financií SR, 2 280 118 tis. eur. P</w:t>
      </w:r>
      <w:r w:rsidRPr="00C062D8">
        <w:t xml:space="preserve">odiel Slovenska na pôžičkách Európskeho nástroja finančnej stability (EFSF) </w:t>
      </w:r>
      <w:r>
        <w:t>sa medziročne nezmenil a zostáva na úrovni 1 880 640 tis. eur.</w:t>
      </w:r>
    </w:p>
    <w:p w14:paraId="1A7A70FA" w14:textId="77777777" w:rsidR="006C0DD0" w:rsidRPr="00C062D8" w:rsidRDefault="006C0DD0" w:rsidP="006C0DD0">
      <w:pPr>
        <w:spacing w:before="120" w:line="336" w:lineRule="auto"/>
        <w:jc w:val="both"/>
      </w:pPr>
      <w:r w:rsidRPr="00C062D8">
        <w:t>Rast nominálneho HDP prispel k medziročnému zníženiu podielu dlhu na HDP o 3,0</w:t>
      </w:r>
      <w:r>
        <w:t> </w:t>
      </w:r>
      <w:r w:rsidRPr="00C062D8">
        <w:t>p.</w:t>
      </w:r>
      <w:r>
        <w:t> </w:t>
      </w:r>
      <w:r w:rsidRPr="00C062D8">
        <w:t>b.</w:t>
      </w:r>
    </w:p>
    <w:p w14:paraId="664CEF6C" w14:textId="77777777" w:rsidR="006C0DD0" w:rsidRPr="005D7429" w:rsidRDefault="006C0DD0" w:rsidP="006C0DD0">
      <w:pPr>
        <w:spacing w:before="120" w:after="0" w:line="336" w:lineRule="auto"/>
        <w:jc w:val="both"/>
        <w:rPr>
          <w:b/>
          <w:szCs w:val="22"/>
        </w:rPr>
      </w:pPr>
      <w:r w:rsidRPr="005D7429">
        <w:rPr>
          <w:b/>
          <w:szCs w:val="22"/>
        </w:rPr>
        <w:t>Štruktúra dlhu verejnej správy k 31.12.2018 bola nasledovná:</w:t>
      </w:r>
    </w:p>
    <w:p w14:paraId="308A02D0" w14:textId="77777777" w:rsidR="006C0DD0" w:rsidRPr="005D7429" w:rsidRDefault="006C0DD0" w:rsidP="006C0DD0">
      <w:pPr>
        <w:pStyle w:val="Odsekzoznamu"/>
        <w:numPr>
          <w:ilvl w:val="0"/>
          <w:numId w:val="10"/>
        </w:numPr>
        <w:spacing w:before="120" w:line="336" w:lineRule="auto"/>
        <w:ind w:left="357" w:hanging="357"/>
        <w:jc w:val="both"/>
        <w:rPr>
          <w:rFonts w:cs="Times New Roman"/>
        </w:rPr>
      </w:pPr>
      <w:r w:rsidRPr="005D7429">
        <w:rPr>
          <w:rFonts w:cs="Times New Roman"/>
        </w:rPr>
        <w:t>Z hľadiska zdrojov financovania bol dlh financovaný predovšetkým cennými papiermi (85,2</w:t>
      </w:r>
      <w:r>
        <w:rPr>
          <w:rFonts w:cs="Times New Roman"/>
        </w:rPr>
        <w:t> </w:t>
      </w:r>
      <w:r w:rsidRPr="005D7429">
        <w:rPr>
          <w:rFonts w:cs="Times New Roman"/>
        </w:rPr>
        <w:t>%) a bankovými úvermi a inými záväzkami (14,1 %), z ktorých 30,1 % predstavuje záväzok Slovenska z</w:t>
      </w:r>
      <w:r>
        <w:rPr>
          <w:rFonts w:cs="Times New Roman"/>
        </w:rPr>
        <w:t> </w:t>
      </w:r>
      <w:r w:rsidRPr="005D7429">
        <w:rPr>
          <w:rFonts w:cs="Times New Roman"/>
        </w:rPr>
        <w:t>EFSF</w:t>
      </w:r>
      <w:r>
        <w:rPr>
          <w:rFonts w:cs="Times New Roman"/>
        </w:rPr>
        <w:t xml:space="preserve"> a 0,2 % tvoria dlhodobé záväzky z obchodného styku a prijaté preddavky, ktoré boli na základe zmeny metodiky publikovanej v aktualizovanom Manuáli o vládnom deficite a dlhu zahrnuté do maastrichtského dlhu. </w:t>
      </w:r>
      <w:r w:rsidRPr="005D7429">
        <w:rPr>
          <w:rFonts w:cs="Times New Roman"/>
        </w:rPr>
        <w:t>Zostávajúcich 0,7</w:t>
      </w:r>
      <w:r>
        <w:rPr>
          <w:rFonts w:cs="Times New Roman"/>
        </w:rPr>
        <w:t xml:space="preserve"> % tvorili z</w:t>
      </w:r>
      <w:r w:rsidRPr="005D7429">
        <w:rPr>
          <w:rFonts w:cs="Times New Roman"/>
        </w:rPr>
        <w:t>áväzky, ktoré vyplývajú z vkladov peňažných prostriedkov v Štátnej pokladnici tých klientov, ktorí nie sú súčasťou verejnej správy.</w:t>
      </w:r>
    </w:p>
    <w:p w14:paraId="399AB3B7" w14:textId="77777777" w:rsidR="006C0DD0" w:rsidRPr="005D7429" w:rsidRDefault="006C0DD0" w:rsidP="006C0DD0">
      <w:pPr>
        <w:pStyle w:val="Odsekzoznamu"/>
        <w:numPr>
          <w:ilvl w:val="0"/>
          <w:numId w:val="10"/>
        </w:numPr>
        <w:spacing w:before="120" w:line="336" w:lineRule="auto"/>
        <w:jc w:val="both"/>
        <w:rPr>
          <w:rFonts w:cs="Times New Roman"/>
        </w:rPr>
      </w:pPr>
      <w:r w:rsidRPr="005D7429">
        <w:rPr>
          <w:rFonts w:cs="Times New Roman"/>
        </w:rPr>
        <w:t>Z hľadiska meny bol dlh verejnej správy v roku 2018 tvorený z 95,0 % dlhom v eurách a 5,0 % dlhu pripadá na iné meny</w:t>
      </w:r>
      <w:r>
        <w:rPr>
          <w:rFonts w:cs="Times New Roman"/>
        </w:rPr>
        <w:t>, najmä v prípade štátnych dlhopisov</w:t>
      </w:r>
      <w:r w:rsidRPr="005D7429">
        <w:rPr>
          <w:rFonts w:cs="Times New Roman"/>
        </w:rPr>
        <w:t xml:space="preserve"> (japonské jeny, americké doláre, švajčiarske franky a iné).</w:t>
      </w:r>
    </w:p>
    <w:p w14:paraId="7EED3843" w14:textId="77777777" w:rsidR="006C0DD0" w:rsidRPr="005D7429" w:rsidRDefault="006C0DD0" w:rsidP="006C0DD0">
      <w:pPr>
        <w:pStyle w:val="Odsekzoznamu"/>
        <w:numPr>
          <w:ilvl w:val="0"/>
          <w:numId w:val="10"/>
        </w:numPr>
        <w:spacing w:before="120" w:line="336" w:lineRule="auto"/>
        <w:jc w:val="both"/>
        <w:rPr>
          <w:rFonts w:cs="Times New Roman"/>
        </w:rPr>
      </w:pPr>
      <w:r w:rsidRPr="005D7429">
        <w:rPr>
          <w:rFonts w:cs="Times New Roman"/>
        </w:rPr>
        <w:t>Z hľadiska pôvodnej splatnosti je dlh verejnej správy prevažne dlhodobý. Z celkovej výšky dlhu tvorí dlh so splatnosťou dlhšou ako jeden rok 97,0 %. Z toho 0,8</w:t>
      </w:r>
      <w:r>
        <w:rPr>
          <w:rFonts w:cs="Times New Roman"/>
        </w:rPr>
        <w:t> </w:t>
      </w:r>
      <w:r w:rsidRPr="005D7429">
        <w:rPr>
          <w:rFonts w:cs="Times New Roman"/>
        </w:rPr>
        <w:t>% dlhu je splatných v rozpätí 1 až 5 rokov, 9,2 % dlhu je splatných od 5 do 10 rokov, 35,0 % dlhu je splatných v intervale od 10 do 15 rokov a splatnosť 52,0</w:t>
      </w:r>
      <w:r>
        <w:rPr>
          <w:rFonts w:cs="Times New Roman"/>
        </w:rPr>
        <w:t> </w:t>
      </w:r>
      <w:r w:rsidRPr="005D7429">
        <w:rPr>
          <w:rFonts w:cs="Times New Roman"/>
        </w:rPr>
        <w:t>% dlhu je vyššia ako 15</w:t>
      </w:r>
      <w:r>
        <w:rPr>
          <w:rFonts w:cs="Times New Roman"/>
        </w:rPr>
        <w:t> </w:t>
      </w:r>
      <w:r w:rsidRPr="005D7429">
        <w:rPr>
          <w:rFonts w:cs="Times New Roman"/>
        </w:rPr>
        <w:t>rokov. Do jedného roka je pôvodne splatných 3,0</w:t>
      </w:r>
      <w:r>
        <w:rPr>
          <w:rFonts w:cs="Times New Roman"/>
        </w:rPr>
        <w:t> </w:t>
      </w:r>
      <w:r w:rsidRPr="005D7429">
        <w:rPr>
          <w:rFonts w:cs="Times New Roman"/>
        </w:rPr>
        <w:t>% dlhu verejnej správy.</w:t>
      </w:r>
    </w:p>
    <w:p w14:paraId="6D9458CD" w14:textId="77777777" w:rsidR="006C0DD0" w:rsidRDefault="006C0DD0" w:rsidP="006C0DD0">
      <w:pPr>
        <w:pStyle w:val="Odsekzoznamu"/>
        <w:numPr>
          <w:ilvl w:val="0"/>
          <w:numId w:val="10"/>
        </w:numPr>
        <w:spacing w:before="120" w:line="336" w:lineRule="auto"/>
        <w:jc w:val="both"/>
        <w:rPr>
          <w:rFonts w:cs="Times New Roman"/>
        </w:rPr>
      </w:pPr>
      <w:r w:rsidRPr="005D7429">
        <w:rPr>
          <w:rFonts w:cs="Times New Roman"/>
        </w:rPr>
        <w:t>Z hľadiska teritoriálnej štruktúry pripadalo na tuzemských veriteľov 42,7</w:t>
      </w:r>
      <w:r>
        <w:rPr>
          <w:rFonts w:cs="Times New Roman"/>
        </w:rPr>
        <w:t> </w:t>
      </w:r>
      <w:r w:rsidRPr="005D7429">
        <w:rPr>
          <w:rFonts w:cs="Times New Roman"/>
        </w:rPr>
        <w:t>% a na zahraničných veriteľov 57,3</w:t>
      </w:r>
      <w:r>
        <w:rPr>
          <w:rFonts w:cs="Times New Roman"/>
        </w:rPr>
        <w:t> </w:t>
      </w:r>
      <w:r w:rsidRPr="005D7429">
        <w:rPr>
          <w:rFonts w:cs="Times New Roman"/>
        </w:rPr>
        <w:t>% z celkového dlhu. Tuzemskými veriteľmi sú predovšetkým finančné korporácie, ktor</w:t>
      </w:r>
      <w:r>
        <w:rPr>
          <w:rFonts w:cs="Times New Roman"/>
        </w:rPr>
        <w:t>é majú v držbe</w:t>
      </w:r>
      <w:r w:rsidRPr="005D7429">
        <w:rPr>
          <w:rFonts w:cs="Times New Roman"/>
        </w:rPr>
        <w:t xml:space="preserve"> 41,4</w:t>
      </w:r>
      <w:r>
        <w:rPr>
          <w:rFonts w:cs="Times New Roman"/>
        </w:rPr>
        <w:t> </w:t>
      </w:r>
      <w:r w:rsidRPr="005D7429">
        <w:rPr>
          <w:rFonts w:cs="Times New Roman"/>
        </w:rPr>
        <w:t>%</w:t>
      </w:r>
      <w:r>
        <w:rPr>
          <w:rFonts w:cs="Times New Roman"/>
        </w:rPr>
        <w:t xml:space="preserve"> dlhu subjektov verejnej správy</w:t>
      </w:r>
      <w:r w:rsidRPr="005D7429">
        <w:rPr>
          <w:rFonts w:cs="Times New Roman"/>
        </w:rPr>
        <w:t>.</w:t>
      </w:r>
    </w:p>
    <w:p w14:paraId="6F1F910D" w14:textId="52147328" w:rsidR="00AA01D7" w:rsidRDefault="006C0DD0" w:rsidP="006C0DD0">
      <w:pPr>
        <w:spacing w:before="120" w:line="336" w:lineRule="auto"/>
        <w:jc w:val="both"/>
      </w:pPr>
      <w:r>
        <w:t>Ďalšie informácie k zahraničným úverom v správe Ministerstva financií SR ako aj k úverom niektorých subjektov verejnej správy sú uvedené v prílohe č. 3 tejto správy, v súhrnnej účtovnej závierk</w:t>
      </w:r>
      <w:r w:rsidR="004D4908">
        <w:t>e</w:t>
      </w:r>
      <w:r>
        <w:t>.</w:t>
      </w:r>
    </w:p>
    <w:p w14:paraId="7592B5C5" w14:textId="77777777" w:rsidR="00AA01D7" w:rsidRDefault="00AA01D7">
      <w:r>
        <w:br w:type="page"/>
      </w:r>
    </w:p>
    <w:p w14:paraId="42800255" w14:textId="75BA5105" w:rsidR="003D050C" w:rsidRPr="00B1010A" w:rsidRDefault="003D050C" w:rsidP="00C102B8">
      <w:pPr>
        <w:pStyle w:val="Nadpis2"/>
        <w:numPr>
          <w:ilvl w:val="0"/>
          <w:numId w:val="0"/>
        </w:numPr>
        <w:spacing w:after="120"/>
        <w:ind w:left="896"/>
      </w:pPr>
      <w:bookmarkStart w:id="22" w:name="_Toc23264793"/>
      <w:r w:rsidRPr="00B1010A">
        <w:t>1.3.</w:t>
      </w:r>
      <w:r w:rsidR="00C102B8" w:rsidRPr="00B1010A">
        <w:tab/>
      </w:r>
      <w:r w:rsidRPr="00B1010A">
        <w:t>Čistý dlh verejnej správy</w:t>
      </w:r>
      <w:bookmarkEnd w:id="22"/>
    </w:p>
    <w:p w14:paraId="68B9FF6D" w14:textId="5233F64F" w:rsidR="00500BD0" w:rsidRPr="00654C07" w:rsidRDefault="00500BD0" w:rsidP="00500BD0">
      <w:pPr>
        <w:spacing w:before="120" w:after="0" w:line="336" w:lineRule="auto"/>
        <w:jc w:val="both"/>
        <w:rPr>
          <w:szCs w:val="22"/>
        </w:rPr>
      </w:pPr>
      <w:bookmarkStart w:id="23" w:name="_Toc496786977"/>
      <w:r w:rsidRPr="00654C07">
        <w:rPr>
          <w:szCs w:val="22"/>
        </w:rPr>
        <w:t xml:space="preserve">Pokým hrubý dlh dosiahol k 31.12.2018 hodnotu 49,4 % HDP a medziročne poklesol o 1,9 p. b., </w:t>
      </w:r>
      <w:r w:rsidRPr="00654C07">
        <w:rPr>
          <w:b/>
          <w:szCs w:val="22"/>
        </w:rPr>
        <w:t>čistý dlh Slovenskej republiky dosiahol k 31.12.2018 výšku 38 948 540 tis. eur (43,4 % HDP) a oproti roku 201</w:t>
      </w:r>
      <w:r>
        <w:rPr>
          <w:b/>
          <w:szCs w:val="22"/>
        </w:rPr>
        <w:t>7</w:t>
      </w:r>
      <w:r w:rsidRPr="00654C07">
        <w:rPr>
          <w:b/>
          <w:szCs w:val="22"/>
        </w:rPr>
        <w:t xml:space="preserve"> klesol o 2,</w:t>
      </w:r>
      <w:r w:rsidR="003C012D">
        <w:rPr>
          <w:b/>
          <w:szCs w:val="22"/>
        </w:rPr>
        <w:t>3</w:t>
      </w:r>
      <w:r>
        <w:rPr>
          <w:b/>
          <w:szCs w:val="22"/>
        </w:rPr>
        <w:t> </w:t>
      </w:r>
      <w:r w:rsidRPr="00654C07">
        <w:rPr>
          <w:b/>
          <w:szCs w:val="22"/>
        </w:rPr>
        <w:t>p.</w:t>
      </w:r>
      <w:r>
        <w:rPr>
          <w:b/>
          <w:szCs w:val="22"/>
        </w:rPr>
        <w:t> </w:t>
      </w:r>
      <w:r w:rsidRPr="00654C07">
        <w:rPr>
          <w:b/>
          <w:szCs w:val="22"/>
        </w:rPr>
        <w:t xml:space="preserve">b. </w:t>
      </w:r>
      <w:r w:rsidRPr="00654C07">
        <w:rPr>
          <w:szCs w:val="22"/>
        </w:rPr>
        <w:t xml:space="preserve">Čistý dlh verejnej správy je analyticky vhodnejší ukazovateľ ako hrubý dlh pri pohľade na medziročnú dynamiku dlhu, pretože na rozdiel od ukazovateľa hrubého dlhu eliminuje rozdiely vzniknuté nárastom alebo poklesom finančných aktív a tým vernejšie zobrazuje skutočný vývoj zadlženosti štátu. </w:t>
      </w:r>
    </w:p>
    <w:p w14:paraId="4288DB34" w14:textId="77777777" w:rsidR="00500BD0" w:rsidRDefault="00500BD0" w:rsidP="00500BD0">
      <w:pPr>
        <w:spacing w:before="120" w:after="0" w:line="336" w:lineRule="auto"/>
        <w:jc w:val="both"/>
        <w:rPr>
          <w:szCs w:val="22"/>
        </w:rPr>
      </w:pPr>
      <w:r w:rsidRPr="00654C07">
        <w:rPr>
          <w:szCs w:val="22"/>
        </w:rPr>
        <w:t>Čistý dlh ukazuje schopnosť štátu splatiť svoj hrubý dlh na základe speňaženia svojich najlikvidnejších finančných aktív. Pokiaľ hrubý dlh verejnej správy prezentovaný v prvej kapitole je presne vymedzený v metodike ESA </w:t>
      </w:r>
      <w:r w:rsidRPr="005968D8">
        <w:rPr>
          <w:szCs w:val="22"/>
        </w:rPr>
        <w:t xml:space="preserve">2010, metodiku čistého dlhu zatiaľ upravuje len definícia v usmernení Európskej komisie. Podľa tejto definície </w:t>
      </w:r>
      <w:r w:rsidRPr="005968D8">
        <w:rPr>
          <w:szCs w:val="22"/>
          <w:u w:val="single"/>
        </w:rPr>
        <w:t>čistý dlh verejnej správy predstavuje rozdiel medzi hrubým maastrichtským dlhom a súčtom zlata a špeciálnych práv čerpania (SDR), hotovosti, cenných papierov v trhovej hodnote (okrem akcií) a kótovaných akcií v trhovej hodnote</w:t>
      </w:r>
      <w:r w:rsidRPr="005968D8">
        <w:rPr>
          <w:szCs w:val="22"/>
        </w:rPr>
        <w:t>.</w:t>
      </w:r>
    </w:p>
    <w:tbl>
      <w:tblPr>
        <w:tblW w:w="5000" w:type="pct"/>
        <w:tblCellMar>
          <w:left w:w="70" w:type="dxa"/>
          <w:right w:w="70" w:type="dxa"/>
        </w:tblCellMar>
        <w:tblLook w:val="04A0" w:firstRow="1" w:lastRow="0" w:firstColumn="1" w:lastColumn="0" w:noHBand="0" w:noVBand="1"/>
      </w:tblPr>
      <w:tblGrid>
        <w:gridCol w:w="2553"/>
        <w:gridCol w:w="540"/>
        <w:gridCol w:w="1208"/>
        <w:gridCol w:w="1208"/>
        <w:gridCol w:w="1212"/>
        <w:gridCol w:w="784"/>
        <w:gridCol w:w="813"/>
        <w:gridCol w:w="753"/>
      </w:tblGrid>
      <w:tr w:rsidR="00500BD0" w:rsidRPr="00654C07" w14:paraId="7F6D9ABE" w14:textId="77777777" w:rsidTr="00482590">
        <w:trPr>
          <w:trHeight w:val="420"/>
        </w:trPr>
        <w:tc>
          <w:tcPr>
            <w:tcW w:w="3705" w:type="pct"/>
            <w:gridSpan w:val="5"/>
            <w:tcBorders>
              <w:top w:val="nil"/>
              <w:left w:val="nil"/>
              <w:bottom w:val="nil"/>
              <w:right w:val="nil"/>
            </w:tcBorders>
            <w:shd w:val="clear" w:color="000000" w:fill="000000"/>
            <w:vAlign w:val="center"/>
            <w:hideMark/>
          </w:tcPr>
          <w:p w14:paraId="174E353B" w14:textId="77777777" w:rsidR="00500BD0" w:rsidRPr="00654C07" w:rsidRDefault="00500BD0" w:rsidP="00500BD0">
            <w:pPr>
              <w:spacing w:after="0" w:line="240" w:lineRule="auto"/>
              <w:jc w:val="both"/>
              <w:rPr>
                <w:b/>
                <w:bCs/>
                <w:color w:val="FFFFFF"/>
                <w:sz w:val="20"/>
                <w:szCs w:val="20"/>
                <w:lang w:eastAsia="sk-SK"/>
              </w:rPr>
            </w:pPr>
            <w:r w:rsidRPr="00654C07">
              <w:rPr>
                <w:b/>
                <w:bCs/>
                <w:color w:val="FFFFFF"/>
                <w:sz w:val="20"/>
                <w:szCs w:val="20"/>
                <w:lang w:eastAsia="sk-SK"/>
              </w:rPr>
              <w:t>Čistý dlh verejnej správy</w:t>
            </w:r>
          </w:p>
        </w:tc>
        <w:tc>
          <w:tcPr>
            <w:tcW w:w="432" w:type="pct"/>
            <w:tcBorders>
              <w:top w:val="nil"/>
              <w:left w:val="nil"/>
              <w:bottom w:val="nil"/>
              <w:right w:val="nil"/>
            </w:tcBorders>
            <w:shd w:val="clear" w:color="000000" w:fill="000000"/>
            <w:noWrap/>
            <w:vAlign w:val="center"/>
            <w:hideMark/>
          </w:tcPr>
          <w:p w14:paraId="2E5CDC05"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c>
          <w:tcPr>
            <w:tcW w:w="448" w:type="pct"/>
            <w:tcBorders>
              <w:top w:val="nil"/>
              <w:left w:val="nil"/>
              <w:bottom w:val="nil"/>
              <w:right w:val="nil"/>
            </w:tcBorders>
            <w:shd w:val="clear" w:color="000000" w:fill="000000"/>
            <w:noWrap/>
            <w:vAlign w:val="center"/>
            <w:hideMark/>
          </w:tcPr>
          <w:p w14:paraId="3B717F83"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c>
          <w:tcPr>
            <w:tcW w:w="415" w:type="pct"/>
            <w:tcBorders>
              <w:top w:val="nil"/>
              <w:left w:val="nil"/>
              <w:bottom w:val="nil"/>
              <w:right w:val="nil"/>
            </w:tcBorders>
            <w:shd w:val="clear" w:color="000000" w:fill="000000"/>
            <w:noWrap/>
            <w:vAlign w:val="center"/>
            <w:hideMark/>
          </w:tcPr>
          <w:p w14:paraId="0C359A50"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r>
      <w:tr w:rsidR="00500BD0" w:rsidRPr="00654C07" w14:paraId="27167A93" w14:textId="77777777" w:rsidTr="00500BD0">
        <w:trPr>
          <w:trHeight w:val="255"/>
        </w:trPr>
        <w:tc>
          <w:tcPr>
            <w:tcW w:w="1407" w:type="pct"/>
            <w:tcBorders>
              <w:top w:val="nil"/>
              <w:left w:val="nil"/>
              <w:bottom w:val="nil"/>
              <w:right w:val="nil"/>
            </w:tcBorders>
            <w:shd w:val="clear" w:color="000000" w:fill="C0C0C0"/>
            <w:noWrap/>
            <w:vAlign w:val="center"/>
            <w:hideMark/>
          </w:tcPr>
          <w:p w14:paraId="2AD66742"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c>
          <w:tcPr>
            <w:tcW w:w="298" w:type="pct"/>
            <w:tcBorders>
              <w:top w:val="nil"/>
              <w:left w:val="nil"/>
              <w:bottom w:val="nil"/>
              <w:right w:val="nil"/>
            </w:tcBorders>
            <w:shd w:val="clear" w:color="000000" w:fill="C0C0C0"/>
            <w:noWrap/>
            <w:vAlign w:val="center"/>
            <w:hideMark/>
          </w:tcPr>
          <w:p w14:paraId="7E4408BE"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w:t>
            </w:r>
          </w:p>
        </w:tc>
        <w:tc>
          <w:tcPr>
            <w:tcW w:w="666" w:type="pct"/>
            <w:tcBorders>
              <w:top w:val="nil"/>
              <w:left w:val="nil"/>
              <w:bottom w:val="nil"/>
              <w:right w:val="nil"/>
            </w:tcBorders>
            <w:shd w:val="clear" w:color="000000" w:fill="C0C0C0"/>
            <w:vAlign w:val="center"/>
            <w:hideMark/>
          </w:tcPr>
          <w:p w14:paraId="131062F4"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w:t>
            </w:r>
          </w:p>
        </w:tc>
        <w:tc>
          <w:tcPr>
            <w:tcW w:w="666" w:type="pct"/>
            <w:tcBorders>
              <w:top w:val="nil"/>
              <w:left w:val="nil"/>
              <w:bottom w:val="nil"/>
              <w:right w:val="nil"/>
            </w:tcBorders>
            <w:shd w:val="clear" w:color="000000" w:fill="C0C0C0"/>
            <w:noWrap/>
            <w:vAlign w:val="center"/>
            <w:hideMark/>
          </w:tcPr>
          <w:p w14:paraId="76B0DCEA"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tis. eur</w:t>
            </w:r>
          </w:p>
        </w:tc>
        <w:tc>
          <w:tcPr>
            <w:tcW w:w="668" w:type="pct"/>
            <w:tcBorders>
              <w:top w:val="nil"/>
              <w:left w:val="nil"/>
              <w:bottom w:val="nil"/>
              <w:right w:val="nil"/>
            </w:tcBorders>
            <w:shd w:val="clear" w:color="000000" w:fill="C0C0C0"/>
            <w:vAlign w:val="center"/>
            <w:hideMark/>
          </w:tcPr>
          <w:p w14:paraId="7A17F8A3"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w:t>
            </w:r>
          </w:p>
        </w:tc>
        <w:tc>
          <w:tcPr>
            <w:tcW w:w="432" w:type="pct"/>
            <w:tcBorders>
              <w:top w:val="nil"/>
              <w:left w:val="nil"/>
              <w:bottom w:val="nil"/>
              <w:right w:val="nil"/>
            </w:tcBorders>
            <w:shd w:val="clear" w:color="000000" w:fill="C0C0C0"/>
            <w:noWrap/>
            <w:vAlign w:val="center"/>
            <w:hideMark/>
          </w:tcPr>
          <w:p w14:paraId="04AA7A55"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c>
          <w:tcPr>
            <w:tcW w:w="448" w:type="pct"/>
            <w:tcBorders>
              <w:top w:val="nil"/>
              <w:left w:val="nil"/>
              <w:bottom w:val="nil"/>
              <w:right w:val="nil"/>
            </w:tcBorders>
            <w:shd w:val="clear" w:color="000000" w:fill="C0C0C0"/>
            <w:noWrap/>
            <w:vAlign w:val="center"/>
            <w:hideMark/>
          </w:tcPr>
          <w:p w14:paraId="1B23BEC3"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HDP</w:t>
            </w:r>
          </w:p>
        </w:tc>
        <w:tc>
          <w:tcPr>
            <w:tcW w:w="415" w:type="pct"/>
            <w:tcBorders>
              <w:top w:val="nil"/>
              <w:left w:val="nil"/>
              <w:bottom w:val="nil"/>
              <w:right w:val="nil"/>
            </w:tcBorders>
            <w:shd w:val="clear" w:color="000000" w:fill="C0C0C0"/>
            <w:noWrap/>
            <w:vAlign w:val="center"/>
            <w:hideMark/>
          </w:tcPr>
          <w:p w14:paraId="4559F4F0"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w:t>
            </w:r>
          </w:p>
        </w:tc>
      </w:tr>
      <w:tr w:rsidR="00500BD0" w:rsidRPr="00654C07" w14:paraId="63744216" w14:textId="77777777" w:rsidTr="00500BD0">
        <w:trPr>
          <w:trHeight w:val="270"/>
        </w:trPr>
        <w:tc>
          <w:tcPr>
            <w:tcW w:w="1407" w:type="pct"/>
            <w:tcBorders>
              <w:top w:val="nil"/>
              <w:left w:val="nil"/>
              <w:bottom w:val="single" w:sz="8" w:space="0" w:color="auto"/>
              <w:right w:val="nil"/>
            </w:tcBorders>
            <w:shd w:val="clear" w:color="000000" w:fill="C0C0C0"/>
            <w:noWrap/>
            <w:vAlign w:val="center"/>
            <w:hideMark/>
          </w:tcPr>
          <w:p w14:paraId="246915A6"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w:t>
            </w:r>
          </w:p>
        </w:tc>
        <w:tc>
          <w:tcPr>
            <w:tcW w:w="298" w:type="pct"/>
            <w:tcBorders>
              <w:top w:val="nil"/>
              <w:left w:val="nil"/>
              <w:bottom w:val="single" w:sz="8" w:space="0" w:color="auto"/>
              <w:right w:val="nil"/>
            </w:tcBorders>
            <w:shd w:val="clear" w:color="000000" w:fill="C0C0C0"/>
            <w:noWrap/>
            <w:vAlign w:val="center"/>
            <w:hideMark/>
          </w:tcPr>
          <w:p w14:paraId="6E703647"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 </w:t>
            </w:r>
          </w:p>
        </w:tc>
        <w:tc>
          <w:tcPr>
            <w:tcW w:w="666" w:type="pct"/>
            <w:tcBorders>
              <w:top w:val="nil"/>
              <w:left w:val="nil"/>
              <w:bottom w:val="single" w:sz="8" w:space="0" w:color="auto"/>
              <w:right w:val="nil"/>
            </w:tcBorders>
            <w:shd w:val="clear" w:color="000000" w:fill="C0C0C0"/>
            <w:vAlign w:val="center"/>
            <w:hideMark/>
          </w:tcPr>
          <w:p w14:paraId="61DF2BBD"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2016</w:t>
            </w:r>
          </w:p>
        </w:tc>
        <w:tc>
          <w:tcPr>
            <w:tcW w:w="666" w:type="pct"/>
            <w:tcBorders>
              <w:top w:val="nil"/>
              <w:left w:val="nil"/>
              <w:bottom w:val="single" w:sz="8" w:space="0" w:color="auto"/>
              <w:right w:val="nil"/>
            </w:tcBorders>
            <w:shd w:val="clear" w:color="000000" w:fill="C0C0C0"/>
            <w:vAlign w:val="center"/>
            <w:hideMark/>
          </w:tcPr>
          <w:p w14:paraId="499DEBDE"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2017</w:t>
            </w:r>
          </w:p>
        </w:tc>
        <w:tc>
          <w:tcPr>
            <w:tcW w:w="668" w:type="pct"/>
            <w:tcBorders>
              <w:top w:val="nil"/>
              <w:left w:val="nil"/>
              <w:bottom w:val="single" w:sz="8" w:space="0" w:color="auto"/>
              <w:right w:val="nil"/>
            </w:tcBorders>
            <w:shd w:val="clear" w:color="000000" w:fill="C0C0C0"/>
            <w:vAlign w:val="center"/>
            <w:hideMark/>
          </w:tcPr>
          <w:p w14:paraId="4A6E874E"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2018</w:t>
            </w:r>
          </w:p>
        </w:tc>
        <w:tc>
          <w:tcPr>
            <w:tcW w:w="432" w:type="pct"/>
            <w:tcBorders>
              <w:top w:val="nil"/>
              <w:left w:val="nil"/>
              <w:bottom w:val="single" w:sz="8" w:space="0" w:color="auto"/>
              <w:right w:val="nil"/>
            </w:tcBorders>
            <w:shd w:val="clear" w:color="000000" w:fill="C0C0C0"/>
            <w:vAlign w:val="center"/>
            <w:hideMark/>
          </w:tcPr>
          <w:p w14:paraId="0D498525"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w:t>
            </w:r>
            <w:r>
              <w:rPr>
                <w:b/>
                <w:bCs/>
                <w:color w:val="000000"/>
                <w:sz w:val="20"/>
                <w:szCs w:val="20"/>
                <w:lang w:eastAsia="sk-SK"/>
              </w:rPr>
              <w:t>6</w:t>
            </w:r>
          </w:p>
        </w:tc>
        <w:tc>
          <w:tcPr>
            <w:tcW w:w="448" w:type="pct"/>
            <w:tcBorders>
              <w:top w:val="nil"/>
              <w:left w:val="nil"/>
              <w:bottom w:val="single" w:sz="8" w:space="0" w:color="auto"/>
              <w:right w:val="nil"/>
            </w:tcBorders>
            <w:shd w:val="clear" w:color="000000" w:fill="C0C0C0"/>
            <w:vAlign w:val="center"/>
            <w:hideMark/>
          </w:tcPr>
          <w:p w14:paraId="58858CB2"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w:t>
            </w:r>
            <w:r>
              <w:rPr>
                <w:b/>
                <w:bCs/>
                <w:color w:val="000000"/>
                <w:sz w:val="20"/>
                <w:szCs w:val="20"/>
                <w:lang w:eastAsia="sk-SK"/>
              </w:rPr>
              <w:t>7</w:t>
            </w:r>
          </w:p>
        </w:tc>
        <w:tc>
          <w:tcPr>
            <w:tcW w:w="415" w:type="pct"/>
            <w:tcBorders>
              <w:top w:val="nil"/>
              <w:left w:val="nil"/>
              <w:bottom w:val="single" w:sz="8" w:space="0" w:color="auto"/>
              <w:right w:val="nil"/>
            </w:tcBorders>
            <w:shd w:val="clear" w:color="000000" w:fill="C0C0C0"/>
            <w:vAlign w:val="center"/>
            <w:hideMark/>
          </w:tcPr>
          <w:p w14:paraId="1673619B"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201</w:t>
            </w:r>
            <w:r>
              <w:rPr>
                <w:b/>
                <w:bCs/>
                <w:color w:val="000000"/>
                <w:sz w:val="20"/>
                <w:szCs w:val="20"/>
                <w:lang w:eastAsia="sk-SK"/>
              </w:rPr>
              <w:t>8</w:t>
            </w:r>
          </w:p>
        </w:tc>
      </w:tr>
      <w:tr w:rsidR="00500BD0" w:rsidRPr="00654C07" w14:paraId="6E487F85" w14:textId="77777777" w:rsidTr="00500BD0">
        <w:trPr>
          <w:trHeight w:val="255"/>
        </w:trPr>
        <w:tc>
          <w:tcPr>
            <w:tcW w:w="1407" w:type="pct"/>
            <w:tcBorders>
              <w:top w:val="nil"/>
              <w:left w:val="nil"/>
              <w:bottom w:val="nil"/>
              <w:right w:val="nil"/>
            </w:tcBorders>
            <w:shd w:val="clear" w:color="auto" w:fill="auto"/>
            <w:noWrap/>
            <w:vAlign w:val="center"/>
            <w:hideMark/>
          </w:tcPr>
          <w:p w14:paraId="7E182A78" w14:textId="77777777" w:rsidR="00500BD0" w:rsidRPr="00654C07" w:rsidRDefault="00500BD0" w:rsidP="00500BD0">
            <w:pPr>
              <w:spacing w:after="0" w:line="240" w:lineRule="auto"/>
              <w:rPr>
                <w:b/>
                <w:bCs/>
                <w:color w:val="000000"/>
                <w:sz w:val="20"/>
                <w:szCs w:val="20"/>
                <w:lang w:eastAsia="sk-SK"/>
              </w:rPr>
            </w:pPr>
            <w:r w:rsidRPr="00654C07">
              <w:rPr>
                <w:b/>
                <w:bCs/>
                <w:color w:val="000000"/>
                <w:sz w:val="20"/>
                <w:szCs w:val="20"/>
                <w:lang w:eastAsia="sk-SK"/>
              </w:rPr>
              <w:t>Hrubý dlh verejnej správy</w:t>
            </w:r>
          </w:p>
        </w:tc>
        <w:tc>
          <w:tcPr>
            <w:tcW w:w="298" w:type="pct"/>
            <w:tcBorders>
              <w:top w:val="nil"/>
              <w:left w:val="nil"/>
              <w:bottom w:val="nil"/>
              <w:right w:val="nil"/>
            </w:tcBorders>
            <w:shd w:val="clear" w:color="auto" w:fill="auto"/>
            <w:noWrap/>
            <w:vAlign w:val="center"/>
            <w:hideMark/>
          </w:tcPr>
          <w:p w14:paraId="00222DB1"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(1)</w:t>
            </w:r>
          </w:p>
        </w:tc>
        <w:tc>
          <w:tcPr>
            <w:tcW w:w="666" w:type="pct"/>
            <w:tcBorders>
              <w:top w:val="nil"/>
              <w:left w:val="nil"/>
              <w:bottom w:val="nil"/>
              <w:right w:val="nil"/>
            </w:tcBorders>
            <w:shd w:val="clear" w:color="auto" w:fill="auto"/>
            <w:vAlign w:val="center"/>
            <w:hideMark/>
          </w:tcPr>
          <w:p w14:paraId="3A3F8896"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42 159 762</w:t>
            </w:r>
          </w:p>
        </w:tc>
        <w:tc>
          <w:tcPr>
            <w:tcW w:w="666" w:type="pct"/>
            <w:tcBorders>
              <w:top w:val="nil"/>
              <w:left w:val="nil"/>
              <w:bottom w:val="nil"/>
              <w:right w:val="nil"/>
            </w:tcBorders>
            <w:shd w:val="clear" w:color="auto" w:fill="auto"/>
            <w:vAlign w:val="center"/>
            <w:hideMark/>
          </w:tcPr>
          <w:p w14:paraId="3267BF8E"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43 369 530</w:t>
            </w:r>
          </w:p>
        </w:tc>
        <w:tc>
          <w:tcPr>
            <w:tcW w:w="668" w:type="pct"/>
            <w:tcBorders>
              <w:top w:val="nil"/>
              <w:left w:val="nil"/>
              <w:bottom w:val="nil"/>
              <w:right w:val="single" w:sz="8" w:space="0" w:color="auto"/>
            </w:tcBorders>
            <w:shd w:val="clear" w:color="auto" w:fill="auto"/>
            <w:vAlign w:val="center"/>
            <w:hideMark/>
          </w:tcPr>
          <w:p w14:paraId="512C8360"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44 321 852</w:t>
            </w:r>
          </w:p>
        </w:tc>
        <w:tc>
          <w:tcPr>
            <w:tcW w:w="432" w:type="pct"/>
            <w:tcBorders>
              <w:top w:val="nil"/>
              <w:left w:val="nil"/>
              <w:bottom w:val="nil"/>
              <w:right w:val="nil"/>
            </w:tcBorders>
            <w:shd w:val="clear" w:color="auto" w:fill="auto"/>
            <w:vAlign w:val="center"/>
            <w:hideMark/>
          </w:tcPr>
          <w:p w14:paraId="33B8DD15"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52,0</w:t>
            </w:r>
          </w:p>
        </w:tc>
        <w:tc>
          <w:tcPr>
            <w:tcW w:w="448" w:type="pct"/>
            <w:tcBorders>
              <w:top w:val="nil"/>
              <w:left w:val="nil"/>
              <w:bottom w:val="nil"/>
              <w:right w:val="nil"/>
            </w:tcBorders>
            <w:shd w:val="clear" w:color="auto" w:fill="auto"/>
            <w:vAlign w:val="center"/>
            <w:hideMark/>
          </w:tcPr>
          <w:p w14:paraId="560634FC"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51,3</w:t>
            </w:r>
          </w:p>
        </w:tc>
        <w:tc>
          <w:tcPr>
            <w:tcW w:w="415" w:type="pct"/>
            <w:tcBorders>
              <w:top w:val="nil"/>
              <w:left w:val="nil"/>
              <w:bottom w:val="nil"/>
              <w:right w:val="nil"/>
            </w:tcBorders>
            <w:shd w:val="clear" w:color="auto" w:fill="auto"/>
            <w:vAlign w:val="center"/>
            <w:hideMark/>
          </w:tcPr>
          <w:p w14:paraId="472B96E4"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49,4</w:t>
            </w:r>
          </w:p>
        </w:tc>
      </w:tr>
      <w:tr w:rsidR="00500BD0" w:rsidRPr="00654C07" w14:paraId="504C9874" w14:textId="77777777" w:rsidTr="00500BD0">
        <w:trPr>
          <w:trHeight w:val="255"/>
        </w:trPr>
        <w:tc>
          <w:tcPr>
            <w:tcW w:w="1407" w:type="pct"/>
            <w:tcBorders>
              <w:top w:val="nil"/>
              <w:left w:val="nil"/>
              <w:bottom w:val="nil"/>
              <w:right w:val="nil"/>
            </w:tcBorders>
            <w:shd w:val="clear" w:color="auto" w:fill="auto"/>
            <w:noWrap/>
            <w:vAlign w:val="center"/>
            <w:hideMark/>
          </w:tcPr>
          <w:p w14:paraId="6E50F139" w14:textId="77777777" w:rsidR="00500BD0" w:rsidRPr="00654C07" w:rsidRDefault="00500BD0" w:rsidP="00500BD0">
            <w:pPr>
              <w:spacing w:after="0" w:line="240" w:lineRule="auto"/>
              <w:rPr>
                <w:b/>
                <w:bCs/>
                <w:color w:val="000000"/>
                <w:sz w:val="20"/>
                <w:szCs w:val="20"/>
                <w:lang w:eastAsia="sk-SK"/>
              </w:rPr>
            </w:pPr>
            <w:r w:rsidRPr="00654C07">
              <w:rPr>
                <w:b/>
                <w:bCs/>
                <w:color w:val="000000"/>
                <w:sz w:val="20"/>
                <w:szCs w:val="20"/>
                <w:lang w:eastAsia="sk-SK"/>
              </w:rPr>
              <w:t xml:space="preserve">Likvidné finančné aktíva:    </w:t>
            </w:r>
          </w:p>
        </w:tc>
        <w:tc>
          <w:tcPr>
            <w:tcW w:w="298" w:type="pct"/>
            <w:tcBorders>
              <w:top w:val="nil"/>
              <w:left w:val="nil"/>
              <w:bottom w:val="nil"/>
              <w:right w:val="nil"/>
            </w:tcBorders>
            <w:shd w:val="clear" w:color="auto" w:fill="auto"/>
            <w:noWrap/>
            <w:vAlign w:val="center"/>
            <w:hideMark/>
          </w:tcPr>
          <w:p w14:paraId="324304BB"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(2)</w:t>
            </w:r>
          </w:p>
        </w:tc>
        <w:tc>
          <w:tcPr>
            <w:tcW w:w="666" w:type="pct"/>
            <w:tcBorders>
              <w:top w:val="nil"/>
              <w:left w:val="nil"/>
              <w:bottom w:val="nil"/>
              <w:right w:val="nil"/>
            </w:tcBorders>
            <w:shd w:val="clear" w:color="auto" w:fill="auto"/>
            <w:vAlign w:val="center"/>
            <w:hideMark/>
          </w:tcPr>
          <w:p w14:paraId="50193880"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4 190 088</w:t>
            </w:r>
          </w:p>
        </w:tc>
        <w:tc>
          <w:tcPr>
            <w:tcW w:w="666" w:type="pct"/>
            <w:tcBorders>
              <w:top w:val="nil"/>
              <w:left w:val="nil"/>
              <w:bottom w:val="nil"/>
              <w:right w:val="nil"/>
            </w:tcBorders>
            <w:shd w:val="clear" w:color="auto" w:fill="auto"/>
            <w:vAlign w:val="center"/>
            <w:hideMark/>
          </w:tcPr>
          <w:p w14:paraId="729953AC"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4 784 027</w:t>
            </w:r>
          </w:p>
        </w:tc>
        <w:tc>
          <w:tcPr>
            <w:tcW w:w="668" w:type="pct"/>
            <w:tcBorders>
              <w:top w:val="nil"/>
              <w:left w:val="nil"/>
              <w:bottom w:val="nil"/>
              <w:right w:val="single" w:sz="8" w:space="0" w:color="auto"/>
            </w:tcBorders>
            <w:shd w:val="clear" w:color="auto" w:fill="auto"/>
            <w:vAlign w:val="center"/>
            <w:hideMark/>
          </w:tcPr>
          <w:p w14:paraId="7F2BF121" w14:textId="77777777" w:rsidR="00500BD0" w:rsidRPr="00654C07" w:rsidRDefault="00500BD0" w:rsidP="00500BD0">
            <w:pPr>
              <w:spacing w:after="0" w:line="240" w:lineRule="auto"/>
              <w:jc w:val="right"/>
              <w:rPr>
                <w:b/>
                <w:bCs/>
                <w:sz w:val="20"/>
                <w:szCs w:val="20"/>
                <w:lang w:eastAsia="sk-SK"/>
              </w:rPr>
            </w:pPr>
            <w:r w:rsidRPr="00654C07">
              <w:rPr>
                <w:b/>
                <w:bCs/>
                <w:sz w:val="20"/>
                <w:szCs w:val="20"/>
                <w:lang w:eastAsia="sk-SK"/>
              </w:rPr>
              <w:t>5 373 312</w:t>
            </w:r>
          </w:p>
        </w:tc>
        <w:tc>
          <w:tcPr>
            <w:tcW w:w="432" w:type="pct"/>
            <w:tcBorders>
              <w:top w:val="nil"/>
              <w:left w:val="nil"/>
              <w:bottom w:val="nil"/>
              <w:right w:val="nil"/>
            </w:tcBorders>
            <w:shd w:val="clear" w:color="auto" w:fill="auto"/>
            <w:vAlign w:val="center"/>
            <w:hideMark/>
          </w:tcPr>
          <w:p w14:paraId="53CE84BC"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5,2</w:t>
            </w:r>
          </w:p>
        </w:tc>
        <w:tc>
          <w:tcPr>
            <w:tcW w:w="448" w:type="pct"/>
            <w:tcBorders>
              <w:top w:val="nil"/>
              <w:left w:val="nil"/>
              <w:bottom w:val="nil"/>
              <w:right w:val="nil"/>
            </w:tcBorders>
            <w:shd w:val="clear" w:color="auto" w:fill="auto"/>
            <w:vAlign w:val="center"/>
            <w:hideMark/>
          </w:tcPr>
          <w:p w14:paraId="34C702FA"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5,7</w:t>
            </w:r>
          </w:p>
        </w:tc>
        <w:tc>
          <w:tcPr>
            <w:tcW w:w="415" w:type="pct"/>
            <w:tcBorders>
              <w:top w:val="nil"/>
              <w:left w:val="nil"/>
              <w:bottom w:val="nil"/>
              <w:right w:val="nil"/>
            </w:tcBorders>
            <w:shd w:val="clear" w:color="auto" w:fill="auto"/>
            <w:vAlign w:val="center"/>
            <w:hideMark/>
          </w:tcPr>
          <w:p w14:paraId="51CA1320"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6,0</w:t>
            </w:r>
          </w:p>
        </w:tc>
      </w:tr>
      <w:tr w:rsidR="00500BD0" w:rsidRPr="00654C07" w14:paraId="21A25ED9" w14:textId="77777777" w:rsidTr="00500BD0">
        <w:trPr>
          <w:trHeight w:val="330"/>
        </w:trPr>
        <w:tc>
          <w:tcPr>
            <w:tcW w:w="1407" w:type="pct"/>
            <w:tcBorders>
              <w:top w:val="nil"/>
              <w:left w:val="nil"/>
              <w:bottom w:val="nil"/>
              <w:right w:val="nil"/>
            </w:tcBorders>
            <w:shd w:val="clear" w:color="auto" w:fill="auto"/>
            <w:noWrap/>
            <w:vAlign w:val="center"/>
            <w:hideMark/>
          </w:tcPr>
          <w:p w14:paraId="25816E36"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xml:space="preserve">         - menové zlato a SDR </w:t>
            </w:r>
          </w:p>
        </w:tc>
        <w:tc>
          <w:tcPr>
            <w:tcW w:w="298" w:type="pct"/>
            <w:tcBorders>
              <w:top w:val="nil"/>
              <w:left w:val="nil"/>
              <w:bottom w:val="nil"/>
              <w:right w:val="nil"/>
            </w:tcBorders>
            <w:shd w:val="clear" w:color="auto" w:fill="auto"/>
            <w:noWrap/>
            <w:vAlign w:val="bottom"/>
            <w:hideMark/>
          </w:tcPr>
          <w:p w14:paraId="716DDFD0" w14:textId="77777777" w:rsidR="00500BD0" w:rsidRPr="00654C07" w:rsidRDefault="00500BD0" w:rsidP="00500BD0">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1F30125F"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666" w:type="pct"/>
            <w:tcBorders>
              <w:top w:val="nil"/>
              <w:left w:val="nil"/>
              <w:bottom w:val="nil"/>
              <w:right w:val="nil"/>
            </w:tcBorders>
            <w:shd w:val="clear" w:color="auto" w:fill="auto"/>
            <w:vAlign w:val="center"/>
            <w:hideMark/>
          </w:tcPr>
          <w:p w14:paraId="123D77E5"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668" w:type="pct"/>
            <w:tcBorders>
              <w:top w:val="nil"/>
              <w:left w:val="nil"/>
              <w:bottom w:val="nil"/>
              <w:right w:val="single" w:sz="8" w:space="0" w:color="auto"/>
            </w:tcBorders>
            <w:shd w:val="clear" w:color="auto" w:fill="auto"/>
            <w:vAlign w:val="center"/>
            <w:hideMark/>
          </w:tcPr>
          <w:p w14:paraId="5B2D3434"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432" w:type="pct"/>
            <w:tcBorders>
              <w:top w:val="nil"/>
              <w:left w:val="nil"/>
              <w:bottom w:val="nil"/>
              <w:right w:val="nil"/>
            </w:tcBorders>
            <w:shd w:val="clear" w:color="auto" w:fill="auto"/>
            <w:vAlign w:val="center"/>
            <w:hideMark/>
          </w:tcPr>
          <w:p w14:paraId="70388894"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48" w:type="pct"/>
            <w:tcBorders>
              <w:top w:val="nil"/>
              <w:left w:val="nil"/>
              <w:bottom w:val="nil"/>
              <w:right w:val="nil"/>
            </w:tcBorders>
            <w:shd w:val="clear" w:color="auto" w:fill="auto"/>
            <w:vAlign w:val="center"/>
            <w:hideMark/>
          </w:tcPr>
          <w:p w14:paraId="43DC7FDD"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15" w:type="pct"/>
            <w:tcBorders>
              <w:top w:val="nil"/>
              <w:left w:val="nil"/>
              <w:bottom w:val="nil"/>
              <w:right w:val="nil"/>
            </w:tcBorders>
            <w:shd w:val="clear" w:color="auto" w:fill="auto"/>
            <w:vAlign w:val="center"/>
            <w:hideMark/>
          </w:tcPr>
          <w:p w14:paraId="7D2222EA"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r>
      <w:tr w:rsidR="00500BD0" w:rsidRPr="00654C07" w14:paraId="1E1F3F82" w14:textId="77777777" w:rsidTr="00500BD0">
        <w:trPr>
          <w:trHeight w:val="330"/>
        </w:trPr>
        <w:tc>
          <w:tcPr>
            <w:tcW w:w="1407" w:type="pct"/>
            <w:tcBorders>
              <w:top w:val="nil"/>
              <w:left w:val="nil"/>
              <w:bottom w:val="nil"/>
              <w:right w:val="nil"/>
            </w:tcBorders>
            <w:shd w:val="clear" w:color="auto" w:fill="auto"/>
            <w:noWrap/>
            <w:vAlign w:val="center"/>
            <w:hideMark/>
          </w:tcPr>
          <w:p w14:paraId="6D1D7DC6"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xml:space="preserve">         - hotovosť na účtoch VS </w:t>
            </w:r>
          </w:p>
        </w:tc>
        <w:tc>
          <w:tcPr>
            <w:tcW w:w="298" w:type="pct"/>
            <w:tcBorders>
              <w:top w:val="nil"/>
              <w:left w:val="nil"/>
              <w:bottom w:val="nil"/>
              <w:right w:val="nil"/>
            </w:tcBorders>
            <w:shd w:val="clear" w:color="auto" w:fill="auto"/>
            <w:noWrap/>
            <w:vAlign w:val="bottom"/>
            <w:hideMark/>
          </w:tcPr>
          <w:p w14:paraId="1F6F180E" w14:textId="77777777" w:rsidR="00500BD0" w:rsidRPr="00654C07" w:rsidRDefault="00500BD0" w:rsidP="00500BD0">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03FAA622"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4 187 015</w:t>
            </w:r>
          </w:p>
        </w:tc>
        <w:tc>
          <w:tcPr>
            <w:tcW w:w="666" w:type="pct"/>
            <w:tcBorders>
              <w:top w:val="nil"/>
              <w:left w:val="nil"/>
              <w:bottom w:val="nil"/>
              <w:right w:val="nil"/>
            </w:tcBorders>
            <w:shd w:val="clear" w:color="auto" w:fill="auto"/>
            <w:vAlign w:val="center"/>
            <w:hideMark/>
          </w:tcPr>
          <w:p w14:paraId="41C4200C"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4 779 120</w:t>
            </w:r>
          </w:p>
        </w:tc>
        <w:tc>
          <w:tcPr>
            <w:tcW w:w="668" w:type="pct"/>
            <w:tcBorders>
              <w:top w:val="nil"/>
              <w:left w:val="nil"/>
              <w:bottom w:val="nil"/>
              <w:right w:val="single" w:sz="8" w:space="0" w:color="auto"/>
            </w:tcBorders>
            <w:shd w:val="clear" w:color="auto" w:fill="auto"/>
            <w:vAlign w:val="center"/>
            <w:hideMark/>
          </w:tcPr>
          <w:p w14:paraId="1C0E40F5"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5 367 175</w:t>
            </w:r>
          </w:p>
        </w:tc>
        <w:tc>
          <w:tcPr>
            <w:tcW w:w="432" w:type="pct"/>
            <w:tcBorders>
              <w:top w:val="nil"/>
              <w:left w:val="nil"/>
              <w:bottom w:val="nil"/>
              <w:right w:val="nil"/>
            </w:tcBorders>
            <w:shd w:val="clear" w:color="auto" w:fill="auto"/>
            <w:vAlign w:val="center"/>
            <w:hideMark/>
          </w:tcPr>
          <w:p w14:paraId="69DEAD40"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5,2</w:t>
            </w:r>
          </w:p>
        </w:tc>
        <w:tc>
          <w:tcPr>
            <w:tcW w:w="448" w:type="pct"/>
            <w:tcBorders>
              <w:top w:val="nil"/>
              <w:left w:val="nil"/>
              <w:bottom w:val="nil"/>
              <w:right w:val="nil"/>
            </w:tcBorders>
            <w:shd w:val="clear" w:color="auto" w:fill="auto"/>
            <w:vAlign w:val="center"/>
            <w:hideMark/>
          </w:tcPr>
          <w:p w14:paraId="1EA95D93"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5,7</w:t>
            </w:r>
          </w:p>
        </w:tc>
        <w:tc>
          <w:tcPr>
            <w:tcW w:w="415" w:type="pct"/>
            <w:tcBorders>
              <w:top w:val="nil"/>
              <w:left w:val="nil"/>
              <w:bottom w:val="nil"/>
              <w:right w:val="nil"/>
            </w:tcBorders>
            <w:shd w:val="clear" w:color="auto" w:fill="auto"/>
            <w:vAlign w:val="center"/>
            <w:hideMark/>
          </w:tcPr>
          <w:p w14:paraId="62778467"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6,0</w:t>
            </w:r>
          </w:p>
        </w:tc>
      </w:tr>
      <w:tr w:rsidR="00500BD0" w:rsidRPr="00654C07" w14:paraId="79A2EA0D" w14:textId="77777777" w:rsidTr="00500BD0">
        <w:trPr>
          <w:trHeight w:val="330"/>
        </w:trPr>
        <w:tc>
          <w:tcPr>
            <w:tcW w:w="1407" w:type="pct"/>
            <w:tcBorders>
              <w:top w:val="nil"/>
              <w:left w:val="nil"/>
              <w:bottom w:val="nil"/>
              <w:right w:val="nil"/>
            </w:tcBorders>
            <w:shd w:val="clear" w:color="auto" w:fill="auto"/>
            <w:noWrap/>
            <w:vAlign w:val="center"/>
            <w:hideMark/>
          </w:tcPr>
          <w:p w14:paraId="2FD41AC5"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xml:space="preserve">         - cenné papiere</w:t>
            </w:r>
          </w:p>
        </w:tc>
        <w:tc>
          <w:tcPr>
            <w:tcW w:w="298" w:type="pct"/>
            <w:tcBorders>
              <w:top w:val="nil"/>
              <w:left w:val="nil"/>
              <w:bottom w:val="nil"/>
              <w:right w:val="nil"/>
            </w:tcBorders>
            <w:shd w:val="clear" w:color="auto" w:fill="auto"/>
            <w:noWrap/>
            <w:vAlign w:val="bottom"/>
            <w:hideMark/>
          </w:tcPr>
          <w:p w14:paraId="7713C869" w14:textId="77777777" w:rsidR="00500BD0" w:rsidRPr="00654C07" w:rsidRDefault="00500BD0" w:rsidP="00500BD0">
            <w:pPr>
              <w:spacing w:after="0" w:line="240" w:lineRule="auto"/>
              <w:rPr>
                <w:color w:val="000000"/>
                <w:sz w:val="20"/>
                <w:szCs w:val="20"/>
                <w:lang w:eastAsia="sk-SK"/>
              </w:rPr>
            </w:pPr>
          </w:p>
        </w:tc>
        <w:tc>
          <w:tcPr>
            <w:tcW w:w="666" w:type="pct"/>
            <w:tcBorders>
              <w:top w:val="nil"/>
              <w:left w:val="nil"/>
              <w:bottom w:val="nil"/>
              <w:right w:val="nil"/>
            </w:tcBorders>
            <w:shd w:val="clear" w:color="auto" w:fill="auto"/>
            <w:vAlign w:val="center"/>
            <w:hideMark/>
          </w:tcPr>
          <w:p w14:paraId="4CFC63F9"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3 073</w:t>
            </w:r>
          </w:p>
        </w:tc>
        <w:tc>
          <w:tcPr>
            <w:tcW w:w="666" w:type="pct"/>
            <w:tcBorders>
              <w:top w:val="nil"/>
              <w:left w:val="nil"/>
              <w:bottom w:val="nil"/>
              <w:right w:val="nil"/>
            </w:tcBorders>
            <w:shd w:val="clear" w:color="auto" w:fill="auto"/>
            <w:vAlign w:val="center"/>
            <w:hideMark/>
          </w:tcPr>
          <w:p w14:paraId="09941CCE"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4 907</w:t>
            </w:r>
          </w:p>
        </w:tc>
        <w:tc>
          <w:tcPr>
            <w:tcW w:w="668" w:type="pct"/>
            <w:tcBorders>
              <w:top w:val="nil"/>
              <w:left w:val="nil"/>
              <w:bottom w:val="nil"/>
              <w:right w:val="single" w:sz="8" w:space="0" w:color="auto"/>
            </w:tcBorders>
            <w:shd w:val="clear" w:color="auto" w:fill="auto"/>
            <w:vAlign w:val="center"/>
            <w:hideMark/>
          </w:tcPr>
          <w:p w14:paraId="1221BA0B"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6 137</w:t>
            </w:r>
          </w:p>
        </w:tc>
        <w:tc>
          <w:tcPr>
            <w:tcW w:w="432" w:type="pct"/>
            <w:tcBorders>
              <w:top w:val="nil"/>
              <w:left w:val="nil"/>
              <w:bottom w:val="nil"/>
              <w:right w:val="nil"/>
            </w:tcBorders>
            <w:shd w:val="clear" w:color="auto" w:fill="auto"/>
            <w:vAlign w:val="center"/>
            <w:hideMark/>
          </w:tcPr>
          <w:p w14:paraId="32EAFC1B"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48" w:type="pct"/>
            <w:tcBorders>
              <w:top w:val="nil"/>
              <w:left w:val="nil"/>
              <w:bottom w:val="nil"/>
              <w:right w:val="nil"/>
            </w:tcBorders>
            <w:shd w:val="clear" w:color="auto" w:fill="auto"/>
            <w:vAlign w:val="center"/>
            <w:hideMark/>
          </w:tcPr>
          <w:p w14:paraId="7BD675EA"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15" w:type="pct"/>
            <w:tcBorders>
              <w:top w:val="nil"/>
              <w:left w:val="nil"/>
              <w:bottom w:val="nil"/>
              <w:right w:val="nil"/>
            </w:tcBorders>
            <w:shd w:val="clear" w:color="auto" w:fill="auto"/>
            <w:vAlign w:val="center"/>
            <w:hideMark/>
          </w:tcPr>
          <w:p w14:paraId="6D76979A"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r>
      <w:tr w:rsidR="00500BD0" w:rsidRPr="00654C07" w14:paraId="3B6FCA6E" w14:textId="77777777" w:rsidTr="00AA01D7">
        <w:trPr>
          <w:trHeight w:val="330"/>
        </w:trPr>
        <w:tc>
          <w:tcPr>
            <w:tcW w:w="1407" w:type="pct"/>
            <w:tcBorders>
              <w:top w:val="nil"/>
              <w:left w:val="nil"/>
              <w:bottom w:val="single" w:sz="4" w:space="0" w:color="auto"/>
              <w:right w:val="nil"/>
            </w:tcBorders>
            <w:shd w:val="clear" w:color="auto" w:fill="auto"/>
            <w:noWrap/>
            <w:vAlign w:val="center"/>
            <w:hideMark/>
          </w:tcPr>
          <w:p w14:paraId="79F9DF58" w14:textId="77777777" w:rsidR="00500BD0" w:rsidRPr="00654C07" w:rsidRDefault="00500BD0" w:rsidP="00500BD0">
            <w:pPr>
              <w:spacing w:after="0" w:line="240" w:lineRule="auto"/>
              <w:rPr>
                <w:color w:val="000000"/>
                <w:sz w:val="20"/>
                <w:szCs w:val="20"/>
                <w:lang w:eastAsia="sk-SK"/>
              </w:rPr>
            </w:pPr>
            <w:r w:rsidRPr="00654C07">
              <w:rPr>
                <w:color w:val="000000"/>
                <w:sz w:val="20"/>
                <w:szCs w:val="20"/>
                <w:lang w:eastAsia="sk-SK"/>
              </w:rPr>
              <w:t xml:space="preserve">         - kótované akcie</w:t>
            </w:r>
          </w:p>
        </w:tc>
        <w:tc>
          <w:tcPr>
            <w:tcW w:w="298" w:type="pct"/>
            <w:tcBorders>
              <w:top w:val="nil"/>
              <w:left w:val="nil"/>
              <w:bottom w:val="single" w:sz="4" w:space="0" w:color="auto"/>
              <w:right w:val="nil"/>
            </w:tcBorders>
            <w:shd w:val="clear" w:color="auto" w:fill="auto"/>
            <w:noWrap/>
            <w:vAlign w:val="bottom"/>
            <w:hideMark/>
          </w:tcPr>
          <w:p w14:paraId="01FA1F18" w14:textId="77777777" w:rsidR="00500BD0" w:rsidRPr="00654C07" w:rsidRDefault="00500BD0" w:rsidP="00500BD0">
            <w:pPr>
              <w:spacing w:after="0" w:line="240" w:lineRule="auto"/>
              <w:rPr>
                <w:color w:val="000000"/>
                <w:sz w:val="20"/>
                <w:szCs w:val="20"/>
                <w:lang w:eastAsia="sk-SK"/>
              </w:rPr>
            </w:pPr>
          </w:p>
        </w:tc>
        <w:tc>
          <w:tcPr>
            <w:tcW w:w="666" w:type="pct"/>
            <w:tcBorders>
              <w:top w:val="nil"/>
              <w:left w:val="nil"/>
              <w:bottom w:val="single" w:sz="4" w:space="0" w:color="auto"/>
              <w:right w:val="nil"/>
            </w:tcBorders>
            <w:shd w:val="clear" w:color="auto" w:fill="auto"/>
            <w:vAlign w:val="center"/>
            <w:hideMark/>
          </w:tcPr>
          <w:p w14:paraId="73879363"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666" w:type="pct"/>
            <w:tcBorders>
              <w:top w:val="nil"/>
              <w:left w:val="nil"/>
              <w:bottom w:val="single" w:sz="4" w:space="0" w:color="auto"/>
              <w:right w:val="nil"/>
            </w:tcBorders>
            <w:shd w:val="clear" w:color="auto" w:fill="auto"/>
            <w:vAlign w:val="center"/>
            <w:hideMark/>
          </w:tcPr>
          <w:p w14:paraId="332E3B99"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668" w:type="pct"/>
            <w:tcBorders>
              <w:top w:val="nil"/>
              <w:left w:val="nil"/>
              <w:bottom w:val="single" w:sz="4" w:space="0" w:color="auto"/>
              <w:right w:val="single" w:sz="8" w:space="0" w:color="auto"/>
            </w:tcBorders>
            <w:shd w:val="clear" w:color="auto" w:fill="auto"/>
            <w:vAlign w:val="center"/>
            <w:hideMark/>
          </w:tcPr>
          <w:p w14:paraId="0FB12617" w14:textId="77777777" w:rsidR="00500BD0" w:rsidRPr="00654C07" w:rsidRDefault="00500BD0" w:rsidP="00500BD0">
            <w:pPr>
              <w:spacing w:after="0" w:line="240" w:lineRule="auto"/>
              <w:jc w:val="right"/>
              <w:rPr>
                <w:sz w:val="20"/>
                <w:szCs w:val="20"/>
                <w:lang w:eastAsia="sk-SK"/>
              </w:rPr>
            </w:pPr>
            <w:r w:rsidRPr="00654C07">
              <w:rPr>
                <w:sz w:val="20"/>
                <w:szCs w:val="20"/>
                <w:lang w:eastAsia="sk-SK"/>
              </w:rPr>
              <w:t>0</w:t>
            </w:r>
          </w:p>
        </w:tc>
        <w:tc>
          <w:tcPr>
            <w:tcW w:w="432" w:type="pct"/>
            <w:tcBorders>
              <w:top w:val="nil"/>
              <w:left w:val="nil"/>
              <w:bottom w:val="single" w:sz="4" w:space="0" w:color="auto"/>
              <w:right w:val="nil"/>
            </w:tcBorders>
            <w:shd w:val="clear" w:color="auto" w:fill="auto"/>
            <w:vAlign w:val="center"/>
            <w:hideMark/>
          </w:tcPr>
          <w:p w14:paraId="1A0EFB1A"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48" w:type="pct"/>
            <w:tcBorders>
              <w:top w:val="nil"/>
              <w:left w:val="nil"/>
              <w:bottom w:val="single" w:sz="4" w:space="0" w:color="auto"/>
              <w:right w:val="nil"/>
            </w:tcBorders>
            <w:shd w:val="clear" w:color="auto" w:fill="auto"/>
            <w:vAlign w:val="center"/>
            <w:hideMark/>
          </w:tcPr>
          <w:p w14:paraId="4BC3D781"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c>
          <w:tcPr>
            <w:tcW w:w="415" w:type="pct"/>
            <w:tcBorders>
              <w:top w:val="nil"/>
              <w:left w:val="nil"/>
              <w:bottom w:val="single" w:sz="4" w:space="0" w:color="auto"/>
              <w:right w:val="nil"/>
            </w:tcBorders>
            <w:shd w:val="clear" w:color="auto" w:fill="auto"/>
            <w:vAlign w:val="center"/>
            <w:hideMark/>
          </w:tcPr>
          <w:p w14:paraId="332F5F82" w14:textId="77777777" w:rsidR="00500BD0" w:rsidRPr="00654C07" w:rsidRDefault="00500BD0" w:rsidP="00500BD0">
            <w:pPr>
              <w:spacing w:after="0" w:line="240" w:lineRule="auto"/>
              <w:jc w:val="center"/>
              <w:rPr>
                <w:color w:val="000000"/>
                <w:sz w:val="20"/>
                <w:szCs w:val="20"/>
                <w:lang w:eastAsia="sk-SK"/>
              </w:rPr>
            </w:pPr>
            <w:r w:rsidRPr="00654C07">
              <w:rPr>
                <w:color w:val="000000"/>
                <w:sz w:val="20"/>
                <w:szCs w:val="20"/>
                <w:lang w:eastAsia="sk-SK"/>
              </w:rPr>
              <w:t>0,0</w:t>
            </w:r>
          </w:p>
        </w:tc>
      </w:tr>
      <w:tr w:rsidR="00500BD0" w:rsidRPr="00654C07" w14:paraId="3C3C8E74" w14:textId="77777777" w:rsidTr="00F240C9">
        <w:trPr>
          <w:trHeight w:val="270"/>
        </w:trPr>
        <w:tc>
          <w:tcPr>
            <w:tcW w:w="1407" w:type="pct"/>
            <w:tcBorders>
              <w:top w:val="single" w:sz="4" w:space="0" w:color="auto"/>
              <w:left w:val="nil"/>
              <w:bottom w:val="single" w:sz="8" w:space="0" w:color="auto"/>
              <w:right w:val="nil"/>
            </w:tcBorders>
            <w:shd w:val="clear" w:color="auto" w:fill="BFBFBF" w:themeFill="background1" w:themeFillShade="BF"/>
            <w:noWrap/>
            <w:vAlign w:val="center"/>
            <w:hideMark/>
          </w:tcPr>
          <w:p w14:paraId="4AB5AD62" w14:textId="77777777" w:rsidR="00500BD0" w:rsidRPr="00654C07" w:rsidRDefault="00500BD0" w:rsidP="00500BD0">
            <w:pPr>
              <w:spacing w:after="0" w:line="240" w:lineRule="auto"/>
              <w:rPr>
                <w:b/>
                <w:bCs/>
                <w:color w:val="000000"/>
                <w:sz w:val="20"/>
                <w:szCs w:val="20"/>
                <w:lang w:eastAsia="sk-SK"/>
              </w:rPr>
            </w:pPr>
            <w:r w:rsidRPr="00654C07">
              <w:rPr>
                <w:b/>
                <w:bCs/>
                <w:color w:val="000000"/>
                <w:sz w:val="20"/>
                <w:szCs w:val="20"/>
                <w:lang w:eastAsia="sk-SK"/>
              </w:rPr>
              <w:t xml:space="preserve">Čistý dlh verejnej správy </w:t>
            </w:r>
            <w:r w:rsidRPr="00654C07">
              <w:rPr>
                <w:color w:val="000000"/>
                <w:sz w:val="20"/>
                <w:szCs w:val="20"/>
                <w:lang w:eastAsia="sk-SK"/>
              </w:rPr>
              <w:t xml:space="preserve">                              </w:t>
            </w:r>
          </w:p>
        </w:tc>
        <w:tc>
          <w:tcPr>
            <w:tcW w:w="298" w:type="pct"/>
            <w:tcBorders>
              <w:top w:val="single" w:sz="4" w:space="0" w:color="auto"/>
              <w:left w:val="nil"/>
              <w:bottom w:val="single" w:sz="8" w:space="0" w:color="auto"/>
              <w:right w:val="nil"/>
            </w:tcBorders>
            <w:shd w:val="clear" w:color="auto" w:fill="BFBFBF" w:themeFill="background1" w:themeFillShade="BF"/>
            <w:noWrap/>
            <w:vAlign w:val="center"/>
            <w:hideMark/>
          </w:tcPr>
          <w:p w14:paraId="36C9771F"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(1-2)</w:t>
            </w:r>
          </w:p>
        </w:tc>
        <w:tc>
          <w:tcPr>
            <w:tcW w:w="666" w:type="pct"/>
            <w:tcBorders>
              <w:top w:val="single" w:sz="4" w:space="0" w:color="auto"/>
              <w:left w:val="nil"/>
              <w:bottom w:val="single" w:sz="8" w:space="0" w:color="auto"/>
              <w:right w:val="nil"/>
            </w:tcBorders>
            <w:shd w:val="clear" w:color="auto" w:fill="BFBFBF" w:themeFill="background1" w:themeFillShade="BF"/>
            <w:vAlign w:val="center"/>
            <w:hideMark/>
          </w:tcPr>
          <w:p w14:paraId="69EBB707" w14:textId="77777777" w:rsidR="00500BD0" w:rsidRPr="00654C07" w:rsidRDefault="00500BD0" w:rsidP="00500BD0">
            <w:pPr>
              <w:spacing w:after="0" w:line="240" w:lineRule="auto"/>
              <w:jc w:val="right"/>
              <w:rPr>
                <w:b/>
                <w:bCs/>
                <w:color w:val="000000"/>
                <w:sz w:val="20"/>
                <w:szCs w:val="20"/>
                <w:lang w:eastAsia="sk-SK"/>
              </w:rPr>
            </w:pPr>
            <w:r w:rsidRPr="00654C07">
              <w:rPr>
                <w:b/>
                <w:bCs/>
                <w:color w:val="000000"/>
                <w:sz w:val="20"/>
                <w:szCs w:val="20"/>
                <w:lang w:eastAsia="sk-SK"/>
              </w:rPr>
              <w:t>37 969 674</w:t>
            </w:r>
          </w:p>
        </w:tc>
        <w:tc>
          <w:tcPr>
            <w:tcW w:w="666" w:type="pct"/>
            <w:tcBorders>
              <w:top w:val="single" w:sz="4" w:space="0" w:color="auto"/>
              <w:left w:val="nil"/>
              <w:bottom w:val="single" w:sz="8" w:space="0" w:color="auto"/>
              <w:right w:val="nil"/>
            </w:tcBorders>
            <w:shd w:val="clear" w:color="auto" w:fill="BFBFBF" w:themeFill="background1" w:themeFillShade="BF"/>
            <w:vAlign w:val="center"/>
            <w:hideMark/>
          </w:tcPr>
          <w:p w14:paraId="12D96E6C" w14:textId="77777777" w:rsidR="00500BD0" w:rsidRPr="00654C07" w:rsidRDefault="00500BD0" w:rsidP="00500BD0">
            <w:pPr>
              <w:spacing w:after="0" w:line="240" w:lineRule="auto"/>
              <w:jc w:val="right"/>
              <w:rPr>
                <w:b/>
                <w:bCs/>
                <w:color w:val="000000"/>
                <w:sz w:val="20"/>
                <w:szCs w:val="20"/>
                <w:lang w:eastAsia="sk-SK"/>
              </w:rPr>
            </w:pPr>
            <w:r w:rsidRPr="00654C07">
              <w:rPr>
                <w:b/>
                <w:bCs/>
                <w:color w:val="000000"/>
                <w:sz w:val="20"/>
                <w:szCs w:val="20"/>
                <w:lang w:eastAsia="sk-SK"/>
              </w:rPr>
              <w:t>38 585 503</w:t>
            </w:r>
          </w:p>
        </w:tc>
        <w:tc>
          <w:tcPr>
            <w:tcW w:w="668" w:type="pct"/>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3A6DE7C5" w14:textId="77777777" w:rsidR="00500BD0" w:rsidRPr="00654C07" w:rsidRDefault="00500BD0" w:rsidP="00500BD0">
            <w:pPr>
              <w:spacing w:after="0" w:line="240" w:lineRule="auto"/>
              <w:jc w:val="right"/>
              <w:rPr>
                <w:b/>
                <w:bCs/>
                <w:color w:val="000000"/>
                <w:sz w:val="20"/>
                <w:szCs w:val="20"/>
                <w:lang w:eastAsia="sk-SK"/>
              </w:rPr>
            </w:pPr>
            <w:r w:rsidRPr="00654C07">
              <w:rPr>
                <w:b/>
                <w:bCs/>
                <w:color w:val="000000"/>
                <w:sz w:val="20"/>
                <w:szCs w:val="20"/>
                <w:lang w:eastAsia="sk-SK"/>
              </w:rPr>
              <w:t>38 948 540</w:t>
            </w:r>
          </w:p>
        </w:tc>
        <w:tc>
          <w:tcPr>
            <w:tcW w:w="432" w:type="pct"/>
            <w:tcBorders>
              <w:top w:val="single" w:sz="4" w:space="0" w:color="auto"/>
              <w:left w:val="nil"/>
              <w:bottom w:val="single" w:sz="8" w:space="0" w:color="auto"/>
              <w:right w:val="nil"/>
            </w:tcBorders>
            <w:shd w:val="clear" w:color="auto" w:fill="BFBFBF" w:themeFill="background1" w:themeFillShade="BF"/>
            <w:vAlign w:val="center"/>
            <w:hideMark/>
          </w:tcPr>
          <w:p w14:paraId="256155CC"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46,9</w:t>
            </w:r>
          </w:p>
        </w:tc>
        <w:tc>
          <w:tcPr>
            <w:tcW w:w="448" w:type="pct"/>
            <w:tcBorders>
              <w:top w:val="single" w:sz="4" w:space="0" w:color="auto"/>
              <w:left w:val="nil"/>
              <w:bottom w:val="single" w:sz="8" w:space="0" w:color="auto"/>
              <w:right w:val="nil"/>
            </w:tcBorders>
            <w:shd w:val="clear" w:color="auto" w:fill="BFBFBF" w:themeFill="background1" w:themeFillShade="BF"/>
            <w:vAlign w:val="center"/>
            <w:hideMark/>
          </w:tcPr>
          <w:p w14:paraId="222535CC"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45,7</w:t>
            </w:r>
          </w:p>
        </w:tc>
        <w:tc>
          <w:tcPr>
            <w:tcW w:w="415" w:type="pct"/>
            <w:tcBorders>
              <w:top w:val="single" w:sz="4" w:space="0" w:color="auto"/>
              <w:left w:val="nil"/>
              <w:bottom w:val="single" w:sz="8" w:space="0" w:color="auto"/>
              <w:right w:val="nil"/>
            </w:tcBorders>
            <w:shd w:val="clear" w:color="auto" w:fill="BFBFBF" w:themeFill="background1" w:themeFillShade="BF"/>
            <w:vAlign w:val="center"/>
            <w:hideMark/>
          </w:tcPr>
          <w:p w14:paraId="088D9FEA" w14:textId="77777777" w:rsidR="00500BD0" w:rsidRPr="00654C07" w:rsidRDefault="00500BD0" w:rsidP="00500BD0">
            <w:pPr>
              <w:spacing w:after="0" w:line="240" w:lineRule="auto"/>
              <w:jc w:val="center"/>
              <w:rPr>
                <w:b/>
                <w:bCs/>
                <w:color w:val="000000"/>
                <w:sz w:val="20"/>
                <w:szCs w:val="20"/>
                <w:lang w:eastAsia="sk-SK"/>
              </w:rPr>
            </w:pPr>
            <w:r w:rsidRPr="00654C07">
              <w:rPr>
                <w:b/>
                <w:bCs/>
                <w:color w:val="000000"/>
                <w:sz w:val="20"/>
                <w:szCs w:val="20"/>
                <w:lang w:eastAsia="sk-SK"/>
              </w:rPr>
              <w:t>43,4</w:t>
            </w:r>
          </w:p>
        </w:tc>
      </w:tr>
    </w:tbl>
    <w:p w14:paraId="7A31C5B0" w14:textId="780AC050" w:rsidR="00500BD0" w:rsidRPr="00654C07" w:rsidRDefault="00A20357" w:rsidP="00500BD0">
      <w:pPr>
        <w:spacing w:after="0" w:line="336" w:lineRule="auto"/>
        <w:jc w:val="right"/>
        <w:rPr>
          <w:sz w:val="18"/>
          <w:szCs w:val="18"/>
        </w:rPr>
      </w:pPr>
      <w:r>
        <w:rPr>
          <w:sz w:val="18"/>
          <w:szCs w:val="18"/>
          <w:lang w:eastAsia="sk-SK"/>
        </w:rPr>
        <w:t>Zdroj: ŠÚ</w:t>
      </w:r>
      <w:r w:rsidR="005968D8">
        <w:rPr>
          <w:sz w:val="18"/>
          <w:szCs w:val="18"/>
          <w:lang w:eastAsia="sk-SK"/>
        </w:rPr>
        <w:t xml:space="preserve"> </w:t>
      </w:r>
      <w:r>
        <w:rPr>
          <w:sz w:val="18"/>
          <w:szCs w:val="18"/>
          <w:lang w:eastAsia="sk-SK"/>
        </w:rPr>
        <w:t>SR</w:t>
      </w:r>
    </w:p>
    <w:p w14:paraId="5367637C" w14:textId="351967B6" w:rsidR="00A20357" w:rsidRDefault="00A20357" w:rsidP="00A16FF7">
      <w:pPr>
        <w:spacing w:before="120" w:after="0" w:line="336" w:lineRule="auto"/>
        <w:jc w:val="both"/>
      </w:pPr>
      <w:r>
        <w:t xml:space="preserve">V prípade verejnej správy je súčasťou likvidných aktív najmä hotovosť na účtoch subjektov verejnej správy a v minimálnej </w:t>
      </w:r>
      <w:r w:rsidRPr="00A16FF7">
        <w:rPr>
          <w:szCs w:val="22"/>
        </w:rPr>
        <w:t>miere</w:t>
      </w:r>
      <w:r>
        <w:t xml:space="preserve"> cenné papiere. Hotovosť na účtoch verejnej správy sa zvýšili najmä v štátnych fondoch (najmä v Environmentálnom fonde</w:t>
      </w:r>
      <w:r w:rsidR="00443A95">
        <w:t>)</w:t>
      </w:r>
      <w:r>
        <w:t xml:space="preserve">, </w:t>
      </w:r>
      <w:r w:rsidR="00C842FE">
        <w:t xml:space="preserve">v štátnych rozpočtových organizáciách, </w:t>
      </w:r>
      <w:r>
        <w:t xml:space="preserve">v Sociálnej </w:t>
      </w:r>
      <w:r w:rsidR="00443A95">
        <w:t>poisťovni</w:t>
      </w:r>
      <w:r w:rsidR="000D2962">
        <w:t xml:space="preserve"> a v</w:t>
      </w:r>
      <w:r w:rsidR="00443A95">
        <w:t xml:space="preserve"> územnej samospráve</w:t>
      </w:r>
      <w:r w:rsidR="000D2962">
        <w:t>.</w:t>
      </w:r>
    </w:p>
    <w:p w14:paraId="20ED28CC" w14:textId="08C96B59" w:rsidR="003D050C" w:rsidRPr="00B72148" w:rsidRDefault="00C102B8" w:rsidP="00B72148">
      <w:pPr>
        <w:pStyle w:val="Nadpis2"/>
        <w:numPr>
          <w:ilvl w:val="0"/>
          <w:numId w:val="0"/>
        </w:numPr>
        <w:ind w:left="1020"/>
      </w:pPr>
      <w:bookmarkStart w:id="24" w:name="_Toc23264794"/>
      <w:r w:rsidRPr="00B72148">
        <w:t>1.4.</w:t>
      </w:r>
      <w:r w:rsidRPr="00B72148">
        <w:tab/>
      </w:r>
      <w:r w:rsidR="003D050C" w:rsidRPr="00B72148">
        <w:t>Rozdiely medzi októbrovou a aprílovou notifikáciou údajov</w:t>
      </w:r>
      <w:bookmarkEnd w:id="23"/>
      <w:bookmarkEnd w:id="24"/>
      <w:r w:rsidR="003D050C" w:rsidRPr="00B72148">
        <w:t xml:space="preserve"> </w:t>
      </w:r>
    </w:p>
    <w:p w14:paraId="648D97CF" w14:textId="78E1D525" w:rsidR="0008186C" w:rsidRDefault="00500BD0" w:rsidP="00500BD0">
      <w:pPr>
        <w:spacing w:before="120" w:after="0" w:line="336" w:lineRule="auto"/>
        <w:jc w:val="both"/>
        <w:rPr>
          <w:szCs w:val="22"/>
        </w:rPr>
      </w:pPr>
      <w:r w:rsidRPr="00A11597">
        <w:rPr>
          <w:szCs w:val="22"/>
        </w:rPr>
        <w:t>Nariadenie Rady (ES) o uplatňovaní Protokolu o postupe pri nadmernom schodku stanovuje podrobné pravidlá pre organizovanie rýchleho a pravidelného vykazovania plánovaných a skutočných výsledkov hospodárenia s financiami verejnej správy. Podľa tohto nariadenia sa Európskej komisii (Eurostatu) predkladajú výsledky hospodárenia verejnej správy za uplynulé obdobie dvakrát ročne, prvýkrát do 1. apríla bežného roka (tzv. aprílová notifikácia) a aktualizované údaje druhýkrát do 1. októbra bežného roka (tzv. októbrová notifikácia). Schodok hospodárenia, ktorý bol vykázaný k 1.</w:t>
      </w:r>
      <w:r>
        <w:rPr>
          <w:szCs w:val="22"/>
        </w:rPr>
        <w:t> </w:t>
      </w:r>
      <w:r w:rsidRPr="00A11597">
        <w:rPr>
          <w:szCs w:val="22"/>
        </w:rPr>
        <w:t>aprílu</w:t>
      </w:r>
      <w:r>
        <w:rPr>
          <w:szCs w:val="22"/>
        </w:rPr>
        <w:t> </w:t>
      </w:r>
      <w:r w:rsidRPr="00A11597">
        <w:rPr>
          <w:szCs w:val="22"/>
        </w:rPr>
        <w:t>2019 (0,70</w:t>
      </w:r>
      <w:r>
        <w:rPr>
          <w:szCs w:val="22"/>
        </w:rPr>
        <w:t> </w:t>
      </w:r>
      <w:r w:rsidRPr="00A11597">
        <w:rPr>
          <w:szCs w:val="22"/>
        </w:rPr>
        <w:t>%</w:t>
      </w:r>
      <w:r>
        <w:rPr>
          <w:szCs w:val="22"/>
        </w:rPr>
        <w:t> </w:t>
      </w:r>
      <w:r w:rsidRPr="00A11597">
        <w:rPr>
          <w:szCs w:val="22"/>
        </w:rPr>
        <w:t xml:space="preserve">HDP) sa zvýšil </w:t>
      </w:r>
      <w:r>
        <w:rPr>
          <w:szCs w:val="22"/>
        </w:rPr>
        <w:t xml:space="preserve">v rámci jesennej notifikácie </w:t>
      </w:r>
      <w:r w:rsidRPr="00A11597">
        <w:rPr>
          <w:szCs w:val="22"/>
        </w:rPr>
        <w:t>o 0,36 p. b.</w:t>
      </w:r>
      <w:r>
        <w:rPr>
          <w:szCs w:val="22"/>
        </w:rPr>
        <w:t xml:space="preserve"> na hodnotu 1,06 % revidovaného HDP.</w:t>
      </w:r>
      <w:r w:rsidRPr="00A11597">
        <w:rPr>
          <w:szCs w:val="22"/>
        </w:rPr>
        <w:t xml:space="preserve"> Najvýznamnejšie položky aktualizácie ukazuje nasledovná tabuľka.</w:t>
      </w:r>
    </w:p>
    <w:p w14:paraId="0ABAE109" w14:textId="77777777" w:rsidR="0008186C" w:rsidRDefault="0008186C">
      <w:pPr>
        <w:rPr>
          <w:szCs w:val="22"/>
        </w:rPr>
      </w:pPr>
      <w:r>
        <w:rPr>
          <w:szCs w:val="22"/>
        </w:rPr>
        <w:br w:type="page"/>
      </w:r>
    </w:p>
    <w:tbl>
      <w:tblPr>
        <w:tblW w:w="9071" w:type="dxa"/>
        <w:tblCellMar>
          <w:left w:w="70" w:type="dxa"/>
          <w:right w:w="70" w:type="dxa"/>
        </w:tblCellMar>
        <w:tblLook w:val="04A0" w:firstRow="1" w:lastRow="0" w:firstColumn="1" w:lastColumn="0" w:noHBand="0" w:noVBand="1"/>
      </w:tblPr>
      <w:tblGrid>
        <w:gridCol w:w="3574"/>
        <w:gridCol w:w="1159"/>
        <w:gridCol w:w="897"/>
        <w:gridCol w:w="3441"/>
      </w:tblGrid>
      <w:tr w:rsidR="00F9657D" w:rsidRPr="00F9657D" w14:paraId="01D4AF40" w14:textId="77777777" w:rsidTr="00482590">
        <w:trPr>
          <w:trHeight w:val="420"/>
        </w:trPr>
        <w:tc>
          <w:tcPr>
            <w:tcW w:w="9071" w:type="dxa"/>
            <w:gridSpan w:val="4"/>
            <w:tcBorders>
              <w:top w:val="single" w:sz="4" w:space="0" w:color="auto"/>
              <w:left w:val="nil"/>
              <w:bottom w:val="single" w:sz="4" w:space="0" w:color="auto"/>
              <w:right w:val="nil"/>
            </w:tcBorders>
            <w:shd w:val="clear" w:color="000000" w:fill="000000"/>
            <w:noWrap/>
            <w:vAlign w:val="center"/>
            <w:hideMark/>
          </w:tcPr>
          <w:p w14:paraId="5FA96D58" w14:textId="77777777" w:rsidR="00F9657D" w:rsidRPr="00F9657D" w:rsidRDefault="00F9657D" w:rsidP="00F9657D">
            <w:pPr>
              <w:spacing w:after="0" w:line="240" w:lineRule="auto"/>
              <w:rPr>
                <w:b/>
                <w:bCs/>
                <w:color w:val="FFFFFF"/>
                <w:sz w:val="20"/>
                <w:szCs w:val="20"/>
                <w:lang w:eastAsia="sk-SK"/>
              </w:rPr>
            </w:pPr>
            <w:r w:rsidRPr="00F9657D">
              <w:rPr>
                <w:b/>
                <w:bCs/>
                <w:color w:val="FFFFFF"/>
                <w:sz w:val="20"/>
                <w:szCs w:val="20"/>
                <w:lang w:eastAsia="sk-SK"/>
              </w:rPr>
              <w:t>Úpravy schodku za rok 2018 pri októbrovej notifikácii v metodike ESA 2010</w:t>
            </w:r>
          </w:p>
        </w:tc>
      </w:tr>
      <w:tr w:rsidR="00F9657D" w:rsidRPr="00F9657D" w14:paraId="1F39118C" w14:textId="77777777" w:rsidTr="00F240C9">
        <w:trPr>
          <w:trHeight w:val="528"/>
        </w:trPr>
        <w:tc>
          <w:tcPr>
            <w:tcW w:w="3574" w:type="dxa"/>
            <w:tcBorders>
              <w:top w:val="nil"/>
              <w:left w:val="nil"/>
              <w:bottom w:val="nil"/>
              <w:right w:val="nil"/>
            </w:tcBorders>
            <w:shd w:val="clear" w:color="auto" w:fill="BFBFBF" w:themeFill="background1" w:themeFillShade="BF"/>
            <w:vAlign w:val="center"/>
            <w:hideMark/>
          </w:tcPr>
          <w:p w14:paraId="5753DB67" w14:textId="77777777" w:rsidR="00F9657D" w:rsidRPr="00F9657D" w:rsidRDefault="00F9657D" w:rsidP="00F9657D">
            <w:pPr>
              <w:spacing w:after="0" w:line="240" w:lineRule="auto"/>
              <w:rPr>
                <w:b/>
                <w:bCs/>
                <w:sz w:val="20"/>
                <w:szCs w:val="20"/>
                <w:lang w:eastAsia="sk-SK"/>
              </w:rPr>
            </w:pPr>
            <w:r w:rsidRPr="00F9657D">
              <w:rPr>
                <w:b/>
                <w:bCs/>
                <w:sz w:val="20"/>
                <w:szCs w:val="20"/>
                <w:lang w:eastAsia="sk-SK"/>
              </w:rPr>
              <w:t>Upravené položky</w:t>
            </w:r>
          </w:p>
        </w:tc>
        <w:tc>
          <w:tcPr>
            <w:tcW w:w="1159" w:type="dxa"/>
            <w:tcBorders>
              <w:top w:val="nil"/>
              <w:left w:val="nil"/>
              <w:bottom w:val="nil"/>
              <w:right w:val="nil"/>
            </w:tcBorders>
            <w:shd w:val="clear" w:color="auto" w:fill="BFBFBF" w:themeFill="background1" w:themeFillShade="BF"/>
            <w:vAlign w:val="center"/>
            <w:hideMark/>
          </w:tcPr>
          <w:p w14:paraId="4714DE41" w14:textId="77777777" w:rsidR="00F9657D" w:rsidRPr="00F9657D" w:rsidRDefault="00F9657D" w:rsidP="00F9657D">
            <w:pPr>
              <w:spacing w:after="0" w:line="240" w:lineRule="auto"/>
              <w:jc w:val="center"/>
              <w:rPr>
                <w:b/>
                <w:bCs/>
                <w:sz w:val="20"/>
                <w:szCs w:val="20"/>
                <w:lang w:eastAsia="sk-SK"/>
              </w:rPr>
            </w:pPr>
            <w:r w:rsidRPr="00F9657D">
              <w:rPr>
                <w:b/>
                <w:bCs/>
                <w:sz w:val="20"/>
                <w:szCs w:val="20"/>
                <w:lang w:eastAsia="sk-SK"/>
              </w:rPr>
              <w:t>tis. eur</w:t>
            </w:r>
          </w:p>
        </w:tc>
        <w:tc>
          <w:tcPr>
            <w:tcW w:w="897" w:type="dxa"/>
            <w:tcBorders>
              <w:top w:val="nil"/>
              <w:left w:val="nil"/>
              <w:bottom w:val="nil"/>
              <w:right w:val="nil"/>
            </w:tcBorders>
            <w:shd w:val="clear" w:color="auto" w:fill="BFBFBF" w:themeFill="background1" w:themeFillShade="BF"/>
            <w:vAlign w:val="center"/>
            <w:hideMark/>
          </w:tcPr>
          <w:p w14:paraId="069F3A4F" w14:textId="77777777" w:rsidR="00F9657D" w:rsidRPr="00F9657D" w:rsidRDefault="00F9657D" w:rsidP="00F9657D">
            <w:pPr>
              <w:spacing w:after="0" w:line="240" w:lineRule="auto"/>
              <w:jc w:val="center"/>
              <w:rPr>
                <w:b/>
                <w:bCs/>
                <w:sz w:val="20"/>
                <w:szCs w:val="20"/>
                <w:lang w:eastAsia="sk-SK"/>
              </w:rPr>
            </w:pPr>
            <w:r w:rsidRPr="00F9657D">
              <w:rPr>
                <w:b/>
                <w:bCs/>
                <w:sz w:val="20"/>
                <w:szCs w:val="20"/>
                <w:lang w:eastAsia="sk-SK"/>
              </w:rPr>
              <w:t>% HDP</w:t>
            </w:r>
          </w:p>
        </w:tc>
        <w:tc>
          <w:tcPr>
            <w:tcW w:w="3441" w:type="dxa"/>
            <w:tcBorders>
              <w:top w:val="nil"/>
              <w:left w:val="nil"/>
              <w:bottom w:val="nil"/>
              <w:right w:val="nil"/>
            </w:tcBorders>
            <w:shd w:val="clear" w:color="auto" w:fill="BFBFBF" w:themeFill="background1" w:themeFillShade="BF"/>
            <w:vAlign w:val="center"/>
            <w:hideMark/>
          </w:tcPr>
          <w:p w14:paraId="258CA23F" w14:textId="77777777" w:rsidR="00F9657D" w:rsidRPr="00F9657D" w:rsidRDefault="00F9657D" w:rsidP="00F9657D">
            <w:pPr>
              <w:spacing w:after="0" w:line="240" w:lineRule="auto"/>
              <w:jc w:val="center"/>
              <w:rPr>
                <w:b/>
                <w:bCs/>
                <w:sz w:val="20"/>
                <w:szCs w:val="20"/>
                <w:lang w:eastAsia="sk-SK"/>
              </w:rPr>
            </w:pPr>
            <w:r w:rsidRPr="00F9657D">
              <w:rPr>
                <w:b/>
                <w:bCs/>
                <w:sz w:val="20"/>
                <w:szCs w:val="20"/>
                <w:lang w:eastAsia="sk-SK"/>
              </w:rPr>
              <w:t>Zdôvodnenie úprav</w:t>
            </w:r>
          </w:p>
        </w:tc>
      </w:tr>
      <w:tr w:rsidR="00F9657D" w:rsidRPr="00F9657D" w14:paraId="74AB0F0A" w14:textId="77777777" w:rsidTr="00F240C9">
        <w:trPr>
          <w:trHeight w:val="255"/>
        </w:trPr>
        <w:tc>
          <w:tcPr>
            <w:tcW w:w="3574" w:type="dxa"/>
            <w:tcBorders>
              <w:top w:val="single" w:sz="4" w:space="0" w:color="auto"/>
              <w:left w:val="nil"/>
              <w:bottom w:val="single" w:sz="4" w:space="0" w:color="auto"/>
              <w:right w:val="nil"/>
            </w:tcBorders>
            <w:shd w:val="clear" w:color="auto" w:fill="BFBFBF" w:themeFill="background1" w:themeFillShade="BF"/>
            <w:noWrap/>
            <w:vAlign w:val="center"/>
            <w:hideMark/>
          </w:tcPr>
          <w:p w14:paraId="6B62E659" w14:textId="77777777" w:rsidR="00F9657D" w:rsidRPr="00F9657D" w:rsidRDefault="00F9657D" w:rsidP="00F9657D">
            <w:pPr>
              <w:spacing w:after="0" w:line="240" w:lineRule="auto"/>
              <w:rPr>
                <w:b/>
                <w:bCs/>
                <w:sz w:val="20"/>
                <w:szCs w:val="20"/>
                <w:lang w:eastAsia="sk-SK"/>
              </w:rPr>
            </w:pPr>
            <w:r w:rsidRPr="00F9657D">
              <w:rPr>
                <w:b/>
                <w:bCs/>
                <w:sz w:val="20"/>
                <w:szCs w:val="20"/>
                <w:lang w:eastAsia="sk-SK"/>
              </w:rPr>
              <w:t>Schodok VS - apríl 2019</w:t>
            </w:r>
          </w:p>
        </w:tc>
        <w:tc>
          <w:tcPr>
            <w:tcW w:w="1159" w:type="dxa"/>
            <w:tcBorders>
              <w:top w:val="single" w:sz="4" w:space="0" w:color="auto"/>
              <w:left w:val="nil"/>
              <w:bottom w:val="single" w:sz="4" w:space="0" w:color="auto"/>
              <w:right w:val="nil"/>
            </w:tcBorders>
            <w:shd w:val="clear" w:color="auto" w:fill="BFBFBF" w:themeFill="background1" w:themeFillShade="BF"/>
            <w:noWrap/>
            <w:vAlign w:val="center"/>
            <w:hideMark/>
          </w:tcPr>
          <w:p w14:paraId="4C2BD0E7" w14:textId="77777777" w:rsidR="00F9657D" w:rsidRPr="00F9657D" w:rsidRDefault="00F9657D" w:rsidP="00F9657D">
            <w:pPr>
              <w:spacing w:after="0" w:line="240" w:lineRule="auto"/>
              <w:jc w:val="right"/>
              <w:rPr>
                <w:b/>
                <w:bCs/>
                <w:sz w:val="20"/>
                <w:szCs w:val="20"/>
                <w:lang w:eastAsia="sk-SK"/>
              </w:rPr>
            </w:pPr>
            <w:r w:rsidRPr="00F9657D">
              <w:rPr>
                <w:b/>
                <w:bCs/>
                <w:sz w:val="20"/>
                <w:szCs w:val="20"/>
                <w:lang w:eastAsia="sk-SK"/>
              </w:rPr>
              <w:t>-629 457</w:t>
            </w:r>
          </w:p>
        </w:tc>
        <w:tc>
          <w:tcPr>
            <w:tcW w:w="897" w:type="dxa"/>
            <w:tcBorders>
              <w:top w:val="single" w:sz="4" w:space="0" w:color="auto"/>
              <w:left w:val="nil"/>
              <w:bottom w:val="single" w:sz="4" w:space="0" w:color="auto"/>
              <w:right w:val="nil"/>
            </w:tcBorders>
            <w:shd w:val="clear" w:color="auto" w:fill="BFBFBF" w:themeFill="background1" w:themeFillShade="BF"/>
            <w:noWrap/>
            <w:vAlign w:val="center"/>
            <w:hideMark/>
          </w:tcPr>
          <w:p w14:paraId="47FA0F66" w14:textId="77777777" w:rsidR="00F9657D" w:rsidRPr="00F9657D" w:rsidRDefault="00F9657D" w:rsidP="00F9657D">
            <w:pPr>
              <w:spacing w:after="0" w:line="240" w:lineRule="auto"/>
              <w:jc w:val="center"/>
              <w:rPr>
                <w:b/>
                <w:bCs/>
                <w:sz w:val="20"/>
                <w:szCs w:val="20"/>
                <w:lang w:eastAsia="sk-SK"/>
              </w:rPr>
            </w:pPr>
            <w:r w:rsidRPr="00F9657D">
              <w:rPr>
                <w:b/>
                <w:bCs/>
                <w:sz w:val="20"/>
                <w:szCs w:val="20"/>
                <w:lang w:eastAsia="sk-SK"/>
              </w:rPr>
              <w:t>-0,698</w:t>
            </w:r>
          </w:p>
        </w:tc>
        <w:tc>
          <w:tcPr>
            <w:tcW w:w="3441" w:type="dxa"/>
            <w:tcBorders>
              <w:top w:val="single" w:sz="4" w:space="0" w:color="auto"/>
              <w:left w:val="nil"/>
              <w:bottom w:val="single" w:sz="4" w:space="0" w:color="auto"/>
              <w:right w:val="nil"/>
            </w:tcBorders>
            <w:shd w:val="clear" w:color="auto" w:fill="BFBFBF" w:themeFill="background1" w:themeFillShade="BF"/>
            <w:vAlign w:val="center"/>
            <w:hideMark/>
          </w:tcPr>
          <w:p w14:paraId="5F2DA1F5" w14:textId="77777777" w:rsidR="00F9657D" w:rsidRPr="00F9657D" w:rsidRDefault="00F9657D" w:rsidP="00F9657D">
            <w:pPr>
              <w:spacing w:after="0" w:line="240" w:lineRule="auto"/>
              <w:jc w:val="center"/>
              <w:rPr>
                <w:sz w:val="20"/>
                <w:szCs w:val="20"/>
                <w:lang w:eastAsia="sk-SK"/>
              </w:rPr>
            </w:pPr>
            <w:r w:rsidRPr="00F9657D">
              <w:rPr>
                <w:sz w:val="20"/>
                <w:szCs w:val="20"/>
                <w:lang w:eastAsia="sk-SK"/>
              </w:rPr>
              <w:t> </w:t>
            </w:r>
          </w:p>
        </w:tc>
      </w:tr>
      <w:tr w:rsidR="00F9657D" w:rsidRPr="00F9657D" w14:paraId="29E981DF" w14:textId="77777777" w:rsidTr="00E815F4">
        <w:trPr>
          <w:trHeight w:val="255"/>
        </w:trPr>
        <w:tc>
          <w:tcPr>
            <w:tcW w:w="9071" w:type="dxa"/>
            <w:gridSpan w:val="4"/>
            <w:tcBorders>
              <w:top w:val="single" w:sz="4" w:space="0" w:color="auto"/>
              <w:left w:val="nil"/>
              <w:bottom w:val="nil"/>
              <w:right w:val="nil"/>
            </w:tcBorders>
            <w:shd w:val="clear" w:color="auto" w:fill="auto"/>
            <w:noWrap/>
            <w:vAlign w:val="center"/>
            <w:hideMark/>
          </w:tcPr>
          <w:p w14:paraId="616CE712" w14:textId="77777777" w:rsidR="00F9657D" w:rsidRPr="00F9657D" w:rsidRDefault="00F9657D" w:rsidP="00F9657D">
            <w:pPr>
              <w:spacing w:after="0" w:line="240" w:lineRule="auto"/>
              <w:rPr>
                <w:b/>
                <w:bCs/>
                <w:sz w:val="20"/>
                <w:szCs w:val="20"/>
                <w:lang w:eastAsia="sk-SK"/>
              </w:rPr>
            </w:pPr>
            <w:r w:rsidRPr="00F9657D">
              <w:rPr>
                <w:b/>
                <w:bCs/>
                <w:sz w:val="20"/>
                <w:szCs w:val="20"/>
                <w:lang w:eastAsia="sk-SK"/>
              </w:rPr>
              <w:t>Úpravy z dôvodu benchmarkovej revízie:</w:t>
            </w:r>
          </w:p>
        </w:tc>
      </w:tr>
      <w:tr w:rsidR="00F9657D" w:rsidRPr="00F9657D" w14:paraId="694BB698" w14:textId="77777777" w:rsidTr="00E815F4">
        <w:trPr>
          <w:trHeight w:val="540"/>
        </w:trPr>
        <w:tc>
          <w:tcPr>
            <w:tcW w:w="3574" w:type="dxa"/>
            <w:tcBorders>
              <w:top w:val="nil"/>
              <w:left w:val="nil"/>
              <w:bottom w:val="nil"/>
              <w:right w:val="nil"/>
            </w:tcBorders>
            <w:shd w:val="clear" w:color="000000" w:fill="FFFFFF"/>
            <w:vAlign w:val="center"/>
            <w:hideMark/>
          </w:tcPr>
          <w:p w14:paraId="7E2803CD" w14:textId="77777777" w:rsidR="00F9657D" w:rsidRPr="00F9657D" w:rsidRDefault="00F9657D" w:rsidP="0008186C">
            <w:pPr>
              <w:spacing w:line="240" w:lineRule="auto"/>
              <w:rPr>
                <w:sz w:val="20"/>
                <w:szCs w:val="20"/>
                <w:lang w:eastAsia="sk-SK"/>
              </w:rPr>
            </w:pPr>
            <w:r w:rsidRPr="00F9657D">
              <w:rPr>
                <w:sz w:val="20"/>
                <w:szCs w:val="20"/>
                <w:lang w:eastAsia="sk-SK"/>
              </w:rPr>
              <w:t>Zmena zaznamenávania príjmov NJF</w:t>
            </w:r>
          </w:p>
        </w:tc>
        <w:tc>
          <w:tcPr>
            <w:tcW w:w="1159" w:type="dxa"/>
            <w:tcBorders>
              <w:top w:val="nil"/>
              <w:left w:val="nil"/>
              <w:bottom w:val="nil"/>
              <w:right w:val="nil"/>
            </w:tcBorders>
            <w:shd w:val="clear" w:color="000000" w:fill="FFFFFF"/>
            <w:noWrap/>
            <w:vAlign w:val="center"/>
            <w:hideMark/>
          </w:tcPr>
          <w:p w14:paraId="6026CDBA" w14:textId="77777777" w:rsidR="00F9657D" w:rsidRPr="00F9657D" w:rsidRDefault="00F9657D" w:rsidP="0008186C">
            <w:pPr>
              <w:spacing w:line="240" w:lineRule="auto"/>
              <w:jc w:val="right"/>
              <w:rPr>
                <w:sz w:val="20"/>
                <w:szCs w:val="20"/>
                <w:lang w:eastAsia="sk-SK"/>
              </w:rPr>
            </w:pPr>
            <w:r w:rsidRPr="00F9657D">
              <w:rPr>
                <w:sz w:val="20"/>
                <w:szCs w:val="20"/>
                <w:lang w:eastAsia="sk-SK"/>
              </w:rPr>
              <w:t>-95 493</w:t>
            </w:r>
          </w:p>
        </w:tc>
        <w:tc>
          <w:tcPr>
            <w:tcW w:w="897" w:type="dxa"/>
            <w:tcBorders>
              <w:top w:val="nil"/>
              <w:left w:val="nil"/>
              <w:bottom w:val="nil"/>
              <w:right w:val="nil"/>
            </w:tcBorders>
            <w:shd w:val="clear" w:color="000000" w:fill="FFFFFF"/>
            <w:noWrap/>
            <w:vAlign w:val="center"/>
            <w:hideMark/>
          </w:tcPr>
          <w:p w14:paraId="4BAF34F5" w14:textId="77777777" w:rsidR="00F9657D" w:rsidRPr="00F9657D" w:rsidRDefault="00F9657D" w:rsidP="0008186C">
            <w:pPr>
              <w:spacing w:line="240" w:lineRule="auto"/>
              <w:jc w:val="center"/>
              <w:rPr>
                <w:sz w:val="20"/>
                <w:szCs w:val="20"/>
                <w:lang w:eastAsia="sk-SK"/>
              </w:rPr>
            </w:pPr>
            <w:r w:rsidRPr="00F9657D">
              <w:rPr>
                <w:sz w:val="20"/>
                <w:szCs w:val="20"/>
                <w:lang w:eastAsia="sk-SK"/>
              </w:rPr>
              <w:t>-0,106</w:t>
            </w:r>
          </w:p>
        </w:tc>
        <w:tc>
          <w:tcPr>
            <w:tcW w:w="3441" w:type="dxa"/>
            <w:tcBorders>
              <w:top w:val="nil"/>
              <w:left w:val="nil"/>
              <w:bottom w:val="nil"/>
              <w:right w:val="nil"/>
            </w:tcBorders>
            <w:shd w:val="clear" w:color="000000" w:fill="FFFFFF"/>
            <w:vAlign w:val="center"/>
            <w:hideMark/>
          </w:tcPr>
          <w:p w14:paraId="1B8F736C" w14:textId="77777777" w:rsidR="00F9657D" w:rsidRPr="00F9657D" w:rsidRDefault="00F9657D" w:rsidP="0008186C">
            <w:pPr>
              <w:spacing w:line="240" w:lineRule="auto"/>
              <w:jc w:val="center"/>
              <w:rPr>
                <w:sz w:val="20"/>
                <w:szCs w:val="20"/>
                <w:lang w:eastAsia="sk-SK"/>
              </w:rPr>
            </w:pPr>
            <w:r w:rsidRPr="00F9657D">
              <w:rPr>
                <w:sz w:val="20"/>
                <w:szCs w:val="20"/>
                <w:lang w:eastAsia="sk-SK"/>
              </w:rPr>
              <w:t>imputácia záväzku voči jadrovým elektrárňam</w:t>
            </w:r>
          </w:p>
        </w:tc>
      </w:tr>
      <w:tr w:rsidR="00F9657D" w:rsidRPr="00F9657D" w14:paraId="1D72AE68" w14:textId="77777777" w:rsidTr="00E815F4">
        <w:trPr>
          <w:trHeight w:val="660"/>
        </w:trPr>
        <w:tc>
          <w:tcPr>
            <w:tcW w:w="3574" w:type="dxa"/>
            <w:tcBorders>
              <w:top w:val="nil"/>
              <w:left w:val="nil"/>
              <w:bottom w:val="nil"/>
              <w:right w:val="nil"/>
            </w:tcBorders>
            <w:shd w:val="clear" w:color="000000" w:fill="FFFFFF"/>
            <w:vAlign w:val="center"/>
            <w:hideMark/>
          </w:tcPr>
          <w:p w14:paraId="18A8E68C" w14:textId="77777777" w:rsidR="00F9657D" w:rsidRPr="00F9657D" w:rsidRDefault="00F9657D" w:rsidP="0008186C">
            <w:pPr>
              <w:spacing w:line="240" w:lineRule="auto"/>
              <w:rPr>
                <w:sz w:val="20"/>
                <w:szCs w:val="20"/>
                <w:lang w:eastAsia="sk-SK"/>
              </w:rPr>
            </w:pPr>
            <w:r w:rsidRPr="00F9657D">
              <w:rPr>
                <w:sz w:val="20"/>
                <w:szCs w:val="20"/>
                <w:lang w:eastAsia="sk-SK"/>
              </w:rPr>
              <w:t>Revízia zaznamenania dotácie na zelené energie</w:t>
            </w:r>
          </w:p>
        </w:tc>
        <w:tc>
          <w:tcPr>
            <w:tcW w:w="1159" w:type="dxa"/>
            <w:tcBorders>
              <w:top w:val="nil"/>
              <w:left w:val="nil"/>
              <w:bottom w:val="nil"/>
              <w:right w:val="nil"/>
            </w:tcBorders>
            <w:shd w:val="clear" w:color="000000" w:fill="FFFFFF"/>
            <w:noWrap/>
            <w:vAlign w:val="center"/>
            <w:hideMark/>
          </w:tcPr>
          <w:p w14:paraId="22A14FF8" w14:textId="77777777" w:rsidR="00F9657D" w:rsidRPr="00F9657D" w:rsidRDefault="00F9657D" w:rsidP="0008186C">
            <w:pPr>
              <w:spacing w:line="240" w:lineRule="auto"/>
              <w:jc w:val="right"/>
              <w:rPr>
                <w:sz w:val="20"/>
                <w:szCs w:val="20"/>
                <w:lang w:eastAsia="sk-SK"/>
              </w:rPr>
            </w:pPr>
            <w:r w:rsidRPr="00F9657D">
              <w:rPr>
                <w:sz w:val="20"/>
                <w:szCs w:val="20"/>
                <w:lang w:eastAsia="sk-SK"/>
              </w:rPr>
              <w:t>-47 717</w:t>
            </w:r>
          </w:p>
        </w:tc>
        <w:tc>
          <w:tcPr>
            <w:tcW w:w="897" w:type="dxa"/>
            <w:tcBorders>
              <w:top w:val="nil"/>
              <w:left w:val="nil"/>
              <w:bottom w:val="nil"/>
              <w:right w:val="nil"/>
            </w:tcBorders>
            <w:shd w:val="clear" w:color="000000" w:fill="FFFFFF"/>
            <w:noWrap/>
            <w:vAlign w:val="center"/>
            <w:hideMark/>
          </w:tcPr>
          <w:p w14:paraId="21859F08" w14:textId="77777777" w:rsidR="00F9657D" w:rsidRPr="00F9657D" w:rsidRDefault="00F9657D" w:rsidP="0008186C">
            <w:pPr>
              <w:spacing w:line="240" w:lineRule="auto"/>
              <w:jc w:val="center"/>
              <w:rPr>
                <w:sz w:val="20"/>
                <w:szCs w:val="20"/>
                <w:lang w:eastAsia="sk-SK"/>
              </w:rPr>
            </w:pPr>
            <w:r w:rsidRPr="00F9657D">
              <w:rPr>
                <w:sz w:val="20"/>
                <w:szCs w:val="20"/>
                <w:lang w:eastAsia="sk-SK"/>
              </w:rPr>
              <w:t>-0,053</w:t>
            </w:r>
          </w:p>
        </w:tc>
        <w:tc>
          <w:tcPr>
            <w:tcW w:w="3441" w:type="dxa"/>
            <w:tcBorders>
              <w:top w:val="nil"/>
              <w:left w:val="nil"/>
              <w:bottom w:val="nil"/>
              <w:right w:val="nil"/>
            </w:tcBorders>
            <w:shd w:val="clear" w:color="auto" w:fill="auto"/>
            <w:vAlign w:val="center"/>
            <w:hideMark/>
          </w:tcPr>
          <w:p w14:paraId="1E32C9C1" w14:textId="77777777" w:rsidR="00F9657D" w:rsidRPr="00F9657D" w:rsidRDefault="00F9657D" w:rsidP="0008186C">
            <w:pPr>
              <w:spacing w:line="240" w:lineRule="auto"/>
              <w:jc w:val="center"/>
              <w:rPr>
                <w:color w:val="000000"/>
                <w:sz w:val="20"/>
                <w:szCs w:val="20"/>
                <w:lang w:eastAsia="sk-SK"/>
              </w:rPr>
            </w:pPr>
            <w:r w:rsidRPr="00F9657D">
              <w:rPr>
                <w:color w:val="000000"/>
                <w:sz w:val="20"/>
                <w:szCs w:val="20"/>
                <w:lang w:eastAsia="sk-SK"/>
              </w:rPr>
              <w:t>imputácia záväzku voči dodávateľom zelených energií</w:t>
            </w:r>
          </w:p>
        </w:tc>
      </w:tr>
      <w:tr w:rsidR="00F9657D" w:rsidRPr="00F9657D" w14:paraId="1353758B" w14:textId="77777777" w:rsidTr="00E815F4">
        <w:trPr>
          <w:trHeight w:val="1164"/>
        </w:trPr>
        <w:tc>
          <w:tcPr>
            <w:tcW w:w="3574" w:type="dxa"/>
            <w:tcBorders>
              <w:top w:val="nil"/>
              <w:left w:val="nil"/>
              <w:bottom w:val="nil"/>
              <w:right w:val="nil"/>
            </w:tcBorders>
            <w:shd w:val="clear" w:color="auto" w:fill="auto"/>
            <w:vAlign w:val="center"/>
            <w:hideMark/>
          </w:tcPr>
          <w:p w14:paraId="53999596" w14:textId="77777777" w:rsidR="00F9657D" w:rsidRPr="00F9657D" w:rsidRDefault="00F9657D" w:rsidP="0008186C">
            <w:pPr>
              <w:spacing w:line="240" w:lineRule="auto"/>
              <w:rPr>
                <w:sz w:val="20"/>
                <w:szCs w:val="20"/>
                <w:lang w:eastAsia="sk-SK"/>
              </w:rPr>
            </w:pPr>
            <w:r w:rsidRPr="00F9657D">
              <w:rPr>
                <w:sz w:val="20"/>
                <w:szCs w:val="20"/>
                <w:lang w:eastAsia="sk-SK"/>
              </w:rPr>
              <w:t>Pohľadávky a záväzky z daní a poistného ostatných subjektov VS (okrem Sociálnej poisťovne a zdravotníckych zariadení)</w:t>
            </w:r>
          </w:p>
        </w:tc>
        <w:tc>
          <w:tcPr>
            <w:tcW w:w="1159" w:type="dxa"/>
            <w:tcBorders>
              <w:top w:val="nil"/>
              <w:left w:val="nil"/>
              <w:bottom w:val="nil"/>
              <w:right w:val="nil"/>
            </w:tcBorders>
            <w:shd w:val="clear" w:color="000000" w:fill="FFFFFF"/>
            <w:noWrap/>
            <w:vAlign w:val="center"/>
            <w:hideMark/>
          </w:tcPr>
          <w:p w14:paraId="460C721C" w14:textId="77777777" w:rsidR="00F9657D" w:rsidRPr="00F9657D" w:rsidRDefault="00F9657D" w:rsidP="0008186C">
            <w:pPr>
              <w:spacing w:line="240" w:lineRule="auto"/>
              <w:jc w:val="right"/>
              <w:rPr>
                <w:sz w:val="20"/>
                <w:szCs w:val="20"/>
                <w:lang w:eastAsia="sk-SK"/>
              </w:rPr>
            </w:pPr>
            <w:r w:rsidRPr="00F9657D">
              <w:rPr>
                <w:sz w:val="20"/>
                <w:szCs w:val="20"/>
                <w:lang w:eastAsia="sk-SK"/>
              </w:rPr>
              <w:t>-34 239</w:t>
            </w:r>
          </w:p>
        </w:tc>
        <w:tc>
          <w:tcPr>
            <w:tcW w:w="897" w:type="dxa"/>
            <w:tcBorders>
              <w:top w:val="nil"/>
              <w:left w:val="nil"/>
              <w:bottom w:val="nil"/>
              <w:right w:val="nil"/>
            </w:tcBorders>
            <w:shd w:val="clear" w:color="000000" w:fill="FFFFFF"/>
            <w:noWrap/>
            <w:vAlign w:val="center"/>
            <w:hideMark/>
          </w:tcPr>
          <w:p w14:paraId="6682751C" w14:textId="77777777" w:rsidR="00F9657D" w:rsidRPr="00F9657D" w:rsidRDefault="00F9657D" w:rsidP="0008186C">
            <w:pPr>
              <w:spacing w:line="240" w:lineRule="auto"/>
              <w:jc w:val="center"/>
              <w:rPr>
                <w:sz w:val="20"/>
                <w:szCs w:val="20"/>
                <w:lang w:eastAsia="sk-SK"/>
              </w:rPr>
            </w:pPr>
            <w:r w:rsidRPr="00F9657D">
              <w:rPr>
                <w:sz w:val="20"/>
                <w:szCs w:val="20"/>
                <w:lang w:eastAsia="sk-SK"/>
              </w:rPr>
              <w:t>-0,038</w:t>
            </w:r>
          </w:p>
        </w:tc>
        <w:tc>
          <w:tcPr>
            <w:tcW w:w="3441" w:type="dxa"/>
            <w:tcBorders>
              <w:top w:val="nil"/>
              <w:left w:val="nil"/>
              <w:bottom w:val="nil"/>
              <w:right w:val="nil"/>
            </w:tcBorders>
            <w:shd w:val="clear" w:color="000000" w:fill="FFFFFF"/>
            <w:vAlign w:val="center"/>
            <w:hideMark/>
          </w:tcPr>
          <w:p w14:paraId="35D3A451" w14:textId="77777777" w:rsidR="00F9657D" w:rsidRPr="00F9657D" w:rsidRDefault="00F9657D" w:rsidP="0008186C">
            <w:pPr>
              <w:spacing w:line="240" w:lineRule="auto"/>
              <w:jc w:val="center"/>
              <w:rPr>
                <w:sz w:val="20"/>
                <w:szCs w:val="20"/>
                <w:lang w:eastAsia="sk-SK"/>
              </w:rPr>
            </w:pPr>
            <w:r w:rsidRPr="00F9657D">
              <w:rPr>
                <w:sz w:val="20"/>
                <w:szCs w:val="20"/>
                <w:lang w:eastAsia="sk-SK"/>
              </w:rPr>
              <w:t xml:space="preserve">metodická zmena - zahrnutie pohľadávok </w:t>
            </w:r>
            <w:r w:rsidRPr="00F9657D">
              <w:rPr>
                <w:sz w:val="20"/>
                <w:szCs w:val="20"/>
                <w:lang w:eastAsia="sk-SK"/>
              </w:rPr>
              <w:br/>
              <w:t>a záväzkov z daní a poistného do výpočtu salda</w:t>
            </w:r>
          </w:p>
        </w:tc>
      </w:tr>
      <w:tr w:rsidR="00F9657D" w:rsidRPr="00F9657D" w14:paraId="7CD2AD92" w14:textId="77777777" w:rsidTr="00E815F4">
        <w:trPr>
          <w:trHeight w:val="780"/>
        </w:trPr>
        <w:tc>
          <w:tcPr>
            <w:tcW w:w="3574" w:type="dxa"/>
            <w:tcBorders>
              <w:top w:val="nil"/>
              <w:left w:val="nil"/>
              <w:bottom w:val="nil"/>
              <w:right w:val="nil"/>
            </w:tcBorders>
            <w:shd w:val="clear" w:color="auto" w:fill="auto"/>
            <w:vAlign w:val="center"/>
            <w:hideMark/>
          </w:tcPr>
          <w:p w14:paraId="03D11F3B" w14:textId="77777777" w:rsidR="00F9657D" w:rsidRPr="00F9657D" w:rsidRDefault="00F9657D" w:rsidP="0008186C">
            <w:pPr>
              <w:spacing w:line="240" w:lineRule="auto"/>
              <w:rPr>
                <w:sz w:val="20"/>
                <w:szCs w:val="20"/>
                <w:lang w:eastAsia="sk-SK"/>
              </w:rPr>
            </w:pPr>
            <w:r w:rsidRPr="00F9657D">
              <w:rPr>
                <w:sz w:val="20"/>
                <w:szCs w:val="20"/>
                <w:lang w:eastAsia="sk-SK"/>
              </w:rPr>
              <w:t>Pohľadávky a záväzky z daní a poistného v Sociálnej poisťovni</w:t>
            </w:r>
          </w:p>
        </w:tc>
        <w:tc>
          <w:tcPr>
            <w:tcW w:w="1159" w:type="dxa"/>
            <w:tcBorders>
              <w:top w:val="nil"/>
              <w:left w:val="nil"/>
              <w:bottom w:val="nil"/>
              <w:right w:val="nil"/>
            </w:tcBorders>
            <w:shd w:val="clear" w:color="000000" w:fill="FFFFFF"/>
            <w:noWrap/>
            <w:vAlign w:val="center"/>
            <w:hideMark/>
          </w:tcPr>
          <w:p w14:paraId="08A7C3B9" w14:textId="77777777" w:rsidR="00F9657D" w:rsidRPr="00F9657D" w:rsidRDefault="00F9657D" w:rsidP="0008186C">
            <w:pPr>
              <w:spacing w:line="240" w:lineRule="auto"/>
              <w:jc w:val="right"/>
              <w:rPr>
                <w:sz w:val="20"/>
                <w:szCs w:val="20"/>
                <w:lang w:eastAsia="sk-SK"/>
              </w:rPr>
            </w:pPr>
            <w:r w:rsidRPr="00F9657D">
              <w:rPr>
                <w:sz w:val="20"/>
                <w:szCs w:val="20"/>
                <w:lang w:eastAsia="sk-SK"/>
              </w:rPr>
              <w:t>-134</w:t>
            </w:r>
          </w:p>
        </w:tc>
        <w:tc>
          <w:tcPr>
            <w:tcW w:w="897" w:type="dxa"/>
            <w:tcBorders>
              <w:top w:val="nil"/>
              <w:left w:val="nil"/>
              <w:bottom w:val="nil"/>
              <w:right w:val="nil"/>
            </w:tcBorders>
            <w:shd w:val="clear" w:color="000000" w:fill="FFFFFF"/>
            <w:noWrap/>
            <w:vAlign w:val="center"/>
            <w:hideMark/>
          </w:tcPr>
          <w:p w14:paraId="270C46E8" w14:textId="77777777" w:rsidR="00F9657D" w:rsidRPr="00F9657D" w:rsidRDefault="00F9657D" w:rsidP="0008186C">
            <w:pPr>
              <w:spacing w:line="240" w:lineRule="auto"/>
              <w:jc w:val="center"/>
              <w:rPr>
                <w:sz w:val="20"/>
                <w:szCs w:val="20"/>
                <w:lang w:eastAsia="sk-SK"/>
              </w:rPr>
            </w:pPr>
            <w:r w:rsidRPr="00F9657D">
              <w:rPr>
                <w:sz w:val="20"/>
                <w:szCs w:val="20"/>
                <w:lang w:eastAsia="sk-SK"/>
              </w:rPr>
              <w:t>0,000</w:t>
            </w:r>
          </w:p>
        </w:tc>
        <w:tc>
          <w:tcPr>
            <w:tcW w:w="3441" w:type="dxa"/>
            <w:tcBorders>
              <w:top w:val="nil"/>
              <w:left w:val="nil"/>
              <w:bottom w:val="nil"/>
              <w:right w:val="nil"/>
            </w:tcBorders>
            <w:shd w:val="clear" w:color="000000" w:fill="FFFFFF"/>
            <w:vAlign w:val="center"/>
            <w:hideMark/>
          </w:tcPr>
          <w:p w14:paraId="1D08FCB0" w14:textId="77777777" w:rsidR="00F9657D" w:rsidRPr="00F9657D" w:rsidRDefault="00F9657D" w:rsidP="0008186C">
            <w:pPr>
              <w:spacing w:line="240" w:lineRule="auto"/>
              <w:jc w:val="center"/>
              <w:rPr>
                <w:sz w:val="20"/>
                <w:szCs w:val="20"/>
                <w:lang w:eastAsia="sk-SK"/>
              </w:rPr>
            </w:pPr>
            <w:r w:rsidRPr="00F9657D">
              <w:rPr>
                <w:sz w:val="20"/>
                <w:szCs w:val="20"/>
                <w:lang w:eastAsia="sk-SK"/>
              </w:rPr>
              <w:t xml:space="preserve">metodická zmena - zahrnutie pohľadávok </w:t>
            </w:r>
            <w:r w:rsidRPr="00F9657D">
              <w:rPr>
                <w:sz w:val="20"/>
                <w:szCs w:val="20"/>
                <w:lang w:eastAsia="sk-SK"/>
              </w:rPr>
              <w:br/>
              <w:t>a záväzkov z daní a poistného</w:t>
            </w:r>
          </w:p>
        </w:tc>
      </w:tr>
      <w:tr w:rsidR="00F9657D" w:rsidRPr="00F9657D" w14:paraId="544317A8" w14:textId="77777777" w:rsidTr="00E815F4">
        <w:trPr>
          <w:trHeight w:val="888"/>
        </w:trPr>
        <w:tc>
          <w:tcPr>
            <w:tcW w:w="3574" w:type="dxa"/>
            <w:tcBorders>
              <w:top w:val="nil"/>
              <w:left w:val="nil"/>
              <w:bottom w:val="nil"/>
              <w:right w:val="nil"/>
            </w:tcBorders>
            <w:shd w:val="clear" w:color="auto" w:fill="auto"/>
            <w:vAlign w:val="center"/>
            <w:hideMark/>
          </w:tcPr>
          <w:p w14:paraId="3959BEBD" w14:textId="77777777" w:rsidR="00F9657D" w:rsidRPr="00F9657D" w:rsidRDefault="00F9657D" w:rsidP="0008186C">
            <w:pPr>
              <w:spacing w:line="240" w:lineRule="auto"/>
              <w:rPr>
                <w:sz w:val="20"/>
                <w:szCs w:val="20"/>
                <w:lang w:eastAsia="sk-SK"/>
              </w:rPr>
            </w:pPr>
            <w:r w:rsidRPr="00F9657D">
              <w:rPr>
                <w:sz w:val="20"/>
                <w:szCs w:val="20"/>
                <w:lang w:eastAsia="sk-SK"/>
              </w:rPr>
              <w:t>Pohľadávky a záväzky z poistného v Sociálnej poisťovni</w:t>
            </w:r>
          </w:p>
        </w:tc>
        <w:tc>
          <w:tcPr>
            <w:tcW w:w="1159" w:type="dxa"/>
            <w:tcBorders>
              <w:top w:val="nil"/>
              <w:left w:val="nil"/>
              <w:bottom w:val="nil"/>
              <w:right w:val="nil"/>
            </w:tcBorders>
            <w:shd w:val="clear" w:color="000000" w:fill="FFFFFF"/>
            <w:noWrap/>
            <w:vAlign w:val="center"/>
            <w:hideMark/>
          </w:tcPr>
          <w:p w14:paraId="42F72683" w14:textId="77777777" w:rsidR="00F9657D" w:rsidRPr="00F9657D" w:rsidRDefault="00F9657D" w:rsidP="0008186C">
            <w:pPr>
              <w:spacing w:line="240" w:lineRule="auto"/>
              <w:jc w:val="right"/>
              <w:rPr>
                <w:sz w:val="20"/>
                <w:szCs w:val="20"/>
                <w:lang w:eastAsia="sk-SK"/>
              </w:rPr>
            </w:pPr>
            <w:r w:rsidRPr="00F9657D">
              <w:rPr>
                <w:sz w:val="20"/>
                <w:szCs w:val="20"/>
                <w:lang w:eastAsia="sk-SK"/>
              </w:rPr>
              <w:t>87 840</w:t>
            </w:r>
          </w:p>
        </w:tc>
        <w:tc>
          <w:tcPr>
            <w:tcW w:w="897" w:type="dxa"/>
            <w:tcBorders>
              <w:top w:val="nil"/>
              <w:left w:val="nil"/>
              <w:bottom w:val="nil"/>
              <w:right w:val="nil"/>
            </w:tcBorders>
            <w:shd w:val="clear" w:color="000000" w:fill="FFFFFF"/>
            <w:noWrap/>
            <w:vAlign w:val="center"/>
            <w:hideMark/>
          </w:tcPr>
          <w:p w14:paraId="1E8D3EDE" w14:textId="77777777" w:rsidR="00F9657D" w:rsidRPr="00F9657D" w:rsidRDefault="00F9657D" w:rsidP="0008186C">
            <w:pPr>
              <w:spacing w:line="240" w:lineRule="auto"/>
              <w:jc w:val="center"/>
              <w:rPr>
                <w:sz w:val="20"/>
                <w:szCs w:val="20"/>
                <w:lang w:eastAsia="sk-SK"/>
              </w:rPr>
            </w:pPr>
            <w:r w:rsidRPr="00F9657D">
              <w:rPr>
                <w:sz w:val="20"/>
                <w:szCs w:val="20"/>
                <w:lang w:eastAsia="sk-SK"/>
              </w:rPr>
              <w:t>0,098</w:t>
            </w:r>
          </w:p>
        </w:tc>
        <w:tc>
          <w:tcPr>
            <w:tcW w:w="3441" w:type="dxa"/>
            <w:tcBorders>
              <w:top w:val="nil"/>
              <w:left w:val="nil"/>
              <w:bottom w:val="nil"/>
              <w:right w:val="nil"/>
            </w:tcBorders>
            <w:shd w:val="clear" w:color="auto" w:fill="auto"/>
            <w:vAlign w:val="bottom"/>
            <w:hideMark/>
          </w:tcPr>
          <w:p w14:paraId="2BB184DF" w14:textId="77777777" w:rsidR="00F9657D" w:rsidRPr="00F9657D" w:rsidRDefault="00F9657D" w:rsidP="0008186C">
            <w:pPr>
              <w:spacing w:line="240" w:lineRule="auto"/>
              <w:jc w:val="center"/>
              <w:rPr>
                <w:sz w:val="20"/>
                <w:szCs w:val="20"/>
                <w:lang w:eastAsia="sk-SK"/>
              </w:rPr>
            </w:pPr>
            <w:r w:rsidRPr="00F9657D">
              <w:rPr>
                <w:sz w:val="20"/>
                <w:szCs w:val="20"/>
                <w:lang w:eastAsia="sk-SK"/>
              </w:rPr>
              <w:t>nárast nových pohľadávok na poistnom voči zdravotníckym zariadeniam z dôvodu zmeny metodiky</w:t>
            </w:r>
          </w:p>
        </w:tc>
      </w:tr>
      <w:tr w:rsidR="00F9657D" w:rsidRPr="00F9657D" w14:paraId="7290C724" w14:textId="77777777" w:rsidTr="00E815F4">
        <w:trPr>
          <w:trHeight w:val="719"/>
        </w:trPr>
        <w:tc>
          <w:tcPr>
            <w:tcW w:w="3574" w:type="dxa"/>
            <w:tcBorders>
              <w:top w:val="nil"/>
              <w:left w:val="nil"/>
              <w:bottom w:val="nil"/>
              <w:right w:val="nil"/>
            </w:tcBorders>
            <w:shd w:val="clear" w:color="auto" w:fill="auto"/>
            <w:vAlign w:val="center"/>
            <w:hideMark/>
          </w:tcPr>
          <w:p w14:paraId="2CEF6E29" w14:textId="77777777" w:rsidR="00F9657D" w:rsidRPr="00F9657D" w:rsidRDefault="00F9657D" w:rsidP="0008186C">
            <w:pPr>
              <w:spacing w:line="240" w:lineRule="auto"/>
              <w:rPr>
                <w:sz w:val="20"/>
                <w:szCs w:val="20"/>
                <w:lang w:eastAsia="sk-SK"/>
              </w:rPr>
            </w:pPr>
            <w:r w:rsidRPr="00F9657D">
              <w:rPr>
                <w:sz w:val="20"/>
                <w:szCs w:val="20"/>
                <w:lang w:eastAsia="sk-SK"/>
              </w:rPr>
              <w:t>Vplyv oddlženia v Sociálnej poisťovni</w:t>
            </w:r>
          </w:p>
        </w:tc>
        <w:tc>
          <w:tcPr>
            <w:tcW w:w="1159" w:type="dxa"/>
            <w:tcBorders>
              <w:top w:val="nil"/>
              <w:left w:val="nil"/>
              <w:bottom w:val="nil"/>
              <w:right w:val="nil"/>
            </w:tcBorders>
            <w:shd w:val="clear" w:color="000000" w:fill="FFFFFF"/>
            <w:noWrap/>
            <w:vAlign w:val="center"/>
            <w:hideMark/>
          </w:tcPr>
          <w:p w14:paraId="7861E479" w14:textId="77777777" w:rsidR="00F9657D" w:rsidRPr="00F9657D" w:rsidRDefault="00F9657D" w:rsidP="0008186C">
            <w:pPr>
              <w:spacing w:line="240" w:lineRule="auto"/>
              <w:jc w:val="right"/>
              <w:rPr>
                <w:sz w:val="20"/>
                <w:szCs w:val="20"/>
                <w:lang w:eastAsia="sk-SK"/>
              </w:rPr>
            </w:pPr>
            <w:r w:rsidRPr="00F9657D">
              <w:rPr>
                <w:sz w:val="20"/>
                <w:szCs w:val="20"/>
                <w:lang w:eastAsia="sk-SK"/>
              </w:rPr>
              <w:t>-205 990</w:t>
            </w:r>
          </w:p>
        </w:tc>
        <w:tc>
          <w:tcPr>
            <w:tcW w:w="897" w:type="dxa"/>
            <w:tcBorders>
              <w:top w:val="nil"/>
              <w:left w:val="nil"/>
              <w:bottom w:val="nil"/>
              <w:right w:val="nil"/>
            </w:tcBorders>
            <w:shd w:val="clear" w:color="000000" w:fill="FFFFFF"/>
            <w:noWrap/>
            <w:vAlign w:val="center"/>
            <w:hideMark/>
          </w:tcPr>
          <w:p w14:paraId="5E86DE08" w14:textId="77777777" w:rsidR="00F9657D" w:rsidRPr="00F9657D" w:rsidRDefault="00F9657D" w:rsidP="0008186C">
            <w:pPr>
              <w:spacing w:line="240" w:lineRule="auto"/>
              <w:jc w:val="center"/>
              <w:rPr>
                <w:sz w:val="20"/>
                <w:szCs w:val="20"/>
                <w:lang w:eastAsia="sk-SK"/>
              </w:rPr>
            </w:pPr>
            <w:r w:rsidRPr="00F9657D">
              <w:rPr>
                <w:sz w:val="20"/>
                <w:szCs w:val="20"/>
                <w:lang w:eastAsia="sk-SK"/>
              </w:rPr>
              <w:t>-0,230</w:t>
            </w:r>
          </w:p>
        </w:tc>
        <w:tc>
          <w:tcPr>
            <w:tcW w:w="3441" w:type="dxa"/>
            <w:tcBorders>
              <w:top w:val="nil"/>
              <w:left w:val="nil"/>
              <w:bottom w:val="nil"/>
              <w:right w:val="nil"/>
            </w:tcBorders>
            <w:shd w:val="clear" w:color="auto" w:fill="auto"/>
            <w:vAlign w:val="bottom"/>
            <w:hideMark/>
          </w:tcPr>
          <w:p w14:paraId="7700BE48" w14:textId="77777777" w:rsidR="00F9657D" w:rsidRPr="00F9657D" w:rsidRDefault="00F9657D" w:rsidP="0008186C">
            <w:pPr>
              <w:spacing w:line="240" w:lineRule="auto"/>
              <w:jc w:val="center"/>
              <w:rPr>
                <w:sz w:val="20"/>
                <w:szCs w:val="20"/>
                <w:lang w:eastAsia="sk-SK"/>
              </w:rPr>
            </w:pPr>
            <w:r w:rsidRPr="00F9657D">
              <w:rPr>
                <w:sz w:val="20"/>
                <w:szCs w:val="20"/>
                <w:lang w:eastAsia="sk-SK"/>
              </w:rPr>
              <w:t>poníženie pohľadávok z titulu oddlženia voči zdravotníckym zariadeniam</w:t>
            </w:r>
          </w:p>
        </w:tc>
      </w:tr>
      <w:tr w:rsidR="00F9657D" w:rsidRPr="00F9657D" w14:paraId="7B2854A0" w14:textId="77777777" w:rsidTr="00E815F4">
        <w:trPr>
          <w:trHeight w:val="744"/>
        </w:trPr>
        <w:tc>
          <w:tcPr>
            <w:tcW w:w="3574" w:type="dxa"/>
            <w:tcBorders>
              <w:top w:val="nil"/>
              <w:left w:val="nil"/>
              <w:bottom w:val="nil"/>
              <w:right w:val="nil"/>
            </w:tcBorders>
            <w:shd w:val="clear" w:color="auto" w:fill="auto"/>
            <w:vAlign w:val="center"/>
            <w:hideMark/>
          </w:tcPr>
          <w:p w14:paraId="37349B00" w14:textId="77777777" w:rsidR="00F9657D" w:rsidRPr="00F9657D" w:rsidRDefault="00F9657D" w:rsidP="0008186C">
            <w:pPr>
              <w:spacing w:line="240" w:lineRule="auto"/>
              <w:rPr>
                <w:sz w:val="20"/>
                <w:szCs w:val="20"/>
                <w:lang w:eastAsia="sk-SK"/>
              </w:rPr>
            </w:pPr>
            <w:r w:rsidRPr="00F9657D">
              <w:rPr>
                <w:sz w:val="20"/>
                <w:szCs w:val="20"/>
                <w:lang w:eastAsia="sk-SK"/>
              </w:rPr>
              <w:t>Pohľadávky a záväzky z poistného v zdravotníckych zariadeniach</w:t>
            </w:r>
          </w:p>
        </w:tc>
        <w:tc>
          <w:tcPr>
            <w:tcW w:w="1159" w:type="dxa"/>
            <w:tcBorders>
              <w:top w:val="nil"/>
              <w:left w:val="nil"/>
              <w:bottom w:val="nil"/>
              <w:right w:val="nil"/>
            </w:tcBorders>
            <w:shd w:val="clear" w:color="000000" w:fill="FFFFFF"/>
            <w:noWrap/>
            <w:vAlign w:val="center"/>
            <w:hideMark/>
          </w:tcPr>
          <w:p w14:paraId="782B30A1" w14:textId="77777777" w:rsidR="00F9657D" w:rsidRPr="00F9657D" w:rsidRDefault="00F9657D" w:rsidP="0008186C">
            <w:pPr>
              <w:spacing w:line="240" w:lineRule="auto"/>
              <w:jc w:val="right"/>
              <w:rPr>
                <w:sz w:val="20"/>
                <w:szCs w:val="20"/>
                <w:lang w:eastAsia="sk-SK"/>
              </w:rPr>
            </w:pPr>
            <w:r w:rsidRPr="00F9657D">
              <w:rPr>
                <w:sz w:val="20"/>
                <w:szCs w:val="20"/>
                <w:lang w:eastAsia="sk-SK"/>
              </w:rPr>
              <w:t>-87 840</w:t>
            </w:r>
          </w:p>
        </w:tc>
        <w:tc>
          <w:tcPr>
            <w:tcW w:w="897" w:type="dxa"/>
            <w:tcBorders>
              <w:top w:val="nil"/>
              <w:left w:val="nil"/>
              <w:bottom w:val="nil"/>
              <w:right w:val="nil"/>
            </w:tcBorders>
            <w:shd w:val="clear" w:color="000000" w:fill="FFFFFF"/>
            <w:noWrap/>
            <w:vAlign w:val="center"/>
            <w:hideMark/>
          </w:tcPr>
          <w:p w14:paraId="2BF58454" w14:textId="77777777" w:rsidR="00F9657D" w:rsidRPr="00F9657D" w:rsidRDefault="00F9657D" w:rsidP="0008186C">
            <w:pPr>
              <w:spacing w:line="240" w:lineRule="auto"/>
              <w:jc w:val="center"/>
              <w:rPr>
                <w:sz w:val="20"/>
                <w:szCs w:val="20"/>
                <w:lang w:eastAsia="sk-SK"/>
              </w:rPr>
            </w:pPr>
            <w:r w:rsidRPr="00F9657D">
              <w:rPr>
                <w:sz w:val="20"/>
                <w:szCs w:val="20"/>
                <w:lang w:eastAsia="sk-SK"/>
              </w:rPr>
              <w:t>-0,098</w:t>
            </w:r>
          </w:p>
        </w:tc>
        <w:tc>
          <w:tcPr>
            <w:tcW w:w="3441" w:type="dxa"/>
            <w:tcBorders>
              <w:top w:val="nil"/>
              <w:left w:val="nil"/>
              <w:bottom w:val="nil"/>
              <w:right w:val="nil"/>
            </w:tcBorders>
            <w:shd w:val="clear" w:color="auto" w:fill="auto"/>
            <w:vAlign w:val="center"/>
            <w:hideMark/>
          </w:tcPr>
          <w:p w14:paraId="04E25D77" w14:textId="77777777" w:rsidR="00F9657D" w:rsidRPr="00F9657D" w:rsidRDefault="00F9657D" w:rsidP="0008186C">
            <w:pPr>
              <w:spacing w:line="240" w:lineRule="auto"/>
              <w:jc w:val="center"/>
              <w:rPr>
                <w:sz w:val="20"/>
                <w:szCs w:val="20"/>
                <w:lang w:eastAsia="sk-SK"/>
              </w:rPr>
            </w:pPr>
            <w:r w:rsidRPr="00F9657D">
              <w:rPr>
                <w:sz w:val="20"/>
                <w:szCs w:val="20"/>
                <w:lang w:eastAsia="sk-SK"/>
              </w:rPr>
              <w:t>nárast nových záväzkov voči Sociálnej poisťovni</w:t>
            </w:r>
            <w:r w:rsidRPr="00F9657D">
              <w:rPr>
                <w:sz w:val="20"/>
                <w:szCs w:val="20"/>
                <w:lang w:eastAsia="sk-SK"/>
              </w:rPr>
              <w:br/>
              <w:t xml:space="preserve"> - z dôvodu zmeny metodiky</w:t>
            </w:r>
          </w:p>
        </w:tc>
      </w:tr>
      <w:tr w:rsidR="00F9657D" w:rsidRPr="00F9657D" w14:paraId="06970721" w14:textId="77777777" w:rsidTr="00E815F4">
        <w:trPr>
          <w:trHeight w:val="792"/>
        </w:trPr>
        <w:tc>
          <w:tcPr>
            <w:tcW w:w="3574" w:type="dxa"/>
            <w:tcBorders>
              <w:top w:val="nil"/>
              <w:left w:val="nil"/>
              <w:bottom w:val="nil"/>
              <w:right w:val="nil"/>
            </w:tcBorders>
            <w:shd w:val="clear" w:color="auto" w:fill="auto"/>
            <w:vAlign w:val="center"/>
            <w:hideMark/>
          </w:tcPr>
          <w:p w14:paraId="55437962" w14:textId="396A5697" w:rsidR="00F9657D" w:rsidRPr="00F9657D" w:rsidRDefault="00F9657D" w:rsidP="0008186C">
            <w:pPr>
              <w:spacing w:line="240" w:lineRule="auto"/>
              <w:rPr>
                <w:sz w:val="20"/>
                <w:szCs w:val="20"/>
                <w:lang w:eastAsia="sk-SK"/>
              </w:rPr>
            </w:pPr>
            <w:r w:rsidRPr="00F9657D">
              <w:rPr>
                <w:sz w:val="20"/>
                <w:szCs w:val="20"/>
                <w:lang w:eastAsia="sk-SK"/>
              </w:rPr>
              <w:t xml:space="preserve">Vplyv oddlženia v </w:t>
            </w:r>
            <w:r w:rsidR="00851629" w:rsidRPr="00F9657D">
              <w:rPr>
                <w:sz w:val="20"/>
                <w:szCs w:val="20"/>
                <w:lang w:eastAsia="sk-SK"/>
              </w:rPr>
              <w:t>zdravotníckych</w:t>
            </w:r>
            <w:r w:rsidRPr="00F9657D">
              <w:rPr>
                <w:sz w:val="20"/>
                <w:szCs w:val="20"/>
                <w:lang w:eastAsia="sk-SK"/>
              </w:rPr>
              <w:t xml:space="preserve"> zariadeniach</w:t>
            </w:r>
          </w:p>
        </w:tc>
        <w:tc>
          <w:tcPr>
            <w:tcW w:w="1159" w:type="dxa"/>
            <w:tcBorders>
              <w:top w:val="nil"/>
              <w:left w:val="nil"/>
              <w:bottom w:val="nil"/>
              <w:right w:val="nil"/>
            </w:tcBorders>
            <w:shd w:val="clear" w:color="000000" w:fill="FFFFFF"/>
            <w:noWrap/>
            <w:vAlign w:val="center"/>
            <w:hideMark/>
          </w:tcPr>
          <w:p w14:paraId="189476CD" w14:textId="77777777" w:rsidR="00F9657D" w:rsidRPr="00F9657D" w:rsidRDefault="00F9657D" w:rsidP="0008186C">
            <w:pPr>
              <w:spacing w:line="240" w:lineRule="auto"/>
              <w:jc w:val="right"/>
              <w:rPr>
                <w:sz w:val="20"/>
                <w:szCs w:val="20"/>
                <w:lang w:eastAsia="sk-SK"/>
              </w:rPr>
            </w:pPr>
            <w:r w:rsidRPr="00F9657D">
              <w:rPr>
                <w:sz w:val="20"/>
                <w:szCs w:val="20"/>
                <w:lang w:eastAsia="sk-SK"/>
              </w:rPr>
              <w:t>205 990</w:t>
            </w:r>
          </w:p>
        </w:tc>
        <w:tc>
          <w:tcPr>
            <w:tcW w:w="897" w:type="dxa"/>
            <w:tcBorders>
              <w:top w:val="nil"/>
              <w:left w:val="nil"/>
              <w:bottom w:val="nil"/>
              <w:right w:val="nil"/>
            </w:tcBorders>
            <w:shd w:val="clear" w:color="000000" w:fill="FFFFFF"/>
            <w:noWrap/>
            <w:vAlign w:val="center"/>
            <w:hideMark/>
          </w:tcPr>
          <w:p w14:paraId="129E53EB" w14:textId="77777777" w:rsidR="00F9657D" w:rsidRPr="00F9657D" w:rsidRDefault="00F9657D" w:rsidP="0008186C">
            <w:pPr>
              <w:spacing w:line="240" w:lineRule="auto"/>
              <w:jc w:val="center"/>
              <w:rPr>
                <w:sz w:val="20"/>
                <w:szCs w:val="20"/>
                <w:lang w:eastAsia="sk-SK"/>
              </w:rPr>
            </w:pPr>
            <w:r w:rsidRPr="00F9657D">
              <w:rPr>
                <w:sz w:val="20"/>
                <w:szCs w:val="20"/>
                <w:lang w:eastAsia="sk-SK"/>
              </w:rPr>
              <w:t>0,230</w:t>
            </w:r>
          </w:p>
        </w:tc>
        <w:tc>
          <w:tcPr>
            <w:tcW w:w="3441" w:type="dxa"/>
            <w:tcBorders>
              <w:top w:val="nil"/>
              <w:left w:val="nil"/>
              <w:bottom w:val="nil"/>
              <w:right w:val="nil"/>
            </w:tcBorders>
            <w:shd w:val="clear" w:color="auto" w:fill="auto"/>
            <w:vAlign w:val="center"/>
            <w:hideMark/>
          </w:tcPr>
          <w:p w14:paraId="5F060FBF" w14:textId="77777777" w:rsidR="00F9657D" w:rsidRPr="00F9657D" w:rsidRDefault="00F9657D" w:rsidP="0008186C">
            <w:pPr>
              <w:spacing w:line="240" w:lineRule="auto"/>
              <w:jc w:val="center"/>
              <w:rPr>
                <w:sz w:val="20"/>
                <w:szCs w:val="20"/>
                <w:lang w:eastAsia="sk-SK"/>
              </w:rPr>
            </w:pPr>
            <w:r w:rsidRPr="00F9657D">
              <w:rPr>
                <w:sz w:val="20"/>
                <w:szCs w:val="20"/>
                <w:lang w:eastAsia="sk-SK"/>
              </w:rPr>
              <w:t>poníženie záväzkov z titulu oddlženia voči Sociálnej poisťovni</w:t>
            </w:r>
          </w:p>
        </w:tc>
      </w:tr>
      <w:tr w:rsidR="00F9657D" w:rsidRPr="00F9657D" w14:paraId="1D65F20F" w14:textId="77777777" w:rsidTr="00E815F4">
        <w:trPr>
          <w:trHeight w:val="540"/>
        </w:trPr>
        <w:tc>
          <w:tcPr>
            <w:tcW w:w="3574" w:type="dxa"/>
            <w:tcBorders>
              <w:top w:val="nil"/>
              <w:left w:val="nil"/>
              <w:bottom w:val="nil"/>
              <w:right w:val="nil"/>
            </w:tcBorders>
            <w:shd w:val="clear" w:color="000000" w:fill="FFFFFF"/>
            <w:noWrap/>
            <w:vAlign w:val="center"/>
            <w:hideMark/>
          </w:tcPr>
          <w:p w14:paraId="6AF93050" w14:textId="77777777" w:rsidR="00F9657D" w:rsidRPr="00F9657D" w:rsidRDefault="00F9657D" w:rsidP="0008186C">
            <w:pPr>
              <w:spacing w:line="240" w:lineRule="auto"/>
              <w:rPr>
                <w:sz w:val="20"/>
                <w:szCs w:val="20"/>
                <w:lang w:eastAsia="sk-SK"/>
              </w:rPr>
            </w:pPr>
            <w:r w:rsidRPr="00F9657D">
              <w:rPr>
                <w:sz w:val="20"/>
                <w:szCs w:val="20"/>
                <w:lang w:eastAsia="sk-SK"/>
              </w:rPr>
              <w:t>Príjmy z UMTS licencií</w:t>
            </w:r>
          </w:p>
        </w:tc>
        <w:tc>
          <w:tcPr>
            <w:tcW w:w="1159" w:type="dxa"/>
            <w:tcBorders>
              <w:top w:val="nil"/>
              <w:left w:val="nil"/>
              <w:bottom w:val="nil"/>
              <w:right w:val="nil"/>
            </w:tcBorders>
            <w:shd w:val="clear" w:color="000000" w:fill="FFFFFF"/>
            <w:noWrap/>
            <w:vAlign w:val="center"/>
            <w:hideMark/>
          </w:tcPr>
          <w:p w14:paraId="74BF5728" w14:textId="77777777" w:rsidR="00F9657D" w:rsidRPr="00F9657D" w:rsidRDefault="00F9657D" w:rsidP="0008186C">
            <w:pPr>
              <w:spacing w:line="240" w:lineRule="auto"/>
              <w:jc w:val="right"/>
              <w:rPr>
                <w:sz w:val="20"/>
                <w:szCs w:val="20"/>
                <w:lang w:eastAsia="sk-SK"/>
              </w:rPr>
            </w:pPr>
            <w:r w:rsidRPr="00F9657D">
              <w:rPr>
                <w:sz w:val="20"/>
                <w:szCs w:val="20"/>
                <w:lang w:eastAsia="sk-SK"/>
              </w:rPr>
              <w:t>19 273</w:t>
            </w:r>
          </w:p>
        </w:tc>
        <w:tc>
          <w:tcPr>
            <w:tcW w:w="897" w:type="dxa"/>
            <w:tcBorders>
              <w:top w:val="nil"/>
              <w:left w:val="nil"/>
              <w:bottom w:val="nil"/>
              <w:right w:val="nil"/>
            </w:tcBorders>
            <w:shd w:val="clear" w:color="000000" w:fill="FFFFFF"/>
            <w:noWrap/>
            <w:vAlign w:val="center"/>
            <w:hideMark/>
          </w:tcPr>
          <w:p w14:paraId="6B7FA186" w14:textId="77777777" w:rsidR="00F9657D" w:rsidRPr="00F9657D" w:rsidRDefault="00F9657D" w:rsidP="0008186C">
            <w:pPr>
              <w:spacing w:line="240" w:lineRule="auto"/>
              <w:jc w:val="center"/>
              <w:rPr>
                <w:sz w:val="20"/>
                <w:szCs w:val="20"/>
                <w:lang w:eastAsia="sk-SK"/>
              </w:rPr>
            </w:pPr>
            <w:r w:rsidRPr="00F9657D">
              <w:rPr>
                <w:sz w:val="20"/>
                <w:szCs w:val="20"/>
                <w:lang w:eastAsia="sk-SK"/>
              </w:rPr>
              <w:t>0,021</w:t>
            </w:r>
          </w:p>
        </w:tc>
        <w:tc>
          <w:tcPr>
            <w:tcW w:w="3441" w:type="dxa"/>
            <w:tcBorders>
              <w:top w:val="nil"/>
              <w:left w:val="nil"/>
              <w:bottom w:val="nil"/>
              <w:right w:val="nil"/>
            </w:tcBorders>
            <w:shd w:val="clear" w:color="auto" w:fill="auto"/>
            <w:vAlign w:val="bottom"/>
            <w:hideMark/>
          </w:tcPr>
          <w:p w14:paraId="1A648599" w14:textId="77777777" w:rsidR="00F9657D" w:rsidRPr="00F9657D" w:rsidRDefault="00F9657D" w:rsidP="0008186C">
            <w:pPr>
              <w:spacing w:line="240" w:lineRule="auto"/>
              <w:jc w:val="center"/>
              <w:rPr>
                <w:sz w:val="20"/>
                <w:szCs w:val="20"/>
                <w:lang w:eastAsia="sk-SK"/>
              </w:rPr>
            </w:pPr>
            <w:r w:rsidRPr="00F9657D">
              <w:rPr>
                <w:sz w:val="20"/>
                <w:szCs w:val="20"/>
                <w:lang w:eastAsia="sk-SK"/>
              </w:rPr>
              <w:t xml:space="preserve">metodická zmena - časové rozlíšenie príjmov </w:t>
            </w:r>
            <w:r w:rsidRPr="00F9657D">
              <w:rPr>
                <w:sz w:val="20"/>
                <w:szCs w:val="20"/>
                <w:lang w:eastAsia="sk-SK"/>
              </w:rPr>
              <w:br/>
              <w:t>z UMTS licencií</w:t>
            </w:r>
          </w:p>
        </w:tc>
      </w:tr>
      <w:tr w:rsidR="00F9657D" w:rsidRPr="00F9657D" w14:paraId="44A3ADF8" w14:textId="77777777" w:rsidTr="00E815F4">
        <w:trPr>
          <w:trHeight w:val="255"/>
        </w:trPr>
        <w:tc>
          <w:tcPr>
            <w:tcW w:w="5630" w:type="dxa"/>
            <w:gridSpan w:val="3"/>
            <w:tcBorders>
              <w:top w:val="nil"/>
              <w:left w:val="nil"/>
              <w:bottom w:val="nil"/>
              <w:right w:val="nil"/>
            </w:tcBorders>
            <w:shd w:val="clear" w:color="000000" w:fill="FFFFFF"/>
            <w:noWrap/>
            <w:vAlign w:val="center"/>
            <w:hideMark/>
          </w:tcPr>
          <w:p w14:paraId="6B03FB1E" w14:textId="7261DF2E" w:rsidR="00F9657D" w:rsidRPr="00F9657D" w:rsidRDefault="00F9657D" w:rsidP="0008186C">
            <w:pPr>
              <w:spacing w:line="240" w:lineRule="auto"/>
              <w:rPr>
                <w:b/>
                <w:bCs/>
                <w:sz w:val="20"/>
                <w:szCs w:val="20"/>
                <w:lang w:eastAsia="sk-SK"/>
              </w:rPr>
            </w:pPr>
            <w:r w:rsidRPr="00F9657D">
              <w:rPr>
                <w:b/>
                <w:bCs/>
                <w:sz w:val="20"/>
                <w:szCs w:val="20"/>
                <w:lang w:eastAsia="sk-SK"/>
              </w:rPr>
              <w:t>Úpravy schodku oproti aprílu 2019 z dôvodu rutinnej revízie:</w:t>
            </w:r>
          </w:p>
        </w:tc>
        <w:tc>
          <w:tcPr>
            <w:tcW w:w="3441" w:type="dxa"/>
            <w:tcBorders>
              <w:top w:val="nil"/>
              <w:left w:val="nil"/>
              <w:bottom w:val="nil"/>
              <w:right w:val="nil"/>
            </w:tcBorders>
            <w:shd w:val="clear" w:color="000000" w:fill="FFFFFF"/>
            <w:vAlign w:val="center"/>
            <w:hideMark/>
          </w:tcPr>
          <w:p w14:paraId="12C5ADA7" w14:textId="77777777" w:rsidR="00F9657D" w:rsidRPr="00F9657D" w:rsidRDefault="00F9657D" w:rsidP="0008186C">
            <w:pPr>
              <w:spacing w:line="240" w:lineRule="auto"/>
              <w:jc w:val="center"/>
              <w:rPr>
                <w:sz w:val="20"/>
                <w:szCs w:val="20"/>
                <w:lang w:eastAsia="sk-SK"/>
              </w:rPr>
            </w:pPr>
            <w:r w:rsidRPr="00F9657D">
              <w:rPr>
                <w:sz w:val="20"/>
                <w:szCs w:val="20"/>
                <w:lang w:eastAsia="sk-SK"/>
              </w:rPr>
              <w:t> </w:t>
            </w:r>
          </w:p>
        </w:tc>
      </w:tr>
      <w:tr w:rsidR="00F9657D" w:rsidRPr="00F9657D" w14:paraId="3001EAC4" w14:textId="77777777" w:rsidTr="00E815F4">
        <w:trPr>
          <w:trHeight w:val="540"/>
        </w:trPr>
        <w:tc>
          <w:tcPr>
            <w:tcW w:w="3574" w:type="dxa"/>
            <w:tcBorders>
              <w:top w:val="nil"/>
              <w:left w:val="nil"/>
              <w:bottom w:val="nil"/>
              <w:right w:val="nil"/>
            </w:tcBorders>
            <w:shd w:val="clear" w:color="000000" w:fill="FFFFFF"/>
            <w:noWrap/>
            <w:vAlign w:val="center"/>
            <w:hideMark/>
          </w:tcPr>
          <w:p w14:paraId="5655D5D0" w14:textId="77777777" w:rsidR="00F9657D" w:rsidRPr="00F9657D" w:rsidRDefault="00F9657D" w:rsidP="0008186C">
            <w:pPr>
              <w:spacing w:line="240" w:lineRule="auto"/>
              <w:rPr>
                <w:sz w:val="20"/>
                <w:szCs w:val="20"/>
                <w:lang w:eastAsia="sk-SK"/>
              </w:rPr>
            </w:pPr>
            <w:r w:rsidRPr="00F9657D">
              <w:rPr>
                <w:sz w:val="20"/>
                <w:szCs w:val="20"/>
                <w:lang w:eastAsia="sk-SK"/>
              </w:rPr>
              <w:t>Výdavky na mzdy štátnych RO</w:t>
            </w:r>
          </w:p>
        </w:tc>
        <w:tc>
          <w:tcPr>
            <w:tcW w:w="1159" w:type="dxa"/>
            <w:tcBorders>
              <w:top w:val="nil"/>
              <w:left w:val="nil"/>
              <w:bottom w:val="nil"/>
              <w:right w:val="nil"/>
            </w:tcBorders>
            <w:shd w:val="clear" w:color="000000" w:fill="FFFFFF"/>
            <w:noWrap/>
            <w:vAlign w:val="center"/>
            <w:hideMark/>
          </w:tcPr>
          <w:p w14:paraId="35F87AC8" w14:textId="77777777" w:rsidR="00F9657D" w:rsidRPr="00F9657D" w:rsidRDefault="00F9657D" w:rsidP="0008186C">
            <w:pPr>
              <w:spacing w:line="240" w:lineRule="auto"/>
              <w:jc w:val="right"/>
              <w:rPr>
                <w:sz w:val="20"/>
                <w:szCs w:val="20"/>
                <w:lang w:eastAsia="sk-SK"/>
              </w:rPr>
            </w:pPr>
            <w:r w:rsidRPr="00F9657D">
              <w:rPr>
                <w:sz w:val="20"/>
                <w:szCs w:val="20"/>
                <w:lang w:eastAsia="sk-SK"/>
              </w:rPr>
              <w:t>-214 840</w:t>
            </w:r>
          </w:p>
        </w:tc>
        <w:tc>
          <w:tcPr>
            <w:tcW w:w="897" w:type="dxa"/>
            <w:tcBorders>
              <w:top w:val="nil"/>
              <w:left w:val="nil"/>
              <w:bottom w:val="nil"/>
              <w:right w:val="nil"/>
            </w:tcBorders>
            <w:shd w:val="clear" w:color="000000" w:fill="FFFFFF"/>
            <w:noWrap/>
            <w:vAlign w:val="center"/>
            <w:hideMark/>
          </w:tcPr>
          <w:p w14:paraId="188B2BEA" w14:textId="77777777" w:rsidR="00F9657D" w:rsidRPr="00F9657D" w:rsidRDefault="00F9657D" w:rsidP="0008186C">
            <w:pPr>
              <w:spacing w:line="240" w:lineRule="auto"/>
              <w:jc w:val="center"/>
              <w:rPr>
                <w:sz w:val="20"/>
                <w:szCs w:val="20"/>
                <w:lang w:eastAsia="sk-SK"/>
              </w:rPr>
            </w:pPr>
            <w:r w:rsidRPr="00F9657D">
              <w:rPr>
                <w:sz w:val="20"/>
                <w:szCs w:val="20"/>
                <w:lang w:eastAsia="sk-SK"/>
              </w:rPr>
              <w:t>-0,239</w:t>
            </w:r>
          </w:p>
        </w:tc>
        <w:tc>
          <w:tcPr>
            <w:tcW w:w="3441" w:type="dxa"/>
            <w:tcBorders>
              <w:top w:val="nil"/>
              <w:left w:val="nil"/>
              <w:bottom w:val="nil"/>
              <w:right w:val="nil"/>
            </w:tcBorders>
            <w:shd w:val="clear" w:color="000000" w:fill="FFFFFF"/>
            <w:vAlign w:val="center"/>
            <w:hideMark/>
          </w:tcPr>
          <w:p w14:paraId="2E208102" w14:textId="77777777" w:rsidR="00F9657D" w:rsidRPr="00F9657D" w:rsidRDefault="00F9657D" w:rsidP="0008186C">
            <w:pPr>
              <w:spacing w:line="240" w:lineRule="auto"/>
              <w:jc w:val="center"/>
              <w:rPr>
                <w:sz w:val="20"/>
                <w:szCs w:val="20"/>
                <w:lang w:eastAsia="sk-SK"/>
              </w:rPr>
            </w:pPr>
            <w:r w:rsidRPr="00F9657D">
              <w:rPr>
                <w:sz w:val="20"/>
                <w:szCs w:val="20"/>
                <w:lang w:eastAsia="sk-SK"/>
              </w:rPr>
              <w:t>revízia výdavkov na mzdy po zmene rozpočtových pravidiel v r. 2018</w:t>
            </w:r>
          </w:p>
        </w:tc>
      </w:tr>
      <w:tr w:rsidR="00F9657D" w:rsidRPr="00F9657D" w14:paraId="6B301C14" w14:textId="77777777" w:rsidTr="00E815F4">
        <w:trPr>
          <w:trHeight w:val="540"/>
        </w:trPr>
        <w:tc>
          <w:tcPr>
            <w:tcW w:w="3574" w:type="dxa"/>
            <w:tcBorders>
              <w:top w:val="nil"/>
              <w:left w:val="nil"/>
              <w:bottom w:val="nil"/>
              <w:right w:val="nil"/>
            </w:tcBorders>
            <w:shd w:val="clear" w:color="000000" w:fill="FFFFFF"/>
            <w:noWrap/>
            <w:vAlign w:val="center"/>
            <w:hideMark/>
          </w:tcPr>
          <w:p w14:paraId="54982E27" w14:textId="77777777" w:rsidR="00F9657D" w:rsidRPr="00F9657D" w:rsidRDefault="00F9657D" w:rsidP="0008186C">
            <w:pPr>
              <w:spacing w:line="240" w:lineRule="auto"/>
              <w:rPr>
                <w:sz w:val="20"/>
                <w:szCs w:val="20"/>
                <w:lang w:eastAsia="sk-SK"/>
              </w:rPr>
            </w:pPr>
            <w:r w:rsidRPr="00F9657D">
              <w:rPr>
                <w:sz w:val="20"/>
                <w:szCs w:val="20"/>
                <w:lang w:eastAsia="sk-SK"/>
              </w:rPr>
              <w:t>Daňové a odvodové príjmy</w:t>
            </w:r>
          </w:p>
        </w:tc>
        <w:tc>
          <w:tcPr>
            <w:tcW w:w="1159" w:type="dxa"/>
            <w:tcBorders>
              <w:top w:val="nil"/>
              <w:left w:val="nil"/>
              <w:bottom w:val="nil"/>
              <w:right w:val="nil"/>
            </w:tcBorders>
            <w:shd w:val="clear" w:color="000000" w:fill="FFFFFF"/>
            <w:noWrap/>
            <w:vAlign w:val="center"/>
            <w:hideMark/>
          </w:tcPr>
          <w:p w14:paraId="6D2F7CE9" w14:textId="77777777" w:rsidR="00F9657D" w:rsidRPr="00F9657D" w:rsidRDefault="00F9657D" w:rsidP="0008186C">
            <w:pPr>
              <w:spacing w:line="240" w:lineRule="auto"/>
              <w:jc w:val="right"/>
              <w:rPr>
                <w:sz w:val="20"/>
                <w:szCs w:val="20"/>
                <w:lang w:eastAsia="sk-SK"/>
              </w:rPr>
            </w:pPr>
            <w:r w:rsidRPr="00F9657D">
              <w:rPr>
                <w:sz w:val="20"/>
                <w:szCs w:val="20"/>
                <w:lang w:eastAsia="sk-SK"/>
              </w:rPr>
              <w:t>36 111</w:t>
            </w:r>
          </w:p>
        </w:tc>
        <w:tc>
          <w:tcPr>
            <w:tcW w:w="897" w:type="dxa"/>
            <w:tcBorders>
              <w:top w:val="nil"/>
              <w:left w:val="nil"/>
              <w:bottom w:val="nil"/>
              <w:right w:val="nil"/>
            </w:tcBorders>
            <w:shd w:val="clear" w:color="000000" w:fill="FFFFFF"/>
            <w:noWrap/>
            <w:vAlign w:val="center"/>
            <w:hideMark/>
          </w:tcPr>
          <w:p w14:paraId="51D7E251" w14:textId="77777777" w:rsidR="00F9657D" w:rsidRPr="00F9657D" w:rsidRDefault="00F9657D" w:rsidP="0008186C">
            <w:pPr>
              <w:spacing w:line="240" w:lineRule="auto"/>
              <w:jc w:val="center"/>
              <w:rPr>
                <w:sz w:val="20"/>
                <w:szCs w:val="20"/>
                <w:lang w:eastAsia="sk-SK"/>
              </w:rPr>
            </w:pPr>
            <w:r w:rsidRPr="00F9657D">
              <w:rPr>
                <w:sz w:val="20"/>
                <w:szCs w:val="20"/>
                <w:lang w:eastAsia="sk-SK"/>
              </w:rPr>
              <w:t>0,040</w:t>
            </w:r>
          </w:p>
        </w:tc>
        <w:tc>
          <w:tcPr>
            <w:tcW w:w="3441" w:type="dxa"/>
            <w:tcBorders>
              <w:top w:val="nil"/>
              <w:left w:val="nil"/>
              <w:bottom w:val="nil"/>
              <w:right w:val="nil"/>
            </w:tcBorders>
            <w:shd w:val="clear" w:color="000000" w:fill="FFFFFF"/>
            <w:vAlign w:val="center"/>
            <w:hideMark/>
          </w:tcPr>
          <w:p w14:paraId="62121803" w14:textId="77777777" w:rsidR="00F9657D" w:rsidRPr="00F9657D" w:rsidRDefault="00F9657D" w:rsidP="0008186C">
            <w:pPr>
              <w:spacing w:line="240" w:lineRule="auto"/>
              <w:jc w:val="center"/>
              <w:rPr>
                <w:sz w:val="20"/>
                <w:szCs w:val="20"/>
                <w:lang w:eastAsia="sk-SK"/>
              </w:rPr>
            </w:pPr>
            <w:r w:rsidRPr="00F9657D">
              <w:rPr>
                <w:sz w:val="20"/>
                <w:szCs w:val="20"/>
                <w:lang w:eastAsia="sk-SK"/>
              </w:rPr>
              <w:t>aktualizácia z daňových priznaní</w:t>
            </w:r>
          </w:p>
        </w:tc>
      </w:tr>
      <w:tr w:rsidR="00F9657D" w:rsidRPr="00F9657D" w14:paraId="0AEE5FA3" w14:textId="77777777" w:rsidTr="00E815F4">
        <w:trPr>
          <w:trHeight w:val="540"/>
        </w:trPr>
        <w:tc>
          <w:tcPr>
            <w:tcW w:w="3574" w:type="dxa"/>
            <w:tcBorders>
              <w:top w:val="nil"/>
              <w:left w:val="nil"/>
              <w:bottom w:val="nil"/>
              <w:right w:val="nil"/>
            </w:tcBorders>
            <w:shd w:val="clear" w:color="000000" w:fill="FFFFFF"/>
            <w:noWrap/>
            <w:vAlign w:val="center"/>
            <w:hideMark/>
          </w:tcPr>
          <w:p w14:paraId="2FB2282C" w14:textId="77777777" w:rsidR="00F9657D" w:rsidRPr="00F9657D" w:rsidRDefault="00F9657D" w:rsidP="0008186C">
            <w:pPr>
              <w:spacing w:line="240" w:lineRule="auto"/>
              <w:rPr>
                <w:sz w:val="20"/>
                <w:szCs w:val="20"/>
                <w:lang w:eastAsia="sk-SK"/>
              </w:rPr>
            </w:pPr>
            <w:r w:rsidRPr="00F9657D">
              <w:rPr>
                <w:sz w:val="20"/>
                <w:szCs w:val="20"/>
                <w:lang w:eastAsia="sk-SK"/>
              </w:rPr>
              <w:t>Vylúčenie záväzkov z EÚ zdroja</w:t>
            </w:r>
          </w:p>
        </w:tc>
        <w:tc>
          <w:tcPr>
            <w:tcW w:w="1159" w:type="dxa"/>
            <w:tcBorders>
              <w:top w:val="nil"/>
              <w:left w:val="nil"/>
              <w:bottom w:val="nil"/>
              <w:right w:val="nil"/>
            </w:tcBorders>
            <w:shd w:val="clear" w:color="000000" w:fill="FFFFFF"/>
            <w:noWrap/>
            <w:vAlign w:val="center"/>
            <w:hideMark/>
          </w:tcPr>
          <w:p w14:paraId="60BBF207" w14:textId="77777777" w:rsidR="00F9657D" w:rsidRPr="00F9657D" w:rsidRDefault="00F9657D" w:rsidP="0008186C">
            <w:pPr>
              <w:spacing w:line="240" w:lineRule="auto"/>
              <w:jc w:val="right"/>
              <w:rPr>
                <w:sz w:val="20"/>
                <w:szCs w:val="20"/>
                <w:lang w:eastAsia="sk-SK"/>
              </w:rPr>
            </w:pPr>
            <w:r w:rsidRPr="00F9657D">
              <w:rPr>
                <w:sz w:val="20"/>
                <w:szCs w:val="20"/>
                <w:lang w:eastAsia="sk-SK"/>
              </w:rPr>
              <w:t>15 354</w:t>
            </w:r>
          </w:p>
        </w:tc>
        <w:tc>
          <w:tcPr>
            <w:tcW w:w="897" w:type="dxa"/>
            <w:tcBorders>
              <w:top w:val="nil"/>
              <w:left w:val="nil"/>
              <w:bottom w:val="nil"/>
              <w:right w:val="nil"/>
            </w:tcBorders>
            <w:shd w:val="clear" w:color="000000" w:fill="FFFFFF"/>
            <w:noWrap/>
            <w:vAlign w:val="center"/>
            <w:hideMark/>
          </w:tcPr>
          <w:p w14:paraId="2540F2C7" w14:textId="77777777" w:rsidR="00F9657D" w:rsidRPr="00F9657D" w:rsidRDefault="00F9657D" w:rsidP="0008186C">
            <w:pPr>
              <w:spacing w:line="240" w:lineRule="auto"/>
              <w:jc w:val="center"/>
              <w:rPr>
                <w:sz w:val="20"/>
                <w:szCs w:val="20"/>
                <w:lang w:eastAsia="sk-SK"/>
              </w:rPr>
            </w:pPr>
            <w:r w:rsidRPr="00F9657D">
              <w:rPr>
                <w:sz w:val="20"/>
                <w:szCs w:val="20"/>
                <w:lang w:eastAsia="sk-SK"/>
              </w:rPr>
              <w:t>0,017</w:t>
            </w:r>
          </w:p>
        </w:tc>
        <w:tc>
          <w:tcPr>
            <w:tcW w:w="3441" w:type="dxa"/>
            <w:tcBorders>
              <w:top w:val="nil"/>
              <w:left w:val="nil"/>
              <w:bottom w:val="nil"/>
              <w:right w:val="nil"/>
            </w:tcBorders>
            <w:shd w:val="clear" w:color="000000" w:fill="FFFFFF"/>
            <w:vAlign w:val="center"/>
            <w:hideMark/>
          </w:tcPr>
          <w:p w14:paraId="47AE75EA" w14:textId="77777777" w:rsidR="00F9657D" w:rsidRPr="00F9657D" w:rsidRDefault="00F9657D" w:rsidP="0008186C">
            <w:pPr>
              <w:spacing w:line="240" w:lineRule="auto"/>
              <w:jc w:val="center"/>
              <w:rPr>
                <w:sz w:val="20"/>
                <w:szCs w:val="20"/>
                <w:lang w:eastAsia="sk-SK"/>
              </w:rPr>
            </w:pPr>
            <w:r w:rsidRPr="00F9657D">
              <w:rPr>
                <w:sz w:val="20"/>
                <w:szCs w:val="20"/>
                <w:lang w:eastAsia="sk-SK"/>
              </w:rPr>
              <w:t>aktualizácia hodnoty vylúčených záväzkov z EÚ zdroja</w:t>
            </w:r>
          </w:p>
        </w:tc>
      </w:tr>
      <w:tr w:rsidR="00F9657D" w:rsidRPr="00F9657D" w14:paraId="3D3A42CD" w14:textId="77777777" w:rsidTr="00E815F4">
        <w:trPr>
          <w:trHeight w:val="810"/>
        </w:trPr>
        <w:tc>
          <w:tcPr>
            <w:tcW w:w="3574" w:type="dxa"/>
            <w:tcBorders>
              <w:top w:val="nil"/>
              <w:left w:val="nil"/>
              <w:bottom w:val="nil"/>
              <w:right w:val="nil"/>
            </w:tcBorders>
            <w:shd w:val="clear" w:color="000000" w:fill="FFFFFF"/>
            <w:noWrap/>
            <w:vAlign w:val="center"/>
            <w:hideMark/>
          </w:tcPr>
          <w:p w14:paraId="75D7AA95" w14:textId="77777777" w:rsidR="00F9657D" w:rsidRPr="00F9657D" w:rsidRDefault="00F9657D" w:rsidP="0008186C">
            <w:pPr>
              <w:spacing w:line="240" w:lineRule="auto"/>
              <w:rPr>
                <w:sz w:val="20"/>
                <w:szCs w:val="20"/>
                <w:lang w:eastAsia="sk-SK"/>
              </w:rPr>
            </w:pPr>
            <w:r w:rsidRPr="00F9657D">
              <w:rPr>
                <w:sz w:val="20"/>
                <w:szCs w:val="20"/>
                <w:lang w:eastAsia="sk-SK"/>
              </w:rPr>
              <w:t>Ostatné úpravy</w:t>
            </w:r>
          </w:p>
        </w:tc>
        <w:tc>
          <w:tcPr>
            <w:tcW w:w="1159" w:type="dxa"/>
            <w:tcBorders>
              <w:top w:val="nil"/>
              <w:left w:val="nil"/>
              <w:bottom w:val="nil"/>
              <w:right w:val="nil"/>
            </w:tcBorders>
            <w:shd w:val="clear" w:color="000000" w:fill="FFFFFF"/>
            <w:noWrap/>
            <w:vAlign w:val="center"/>
            <w:hideMark/>
          </w:tcPr>
          <w:p w14:paraId="6DB80312" w14:textId="77777777" w:rsidR="00F9657D" w:rsidRPr="00F9657D" w:rsidRDefault="00F9657D" w:rsidP="0008186C">
            <w:pPr>
              <w:spacing w:line="240" w:lineRule="auto"/>
              <w:jc w:val="right"/>
              <w:rPr>
                <w:sz w:val="20"/>
                <w:szCs w:val="20"/>
                <w:lang w:eastAsia="sk-SK"/>
              </w:rPr>
            </w:pPr>
            <w:r w:rsidRPr="00F9657D">
              <w:rPr>
                <w:sz w:val="20"/>
                <w:szCs w:val="20"/>
                <w:lang w:eastAsia="sk-SK"/>
              </w:rPr>
              <w:t>-62</w:t>
            </w:r>
          </w:p>
        </w:tc>
        <w:tc>
          <w:tcPr>
            <w:tcW w:w="897" w:type="dxa"/>
            <w:tcBorders>
              <w:top w:val="nil"/>
              <w:left w:val="nil"/>
              <w:bottom w:val="nil"/>
              <w:right w:val="nil"/>
            </w:tcBorders>
            <w:shd w:val="clear" w:color="000000" w:fill="FFFFFF"/>
            <w:noWrap/>
            <w:vAlign w:val="center"/>
            <w:hideMark/>
          </w:tcPr>
          <w:p w14:paraId="475ACDF0" w14:textId="77777777" w:rsidR="00F9657D" w:rsidRPr="00F9657D" w:rsidRDefault="00F9657D" w:rsidP="0008186C">
            <w:pPr>
              <w:spacing w:line="240" w:lineRule="auto"/>
              <w:jc w:val="center"/>
              <w:rPr>
                <w:sz w:val="20"/>
                <w:szCs w:val="20"/>
                <w:lang w:eastAsia="sk-SK"/>
              </w:rPr>
            </w:pPr>
            <w:r w:rsidRPr="00F9657D">
              <w:rPr>
                <w:sz w:val="20"/>
                <w:szCs w:val="20"/>
                <w:lang w:eastAsia="sk-SK"/>
              </w:rPr>
              <w:t>0,000</w:t>
            </w:r>
          </w:p>
        </w:tc>
        <w:tc>
          <w:tcPr>
            <w:tcW w:w="3441" w:type="dxa"/>
            <w:tcBorders>
              <w:top w:val="nil"/>
              <w:left w:val="nil"/>
              <w:bottom w:val="nil"/>
              <w:right w:val="nil"/>
            </w:tcBorders>
            <w:shd w:val="clear" w:color="000000" w:fill="FFFFFF"/>
            <w:vAlign w:val="center"/>
            <w:hideMark/>
          </w:tcPr>
          <w:p w14:paraId="019B4888" w14:textId="77777777" w:rsidR="00F9657D" w:rsidRPr="00F9657D" w:rsidRDefault="00F9657D" w:rsidP="0008186C">
            <w:pPr>
              <w:spacing w:line="240" w:lineRule="auto"/>
              <w:jc w:val="center"/>
              <w:rPr>
                <w:sz w:val="20"/>
                <w:szCs w:val="20"/>
                <w:lang w:eastAsia="sk-SK"/>
              </w:rPr>
            </w:pPr>
            <w:r w:rsidRPr="00F9657D">
              <w:rPr>
                <w:sz w:val="20"/>
                <w:szCs w:val="20"/>
                <w:lang w:eastAsia="sk-SK"/>
              </w:rPr>
              <w:t>aktualizácie stavov v súvahe, imputácia investičných dôchodkov držiteľov poistiek, revízia EFSF</w:t>
            </w:r>
          </w:p>
        </w:tc>
      </w:tr>
      <w:tr w:rsidR="00F9657D" w:rsidRPr="00F9657D" w14:paraId="530948C1" w14:textId="77777777" w:rsidTr="00F240C9">
        <w:trPr>
          <w:trHeight w:val="255"/>
        </w:trPr>
        <w:tc>
          <w:tcPr>
            <w:tcW w:w="3574" w:type="dxa"/>
            <w:tcBorders>
              <w:top w:val="single" w:sz="4" w:space="0" w:color="auto"/>
              <w:left w:val="nil"/>
              <w:bottom w:val="single" w:sz="4" w:space="0" w:color="auto"/>
              <w:right w:val="nil"/>
            </w:tcBorders>
            <w:shd w:val="clear" w:color="auto" w:fill="BFBFBF" w:themeFill="background1" w:themeFillShade="BF"/>
            <w:vAlign w:val="center"/>
            <w:hideMark/>
          </w:tcPr>
          <w:p w14:paraId="7F21918E" w14:textId="77777777" w:rsidR="00F9657D" w:rsidRPr="00AA01D7" w:rsidRDefault="00F9657D" w:rsidP="00F9657D">
            <w:pPr>
              <w:spacing w:after="0" w:line="240" w:lineRule="auto"/>
              <w:rPr>
                <w:b/>
                <w:bCs/>
                <w:sz w:val="20"/>
                <w:szCs w:val="20"/>
                <w:lang w:eastAsia="sk-SK"/>
              </w:rPr>
            </w:pPr>
            <w:r w:rsidRPr="00AA01D7">
              <w:rPr>
                <w:b/>
                <w:bCs/>
                <w:sz w:val="20"/>
                <w:szCs w:val="20"/>
                <w:lang w:eastAsia="sk-SK"/>
              </w:rPr>
              <w:t>Schodok VS - október 2019</w:t>
            </w:r>
          </w:p>
        </w:tc>
        <w:tc>
          <w:tcPr>
            <w:tcW w:w="1159" w:type="dxa"/>
            <w:tcBorders>
              <w:top w:val="single" w:sz="4" w:space="0" w:color="auto"/>
              <w:left w:val="nil"/>
              <w:bottom w:val="single" w:sz="4" w:space="0" w:color="auto"/>
              <w:right w:val="nil"/>
            </w:tcBorders>
            <w:shd w:val="clear" w:color="auto" w:fill="BFBFBF" w:themeFill="background1" w:themeFillShade="BF"/>
            <w:vAlign w:val="center"/>
            <w:hideMark/>
          </w:tcPr>
          <w:p w14:paraId="45D9ED25" w14:textId="77777777" w:rsidR="00F9657D" w:rsidRPr="00AA01D7" w:rsidRDefault="00F9657D" w:rsidP="00F9657D">
            <w:pPr>
              <w:spacing w:after="0" w:line="240" w:lineRule="auto"/>
              <w:jc w:val="right"/>
              <w:rPr>
                <w:b/>
                <w:bCs/>
                <w:sz w:val="20"/>
                <w:szCs w:val="20"/>
                <w:lang w:eastAsia="sk-SK"/>
              </w:rPr>
            </w:pPr>
            <w:r w:rsidRPr="00AA01D7">
              <w:rPr>
                <w:b/>
                <w:bCs/>
                <w:sz w:val="20"/>
                <w:szCs w:val="20"/>
                <w:lang w:eastAsia="sk-SK"/>
              </w:rPr>
              <w:t>-951 204</w:t>
            </w:r>
          </w:p>
        </w:tc>
        <w:tc>
          <w:tcPr>
            <w:tcW w:w="897" w:type="dxa"/>
            <w:tcBorders>
              <w:top w:val="single" w:sz="4" w:space="0" w:color="auto"/>
              <w:left w:val="nil"/>
              <w:bottom w:val="single" w:sz="4" w:space="0" w:color="auto"/>
              <w:right w:val="nil"/>
            </w:tcBorders>
            <w:shd w:val="clear" w:color="auto" w:fill="BFBFBF" w:themeFill="background1" w:themeFillShade="BF"/>
            <w:vAlign w:val="center"/>
            <w:hideMark/>
          </w:tcPr>
          <w:p w14:paraId="546B8852" w14:textId="77777777" w:rsidR="00F9657D" w:rsidRPr="00F9657D" w:rsidRDefault="00F9657D" w:rsidP="00F9657D">
            <w:pPr>
              <w:spacing w:after="0" w:line="240" w:lineRule="auto"/>
              <w:jc w:val="center"/>
              <w:rPr>
                <w:b/>
                <w:bCs/>
                <w:sz w:val="20"/>
                <w:szCs w:val="20"/>
                <w:lang w:eastAsia="sk-SK"/>
              </w:rPr>
            </w:pPr>
            <w:r w:rsidRPr="00AA01D7">
              <w:rPr>
                <w:b/>
                <w:bCs/>
                <w:sz w:val="20"/>
                <w:szCs w:val="20"/>
                <w:lang w:eastAsia="sk-SK"/>
              </w:rPr>
              <w:t>-1,060</w:t>
            </w:r>
          </w:p>
        </w:tc>
        <w:tc>
          <w:tcPr>
            <w:tcW w:w="3441" w:type="dxa"/>
            <w:tcBorders>
              <w:top w:val="single" w:sz="4" w:space="0" w:color="auto"/>
              <w:left w:val="nil"/>
              <w:bottom w:val="single" w:sz="4" w:space="0" w:color="auto"/>
              <w:right w:val="nil"/>
            </w:tcBorders>
            <w:shd w:val="clear" w:color="auto" w:fill="BFBFBF" w:themeFill="background1" w:themeFillShade="BF"/>
            <w:vAlign w:val="center"/>
            <w:hideMark/>
          </w:tcPr>
          <w:p w14:paraId="3C599080" w14:textId="77777777" w:rsidR="00F9657D" w:rsidRPr="00F9657D" w:rsidRDefault="00F9657D" w:rsidP="00F9657D">
            <w:pPr>
              <w:spacing w:after="0" w:line="240" w:lineRule="auto"/>
              <w:jc w:val="center"/>
              <w:rPr>
                <w:b/>
                <w:bCs/>
                <w:sz w:val="20"/>
                <w:szCs w:val="20"/>
                <w:lang w:eastAsia="sk-SK"/>
              </w:rPr>
            </w:pPr>
            <w:r w:rsidRPr="00F9657D">
              <w:rPr>
                <w:b/>
                <w:bCs/>
                <w:sz w:val="20"/>
                <w:szCs w:val="20"/>
                <w:lang w:eastAsia="sk-SK"/>
              </w:rPr>
              <w:t> </w:t>
            </w:r>
          </w:p>
        </w:tc>
      </w:tr>
      <w:tr w:rsidR="00F9657D" w:rsidRPr="00F9657D" w14:paraId="68EE4515" w14:textId="77777777" w:rsidTr="00E815F4">
        <w:trPr>
          <w:trHeight w:val="255"/>
        </w:trPr>
        <w:tc>
          <w:tcPr>
            <w:tcW w:w="3574" w:type="dxa"/>
            <w:tcBorders>
              <w:top w:val="nil"/>
              <w:left w:val="nil"/>
              <w:bottom w:val="nil"/>
              <w:right w:val="nil"/>
            </w:tcBorders>
            <w:shd w:val="clear" w:color="auto" w:fill="auto"/>
            <w:noWrap/>
            <w:vAlign w:val="bottom"/>
            <w:hideMark/>
          </w:tcPr>
          <w:p w14:paraId="2638EE2E" w14:textId="77777777" w:rsidR="00F9657D" w:rsidRPr="00F9657D" w:rsidRDefault="00F9657D" w:rsidP="00F9657D">
            <w:pPr>
              <w:spacing w:after="0" w:line="240" w:lineRule="auto"/>
              <w:jc w:val="center"/>
              <w:rPr>
                <w:b/>
                <w:bCs/>
                <w:sz w:val="20"/>
                <w:szCs w:val="20"/>
                <w:lang w:eastAsia="sk-SK"/>
              </w:rPr>
            </w:pPr>
          </w:p>
        </w:tc>
        <w:tc>
          <w:tcPr>
            <w:tcW w:w="1159" w:type="dxa"/>
            <w:tcBorders>
              <w:top w:val="nil"/>
              <w:left w:val="nil"/>
              <w:bottom w:val="nil"/>
              <w:right w:val="nil"/>
            </w:tcBorders>
            <w:shd w:val="clear" w:color="auto" w:fill="auto"/>
            <w:noWrap/>
            <w:vAlign w:val="bottom"/>
            <w:hideMark/>
          </w:tcPr>
          <w:p w14:paraId="71161AEC" w14:textId="77777777" w:rsidR="00F9657D" w:rsidRPr="00F9657D" w:rsidRDefault="00F9657D" w:rsidP="00F9657D">
            <w:pPr>
              <w:spacing w:after="0" w:line="240" w:lineRule="auto"/>
              <w:rPr>
                <w:sz w:val="20"/>
                <w:szCs w:val="20"/>
                <w:lang w:eastAsia="sk-SK"/>
              </w:rPr>
            </w:pPr>
          </w:p>
        </w:tc>
        <w:tc>
          <w:tcPr>
            <w:tcW w:w="897" w:type="dxa"/>
            <w:tcBorders>
              <w:top w:val="nil"/>
              <w:left w:val="nil"/>
              <w:bottom w:val="nil"/>
              <w:right w:val="nil"/>
            </w:tcBorders>
            <w:shd w:val="clear" w:color="auto" w:fill="auto"/>
            <w:noWrap/>
            <w:vAlign w:val="bottom"/>
            <w:hideMark/>
          </w:tcPr>
          <w:p w14:paraId="7813C31F" w14:textId="77777777" w:rsidR="00F9657D" w:rsidRPr="00F9657D" w:rsidRDefault="00F9657D" w:rsidP="00F9657D">
            <w:pPr>
              <w:spacing w:after="0" w:line="240" w:lineRule="auto"/>
              <w:rPr>
                <w:sz w:val="20"/>
                <w:szCs w:val="20"/>
                <w:lang w:eastAsia="sk-SK"/>
              </w:rPr>
            </w:pPr>
          </w:p>
        </w:tc>
        <w:tc>
          <w:tcPr>
            <w:tcW w:w="3441" w:type="dxa"/>
            <w:tcBorders>
              <w:top w:val="nil"/>
              <w:left w:val="nil"/>
              <w:bottom w:val="nil"/>
              <w:right w:val="nil"/>
            </w:tcBorders>
            <w:shd w:val="clear" w:color="auto" w:fill="auto"/>
            <w:hideMark/>
          </w:tcPr>
          <w:p w14:paraId="293171FA" w14:textId="77777777" w:rsidR="00F9657D" w:rsidRPr="00C90207" w:rsidRDefault="00F9657D" w:rsidP="00F9657D">
            <w:pPr>
              <w:spacing w:after="0" w:line="240" w:lineRule="auto"/>
              <w:jc w:val="right"/>
              <w:rPr>
                <w:sz w:val="18"/>
                <w:szCs w:val="18"/>
                <w:lang w:eastAsia="sk-SK"/>
              </w:rPr>
            </w:pPr>
            <w:r w:rsidRPr="00C90207">
              <w:rPr>
                <w:sz w:val="18"/>
                <w:szCs w:val="18"/>
                <w:lang w:eastAsia="sk-SK"/>
              </w:rPr>
              <w:t>Zdroj: MF SR</w:t>
            </w:r>
          </w:p>
        </w:tc>
      </w:tr>
    </w:tbl>
    <w:p w14:paraId="5CC17EB7" w14:textId="77777777" w:rsidR="00F9657D" w:rsidRDefault="00F9657D" w:rsidP="00500BD0">
      <w:pPr>
        <w:spacing w:before="120" w:after="0" w:line="336" w:lineRule="auto"/>
        <w:jc w:val="both"/>
        <w:rPr>
          <w:szCs w:val="22"/>
        </w:rPr>
      </w:pPr>
    </w:p>
    <w:p w14:paraId="5A806578" w14:textId="3C808B79" w:rsidR="00500BD0" w:rsidRPr="00485436" w:rsidRDefault="00500BD0" w:rsidP="00500BD0">
      <w:pPr>
        <w:spacing w:before="120" w:after="0" w:line="336" w:lineRule="auto"/>
        <w:jc w:val="both"/>
        <w:rPr>
          <w:szCs w:val="22"/>
        </w:rPr>
      </w:pPr>
      <w:r w:rsidRPr="00485436">
        <w:rPr>
          <w:szCs w:val="22"/>
        </w:rPr>
        <w:t xml:space="preserve">Úprava schodku verejnej správy vyčísleného na jar tohto roku (prezentovaný v Štátnom záverečnom účte) bola spôsobená </w:t>
      </w:r>
      <w:r w:rsidR="005153AB" w:rsidRPr="00485436">
        <w:rPr>
          <w:szCs w:val="22"/>
        </w:rPr>
        <w:t>benchmarkovou revíziou</w:t>
      </w:r>
      <w:r w:rsidR="005153AB">
        <w:rPr>
          <w:szCs w:val="22"/>
        </w:rPr>
        <w:t xml:space="preserve"> (viď podrobnejšie </w:t>
      </w:r>
      <w:r w:rsidR="005153AB" w:rsidRPr="0076152E">
        <w:rPr>
          <w:szCs w:val="22"/>
        </w:rPr>
        <w:t xml:space="preserve">na str. </w:t>
      </w:r>
      <w:r w:rsidR="005153AB">
        <w:rPr>
          <w:szCs w:val="22"/>
        </w:rPr>
        <w:t>8 a 9</w:t>
      </w:r>
      <w:r w:rsidR="005153AB" w:rsidRPr="0076152E">
        <w:rPr>
          <w:szCs w:val="22"/>
        </w:rPr>
        <w:t>)</w:t>
      </w:r>
      <w:r w:rsidR="005153AB">
        <w:rPr>
          <w:szCs w:val="22"/>
        </w:rPr>
        <w:t xml:space="preserve">, </w:t>
      </w:r>
      <w:r w:rsidRPr="00485436">
        <w:rPr>
          <w:szCs w:val="22"/>
        </w:rPr>
        <w:t>aktualizáciou údajov z účtovných závierok subjektov verejnej správy</w:t>
      </w:r>
      <w:r w:rsidR="005153AB">
        <w:rPr>
          <w:szCs w:val="22"/>
        </w:rPr>
        <w:t xml:space="preserve"> </w:t>
      </w:r>
      <w:r w:rsidRPr="00485436">
        <w:rPr>
          <w:szCs w:val="22"/>
        </w:rPr>
        <w:t>a</w:t>
      </w:r>
      <w:r>
        <w:rPr>
          <w:szCs w:val="22"/>
        </w:rPr>
        <w:t> úpravami, ktoré predstavovali</w:t>
      </w:r>
      <w:r w:rsidRPr="00485436">
        <w:rPr>
          <w:szCs w:val="22"/>
        </w:rPr>
        <w:t>:</w:t>
      </w:r>
    </w:p>
    <w:p w14:paraId="0AC189BC" w14:textId="53D10578" w:rsidR="00500BD0" w:rsidRDefault="00500BD0" w:rsidP="00500BD0">
      <w:pPr>
        <w:pStyle w:val="Odsekzoznamu"/>
        <w:numPr>
          <w:ilvl w:val="0"/>
          <w:numId w:val="11"/>
        </w:numPr>
        <w:spacing w:before="120" w:line="336" w:lineRule="auto"/>
        <w:jc w:val="both"/>
      </w:pPr>
      <w:r>
        <w:t xml:space="preserve">revíziu výdavkov na mzdy po zmene rozpočtových pravidiel v roku 2018. Na základe výhrady Eurostatu k časti výdavkom štátneho rozpočtu vykonalo Ministerstvo financií SR podrobnú analýzu aplikácie používania samostatných účtov a ekonomickej klasifikácie výdavkov štátnych rozpočtových organizácií s účinnosťou od 1.1.2018. Výsledky analýzy a návrh ich zapracovania do jesennej notifikácie boli prezentované Eurostatu počas dialógovej misie v júni tohto roku. Eurostat </w:t>
      </w:r>
      <w:r w:rsidR="004C4DA2">
        <w:t xml:space="preserve">následne </w:t>
      </w:r>
      <w:r>
        <w:t>v jesennej notifikácii stiahol výhradu ku kvalite údajov časti výdavkov, ktorú Slovenskej republike adresoval na jar 2019,</w:t>
      </w:r>
    </w:p>
    <w:p w14:paraId="3DCD9C4E" w14:textId="57DAE14A" w:rsidR="00500BD0" w:rsidRDefault="00500BD0" w:rsidP="00500BD0">
      <w:pPr>
        <w:pStyle w:val="Odsekzoznamu"/>
        <w:numPr>
          <w:ilvl w:val="0"/>
          <w:numId w:val="11"/>
        </w:numPr>
        <w:spacing w:before="120" w:line="336" w:lineRule="auto"/>
        <w:jc w:val="both"/>
      </w:pPr>
      <w:r w:rsidRPr="00485436">
        <w:rPr>
          <w:rFonts w:cs="Times New Roman"/>
        </w:rPr>
        <w:t>aktualizáciu údajov o výške akruálnych daňových a odvodových</w:t>
      </w:r>
      <w:r w:rsidR="00E67CA0">
        <w:rPr>
          <w:rFonts w:cs="Times New Roman"/>
        </w:rPr>
        <w:t xml:space="preserve"> príjmov</w:t>
      </w:r>
      <w:r w:rsidR="003D7CD3">
        <w:rPr>
          <w:rFonts w:cs="Times New Roman"/>
        </w:rPr>
        <w:t>.</w:t>
      </w:r>
    </w:p>
    <w:p w14:paraId="13F24038" w14:textId="4CED634E" w:rsidR="00500BD0" w:rsidRDefault="00500BD0" w:rsidP="004C4DA2">
      <w:pPr>
        <w:spacing w:before="120" w:after="120" w:line="336" w:lineRule="auto"/>
        <w:jc w:val="both"/>
      </w:pPr>
      <w:r w:rsidRPr="008647B6">
        <w:t>Dlh verejnej správy, ktorý bol vykázaný k 1.</w:t>
      </w:r>
      <w:r>
        <w:t> </w:t>
      </w:r>
      <w:r w:rsidRPr="008647B6">
        <w:t>aprílu 2018 (48,9</w:t>
      </w:r>
      <w:r>
        <w:t> </w:t>
      </w:r>
      <w:r w:rsidRPr="008647B6">
        <w:t>%</w:t>
      </w:r>
      <w:r>
        <w:t> </w:t>
      </w:r>
      <w:r w:rsidRPr="008647B6">
        <w:t>HDP) sa</w:t>
      </w:r>
      <w:r w:rsidR="00A373A4">
        <w:t xml:space="preserve"> v dôsledku revízií zvýšil o 0,5</w:t>
      </w:r>
      <w:r w:rsidRPr="008647B6">
        <w:t> p. b. Jednotlivé revízie, popísané v nasledovnej tabuľke, spôsobili zvýšenie konsolidovaného dlhu verejnej správy za rok 2018 v absolútnom vyjadrení o 184 968 tis. eur</w:t>
      </w:r>
      <w:r w:rsidR="00A373A4">
        <w:t xml:space="preserve"> (0,2 % HDP), a zároveň revízia HDP spôsobila zhoršenie </w:t>
      </w:r>
      <w:r w:rsidRPr="008647B6">
        <w:t>podielu dlhu na HDP o </w:t>
      </w:r>
      <w:r w:rsidR="00A373A4">
        <w:t>0,3 %.</w:t>
      </w:r>
    </w:p>
    <w:tbl>
      <w:tblPr>
        <w:tblW w:w="5000" w:type="pct"/>
        <w:tblLayout w:type="fixed"/>
        <w:tblCellMar>
          <w:left w:w="70" w:type="dxa"/>
          <w:right w:w="70" w:type="dxa"/>
        </w:tblCellMar>
        <w:tblLook w:val="04A0" w:firstRow="1" w:lastRow="0" w:firstColumn="1" w:lastColumn="0" w:noHBand="0" w:noVBand="1"/>
      </w:tblPr>
      <w:tblGrid>
        <w:gridCol w:w="4395"/>
        <w:gridCol w:w="1134"/>
        <w:gridCol w:w="610"/>
        <w:gridCol w:w="2932"/>
      </w:tblGrid>
      <w:tr w:rsidR="00500BD0" w:rsidRPr="00D84330" w14:paraId="71446DA6" w14:textId="77777777" w:rsidTr="00482590">
        <w:trPr>
          <w:trHeight w:val="420"/>
        </w:trPr>
        <w:tc>
          <w:tcPr>
            <w:tcW w:w="5000" w:type="pct"/>
            <w:gridSpan w:val="4"/>
            <w:tcBorders>
              <w:top w:val="single" w:sz="4" w:space="0" w:color="auto"/>
              <w:left w:val="nil"/>
              <w:bottom w:val="single" w:sz="4" w:space="0" w:color="auto"/>
              <w:right w:val="nil"/>
            </w:tcBorders>
            <w:shd w:val="clear" w:color="000000" w:fill="000000"/>
            <w:noWrap/>
            <w:vAlign w:val="center"/>
            <w:hideMark/>
          </w:tcPr>
          <w:p w14:paraId="566EBC8E" w14:textId="77777777" w:rsidR="00500BD0" w:rsidRPr="00D84330" w:rsidRDefault="00500BD0" w:rsidP="00500BD0">
            <w:pPr>
              <w:spacing w:after="0" w:line="240" w:lineRule="auto"/>
              <w:rPr>
                <w:b/>
                <w:bCs/>
                <w:color w:val="FFFFFF"/>
                <w:sz w:val="20"/>
                <w:szCs w:val="20"/>
                <w:lang w:eastAsia="sk-SK"/>
              </w:rPr>
            </w:pPr>
            <w:r w:rsidRPr="00D84330">
              <w:rPr>
                <w:b/>
                <w:bCs/>
                <w:color w:val="FFFFFF"/>
                <w:sz w:val="20"/>
                <w:szCs w:val="20"/>
                <w:lang w:eastAsia="sk-SK"/>
              </w:rPr>
              <w:t>Úpravy dlhu za rok 2018 pri októbrovej notifikácii</w:t>
            </w:r>
          </w:p>
        </w:tc>
      </w:tr>
      <w:tr w:rsidR="00500BD0" w:rsidRPr="00D84330" w14:paraId="63A667D6" w14:textId="77777777" w:rsidTr="00F240C9">
        <w:trPr>
          <w:trHeight w:val="205"/>
        </w:trPr>
        <w:tc>
          <w:tcPr>
            <w:tcW w:w="2423" w:type="pct"/>
            <w:tcBorders>
              <w:top w:val="nil"/>
              <w:left w:val="nil"/>
              <w:bottom w:val="nil"/>
              <w:right w:val="nil"/>
            </w:tcBorders>
            <w:shd w:val="clear" w:color="auto" w:fill="BFBFBF" w:themeFill="background1" w:themeFillShade="BF"/>
            <w:vAlign w:val="center"/>
            <w:hideMark/>
          </w:tcPr>
          <w:p w14:paraId="692F5FE1" w14:textId="77777777" w:rsidR="00500BD0" w:rsidRPr="00D84330" w:rsidRDefault="00500BD0" w:rsidP="00500BD0">
            <w:pPr>
              <w:spacing w:after="0" w:line="240" w:lineRule="auto"/>
              <w:rPr>
                <w:b/>
                <w:bCs/>
                <w:sz w:val="20"/>
                <w:szCs w:val="20"/>
                <w:lang w:eastAsia="sk-SK"/>
              </w:rPr>
            </w:pPr>
            <w:r w:rsidRPr="00D84330">
              <w:rPr>
                <w:b/>
                <w:bCs/>
                <w:sz w:val="20"/>
                <w:szCs w:val="20"/>
                <w:lang w:eastAsia="sk-SK"/>
              </w:rPr>
              <w:t>Upravené položky</w:t>
            </w:r>
          </w:p>
        </w:tc>
        <w:tc>
          <w:tcPr>
            <w:tcW w:w="625" w:type="pct"/>
            <w:tcBorders>
              <w:top w:val="nil"/>
              <w:left w:val="nil"/>
              <w:bottom w:val="nil"/>
              <w:right w:val="nil"/>
            </w:tcBorders>
            <w:shd w:val="clear" w:color="auto" w:fill="BFBFBF" w:themeFill="background1" w:themeFillShade="BF"/>
            <w:vAlign w:val="center"/>
            <w:hideMark/>
          </w:tcPr>
          <w:p w14:paraId="597E2E34" w14:textId="77777777" w:rsidR="00500BD0" w:rsidRPr="00D84330" w:rsidRDefault="00500BD0" w:rsidP="00500BD0">
            <w:pPr>
              <w:spacing w:after="0" w:line="240" w:lineRule="auto"/>
              <w:jc w:val="center"/>
              <w:rPr>
                <w:b/>
                <w:bCs/>
                <w:sz w:val="20"/>
                <w:szCs w:val="20"/>
                <w:lang w:eastAsia="sk-SK"/>
              </w:rPr>
            </w:pPr>
            <w:r w:rsidRPr="00D84330">
              <w:rPr>
                <w:b/>
                <w:bCs/>
                <w:sz w:val="20"/>
                <w:szCs w:val="20"/>
                <w:lang w:eastAsia="sk-SK"/>
              </w:rPr>
              <w:t>tis. €</w:t>
            </w:r>
          </w:p>
        </w:tc>
        <w:tc>
          <w:tcPr>
            <w:tcW w:w="336" w:type="pct"/>
            <w:tcBorders>
              <w:top w:val="nil"/>
              <w:left w:val="nil"/>
              <w:bottom w:val="nil"/>
              <w:right w:val="nil"/>
            </w:tcBorders>
            <w:shd w:val="clear" w:color="auto" w:fill="BFBFBF" w:themeFill="background1" w:themeFillShade="BF"/>
            <w:vAlign w:val="center"/>
            <w:hideMark/>
          </w:tcPr>
          <w:p w14:paraId="58BF5735" w14:textId="77777777" w:rsidR="00500BD0" w:rsidRPr="00D84330" w:rsidRDefault="00500BD0" w:rsidP="00500BD0">
            <w:pPr>
              <w:spacing w:after="0" w:line="240" w:lineRule="auto"/>
              <w:jc w:val="center"/>
              <w:rPr>
                <w:b/>
                <w:bCs/>
                <w:sz w:val="20"/>
                <w:szCs w:val="20"/>
                <w:lang w:eastAsia="sk-SK"/>
              </w:rPr>
            </w:pPr>
            <w:r w:rsidRPr="00D84330">
              <w:rPr>
                <w:b/>
                <w:bCs/>
                <w:sz w:val="20"/>
                <w:szCs w:val="20"/>
                <w:lang w:eastAsia="sk-SK"/>
              </w:rPr>
              <w:t xml:space="preserve">% </w:t>
            </w:r>
            <w:r w:rsidRPr="00D84330">
              <w:rPr>
                <w:b/>
                <w:bCs/>
                <w:sz w:val="20"/>
                <w:szCs w:val="20"/>
                <w:lang w:eastAsia="sk-SK"/>
              </w:rPr>
              <w:br/>
              <w:t>HDP</w:t>
            </w:r>
          </w:p>
        </w:tc>
        <w:tc>
          <w:tcPr>
            <w:tcW w:w="1617" w:type="pct"/>
            <w:tcBorders>
              <w:top w:val="nil"/>
              <w:left w:val="nil"/>
              <w:bottom w:val="nil"/>
              <w:right w:val="nil"/>
            </w:tcBorders>
            <w:shd w:val="clear" w:color="auto" w:fill="BFBFBF" w:themeFill="background1" w:themeFillShade="BF"/>
            <w:vAlign w:val="center"/>
            <w:hideMark/>
          </w:tcPr>
          <w:p w14:paraId="3F816FAF" w14:textId="77777777" w:rsidR="00500BD0" w:rsidRPr="00D84330" w:rsidRDefault="00500BD0" w:rsidP="00500BD0">
            <w:pPr>
              <w:spacing w:after="0" w:line="240" w:lineRule="auto"/>
              <w:jc w:val="center"/>
              <w:rPr>
                <w:b/>
                <w:bCs/>
                <w:sz w:val="20"/>
                <w:szCs w:val="20"/>
                <w:lang w:eastAsia="sk-SK"/>
              </w:rPr>
            </w:pPr>
            <w:r w:rsidRPr="00D84330">
              <w:rPr>
                <w:b/>
                <w:bCs/>
                <w:sz w:val="20"/>
                <w:szCs w:val="20"/>
                <w:lang w:eastAsia="sk-SK"/>
              </w:rPr>
              <w:t>Zdôvodnenie úprav</w:t>
            </w:r>
          </w:p>
        </w:tc>
      </w:tr>
      <w:tr w:rsidR="00500BD0" w:rsidRPr="00D84330" w14:paraId="3AB40CA8" w14:textId="77777777" w:rsidTr="00B1010A">
        <w:trPr>
          <w:trHeight w:val="255"/>
        </w:trPr>
        <w:tc>
          <w:tcPr>
            <w:tcW w:w="2423" w:type="pct"/>
            <w:tcBorders>
              <w:top w:val="single" w:sz="4" w:space="0" w:color="auto"/>
              <w:left w:val="nil"/>
              <w:bottom w:val="single" w:sz="4" w:space="0" w:color="auto"/>
              <w:right w:val="nil"/>
            </w:tcBorders>
            <w:shd w:val="clear" w:color="000000" w:fill="BFBFBF"/>
            <w:noWrap/>
            <w:vAlign w:val="center"/>
            <w:hideMark/>
          </w:tcPr>
          <w:p w14:paraId="01EA5FBA" w14:textId="77777777" w:rsidR="00500BD0" w:rsidRPr="00D84330" w:rsidRDefault="00500BD0" w:rsidP="00500BD0">
            <w:pPr>
              <w:spacing w:after="0" w:line="240" w:lineRule="auto"/>
              <w:rPr>
                <w:b/>
                <w:bCs/>
                <w:sz w:val="20"/>
                <w:szCs w:val="20"/>
                <w:lang w:eastAsia="sk-SK"/>
              </w:rPr>
            </w:pPr>
            <w:r w:rsidRPr="00D84330">
              <w:rPr>
                <w:b/>
                <w:bCs/>
                <w:sz w:val="20"/>
                <w:szCs w:val="20"/>
                <w:lang w:eastAsia="sk-SK"/>
              </w:rPr>
              <w:t>Maastrichtský dlh VS - apríl 201</w:t>
            </w:r>
            <w:r>
              <w:rPr>
                <w:b/>
                <w:bCs/>
                <w:sz w:val="20"/>
                <w:szCs w:val="20"/>
                <w:lang w:eastAsia="sk-SK"/>
              </w:rPr>
              <w:t>9</w:t>
            </w:r>
          </w:p>
        </w:tc>
        <w:tc>
          <w:tcPr>
            <w:tcW w:w="625" w:type="pct"/>
            <w:tcBorders>
              <w:top w:val="single" w:sz="4" w:space="0" w:color="auto"/>
              <w:left w:val="nil"/>
              <w:bottom w:val="single" w:sz="4" w:space="0" w:color="auto"/>
              <w:right w:val="nil"/>
            </w:tcBorders>
            <w:shd w:val="clear" w:color="000000" w:fill="BFBFBF"/>
            <w:noWrap/>
            <w:vAlign w:val="center"/>
            <w:hideMark/>
          </w:tcPr>
          <w:p w14:paraId="17671407" w14:textId="77777777" w:rsidR="00500BD0" w:rsidRPr="00D84330" w:rsidRDefault="00500BD0" w:rsidP="00500BD0">
            <w:pPr>
              <w:spacing w:after="0" w:line="240" w:lineRule="auto"/>
              <w:jc w:val="right"/>
              <w:rPr>
                <w:b/>
                <w:bCs/>
                <w:sz w:val="20"/>
                <w:szCs w:val="20"/>
                <w:lang w:eastAsia="sk-SK"/>
              </w:rPr>
            </w:pPr>
            <w:r w:rsidRPr="00D84330">
              <w:rPr>
                <w:b/>
                <w:bCs/>
                <w:sz w:val="20"/>
                <w:szCs w:val="20"/>
                <w:lang w:eastAsia="sk-SK"/>
              </w:rPr>
              <w:t>44 136 884</w:t>
            </w:r>
          </w:p>
        </w:tc>
        <w:tc>
          <w:tcPr>
            <w:tcW w:w="336" w:type="pct"/>
            <w:tcBorders>
              <w:top w:val="single" w:sz="4" w:space="0" w:color="auto"/>
              <w:left w:val="nil"/>
              <w:bottom w:val="single" w:sz="4" w:space="0" w:color="auto"/>
              <w:right w:val="nil"/>
            </w:tcBorders>
            <w:shd w:val="clear" w:color="000000" w:fill="BFBFBF"/>
            <w:noWrap/>
            <w:vAlign w:val="center"/>
            <w:hideMark/>
          </w:tcPr>
          <w:p w14:paraId="6877FF86" w14:textId="7A6003AA" w:rsidR="00500BD0" w:rsidRPr="00D84330" w:rsidRDefault="00A373A4" w:rsidP="00500BD0">
            <w:pPr>
              <w:spacing w:after="0" w:line="240" w:lineRule="auto"/>
              <w:jc w:val="right"/>
              <w:rPr>
                <w:b/>
                <w:bCs/>
                <w:sz w:val="20"/>
                <w:szCs w:val="20"/>
                <w:lang w:eastAsia="sk-SK"/>
              </w:rPr>
            </w:pPr>
            <w:r>
              <w:rPr>
                <w:b/>
                <w:bCs/>
                <w:sz w:val="20"/>
                <w:szCs w:val="20"/>
                <w:lang w:eastAsia="sk-SK"/>
              </w:rPr>
              <w:t>48,9</w:t>
            </w:r>
          </w:p>
        </w:tc>
        <w:tc>
          <w:tcPr>
            <w:tcW w:w="1617" w:type="pct"/>
            <w:tcBorders>
              <w:top w:val="single" w:sz="4" w:space="0" w:color="auto"/>
              <w:left w:val="nil"/>
              <w:bottom w:val="single" w:sz="4" w:space="0" w:color="auto"/>
              <w:right w:val="nil"/>
            </w:tcBorders>
            <w:shd w:val="clear" w:color="000000" w:fill="BFBFBF"/>
            <w:noWrap/>
            <w:vAlign w:val="center"/>
            <w:hideMark/>
          </w:tcPr>
          <w:p w14:paraId="5E92A440" w14:textId="77777777" w:rsidR="00500BD0" w:rsidRPr="00D84330" w:rsidRDefault="00500BD0" w:rsidP="00500BD0">
            <w:pPr>
              <w:spacing w:after="0" w:line="240" w:lineRule="auto"/>
              <w:jc w:val="center"/>
              <w:rPr>
                <w:sz w:val="20"/>
                <w:szCs w:val="20"/>
                <w:lang w:eastAsia="sk-SK"/>
              </w:rPr>
            </w:pPr>
            <w:r w:rsidRPr="00D84330">
              <w:rPr>
                <w:sz w:val="20"/>
                <w:szCs w:val="20"/>
                <w:lang w:eastAsia="sk-SK"/>
              </w:rPr>
              <w:t> </w:t>
            </w:r>
          </w:p>
        </w:tc>
      </w:tr>
      <w:tr w:rsidR="00500BD0" w:rsidRPr="00D84330" w14:paraId="46BBF4D9" w14:textId="77777777" w:rsidTr="00B1010A">
        <w:trPr>
          <w:trHeight w:val="255"/>
        </w:trPr>
        <w:tc>
          <w:tcPr>
            <w:tcW w:w="2423" w:type="pct"/>
            <w:tcBorders>
              <w:top w:val="nil"/>
              <w:left w:val="nil"/>
              <w:bottom w:val="nil"/>
              <w:right w:val="nil"/>
            </w:tcBorders>
            <w:shd w:val="clear" w:color="auto" w:fill="auto"/>
            <w:noWrap/>
            <w:vAlign w:val="center"/>
            <w:hideMark/>
          </w:tcPr>
          <w:p w14:paraId="285667F8" w14:textId="77777777" w:rsidR="00500BD0" w:rsidRPr="00D84330" w:rsidRDefault="00500BD0" w:rsidP="00500BD0">
            <w:pPr>
              <w:spacing w:after="0" w:line="240" w:lineRule="auto"/>
              <w:rPr>
                <w:b/>
                <w:bCs/>
                <w:sz w:val="20"/>
                <w:szCs w:val="20"/>
                <w:lang w:eastAsia="sk-SK"/>
              </w:rPr>
            </w:pPr>
            <w:r w:rsidRPr="00D84330">
              <w:rPr>
                <w:b/>
                <w:bCs/>
                <w:sz w:val="20"/>
                <w:szCs w:val="20"/>
                <w:lang w:eastAsia="sk-SK"/>
              </w:rPr>
              <w:t>Úpravy z dôvodu benchmarkovej revízie:</w:t>
            </w:r>
          </w:p>
        </w:tc>
        <w:tc>
          <w:tcPr>
            <w:tcW w:w="625" w:type="pct"/>
            <w:tcBorders>
              <w:top w:val="nil"/>
              <w:left w:val="nil"/>
              <w:bottom w:val="nil"/>
              <w:right w:val="nil"/>
            </w:tcBorders>
            <w:shd w:val="clear" w:color="auto" w:fill="auto"/>
            <w:noWrap/>
            <w:vAlign w:val="center"/>
            <w:hideMark/>
          </w:tcPr>
          <w:p w14:paraId="15DF4DE4" w14:textId="77777777" w:rsidR="00500BD0" w:rsidRPr="00D84330" w:rsidRDefault="00500BD0" w:rsidP="00500BD0">
            <w:pPr>
              <w:spacing w:after="0" w:line="240" w:lineRule="auto"/>
              <w:rPr>
                <w:b/>
                <w:bCs/>
                <w:sz w:val="20"/>
                <w:szCs w:val="20"/>
                <w:lang w:eastAsia="sk-SK"/>
              </w:rPr>
            </w:pPr>
          </w:p>
        </w:tc>
        <w:tc>
          <w:tcPr>
            <w:tcW w:w="336" w:type="pct"/>
            <w:tcBorders>
              <w:top w:val="nil"/>
              <w:left w:val="nil"/>
              <w:bottom w:val="nil"/>
              <w:right w:val="nil"/>
            </w:tcBorders>
            <w:shd w:val="clear" w:color="auto" w:fill="auto"/>
            <w:noWrap/>
            <w:vAlign w:val="center"/>
            <w:hideMark/>
          </w:tcPr>
          <w:p w14:paraId="32BBF188" w14:textId="77777777" w:rsidR="00500BD0" w:rsidRPr="00D84330" w:rsidRDefault="00500BD0" w:rsidP="00500BD0">
            <w:pPr>
              <w:spacing w:after="0" w:line="240" w:lineRule="auto"/>
              <w:jc w:val="right"/>
              <w:rPr>
                <w:sz w:val="20"/>
                <w:szCs w:val="20"/>
                <w:lang w:eastAsia="sk-SK"/>
              </w:rPr>
            </w:pPr>
          </w:p>
        </w:tc>
        <w:tc>
          <w:tcPr>
            <w:tcW w:w="1617" w:type="pct"/>
            <w:tcBorders>
              <w:top w:val="nil"/>
              <w:left w:val="nil"/>
              <w:bottom w:val="nil"/>
              <w:right w:val="nil"/>
            </w:tcBorders>
            <w:shd w:val="clear" w:color="auto" w:fill="auto"/>
            <w:noWrap/>
            <w:vAlign w:val="center"/>
            <w:hideMark/>
          </w:tcPr>
          <w:p w14:paraId="6F2DAFBE" w14:textId="77777777" w:rsidR="00500BD0" w:rsidRPr="00D84330" w:rsidRDefault="00500BD0" w:rsidP="00500BD0">
            <w:pPr>
              <w:spacing w:after="0" w:line="240" w:lineRule="auto"/>
              <w:jc w:val="right"/>
              <w:rPr>
                <w:sz w:val="20"/>
                <w:szCs w:val="20"/>
                <w:lang w:eastAsia="sk-SK"/>
              </w:rPr>
            </w:pPr>
          </w:p>
        </w:tc>
      </w:tr>
      <w:tr w:rsidR="00500BD0" w:rsidRPr="00D84330" w14:paraId="45D92B42" w14:textId="77777777" w:rsidTr="00621FB3">
        <w:trPr>
          <w:trHeight w:val="584"/>
        </w:trPr>
        <w:tc>
          <w:tcPr>
            <w:tcW w:w="2423" w:type="pct"/>
            <w:tcBorders>
              <w:top w:val="nil"/>
              <w:left w:val="nil"/>
              <w:bottom w:val="nil"/>
              <w:right w:val="nil"/>
            </w:tcBorders>
            <w:shd w:val="clear" w:color="auto" w:fill="auto"/>
            <w:noWrap/>
            <w:vAlign w:val="center"/>
            <w:hideMark/>
          </w:tcPr>
          <w:p w14:paraId="33AD072B" w14:textId="77777777" w:rsidR="00500BD0" w:rsidRPr="00D84330" w:rsidRDefault="00500BD0" w:rsidP="004C4DA2">
            <w:pPr>
              <w:spacing w:after="120" w:line="240" w:lineRule="auto"/>
              <w:rPr>
                <w:sz w:val="20"/>
                <w:szCs w:val="20"/>
                <w:lang w:eastAsia="sk-SK"/>
              </w:rPr>
            </w:pPr>
            <w:r w:rsidRPr="00D84330">
              <w:rPr>
                <w:sz w:val="20"/>
                <w:szCs w:val="20"/>
                <w:lang w:eastAsia="sk-SK"/>
              </w:rPr>
              <w:t>Zdravotnícke zariadenia</w:t>
            </w:r>
          </w:p>
        </w:tc>
        <w:tc>
          <w:tcPr>
            <w:tcW w:w="625" w:type="pct"/>
            <w:tcBorders>
              <w:top w:val="nil"/>
              <w:left w:val="nil"/>
              <w:bottom w:val="nil"/>
              <w:right w:val="nil"/>
            </w:tcBorders>
            <w:shd w:val="clear" w:color="auto" w:fill="auto"/>
            <w:noWrap/>
            <w:vAlign w:val="center"/>
            <w:hideMark/>
          </w:tcPr>
          <w:p w14:paraId="0FF8CA66"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90 018</w:t>
            </w:r>
          </w:p>
        </w:tc>
        <w:tc>
          <w:tcPr>
            <w:tcW w:w="336" w:type="pct"/>
            <w:tcBorders>
              <w:top w:val="nil"/>
              <w:left w:val="nil"/>
              <w:bottom w:val="nil"/>
              <w:right w:val="nil"/>
            </w:tcBorders>
            <w:shd w:val="clear" w:color="auto" w:fill="auto"/>
            <w:noWrap/>
            <w:vAlign w:val="center"/>
            <w:hideMark/>
          </w:tcPr>
          <w:p w14:paraId="5679735C"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0,100</w:t>
            </w:r>
          </w:p>
        </w:tc>
        <w:tc>
          <w:tcPr>
            <w:tcW w:w="1617" w:type="pct"/>
            <w:tcBorders>
              <w:top w:val="nil"/>
              <w:left w:val="nil"/>
              <w:bottom w:val="nil"/>
              <w:right w:val="nil"/>
            </w:tcBorders>
            <w:shd w:val="clear" w:color="auto" w:fill="auto"/>
            <w:vAlign w:val="center"/>
            <w:hideMark/>
          </w:tcPr>
          <w:p w14:paraId="0C4B7521" w14:textId="77777777" w:rsidR="00500BD0" w:rsidRPr="00D84330" w:rsidRDefault="00500BD0" w:rsidP="004C4DA2">
            <w:pPr>
              <w:spacing w:after="120" w:line="240" w:lineRule="auto"/>
              <w:jc w:val="center"/>
              <w:rPr>
                <w:sz w:val="20"/>
                <w:szCs w:val="20"/>
                <w:lang w:eastAsia="sk-SK"/>
              </w:rPr>
            </w:pPr>
            <w:r w:rsidRPr="00D84330">
              <w:rPr>
                <w:sz w:val="20"/>
                <w:szCs w:val="20"/>
                <w:lang w:eastAsia="sk-SK"/>
              </w:rPr>
              <w:t>vyčíslenie hodnoty záväzkov zdravotníckych zariadení postúpených na nového veriteľa</w:t>
            </w:r>
          </w:p>
        </w:tc>
      </w:tr>
      <w:tr w:rsidR="00500BD0" w:rsidRPr="00D84330" w14:paraId="7516AF42" w14:textId="77777777" w:rsidTr="00621FB3">
        <w:trPr>
          <w:trHeight w:val="1870"/>
        </w:trPr>
        <w:tc>
          <w:tcPr>
            <w:tcW w:w="2423" w:type="pct"/>
            <w:tcBorders>
              <w:top w:val="nil"/>
              <w:left w:val="nil"/>
              <w:bottom w:val="nil"/>
              <w:right w:val="nil"/>
            </w:tcBorders>
            <w:shd w:val="clear" w:color="auto" w:fill="auto"/>
            <w:vAlign w:val="center"/>
            <w:hideMark/>
          </w:tcPr>
          <w:p w14:paraId="375D6CA0" w14:textId="77777777" w:rsidR="00500BD0" w:rsidRPr="00D84330" w:rsidRDefault="00500BD0" w:rsidP="004C4DA2">
            <w:pPr>
              <w:spacing w:after="120" w:line="240" w:lineRule="auto"/>
              <w:rPr>
                <w:sz w:val="20"/>
                <w:szCs w:val="20"/>
                <w:lang w:eastAsia="sk-SK"/>
              </w:rPr>
            </w:pPr>
            <w:r w:rsidRPr="00D84330">
              <w:rPr>
                <w:sz w:val="20"/>
                <w:szCs w:val="20"/>
                <w:lang w:eastAsia="sk-SK"/>
              </w:rPr>
              <w:t>Dlhodobé záväzky z obchodného styku a prijaté preddavky</w:t>
            </w:r>
          </w:p>
        </w:tc>
        <w:tc>
          <w:tcPr>
            <w:tcW w:w="625" w:type="pct"/>
            <w:tcBorders>
              <w:top w:val="nil"/>
              <w:left w:val="nil"/>
              <w:bottom w:val="nil"/>
              <w:right w:val="nil"/>
            </w:tcBorders>
            <w:shd w:val="clear" w:color="auto" w:fill="auto"/>
            <w:noWrap/>
            <w:vAlign w:val="center"/>
            <w:hideMark/>
          </w:tcPr>
          <w:p w14:paraId="161D1450"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86 502</w:t>
            </w:r>
          </w:p>
        </w:tc>
        <w:tc>
          <w:tcPr>
            <w:tcW w:w="336" w:type="pct"/>
            <w:tcBorders>
              <w:top w:val="nil"/>
              <w:left w:val="nil"/>
              <w:bottom w:val="nil"/>
              <w:right w:val="nil"/>
            </w:tcBorders>
            <w:shd w:val="clear" w:color="auto" w:fill="auto"/>
            <w:noWrap/>
            <w:vAlign w:val="center"/>
            <w:hideMark/>
          </w:tcPr>
          <w:p w14:paraId="74A100E6"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0,096</w:t>
            </w:r>
          </w:p>
        </w:tc>
        <w:tc>
          <w:tcPr>
            <w:tcW w:w="1617" w:type="pct"/>
            <w:tcBorders>
              <w:top w:val="nil"/>
              <w:left w:val="nil"/>
              <w:bottom w:val="nil"/>
              <w:right w:val="nil"/>
            </w:tcBorders>
            <w:shd w:val="clear" w:color="auto" w:fill="auto"/>
            <w:vAlign w:val="center"/>
            <w:hideMark/>
          </w:tcPr>
          <w:p w14:paraId="5FAC6E77" w14:textId="77777777" w:rsidR="00500BD0" w:rsidRPr="00D84330" w:rsidRDefault="00500BD0" w:rsidP="004C4DA2">
            <w:pPr>
              <w:spacing w:after="120" w:line="240" w:lineRule="auto"/>
              <w:jc w:val="center"/>
              <w:rPr>
                <w:sz w:val="20"/>
                <w:szCs w:val="20"/>
                <w:lang w:eastAsia="sk-SK"/>
              </w:rPr>
            </w:pPr>
            <w:r w:rsidRPr="00D84330">
              <w:rPr>
                <w:sz w:val="20"/>
                <w:szCs w:val="20"/>
                <w:lang w:eastAsia="sk-SK"/>
              </w:rPr>
              <w:t>zahrnutie dlhodobých záväzkoch z</w:t>
            </w:r>
            <w:r>
              <w:rPr>
                <w:sz w:val="20"/>
                <w:szCs w:val="20"/>
                <w:lang w:eastAsia="sk-SK"/>
              </w:rPr>
              <w:t> </w:t>
            </w:r>
            <w:r w:rsidRPr="00D84330">
              <w:rPr>
                <w:sz w:val="20"/>
                <w:szCs w:val="20"/>
                <w:lang w:eastAsia="sk-SK"/>
              </w:rPr>
              <w:t>obchodného styku a prijatých preddavkov do</w:t>
            </w:r>
            <w:r>
              <w:rPr>
                <w:sz w:val="20"/>
                <w:szCs w:val="20"/>
                <w:lang w:eastAsia="sk-SK"/>
              </w:rPr>
              <w:t> </w:t>
            </w:r>
            <w:r w:rsidRPr="00D84330">
              <w:rPr>
                <w:sz w:val="20"/>
                <w:szCs w:val="20"/>
                <w:lang w:eastAsia="sk-SK"/>
              </w:rPr>
              <w:t>maastrichtského dlhu vyplývajúce zo</w:t>
            </w:r>
            <w:r>
              <w:rPr>
                <w:sz w:val="20"/>
                <w:szCs w:val="20"/>
                <w:lang w:eastAsia="sk-SK"/>
              </w:rPr>
              <w:t> </w:t>
            </w:r>
            <w:r w:rsidRPr="00D84330">
              <w:rPr>
                <w:sz w:val="20"/>
                <w:szCs w:val="20"/>
                <w:lang w:eastAsia="sk-SK"/>
              </w:rPr>
              <w:t>zmeny metodiky ESA 2010 a reedície Manuálu o vládnom deficite a dlhu</w:t>
            </w:r>
          </w:p>
        </w:tc>
      </w:tr>
      <w:tr w:rsidR="00500BD0" w:rsidRPr="00D84330" w14:paraId="2926A2A6" w14:textId="77777777" w:rsidTr="00621FB3">
        <w:trPr>
          <w:trHeight w:val="579"/>
        </w:trPr>
        <w:tc>
          <w:tcPr>
            <w:tcW w:w="2423" w:type="pct"/>
            <w:tcBorders>
              <w:top w:val="nil"/>
              <w:left w:val="nil"/>
              <w:bottom w:val="nil"/>
              <w:right w:val="nil"/>
            </w:tcBorders>
            <w:shd w:val="clear" w:color="auto" w:fill="auto"/>
            <w:vAlign w:val="center"/>
            <w:hideMark/>
          </w:tcPr>
          <w:p w14:paraId="024E63A0" w14:textId="77777777" w:rsidR="00500BD0" w:rsidRPr="00D84330" w:rsidRDefault="00500BD0" w:rsidP="004C4DA2">
            <w:pPr>
              <w:spacing w:after="120" w:line="240" w:lineRule="auto"/>
              <w:rPr>
                <w:sz w:val="20"/>
                <w:szCs w:val="20"/>
                <w:lang w:eastAsia="sk-SK"/>
              </w:rPr>
            </w:pPr>
            <w:r w:rsidRPr="00D84330">
              <w:rPr>
                <w:sz w:val="20"/>
                <w:szCs w:val="20"/>
                <w:lang w:eastAsia="sk-SK"/>
              </w:rPr>
              <w:t>Úpravy v konsolidácii dlhu VS</w:t>
            </w:r>
          </w:p>
        </w:tc>
        <w:tc>
          <w:tcPr>
            <w:tcW w:w="625" w:type="pct"/>
            <w:tcBorders>
              <w:top w:val="nil"/>
              <w:left w:val="nil"/>
              <w:bottom w:val="nil"/>
              <w:right w:val="nil"/>
            </w:tcBorders>
            <w:shd w:val="clear" w:color="auto" w:fill="auto"/>
            <w:noWrap/>
            <w:vAlign w:val="center"/>
            <w:hideMark/>
          </w:tcPr>
          <w:p w14:paraId="1450B34A"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7 618</w:t>
            </w:r>
          </w:p>
        </w:tc>
        <w:tc>
          <w:tcPr>
            <w:tcW w:w="336" w:type="pct"/>
            <w:tcBorders>
              <w:top w:val="nil"/>
              <w:left w:val="nil"/>
              <w:bottom w:val="nil"/>
              <w:right w:val="nil"/>
            </w:tcBorders>
            <w:shd w:val="clear" w:color="auto" w:fill="auto"/>
            <w:noWrap/>
            <w:vAlign w:val="center"/>
            <w:hideMark/>
          </w:tcPr>
          <w:p w14:paraId="76FAE045" w14:textId="77777777" w:rsidR="00500BD0" w:rsidRPr="00D84330" w:rsidRDefault="00500BD0" w:rsidP="004C4DA2">
            <w:pPr>
              <w:spacing w:after="120" w:line="240" w:lineRule="auto"/>
              <w:jc w:val="right"/>
              <w:rPr>
                <w:sz w:val="20"/>
                <w:szCs w:val="20"/>
                <w:lang w:eastAsia="sk-SK"/>
              </w:rPr>
            </w:pPr>
            <w:r w:rsidRPr="00D84330">
              <w:rPr>
                <w:sz w:val="20"/>
                <w:szCs w:val="20"/>
                <w:lang w:eastAsia="sk-SK"/>
              </w:rPr>
              <w:t>0,008</w:t>
            </w:r>
          </w:p>
        </w:tc>
        <w:tc>
          <w:tcPr>
            <w:tcW w:w="1617" w:type="pct"/>
            <w:tcBorders>
              <w:top w:val="nil"/>
              <w:left w:val="nil"/>
              <w:bottom w:val="nil"/>
              <w:right w:val="nil"/>
            </w:tcBorders>
            <w:shd w:val="clear" w:color="auto" w:fill="auto"/>
            <w:vAlign w:val="center"/>
            <w:hideMark/>
          </w:tcPr>
          <w:p w14:paraId="117AA55D" w14:textId="77777777" w:rsidR="00500BD0" w:rsidRPr="00D84330" w:rsidRDefault="00500BD0" w:rsidP="004C4DA2">
            <w:pPr>
              <w:spacing w:after="120" w:line="240" w:lineRule="auto"/>
              <w:jc w:val="center"/>
              <w:rPr>
                <w:sz w:val="20"/>
                <w:szCs w:val="20"/>
                <w:lang w:eastAsia="sk-SK"/>
              </w:rPr>
            </w:pPr>
            <w:r w:rsidRPr="00D84330">
              <w:rPr>
                <w:sz w:val="20"/>
                <w:szCs w:val="20"/>
                <w:lang w:eastAsia="sk-SK"/>
              </w:rPr>
              <w:t>úprava hodnoty konsolidácie štátnych dlhopisov v d</w:t>
            </w:r>
            <w:r>
              <w:rPr>
                <w:sz w:val="20"/>
                <w:szCs w:val="20"/>
                <w:lang w:eastAsia="sk-SK"/>
              </w:rPr>
              <w:t>r</w:t>
            </w:r>
            <w:r w:rsidRPr="00D84330">
              <w:rPr>
                <w:sz w:val="20"/>
                <w:szCs w:val="20"/>
                <w:lang w:eastAsia="sk-SK"/>
              </w:rPr>
              <w:t>žbe Ex</w:t>
            </w:r>
            <w:r>
              <w:rPr>
                <w:sz w:val="20"/>
                <w:szCs w:val="20"/>
                <w:lang w:eastAsia="sk-SK"/>
              </w:rPr>
              <w:t>imbanky</w:t>
            </w:r>
            <w:r w:rsidRPr="00D84330">
              <w:rPr>
                <w:sz w:val="20"/>
                <w:szCs w:val="20"/>
                <w:lang w:eastAsia="sk-SK"/>
              </w:rPr>
              <w:t xml:space="preserve"> SR</w:t>
            </w:r>
          </w:p>
        </w:tc>
      </w:tr>
      <w:tr w:rsidR="00500BD0" w:rsidRPr="00D84330" w14:paraId="60309911" w14:textId="77777777" w:rsidTr="00B1010A">
        <w:trPr>
          <w:trHeight w:val="255"/>
        </w:trPr>
        <w:tc>
          <w:tcPr>
            <w:tcW w:w="2423" w:type="pct"/>
            <w:tcBorders>
              <w:top w:val="nil"/>
              <w:left w:val="nil"/>
              <w:bottom w:val="nil"/>
              <w:right w:val="nil"/>
            </w:tcBorders>
            <w:shd w:val="clear" w:color="auto" w:fill="auto"/>
            <w:noWrap/>
            <w:vAlign w:val="center"/>
            <w:hideMark/>
          </w:tcPr>
          <w:p w14:paraId="4A3A872E" w14:textId="77777777" w:rsidR="00500BD0" w:rsidRPr="00D84330" w:rsidRDefault="00500BD0" w:rsidP="00500BD0">
            <w:pPr>
              <w:spacing w:after="0" w:line="240" w:lineRule="auto"/>
              <w:rPr>
                <w:b/>
                <w:bCs/>
                <w:sz w:val="20"/>
                <w:szCs w:val="20"/>
                <w:lang w:eastAsia="sk-SK"/>
              </w:rPr>
            </w:pPr>
            <w:r w:rsidRPr="00D84330">
              <w:rPr>
                <w:b/>
                <w:bCs/>
                <w:sz w:val="20"/>
                <w:szCs w:val="20"/>
                <w:lang w:eastAsia="sk-SK"/>
              </w:rPr>
              <w:t>Úpravy dlhu oproti aprílu 2019</w:t>
            </w:r>
            <w:r>
              <w:rPr>
                <w:b/>
                <w:bCs/>
                <w:sz w:val="20"/>
                <w:szCs w:val="20"/>
                <w:lang w:eastAsia="sk-SK"/>
              </w:rPr>
              <w:t xml:space="preserve"> z dôvodu rutinnej revízie</w:t>
            </w:r>
            <w:r w:rsidRPr="00D84330">
              <w:rPr>
                <w:b/>
                <w:bCs/>
                <w:sz w:val="20"/>
                <w:szCs w:val="20"/>
                <w:lang w:eastAsia="sk-SK"/>
              </w:rPr>
              <w:t>:</w:t>
            </w:r>
          </w:p>
        </w:tc>
        <w:tc>
          <w:tcPr>
            <w:tcW w:w="625" w:type="pct"/>
            <w:tcBorders>
              <w:top w:val="nil"/>
              <w:left w:val="nil"/>
              <w:bottom w:val="nil"/>
              <w:right w:val="nil"/>
            </w:tcBorders>
            <w:shd w:val="clear" w:color="auto" w:fill="auto"/>
            <w:noWrap/>
            <w:vAlign w:val="center"/>
            <w:hideMark/>
          </w:tcPr>
          <w:p w14:paraId="4260D77D" w14:textId="77777777" w:rsidR="00500BD0" w:rsidRPr="00D84330" w:rsidRDefault="00500BD0" w:rsidP="00500BD0">
            <w:pPr>
              <w:spacing w:after="0" w:line="240" w:lineRule="auto"/>
              <w:rPr>
                <w:b/>
                <w:bCs/>
                <w:sz w:val="20"/>
                <w:szCs w:val="20"/>
                <w:lang w:eastAsia="sk-SK"/>
              </w:rPr>
            </w:pPr>
          </w:p>
        </w:tc>
        <w:tc>
          <w:tcPr>
            <w:tcW w:w="336" w:type="pct"/>
            <w:tcBorders>
              <w:top w:val="nil"/>
              <w:left w:val="nil"/>
              <w:bottom w:val="nil"/>
              <w:right w:val="nil"/>
            </w:tcBorders>
            <w:shd w:val="clear" w:color="auto" w:fill="auto"/>
            <w:noWrap/>
            <w:vAlign w:val="center"/>
            <w:hideMark/>
          </w:tcPr>
          <w:p w14:paraId="18379FD8" w14:textId="77777777" w:rsidR="00500BD0" w:rsidRPr="00D84330" w:rsidRDefault="00500BD0" w:rsidP="00500BD0">
            <w:pPr>
              <w:spacing w:after="0" w:line="240" w:lineRule="auto"/>
              <w:jc w:val="right"/>
              <w:rPr>
                <w:sz w:val="20"/>
                <w:szCs w:val="20"/>
                <w:lang w:eastAsia="sk-SK"/>
              </w:rPr>
            </w:pPr>
          </w:p>
        </w:tc>
        <w:tc>
          <w:tcPr>
            <w:tcW w:w="1617" w:type="pct"/>
            <w:tcBorders>
              <w:top w:val="nil"/>
              <w:left w:val="nil"/>
              <w:bottom w:val="nil"/>
              <w:right w:val="nil"/>
            </w:tcBorders>
            <w:shd w:val="clear" w:color="auto" w:fill="auto"/>
            <w:vAlign w:val="center"/>
            <w:hideMark/>
          </w:tcPr>
          <w:p w14:paraId="28FBD53F" w14:textId="77777777" w:rsidR="00500BD0" w:rsidRPr="00D84330" w:rsidRDefault="00500BD0" w:rsidP="00500BD0">
            <w:pPr>
              <w:spacing w:after="0" w:line="240" w:lineRule="auto"/>
              <w:jc w:val="right"/>
              <w:rPr>
                <w:sz w:val="20"/>
                <w:szCs w:val="20"/>
                <w:lang w:eastAsia="sk-SK"/>
              </w:rPr>
            </w:pPr>
          </w:p>
        </w:tc>
      </w:tr>
      <w:tr w:rsidR="00500BD0" w:rsidRPr="00D84330" w14:paraId="2F7C747F" w14:textId="77777777" w:rsidTr="00621FB3">
        <w:trPr>
          <w:trHeight w:val="355"/>
        </w:trPr>
        <w:tc>
          <w:tcPr>
            <w:tcW w:w="2423" w:type="pct"/>
            <w:tcBorders>
              <w:top w:val="nil"/>
              <w:left w:val="nil"/>
              <w:bottom w:val="nil"/>
              <w:right w:val="nil"/>
            </w:tcBorders>
            <w:shd w:val="clear" w:color="auto" w:fill="auto"/>
            <w:noWrap/>
            <w:vAlign w:val="center"/>
            <w:hideMark/>
          </w:tcPr>
          <w:p w14:paraId="436D1072" w14:textId="77777777" w:rsidR="00500BD0" w:rsidRPr="00D84330" w:rsidRDefault="00500BD0" w:rsidP="00500BD0">
            <w:pPr>
              <w:spacing w:after="0" w:line="240" w:lineRule="auto"/>
              <w:rPr>
                <w:sz w:val="20"/>
                <w:szCs w:val="20"/>
                <w:lang w:eastAsia="sk-SK"/>
              </w:rPr>
            </w:pPr>
            <w:r w:rsidRPr="00D84330">
              <w:rPr>
                <w:sz w:val="20"/>
                <w:szCs w:val="20"/>
                <w:lang w:eastAsia="sk-SK"/>
              </w:rPr>
              <w:t>Ostatné malé jednotky miestne</w:t>
            </w:r>
          </w:p>
        </w:tc>
        <w:tc>
          <w:tcPr>
            <w:tcW w:w="625" w:type="pct"/>
            <w:tcBorders>
              <w:top w:val="nil"/>
              <w:left w:val="nil"/>
              <w:bottom w:val="nil"/>
              <w:right w:val="nil"/>
            </w:tcBorders>
            <w:shd w:val="clear" w:color="auto" w:fill="auto"/>
            <w:noWrap/>
            <w:vAlign w:val="center"/>
            <w:hideMark/>
          </w:tcPr>
          <w:p w14:paraId="4A1CB523"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777</w:t>
            </w:r>
          </w:p>
        </w:tc>
        <w:tc>
          <w:tcPr>
            <w:tcW w:w="336" w:type="pct"/>
            <w:tcBorders>
              <w:top w:val="nil"/>
              <w:left w:val="nil"/>
              <w:bottom w:val="nil"/>
              <w:right w:val="nil"/>
            </w:tcBorders>
            <w:shd w:val="clear" w:color="auto" w:fill="auto"/>
            <w:noWrap/>
            <w:vAlign w:val="center"/>
            <w:hideMark/>
          </w:tcPr>
          <w:p w14:paraId="4A5DE3BE"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0,001</w:t>
            </w:r>
          </w:p>
        </w:tc>
        <w:tc>
          <w:tcPr>
            <w:tcW w:w="1617" w:type="pct"/>
            <w:tcBorders>
              <w:top w:val="nil"/>
              <w:left w:val="nil"/>
              <w:bottom w:val="nil"/>
              <w:right w:val="nil"/>
            </w:tcBorders>
            <w:shd w:val="clear" w:color="auto" w:fill="auto"/>
            <w:vAlign w:val="center"/>
            <w:hideMark/>
          </w:tcPr>
          <w:p w14:paraId="0EF6DCAC" w14:textId="77777777" w:rsidR="00500BD0" w:rsidRPr="00D84330" w:rsidRDefault="00500BD0" w:rsidP="00500BD0">
            <w:pPr>
              <w:spacing w:after="0" w:line="240" w:lineRule="auto"/>
              <w:jc w:val="center"/>
              <w:rPr>
                <w:sz w:val="20"/>
                <w:szCs w:val="20"/>
                <w:lang w:eastAsia="sk-SK"/>
              </w:rPr>
            </w:pPr>
            <w:r w:rsidRPr="00D84330">
              <w:rPr>
                <w:sz w:val="20"/>
                <w:szCs w:val="20"/>
                <w:lang w:eastAsia="sk-SK"/>
              </w:rPr>
              <w:t>aktualizácia na základe súvah</w:t>
            </w:r>
          </w:p>
        </w:tc>
      </w:tr>
      <w:tr w:rsidR="00500BD0" w:rsidRPr="00D84330" w14:paraId="4F19B599" w14:textId="77777777" w:rsidTr="00B1010A">
        <w:trPr>
          <w:trHeight w:val="136"/>
        </w:trPr>
        <w:tc>
          <w:tcPr>
            <w:tcW w:w="2423" w:type="pct"/>
            <w:tcBorders>
              <w:top w:val="nil"/>
              <w:left w:val="nil"/>
              <w:bottom w:val="nil"/>
              <w:right w:val="nil"/>
            </w:tcBorders>
            <w:shd w:val="clear" w:color="auto" w:fill="auto"/>
            <w:noWrap/>
            <w:vAlign w:val="center"/>
            <w:hideMark/>
          </w:tcPr>
          <w:p w14:paraId="548E06F3" w14:textId="77777777" w:rsidR="00500BD0" w:rsidRPr="00D84330" w:rsidRDefault="00500BD0" w:rsidP="00500BD0">
            <w:pPr>
              <w:spacing w:after="0" w:line="240" w:lineRule="auto"/>
              <w:rPr>
                <w:sz w:val="20"/>
                <w:szCs w:val="20"/>
                <w:lang w:eastAsia="sk-SK"/>
              </w:rPr>
            </w:pPr>
            <w:r w:rsidRPr="00D84330">
              <w:rPr>
                <w:sz w:val="20"/>
                <w:szCs w:val="20"/>
                <w:lang w:eastAsia="sk-SK"/>
              </w:rPr>
              <w:t>Dopravné podniky</w:t>
            </w:r>
          </w:p>
        </w:tc>
        <w:tc>
          <w:tcPr>
            <w:tcW w:w="625" w:type="pct"/>
            <w:tcBorders>
              <w:top w:val="nil"/>
              <w:left w:val="nil"/>
              <w:bottom w:val="nil"/>
              <w:right w:val="nil"/>
            </w:tcBorders>
            <w:shd w:val="clear" w:color="auto" w:fill="auto"/>
            <w:noWrap/>
            <w:vAlign w:val="center"/>
            <w:hideMark/>
          </w:tcPr>
          <w:p w14:paraId="67AD77CF"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34</w:t>
            </w:r>
          </w:p>
        </w:tc>
        <w:tc>
          <w:tcPr>
            <w:tcW w:w="336" w:type="pct"/>
            <w:tcBorders>
              <w:top w:val="nil"/>
              <w:left w:val="nil"/>
              <w:bottom w:val="nil"/>
              <w:right w:val="nil"/>
            </w:tcBorders>
            <w:shd w:val="clear" w:color="auto" w:fill="auto"/>
            <w:noWrap/>
            <w:vAlign w:val="center"/>
            <w:hideMark/>
          </w:tcPr>
          <w:p w14:paraId="04DA30BF"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0,000</w:t>
            </w:r>
          </w:p>
        </w:tc>
        <w:tc>
          <w:tcPr>
            <w:tcW w:w="1617" w:type="pct"/>
            <w:tcBorders>
              <w:top w:val="nil"/>
              <w:left w:val="nil"/>
              <w:bottom w:val="nil"/>
              <w:right w:val="nil"/>
            </w:tcBorders>
            <w:shd w:val="clear" w:color="auto" w:fill="auto"/>
            <w:vAlign w:val="center"/>
            <w:hideMark/>
          </w:tcPr>
          <w:p w14:paraId="418CBC1F" w14:textId="77777777" w:rsidR="00500BD0" w:rsidRPr="00D84330" w:rsidRDefault="00500BD0" w:rsidP="00500BD0">
            <w:pPr>
              <w:spacing w:after="0" w:line="240" w:lineRule="auto"/>
              <w:jc w:val="center"/>
              <w:rPr>
                <w:sz w:val="20"/>
                <w:szCs w:val="20"/>
                <w:lang w:eastAsia="sk-SK"/>
              </w:rPr>
            </w:pPr>
            <w:r w:rsidRPr="00D84330">
              <w:rPr>
                <w:sz w:val="20"/>
                <w:szCs w:val="20"/>
                <w:lang w:eastAsia="sk-SK"/>
              </w:rPr>
              <w:t>aktualizácia na základe súvah</w:t>
            </w:r>
          </w:p>
        </w:tc>
      </w:tr>
      <w:tr w:rsidR="00500BD0" w:rsidRPr="00D84330" w14:paraId="046B11EE" w14:textId="77777777" w:rsidTr="00B1010A">
        <w:trPr>
          <w:trHeight w:val="420"/>
        </w:trPr>
        <w:tc>
          <w:tcPr>
            <w:tcW w:w="2423" w:type="pct"/>
            <w:tcBorders>
              <w:top w:val="nil"/>
              <w:left w:val="nil"/>
              <w:bottom w:val="nil"/>
              <w:right w:val="nil"/>
            </w:tcBorders>
            <w:shd w:val="clear" w:color="auto" w:fill="auto"/>
            <w:noWrap/>
            <w:vAlign w:val="center"/>
            <w:hideMark/>
          </w:tcPr>
          <w:p w14:paraId="28587B3C" w14:textId="77777777" w:rsidR="00500BD0" w:rsidRPr="00D84330" w:rsidRDefault="00500BD0" w:rsidP="00500BD0">
            <w:pPr>
              <w:spacing w:after="0" w:line="240" w:lineRule="auto"/>
              <w:rPr>
                <w:sz w:val="20"/>
                <w:szCs w:val="20"/>
                <w:lang w:eastAsia="sk-SK"/>
              </w:rPr>
            </w:pPr>
            <w:r w:rsidRPr="00D84330">
              <w:rPr>
                <w:sz w:val="20"/>
                <w:szCs w:val="20"/>
                <w:lang w:eastAsia="sk-SK"/>
              </w:rPr>
              <w:t>Železničná spoločnosť Slovensko, a s.</w:t>
            </w:r>
          </w:p>
        </w:tc>
        <w:tc>
          <w:tcPr>
            <w:tcW w:w="625" w:type="pct"/>
            <w:tcBorders>
              <w:top w:val="nil"/>
              <w:left w:val="nil"/>
              <w:bottom w:val="nil"/>
              <w:right w:val="nil"/>
            </w:tcBorders>
            <w:shd w:val="clear" w:color="auto" w:fill="auto"/>
            <w:noWrap/>
            <w:vAlign w:val="center"/>
            <w:hideMark/>
          </w:tcPr>
          <w:p w14:paraId="657C7FAA"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33</w:t>
            </w:r>
          </w:p>
        </w:tc>
        <w:tc>
          <w:tcPr>
            <w:tcW w:w="336" w:type="pct"/>
            <w:tcBorders>
              <w:top w:val="nil"/>
              <w:left w:val="nil"/>
              <w:bottom w:val="nil"/>
              <w:right w:val="nil"/>
            </w:tcBorders>
            <w:shd w:val="clear" w:color="auto" w:fill="auto"/>
            <w:noWrap/>
            <w:vAlign w:val="center"/>
            <w:hideMark/>
          </w:tcPr>
          <w:p w14:paraId="743A98E9"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0,000</w:t>
            </w:r>
          </w:p>
        </w:tc>
        <w:tc>
          <w:tcPr>
            <w:tcW w:w="1617" w:type="pct"/>
            <w:tcBorders>
              <w:top w:val="nil"/>
              <w:left w:val="nil"/>
              <w:bottom w:val="nil"/>
              <w:right w:val="nil"/>
            </w:tcBorders>
            <w:shd w:val="clear" w:color="auto" w:fill="auto"/>
            <w:vAlign w:val="center"/>
            <w:hideMark/>
          </w:tcPr>
          <w:p w14:paraId="07092207" w14:textId="77777777" w:rsidR="00500BD0" w:rsidRPr="00D84330" w:rsidRDefault="00500BD0" w:rsidP="00500BD0">
            <w:pPr>
              <w:spacing w:after="0" w:line="240" w:lineRule="auto"/>
              <w:jc w:val="center"/>
              <w:rPr>
                <w:sz w:val="20"/>
                <w:szCs w:val="20"/>
                <w:lang w:eastAsia="sk-SK"/>
              </w:rPr>
            </w:pPr>
            <w:r w:rsidRPr="00D84330">
              <w:rPr>
                <w:sz w:val="20"/>
                <w:szCs w:val="20"/>
                <w:lang w:eastAsia="sk-SK"/>
              </w:rPr>
              <w:t>aktualizácia na základe súvah</w:t>
            </w:r>
          </w:p>
        </w:tc>
      </w:tr>
      <w:tr w:rsidR="00500BD0" w:rsidRPr="00D84330" w14:paraId="04E07DBE" w14:textId="77777777" w:rsidTr="00621FB3">
        <w:trPr>
          <w:trHeight w:val="80"/>
        </w:trPr>
        <w:tc>
          <w:tcPr>
            <w:tcW w:w="2423" w:type="pct"/>
            <w:tcBorders>
              <w:top w:val="nil"/>
              <w:left w:val="nil"/>
              <w:bottom w:val="nil"/>
              <w:right w:val="nil"/>
            </w:tcBorders>
            <w:shd w:val="clear" w:color="auto" w:fill="auto"/>
            <w:noWrap/>
            <w:vAlign w:val="center"/>
            <w:hideMark/>
          </w:tcPr>
          <w:p w14:paraId="1A9B9175" w14:textId="77777777" w:rsidR="00500BD0" w:rsidRPr="00D84330" w:rsidRDefault="00500BD0" w:rsidP="00500BD0">
            <w:pPr>
              <w:spacing w:after="0" w:line="240" w:lineRule="auto"/>
              <w:rPr>
                <w:sz w:val="20"/>
                <w:szCs w:val="20"/>
                <w:lang w:eastAsia="sk-SK"/>
              </w:rPr>
            </w:pPr>
            <w:r w:rsidRPr="00D84330">
              <w:rPr>
                <w:sz w:val="20"/>
                <w:szCs w:val="20"/>
                <w:lang w:eastAsia="sk-SK"/>
              </w:rPr>
              <w:t>Zdravotnícke zariadenia ústredné</w:t>
            </w:r>
          </w:p>
        </w:tc>
        <w:tc>
          <w:tcPr>
            <w:tcW w:w="625" w:type="pct"/>
            <w:tcBorders>
              <w:top w:val="nil"/>
              <w:left w:val="nil"/>
              <w:bottom w:val="nil"/>
              <w:right w:val="nil"/>
            </w:tcBorders>
            <w:shd w:val="clear" w:color="auto" w:fill="auto"/>
            <w:noWrap/>
            <w:vAlign w:val="center"/>
            <w:hideMark/>
          </w:tcPr>
          <w:p w14:paraId="5D27FF9B"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-14</w:t>
            </w:r>
          </w:p>
        </w:tc>
        <w:tc>
          <w:tcPr>
            <w:tcW w:w="336" w:type="pct"/>
            <w:tcBorders>
              <w:top w:val="nil"/>
              <w:left w:val="nil"/>
              <w:bottom w:val="nil"/>
              <w:right w:val="nil"/>
            </w:tcBorders>
            <w:shd w:val="clear" w:color="auto" w:fill="auto"/>
            <w:noWrap/>
            <w:vAlign w:val="center"/>
            <w:hideMark/>
          </w:tcPr>
          <w:p w14:paraId="6285CFCC" w14:textId="77777777" w:rsidR="00500BD0" w:rsidRPr="00D84330" w:rsidRDefault="00500BD0" w:rsidP="00500BD0">
            <w:pPr>
              <w:spacing w:after="0" w:line="240" w:lineRule="auto"/>
              <w:jc w:val="right"/>
              <w:rPr>
                <w:sz w:val="20"/>
                <w:szCs w:val="20"/>
                <w:lang w:eastAsia="sk-SK"/>
              </w:rPr>
            </w:pPr>
            <w:r w:rsidRPr="00D84330">
              <w:rPr>
                <w:sz w:val="20"/>
                <w:szCs w:val="20"/>
                <w:lang w:eastAsia="sk-SK"/>
              </w:rPr>
              <w:t>0,000</w:t>
            </w:r>
          </w:p>
        </w:tc>
        <w:tc>
          <w:tcPr>
            <w:tcW w:w="1617" w:type="pct"/>
            <w:tcBorders>
              <w:top w:val="nil"/>
              <w:left w:val="nil"/>
              <w:bottom w:val="nil"/>
              <w:right w:val="nil"/>
            </w:tcBorders>
            <w:shd w:val="clear" w:color="auto" w:fill="auto"/>
            <w:vAlign w:val="center"/>
            <w:hideMark/>
          </w:tcPr>
          <w:p w14:paraId="4281B3EE" w14:textId="77777777" w:rsidR="00500BD0" w:rsidRPr="00D84330" w:rsidRDefault="00500BD0" w:rsidP="00500BD0">
            <w:pPr>
              <w:spacing w:after="0" w:line="240" w:lineRule="auto"/>
              <w:jc w:val="center"/>
              <w:rPr>
                <w:sz w:val="20"/>
                <w:szCs w:val="20"/>
                <w:lang w:eastAsia="sk-SK"/>
              </w:rPr>
            </w:pPr>
            <w:r w:rsidRPr="00D84330">
              <w:rPr>
                <w:sz w:val="20"/>
                <w:szCs w:val="20"/>
                <w:lang w:eastAsia="sk-SK"/>
              </w:rPr>
              <w:t>aktualizácia na základe súvah</w:t>
            </w:r>
          </w:p>
        </w:tc>
      </w:tr>
      <w:tr w:rsidR="00500BD0" w:rsidRPr="00D84330" w14:paraId="52922960" w14:textId="77777777" w:rsidTr="00F240C9">
        <w:trPr>
          <w:trHeight w:val="93"/>
        </w:trPr>
        <w:tc>
          <w:tcPr>
            <w:tcW w:w="2423" w:type="pct"/>
            <w:tcBorders>
              <w:top w:val="single" w:sz="4" w:space="0" w:color="auto"/>
              <w:left w:val="nil"/>
              <w:bottom w:val="single" w:sz="4" w:space="0" w:color="auto"/>
              <w:right w:val="nil"/>
            </w:tcBorders>
            <w:shd w:val="clear" w:color="auto" w:fill="BFBFBF" w:themeFill="background1" w:themeFillShade="BF"/>
            <w:vAlign w:val="center"/>
            <w:hideMark/>
          </w:tcPr>
          <w:p w14:paraId="3344920E" w14:textId="77777777" w:rsidR="00500BD0" w:rsidRPr="00D84330" w:rsidRDefault="00500BD0" w:rsidP="00500BD0">
            <w:pPr>
              <w:spacing w:after="0" w:line="240" w:lineRule="auto"/>
              <w:rPr>
                <w:b/>
                <w:bCs/>
                <w:sz w:val="20"/>
                <w:szCs w:val="20"/>
                <w:lang w:eastAsia="sk-SK"/>
              </w:rPr>
            </w:pPr>
            <w:r w:rsidRPr="00D84330">
              <w:rPr>
                <w:b/>
                <w:bCs/>
                <w:sz w:val="20"/>
                <w:szCs w:val="20"/>
                <w:lang w:eastAsia="sk-SK"/>
              </w:rPr>
              <w:t>Maastrichtský dlh  VS - október 201</w:t>
            </w:r>
            <w:r>
              <w:rPr>
                <w:b/>
                <w:bCs/>
                <w:sz w:val="20"/>
                <w:szCs w:val="20"/>
                <w:lang w:eastAsia="sk-SK"/>
              </w:rPr>
              <w:t>9</w:t>
            </w:r>
          </w:p>
        </w:tc>
        <w:tc>
          <w:tcPr>
            <w:tcW w:w="625" w:type="pct"/>
            <w:tcBorders>
              <w:top w:val="single" w:sz="4" w:space="0" w:color="auto"/>
              <w:left w:val="nil"/>
              <w:bottom w:val="single" w:sz="4" w:space="0" w:color="auto"/>
              <w:right w:val="nil"/>
            </w:tcBorders>
            <w:shd w:val="clear" w:color="auto" w:fill="BFBFBF" w:themeFill="background1" w:themeFillShade="BF"/>
            <w:vAlign w:val="center"/>
            <w:hideMark/>
          </w:tcPr>
          <w:p w14:paraId="68A3E71E" w14:textId="77777777" w:rsidR="00500BD0" w:rsidRPr="00D84330" w:rsidRDefault="00500BD0" w:rsidP="00500BD0">
            <w:pPr>
              <w:spacing w:after="0" w:line="240" w:lineRule="auto"/>
              <w:jc w:val="right"/>
              <w:rPr>
                <w:b/>
                <w:bCs/>
                <w:sz w:val="20"/>
                <w:szCs w:val="20"/>
                <w:lang w:eastAsia="sk-SK"/>
              </w:rPr>
            </w:pPr>
            <w:r w:rsidRPr="00D84330">
              <w:rPr>
                <w:b/>
                <w:bCs/>
                <w:sz w:val="20"/>
                <w:szCs w:val="20"/>
                <w:lang w:eastAsia="sk-SK"/>
              </w:rPr>
              <w:t>44 321 852</w:t>
            </w:r>
          </w:p>
        </w:tc>
        <w:tc>
          <w:tcPr>
            <w:tcW w:w="336" w:type="pct"/>
            <w:tcBorders>
              <w:top w:val="single" w:sz="4" w:space="0" w:color="auto"/>
              <w:left w:val="nil"/>
              <w:bottom w:val="single" w:sz="4" w:space="0" w:color="auto"/>
              <w:right w:val="nil"/>
            </w:tcBorders>
            <w:shd w:val="clear" w:color="auto" w:fill="BFBFBF" w:themeFill="background1" w:themeFillShade="BF"/>
            <w:vAlign w:val="center"/>
            <w:hideMark/>
          </w:tcPr>
          <w:p w14:paraId="72E66767" w14:textId="60091E27" w:rsidR="00500BD0" w:rsidRPr="00D84330" w:rsidRDefault="00A373A4" w:rsidP="00500BD0">
            <w:pPr>
              <w:spacing w:after="0" w:line="240" w:lineRule="auto"/>
              <w:jc w:val="right"/>
              <w:rPr>
                <w:b/>
                <w:bCs/>
                <w:sz w:val="20"/>
                <w:szCs w:val="20"/>
                <w:lang w:eastAsia="sk-SK"/>
              </w:rPr>
            </w:pPr>
            <w:r>
              <w:rPr>
                <w:b/>
                <w:bCs/>
                <w:sz w:val="20"/>
                <w:szCs w:val="20"/>
                <w:lang w:eastAsia="sk-SK"/>
              </w:rPr>
              <w:t>49,4</w:t>
            </w:r>
          </w:p>
        </w:tc>
        <w:tc>
          <w:tcPr>
            <w:tcW w:w="1617" w:type="pct"/>
            <w:tcBorders>
              <w:top w:val="single" w:sz="4" w:space="0" w:color="auto"/>
              <w:left w:val="nil"/>
              <w:bottom w:val="single" w:sz="4" w:space="0" w:color="auto"/>
              <w:right w:val="nil"/>
            </w:tcBorders>
            <w:shd w:val="clear" w:color="auto" w:fill="BFBFBF" w:themeFill="background1" w:themeFillShade="BF"/>
            <w:noWrap/>
            <w:vAlign w:val="center"/>
            <w:hideMark/>
          </w:tcPr>
          <w:p w14:paraId="0C19BDC7" w14:textId="77777777" w:rsidR="00500BD0" w:rsidRPr="00D84330" w:rsidRDefault="00500BD0" w:rsidP="00500BD0">
            <w:pPr>
              <w:spacing w:after="0" w:line="240" w:lineRule="auto"/>
              <w:jc w:val="center"/>
              <w:rPr>
                <w:b/>
                <w:bCs/>
                <w:sz w:val="20"/>
                <w:szCs w:val="20"/>
                <w:lang w:eastAsia="sk-SK"/>
              </w:rPr>
            </w:pPr>
            <w:r w:rsidRPr="00D84330">
              <w:rPr>
                <w:b/>
                <w:bCs/>
                <w:sz w:val="20"/>
                <w:szCs w:val="20"/>
                <w:lang w:eastAsia="sk-SK"/>
              </w:rPr>
              <w:t> </w:t>
            </w:r>
          </w:p>
        </w:tc>
      </w:tr>
    </w:tbl>
    <w:p w14:paraId="4C4A168D" w14:textId="77777777" w:rsidR="00500BD0" w:rsidRPr="008647B6" w:rsidRDefault="00500BD0" w:rsidP="00500BD0">
      <w:pPr>
        <w:pStyle w:val="Odsekzoznamu"/>
        <w:jc w:val="right"/>
        <w:rPr>
          <w:sz w:val="18"/>
          <w:szCs w:val="18"/>
        </w:rPr>
      </w:pPr>
      <w:r w:rsidRPr="008647B6">
        <w:rPr>
          <w:sz w:val="18"/>
          <w:szCs w:val="18"/>
        </w:rPr>
        <w:t>Zdroj: MF SR</w:t>
      </w:r>
    </w:p>
    <w:p w14:paraId="594554BF" w14:textId="77777777" w:rsidR="004C4DA2" w:rsidRDefault="004C4DA2">
      <w:r>
        <w:br w:type="page"/>
      </w:r>
    </w:p>
    <w:p w14:paraId="514FEE6C" w14:textId="7DC71388" w:rsidR="00500BD0" w:rsidRDefault="00500BD0" w:rsidP="00500BD0">
      <w:pPr>
        <w:spacing w:before="240"/>
        <w:jc w:val="both"/>
      </w:pPr>
      <w:r>
        <w:t>Najvýznamnejšie revízie v maastrichtskom dlhu sa udiali najmä z dôvodu uskutočnenia benchmarkovej revízie:</w:t>
      </w:r>
    </w:p>
    <w:p w14:paraId="027A7EDA" w14:textId="77777777" w:rsidR="00500BD0" w:rsidRDefault="00500BD0" w:rsidP="00500BD0">
      <w:pPr>
        <w:pStyle w:val="Odsekzoznamu"/>
        <w:numPr>
          <w:ilvl w:val="0"/>
          <w:numId w:val="11"/>
        </w:numPr>
        <w:spacing w:before="240" w:line="336" w:lineRule="auto"/>
        <w:jc w:val="both"/>
      </w:pPr>
      <w:r>
        <w:t>V rámci</w:t>
      </w:r>
      <w:r w:rsidRPr="00726927">
        <w:t xml:space="preserve"> tejto revízie bola vyčíslená hodnota záväzkov zdravotníckych zariadení, ktoré pôvodní veritelia postúpili na ďalšie subjekty. Tento druh záväzkov je podľa metodiky ESA 2010 dlhovým nástrojom. Táto revízia spôsobila </w:t>
      </w:r>
      <w:r>
        <w:t>zvýšenie</w:t>
      </w:r>
      <w:r w:rsidRPr="00726927">
        <w:t xml:space="preserve"> maastrichtského dlhu oproti </w:t>
      </w:r>
      <w:r>
        <w:t xml:space="preserve">stavu notifikovanému pri jarnej notifikácii </w:t>
      </w:r>
      <w:r w:rsidRPr="00726927">
        <w:t>o </w:t>
      </w:r>
      <w:r>
        <w:t>90 018</w:t>
      </w:r>
      <w:r w:rsidRPr="00726927">
        <w:t> tis. eur.</w:t>
      </w:r>
    </w:p>
    <w:p w14:paraId="30612DF7" w14:textId="77777777" w:rsidR="00500BD0" w:rsidRDefault="00500BD0" w:rsidP="00500BD0">
      <w:pPr>
        <w:pStyle w:val="Odsekzoznamu"/>
        <w:numPr>
          <w:ilvl w:val="0"/>
          <w:numId w:val="11"/>
        </w:numPr>
        <w:spacing w:before="120" w:line="336" w:lineRule="auto"/>
        <w:jc w:val="both"/>
      </w:pPr>
      <w:r>
        <w:t xml:space="preserve">Za dlhový nástroj sa podľa revidovaného Manuálu o vládnom deficite a dlhu považujú aj záväzky z obchodného styku a prijaté preddavky s pôvodnou dobou splatnosti dlhšou ako jeden rok. Revízia o tento dlhový nástroj spôsobila zvýšenie maastrichtského dlhu </w:t>
      </w:r>
      <w:r w:rsidRPr="00726927">
        <w:t>oproti </w:t>
      </w:r>
      <w:r>
        <w:t xml:space="preserve">stavu notifikovanému pri jarnej notifikácii </w:t>
      </w:r>
      <w:r w:rsidRPr="00726927">
        <w:t>o</w:t>
      </w:r>
      <w:r>
        <w:t> 86 502</w:t>
      </w:r>
      <w:r w:rsidRPr="00726927">
        <w:t> tis. eur.</w:t>
      </w:r>
    </w:p>
    <w:p w14:paraId="1B2D1C20" w14:textId="77777777" w:rsidR="00500BD0" w:rsidRDefault="00500BD0" w:rsidP="00500BD0">
      <w:pPr>
        <w:pStyle w:val="Odsekzoznamu"/>
        <w:numPr>
          <w:ilvl w:val="0"/>
          <w:numId w:val="11"/>
        </w:numPr>
        <w:spacing w:line="336" w:lineRule="auto"/>
        <w:jc w:val="both"/>
      </w:pPr>
      <w:r>
        <w:t>V celom časovom rade boli skonsolidované štátne dlhopisy, ktoré mala v držbe Eximbanka SR.</w:t>
      </w:r>
    </w:p>
    <w:p w14:paraId="6D19D152" w14:textId="51715B33" w:rsidR="003D050C" w:rsidRPr="0070636D" w:rsidRDefault="00C102B8" w:rsidP="00C102B8">
      <w:pPr>
        <w:pStyle w:val="Nadpis2"/>
        <w:numPr>
          <w:ilvl w:val="0"/>
          <w:numId w:val="0"/>
        </w:numPr>
        <w:spacing w:after="120"/>
        <w:ind w:left="896"/>
      </w:pPr>
      <w:bookmarkStart w:id="25" w:name="_Toc496786978"/>
      <w:bookmarkStart w:id="26" w:name="_Toc23264795"/>
      <w:r w:rsidRPr="0070636D">
        <w:t>1.5.</w:t>
      </w:r>
      <w:r w:rsidRPr="0070636D">
        <w:tab/>
      </w:r>
      <w:r w:rsidR="003D050C" w:rsidRPr="0070636D">
        <w:t>Porovnanie salda a dlhu verejnej správy v rámci Európskej únie</w:t>
      </w:r>
      <w:bookmarkEnd w:id="25"/>
      <w:bookmarkEnd w:id="26"/>
    </w:p>
    <w:p w14:paraId="5BF2F206" w14:textId="77777777" w:rsidR="00500BD0" w:rsidRPr="00552ED8" w:rsidRDefault="00500BD0" w:rsidP="00500BD0">
      <w:pPr>
        <w:spacing w:after="120" w:line="336" w:lineRule="auto"/>
        <w:jc w:val="both"/>
        <w:rPr>
          <w:b/>
          <w:szCs w:val="22"/>
        </w:rPr>
      </w:pPr>
      <w:r w:rsidRPr="00552ED8">
        <w:rPr>
          <w:szCs w:val="22"/>
        </w:rPr>
        <w:t xml:space="preserve">V rámci Európskej únie (28 krajín) v roku 2018 dosiahlo 7 krajín vyšší schodok a 16 krajín dosiahlo vyšší dlh verejnej správy ako Slovenská republika. </w:t>
      </w:r>
      <w:r w:rsidRPr="00552ED8">
        <w:rPr>
          <w:b/>
          <w:szCs w:val="22"/>
        </w:rPr>
        <w:t>Priemerný schodok EÚ 28 bol 0,7 %</w:t>
      </w:r>
      <w:r>
        <w:rPr>
          <w:b/>
          <w:szCs w:val="22"/>
        </w:rPr>
        <w:t> </w:t>
      </w:r>
      <w:r w:rsidRPr="00552ED8">
        <w:rPr>
          <w:b/>
          <w:szCs w:val="22"/>
        </w:rPr>
        <w:t xml:space="preserve">HDP (Slovensko schodok 1,1 % HDP) a priemerný dlh verejnej správy EÚ 28 bol 80,4 % HDP (Slovensko 49,4 % HDP) v roku 2018. </w:t>
      </w:r>
    </w:p>
    <w:p w14:paraId="123BA501" w14:textId="03B5FAAE" w:rsidR="00500BD0" w:rsidRPr="00552ED8" w:rsidRDefault="00500BD0" w:rsidP="00500BD0">
      <w:pPr>
        <w:spacing w:after="120" w:line="336" w:lineRule="auto"/>
        <w:jc w:val="both"/>
        <w:rPr>
          <w:szCs w:val="22"/>
        </w:rPr>
      </w:pPr>
      <w:r w:rsidRPr="00552ED8">
        <w:rPr>
          <w:szCs w:val="22"/>
        </w:rPr>
        <w:t>Najvyššie schodky verejnej správy v rámci EÚ 28 v roku 2018 vykázali opäť krajiny, ktoré v predchádzajúcich rokoch vykazovali najvyššie hodnoty. Cyprus dosiahol najvyšší schodok z krajín EÚ vo výške 4,4 % HDP a zaznamenal najvyššie medziročné zhoršenie o 6,1</w:t>
      </w:r>
      <w:r>
        <w:rPr>
          <w:szCs w:val="22"/>
        </w:rPr>
        <w:t> </w:t>
      </w:r>
      <w:r w:rsidRPr="00552ED8">
        <w:rPr>
          <w:szCs w:val="22"/>
        </w:rPr>
        <w:t>p.</w:t>
      </w:r>
      <w:r>
        <w:rPr>
          <w:szCs w:val="22"/>
        </w:rPr>
        <w:t> </w:t>
      </w:r>
      <w:r w:rsidRPr="00552ED8">
        <w:rPr>
          <w:szCs w:val="22"/>
        </w:rPr>
        <w:t>b, Rumunsko 3,0</w:t>
      </w:r>
      <w:r>
        <w:rPr>
          <w:szCs w:val="22"/>
        </w:rPr>
        <w:t> % </w:t>
      </w:r>
      <w:r w:rsidRPr="00552ED8">
        <w:rPr>
          <w:szCs w:val="22"/>
        </w:rPr>
        <w:t>HDP, Španielsko 2,5 % HDP a Francúzsko 2,5 % HDP. Oproti predchádzajúcemu roku sa počet krajín, ktoré hospodárili s prebytkom, znížil z trinásť na dvanásť krajín. Najvyšší prebytok dosiahlo Luxembursko 2,7 % HDP, Nemecko 1,9 % DHP, Malta 1,9 % HDP, Bulharsko 1,8</w:t>
      </w:r>
      <w:r>
        <w:rPr>
          <w:szCs w:val="22"/>
        </w:rPr>
        <w:t> </w:t>
      </w:r>
      <w:r w:rsidRPr="00552ED8">
        <w:rPr>
          <w:szCs w:val="22"/>
        </w:rPr>
        <w:t>% DP, Holandsko 1,5</w:t>
      </w:r>
      <w:r>
        <w:rPr>
          <w:szCs w:val="22"/>
        </w:rPr>
        <w:t> </w:t>
      </w:r>
      <w:r w:rsidRPr="00552ED8">
        <w:rPr>
          <w:szCs w:val="22"/>
        </w:rPr>
        <w:t>%</w:t>
      </w:r>
      <w:r>
        <w:rPr>
          <w:szCs w:val="22"/>
        </w:rPr>
        <w:t> </w:t>
      </w:r>
      <w:r w:rsidRPr="00552ED8">
        <w:rPr>
          <w:szCs w:val="22"/>
        </w:rPr>
        <w:t>HDP a Česká republika 1,1 % HDP. Najvýraznejšie medziročné zlepšenie dosiahlo Portugalsko o 2,6</w:t>
      </w:r>
      <w:r>
        <w:rPr>
          <w:szCs w:val="22"/>
        </w:rPr>
        <w:t> </w:t>
      </w:r>
      <w:r w:rsidRPr="00552ED8">
        <w:rPr>
          <w:szCs w:val="22"/>
        </w:rPr>
        <w:t>p.</w:t>
      </w:r>
      <w:r>
        <w:rPr>
          <w:szCs w:val="22"/>
        </w:rPr>
        <w:t> </w:t>
      </w:r>
      <w:r w:rsidRPr="00552ED8">
        <w:rPr>
          <w:szCs w:val="22"/>
        </w:rPr>
        <w:t>b., Poľsko o 1,3</w:t>
      </w:r>
      <w:r>
        <w:rPr>
          <w:szCs w:val="22"/>
        </w:rPr>
        <w:t> </w:t>
      </w:r>
      <w:r w:rsidRPr="00552ED8">
        <w:rPr>
          <w:szCs w:val="22"/>
        </w:rPr>
        <w:t>p.</w:t>
      </w:r>
      <w:r>
        <w:rPr>
          <w:szCs w:val="22"/>
        </w:rPr>
        <w:t> b. a Luxembursko o 1,3 p. </w:t>
      </w:r>
      <w:r w:rsidRPr="00552ED8">
        <w:rPr>
          <w:szCs w:val="22"/>
        </w:rPr>
        <w:t>b.</w:t>
      </w:r>
    </w:p>
    <w:p w14:paraId="1535D329" w14:textId="77777777" w:rsidR="00500BD0" w:rsidRPr="00552ED8" w:rsidRDefault="00500BD0" w:rsidP="00500BD0">
      <w:pPr>
        <w:spacing w:after="120" w:line="336" w:lineRule="auto"/>
        <w:jc w:val="both"/>
        <w:rPr>
          <w:szCs w:val="22"/>
        </w:rPr>
      </w:pPr>
      <w:r w:rsidRPr="00552ED8">
        <w:rPr>
          <w:szCs w:val="22"/>
        </w:rPr>
        <w:t xml:space="preserve">Deficit verejných financií </w:t>
      </w:r>
      <w:r w:rsidRPr="00552ED8">
        <w:rPr>
          <w:b/>
          <w:szCs w:val="22"/>
        </w:rPr>
        <w:t>Slovenska</w:t>
      </w:r>
      <w:r w:rsidRPr="00552ED8">
        <w:rPr>
          <w:szCs w:val="22"/>
        </w:rPr>
        <w:t xml:space="preserve"> dosiahol v roku 2018 hodnotu na</w:t>
      </w:r>
      <w:r>
        <w:rPr>
          <w:szCs w:val="22"/>
        </w:rPr>
        <w:t xml:space="preserve"> úrovni 1,1 % HDP, čo </w:t>
      </w:r>
      <w:r w:rsidRPr="00552ED8">
        <w:rPr>
          <w:szCs w:val="22"/>
        </w:rPr>
        <w:t>predstavovalo medziročné zhoršenie o 0,1</w:t>
      </w:r>
      <w:r>
        <w:rPr>
          <w:szCs w:val="22"/>
        </w:rPr>
        <w:t> </w:t>
      </w:r>
      <w:r w:rsidRPr="00552ED8">
        <w:rPr>
          <w:szCs w:val="22"/>
        </w:rPr>
        <w:t>p.</w:t>
      </w:r>
      <w:r>
        <w:rPr>
          <w:szCs w:val="22"/>
        </w:rPr>
        <w:t> </w:t>
      </w:r>
      <w:r w:rsidRPr="00552ED8">
        <w:rPr>
          <w:szCs w:val="22"/>
        </w:rPr>
        <w:t>b.</w:t>
      </w:r>
    </w:p>
    <w:p w14:paraId="4CF27D6C" w14:textId="77777777" w:rsidR="00500BD0" w:rsidRPr="00552ED8" w:rsidRDefault="00500BD0" w:rsidP="00500BD0">
      <w:pPr>
        <w:spacing w:after="120" w:line="336" w:lineRule="auto"/>
        <w:jc w:val="both"/>
        <w:rPr>
          <w:b/>
          <w:color w:val="FF0000"/>
          <w:szCs w:val="22"/>
        </w:rPr>
      </w:pPr>
      <w:bookmarkStart w:id="27" w:name="_Toc401920011"/>
      <w:bookmarkStart w:id="28" w:name="_Toc465255015"/>
      <w:bookmarkStart w:id="29" w:name="_Toc465255615"/>
      <w:bookmarkStart w:id="30" w:name="_Toc465257924"/>
      <w:bookmarkStart w:id="31" w:name="_Toc465258105"/>
      <w:bookmarkStart w:id="32" w:name="_Toc465258480"/>
      <w:r w:rsidRPr="00552ED8">
        <w:rPr>
          <w:szCs w:val="22"/>
        </w:rPr>
        <w:t>Medzi krajinami s najvyšším dlhom sa nachádzajú krajiny s dlhodobo vysokými dlhmi ako Taliansko a Belgicko. Päť krajín dosiahlo úroveň zadlženosti nad 100 %. Najvyšší dlh verejnej správy v roku 2018 opäť vykázalo Grécko 181,2 %</w:t>
      </w:r>
      <w:r>
        <w:rPr>
          <w:szCs w:val="22"/>
        </w:rPr>
        <w:t> </w:t>
      </w:r>
      <w:r w:rsidRPr="00552ED8">
        <w:rPr>
          <w:szCs w:val="22"/>
        </w:rPr>
        <w:t>HDP, Taliansko 134,8 % HDP, Portugalsko 122,2 % HDP, Cyprus 100,6</w:t>
      </w:r>
      <w:r>
        <w:rPr>
          <w:szCs w:val="22"/>
        </w:rPr>
        <w:t> </w:t>
      </w:r>
      <w:r w:rsidRPr="00552ED8">
        <w:rPr>
          <w:szCs w:val="22"/>
        </w:rPr>
        <w:t>%</w:t>
      </w:r>
      <w:r>
        <w:rPr>
          <w:szCs w:val="22"/>
        </w:rPr>
        <w:t> </w:t>
      </w:r>
      <w:r w:rsidRPr="00552ED8">
        <w:rPr>
          <w:szCs w:val="22"/>
        </w:rPr>
        <w:t>HDP a Belgicko 100,0 % HDP. Najnižší dlh vykázalo Estónsko vo výške 8,4</w:t>
      </w:r>
      <w:r>
        <w:rPr>
          <w:szCs w:val="22"/>
        </w:rPr>
        <w:t> </w:t>
      </w:r>
      <w:r w:rsidRPr="00552ED8">
        <w:rPr>
          <w:szCs w:val="22"/>
        </w:rPr>
        <w:t>%</w:t>
      </w:r>
      <w:r>
        <w:rPr>
          <w:szCs w:val="22"/>
        </w:rPr>
        <w:t> </w:t>
      </w:r>
      <w:r w:rsidRPr="00552ED8">
        <w:rPr>
          <w:szCs w:val="22"/>
        </w:rPr>
        <w:t>HDP, Luxembursko 21,0</w:t>
      </w:r>
      <w:r>
        <w:rPr>
          <w:szCs w:val="22"/>
        </w:rPr>
        <w:t> % </w:t>
      </w:r>
      <w:r w:rsidRPr="00552ED8">
        <w:rPr>
          <w:szCs w:val="22"/>
        </w:rPr>
        <w:t>HDP, Bulharsko 22,3</w:t>
      </w:r>
      <w:r>
        <w:rPr>
          <w:szCs w:val="22"/>
        </w:rPr>
        <w:t> </w:t>
      </w:r>
      <w:r w:rsidRPr="00552ED8">
        <w:rPr>
          <w:szCs w:val="22"/>
        </w:rPr>
        <w:t>%</w:t>
      </w:r>
      <w:r>
        <w:rPr>
          <w:szCs w:val="22"/>
        </w:rPr>
        <w:t> </w:t>
      </w:r>
      <w:r w:rsidRPr="00552ED8">
        <w:rPr>
          <w:szCs w:val="22"/>
        </w:rPr>
        <w:t>HDP a Česká republika 32,6</w:t>
      </w:r>
      <w:r>
        <w:rPr>
          <w:szCs w:val="22"/>
        </w:rPr>
        <w:t> </w:t>
      </w:r>
      <w:r w:rsidRPr="00552ED8">
        <w:rPr>
          <w:szCs w:val="22"/>
        </w:rPr>
        <w:t>%</w:t>
      </w:r>
      <w:r>
        <w:rPr>
          <w:szCs w:val="22"/>
        </w:rPr>
        <w:t> </w:t>
      </w:r>
      <w:r w:rsidRPr="00552ED8">
        <w:rPr>
          <w:szCs w:val="22"/>
        </w:rPr>
        <w:t>DPH.</w:t>
      </w:r>
    </w:p>
    <w:p w14:paraId="530773E6" w14:textId="09CDC473" w:rsidR="00AF3131" w:rsidRDefault="00500BD0" w:rsidP="00500BD0">
      <w:pPr>
        <w:spacing w:after="120" w:line="336" w:lineRule="auto"/>
        <w:jc w:val="both"/>
        <w:rPr>
          <w:b/>
          <w:szCs w:val="22"/>
        </w:rPr>
      </w:pPr>
      <w:r w:rsidRPr="00552ED8">
        <w:rPr>
          <w:szCs w:val="22"/>
        </w:rPr>
        <w:t xml:space="preserve">Slovensko so svojím dlhom </w:t>
      </w:r>
      <w:r w:rsidRPr="00552ED8">
        <w:rPr>
          <w:b/>
          <w:szCs w:val="22"/>
        </w:rPr>
        <w:t xml:space="preserve">49,4 % HDP, čo </w:t>
      </w:r>
      <w:r w:rsidR="00D704AF">
        <w:rPr>
          <w:b/>
          <w:szCs w:val="22"/>
        </w:rPr>
        <w:t>znamenalo</w:t>
      </w:r>
      <w:r w:rsidRPr="00552ED8">
        <w:rPr>
          <w:b/>
          <w:szCs w:val="22"/>
        </w:rPr>
        <w:t xml:space="preserve"> medziročné zlepšenie o 1,9</w:t>
      </w:r>
      <w:r>
        <w:rPr>
          <w:b/>
          <w:szCs w:val="22"/>
        </w:rPr>
        <w:t> </w:t>
      </w:r>
      <w:r w:rsidRPr="00552ED8">
        <w:rPr>
          <w:b/>
          <w:szCs w:val="22"/>
        </w:rPr>
        <w:t>p.</w:t>
      </w:r>
      <w:r>
        <w:rPr>
          <w:b/>
          <w:szCs w:val="22"/>
        </w:rPr>
        <w:t> </w:t>
      </w:r>
      <w:r w:rsidRPr="00552ED8">
        <w:rPr>
          <w:b/>
          <w:szCs w:val="22"/>
        </w:rPr>
        <w:t>b. a</w:t>
      </w:r>
      <w:r>
        <w:rPr>
          <w:b/>
          <w:szCs w:val="22"/>
        </w:rPr>
        <w:t> </w:t>
      </w:r>
      <w:r w:rsidRPr="00552ED8">
        <w:rPr>
          <w:b/>
          <w:szCs w:val="22"/>
        </w:rPr>
        <w:t>naďalej patrí medzi krajiny s</w:t>
      </w:r>
      <w:r w:rsidR="00AF3131">
        <w:rPr>
          <w:b/>
          <w:szCs w:val="22"/>
        </w:rPr>
        <w:t xml:space="preserve"> výrazne </w:t>
      </w:r>
      <w:r w:rsidRPr="00552ED8">
        <w:rPr>
          <w:b/>
          <w:szCs w:val="22"/>
        </w:rPr>
        <w:t>nižším dlhom.</w:t>
      </w:r>
    </w:p>
    <w:p w14:paraId="0137B3AB" w14:textId="77777777" w:rsidR="00AF3131" w:rsidRDefault="00AF3131">
      <w:pPr>
        <w:rPr>
          <w:b/>
          <w:szCs w:val="22"/>
        </w:rPr>
      </w:pPr>
      <w:r>
        <w:rPr>
          <w:b/>
          <w:szCs w:val="22"/>
        </w:rPr>
        <w:br w:type="page"/>
      </w:r>
    </w:p>
    <w:tbl>
      <w:tblPr>
        <w:tblW w:w="9026" w:type="dxa"/>
        <w:tblCellMar>
          <w:left w:w="0" w:type="dxa"/>
          <w:right w:w="0" w:type="dxa"/>
        </w:tblCellMar>
        <w:tblLook w:val="04A0" w:firstRow="1" w:lastRow="0" w:firstColumn="1" w:lastColumn="0" w:noHBand="0" w:noVBand="1"/>
      </w:tblPr>
      <w:tblGrid>
        <w:gridCol w:w="1647"/>
        <w:gridCol w:w="1155"/>
        <w:gridCol w:w="1155"/>
        <w:gridCol w:w="1157"/>
        <w:gridCol w:w="442"/>
        <w:gridCol w:w="1155"/>
        <w:gridCol w:w="1155"/>
        <w:gridCol w:w="1160"/>
      </w:tblGrid>
      <w:tr w:rsidR="00500BD0" w14:paraId="506B1029" w14:textId="77777777" w:rsidTr="00482590">
        <w:trPr>
          <w:trHeight w:val="420"/>
        </w:trPr>
        <w:tc>
          <w:tcPr>
            <w:tcW w:w="9026" w:type="dxa"/>
            <w:gridSpan w:val="8"/>
            <w:tcBorders>
              <w:top w:val="nil"/>
              <w:left w:val="nil"/>
              <w:bottom w:val="nil"/>
              <w:right w:val="nil"/>
            </w:tcBorders>
            <w:shd w:val="clear" w:color="000000" w:fill="000000"/>
            <w:noWrap/>
            <w:tcMar>
              <w:top w:w="15" w:type="dxa"/>
              <w:left w:w="15" w:type="dxa"/>
              <w:bottom w:w="0" w:type="dxa"/>
              <w:right w:w="15" w:type="dxa"/>
            </w:tcMar>
            <w:vAlign w:val="center"/>
            <w:hideMark/>
          </w:tcPr>
          <w:bookmarkEnd w:id="27"/>
          <w:bookmarkEnd w:id="28"/>
          <w:bookmarkEnd w:id="29"/>
          <w:bookmarkEnd w:id="30"/>
          <w:bookmarkEnd w:id="31"/>
          <w:bookmarkEnd w:id="32"/>
          <w:p w14:paraId="07B1F0AF" w14:textId="35F6135F" w:rsidR="00500BD0" w:rsidRDefault="00D704AF" w:rsidP="00500BD0">
            <w:pPr>
              <w:spacing w:after="0" w:line="240" w:lineRule="auto"/>
              <w:rPr>
                <w:b/>
                <w:bCs/>
                <w:color w:val="FFFFFF"/>
                <w:sz w:val="20"/>
                <w:szCs w:val="20"/>
              </w:rPr>
            </w:pPr>
            <w:r>
              <w:rPr>
                <w:b/>
                <w:bCs/>
                <w:color w:val="FFFFFF"/>
                <w:sz w:val="20"/>
                <w:szCs w:val="20"/>
              </w:rPr>
              <w:t xml:space="preserve"> </w:t>
            </w:r>
            <w:r w:rsidR="00500BD0">
              <w:rPr>
                <w:b/>
                <w:bCs/>
                <w:color w:val="FFFFFF"/>
                <w:sz w:val="20"/>
                <w:szCs w:val="20"/>
              </w:rPr>
              <w:t>Saldo a dlh verejnej správy v EÚ 28 (% HDP)</w:t>
            </w:r>
            <w:r w:rsidR="00500BD0">
              <w:rPr>
                <w:rStyle w:val="Odkaznapoznmkupodiarou"/>
                <w:b/>
                <w:bCs/>
                <w:color w:val="FFFFFF"/>
                <w:sz w:val="20"/>
                <w:szCs w:val="20"/>
              </w:rPr>
              <w:footnoteReference w:id="8"/>
            </w:r>
          </w:p>
        </w:tc>
      </w:tr>
      <w:tr w:rsidR="00500BD0" w14:paraId="60FC7235" w14:textId="77777777" w:rsidTr="00500BD0">
        <w:trPr>
          <w:trHeight w:val="270"/>
        </w:trPr>
        <w:tc>
          <w:tcPr>
            <w:tcW w:w="1647" w:type="dxa"/>
            <w:tcBorders>
              <w:top w:val="nil"/>
              <w:left w:val="nil"/>
              <w:bottom w:val="nil"/>
              <w:right w:val="nil"/>
            </w:tcBorders>
            <w:shd w:val="clear" w:color="000000" w:fill="C0C0C0"/>
            <w:tcMar>
              <w:top w:w="15" w:type="dxa"/>
              <w:left w:w="15" w:type="dxa"/>
              <w:bottom w:w="0" w:type="dxa"/>
              <w:right w:w="15" w:type="dxa"/>
            </w:tcMar>
            <w:vAlign w:val="center"/>
            <w:hideMark/>
          </w:tcPr>
          <w:p w14:paraId="3657E3A4" w14:textId="77777777" w:rsidR="00500BD0" w:rsidRDefault="00500BD0" w:rsidP="00500BD0">
            <w:pPr>
              <w:spacing w:after="0" w:line="240" w:lineRule="auto"/>
              <w:rPr>
                <w:b/>
                <w:bCs/>
                <w:sz w:val="20"/>
                <w:szCs w:val="20"/>
              </w:rPr>
            </w:pPr>
            <w:r>
              <w:rPr>
                <w:b/>
                <w:bCs/>
                <w:sz w:val="20"/>
                <w:szCs w:val="20"/>
              </w:rPr>
              <w:t> </w:t>
            </w:r>
          </w:p>
        </w:tc>
        <w:tc>
          <w:tcPr>
            <w:tcW w:w="3467" w:type="dxa"/>
            <w:gridSpan w:val="3"/>
            <w:tcBorders>
              <w:top w:val="nil"/>
              <w:left w:val="nil"/>
              <w:bottom w:val="nil"/>
              <w:right w:val="nil"/>
            </w:tcBorders>
            <w:shd w:val="clear" w:color="000000" w:fill="C0C0C0"/>
            <w:tcMar>
              <w:top w:w="15" w:type="dxa"/>
              <w:left w:w="15" w:type="dxa"/>
              <w:bottom w:w="0" w:type="dxa"/>
              <w:right w:w="15" w:type="dxa"/>
            </w:tcMar>
            <w:vAlign w:val="center"/>
            <w:hideMark/>
          </w:tcPr>
          <w:p w14:paraId="64C4CFE3" w14:textId="77777777" w:rsidR="00500BD0" w:rsidRDefault="00500BD0" w:rsidP="00500BD0">
            <w:pPr>
              <w:spacing w:after="0" w:line="240" w:lineRule="auto"/>
              <w:jc w:val="center"/>
              <w:rPr>
                <w:b/>
                <w:bCs/>
                <w:sz w:val="20"/>
                <w:szCs w:val="20"/>
              </w:rPr>
            </w:pPr>
            <w:r>
              <w:rPr>
                <w:b/>
                <w:bCs/>
                <w:sz w:val="20"/>
                <w:szCs w:val="20"/>
              </w:rPr>
              <w:t xml:space="preserve">Saldo verejnej správy </w:t>
            </w:r>
          </w:p>
        </w:tc>
        <w:tc>
          <w:tcPr>
            <w:tcW w:w="442" w:type="dxa"/>
            <w:tcBorders>
              <w:top w:val="nil"/>
              <w:left w:val="nil"/>
              <w:bottom w:val="nil"/>
              <w:right w:val="nil"/>
            </w:tcBorders>
            <w:shd w:val="clear" w:color="000000" w:fill="C0C0C0"/>
            <w:tcMar>
              <w:top w:w="15" w:type="dxa"/>
              <w:left w:w="15" w:type="dxa"/>
              <w:bottom w:w="0" w:type="dxa"/>
              <w:right w:w="15" w:type="dxa"/>
            </w:tcMar>
            <w:vAlign w:val="center"/>
            <w:hideMark/>
          </w:tcPr>
          <w:p w14:paraId="6D6811FA" w14:textId="77777777" w:rsidR="00500BD0" w:rsidRDefault="00500BD0" w:rsidP="00500BD0">
            <w:pPr>
              <w:spacing w:after="0" w:line="240" w:lineRule="auto"/>
              <w:jc w:val="center"/>
              <w:rPr>
                <w:b/>
                <w:bCs/>
                <w:sz w:val="20"/>
                <w:szCs w:val="20"/>
              </w:rPr>
            </w:pPr>
            <w:r>
              <w:rPr>
                <w:b/>
                <w:bCs/>
                <w:sz w:val="20"/>
                <w:szCs w:val="20"/>
              </w:rPr>
              <w:t> </w:t>
            </w:r>
          </w:p>
        </w:tc>
        <w:tc>
          <w:tcPr>
            <w:tcW w:w="3470" w:type="dxa"/>
            <w:gridSpan w:val="3"/>
            <w:tcBorders>
              <w:top w:val="nil"/>
              <w:left w:val="nil"/>
              <w:bottom w:val="nil"/>
              <w:right w:val="nil"/>
            </w:tcBorders>
            <w:shd w:val="clear" w:color="000000" w:fill="C0C0C0"/>
            <w:tcMar>
              <w:top w:w="15" w:type="dxa"/>
              <w:left w:w="15" w:type="dxa"/>
              <w:bottom w:w="0" w:type="dxa"/>
              <w:right w:w="15" w:type="dxa"/>
            </w:tcMar>
            <w:vAlign w:val="center"/>
            <w:hideMark/>
          </w:tcPr>
          <w:p w14:paraId="4C868DD8" w14:textId="77777777" w:rsidR="00500BD0" w:rsidRDefault="00500BD0" w:rsidP="00500BD0">
            <w:pPr>
              <w:spacing w:after="0" w:line="240" w:lineRule="auto"/>
              <w:jc w:val="center"/>
              <w:rPr>
                <w:b/>
                <w:bCs/>
                <w:sz w:val="20"/>
                <w:szCs w:val="20"/>
              </w:rPr>
            </w:pPr>
            <w:r>
              <w:rPr>
                <w:b/>
                <w:bCs/>
                <w:sz w:val="20"/>
                <w:szCs w:val="20"/>
              </w:rPr>
              <w:t xml:space="preserve">Hrubý dlh verejnej správy </w:t>
            </w:r>
          </w:p>
        </w:tc>
      </w:tr>
      <w:tr w:rsidR="00500BD0" w14:paraId="0F0D9E41" w14:textId="77777777" w:rsidTr="00500BD0">
        <w:trPr>
          <w:trHeight w:val="270"/>
        </w:trPr>
        <w:tc>
          <w:tcPr>
            <w:tcW w:w="1647" w:type="dxa"/>
            <w:tcBorders>
              <w:top w:val="nil"/>
              <w:left w:val="nil"/>
              <w:bottom w:val="nil"/>
              <w:right w:val="nil"/>
            </w:tcBorders>
            <w:shd w:val="clear" w:color="000000" w:fill="C0C0C0"/>
            <w:tcMar>
              <w:top w:w="15" w:type="dxa"/>
              <w:left w:w="15" w:type="dxa"/>
              <w:bottom w:w="0" w:type="dxa"/>
              <w:right w:w="15" w:type="dxa"/>
            </w:tcMar>
            <w:vAlign w:val="center"/>
            <w:hideMark/>
          </w:tcPr>
          <w:p w14:paraId="4FB633D2" w14:textId="77777777" w:rsidR="00500BD0" w:rsidRDefault="00500BD0" w:rsidP="00500BD0">
            <w:pPr>
              <w:spacing w:after="0" w:line="240" w:lineRule="auto"/>
              <w:rPr>
                <w:b/>
                <w:bCs/>
                <w:sz w:val="20"/>
                <w:szCs w:val="20"/>
              </w:rPr>
            </w:pPr>
            <w:r>
              <w:rPr>
                <w:b/>
                <w:bCs/>
                <w:sz w:val="20"/>
                <w:szCs w:val="20"/>
              </w:rPr>
              <w:t> </w:t>
            </w:r>
          </w:p>
        </w:tc>
        <w:tc>
          <w:tcPr>
            <w:tcW w:w="1155" w:type="dxa"/>
            <w:tcBorders>
              <w:top w:val="nil"/>
              <w:left w:val="nil"/>
              <w:bottom w:val="nil"/>
              <w:right w:val="nil"/>
            </w:tcBorders>
            <w:shd w:val="clear" w:color="000000" w:fill="C0C0C0"/>
            <w:tcMar>
              <w:top w:w="15" w:type="dxa"/>
              <w:left w:w="15" w:type="dxa"/>
              <w:bottom w:w="0" w:type="dxa"/>
              <w:right w:w="15" w:type="dxa"/>
            </w:tcMar>
            <w:vAlign w:val="center"/>
            <w:hideMark/>
          </w:tcPr>
          <w:p w14:paraId="1BEECD97" w14:textId="77777777" w:rsidR="00500BD0" w:rsidRDefault="00500BD0" w:rsidP="00500BD0">
            <w:pPr>
              <w:spacing w:after="0" w:line="240" w:lineRule="auto"/>
              <w:jc w:val="center"/>
              <w:rPr>
                <w:b/>
                <w:bCs/>
                <w:sz w:val="20"/>
                <w:szCs w:val="20"/>
              </w:rPr>
            </w:pPr>
            <w:r>
              <w:rPr>
                <w:b/>
                <w:bCs/>
                <w:sz w:val="20"/>
                <w:szCs w:val="20"/>
              </w:rPr>
              <w:t>2016</w:t>
            </w:r>
          </w:p>
        </w:tc>
        <w:tc>
          <w:tcPr>
            <w:tcW w:w="1155" w:type="dxa"/>
            <w:tcBorders>
              <w:top w:val="nil"/>
              <w:left w:val="nil"/>
              <w:bottom w:val="nil"/>
              <w:right w:val="nil"/>
            </w:tcBorders>
            <w:shd w:val="clear" w:color="000000" w:fill="C0C0C0"/>
            <w:tcMar>
              <w:top w:w="15" w:type="dxa"/>
              <w:left w:w="15" w:type="dxa"/>
              <w:bottom w:w="0" w:type="dxa"/>
              <w:right w:w="15" w:type="dxa"/>
            </w:tcMar>
            <w:vAlign w:val="center"/>
            <w:hideMark/>
          </w:tcPr>
          <w:p w14:paraId="3351EC94" w14:textId="77777777" w:rsidR="00500BD0" w:rsidRDefault="00500BD0" w:rsidP="00500BD0">
            <w:pPr>
              <w:spacing w:after="0" w:line="240" w:lineRule="auto"/>
              <w:jc w:val="center"/>
              <w:rPr>
                <w:b/>
                <w:bCs/>
                <w:sz w:val="20"/>
                <w:szCs w:val="20"/>
              </w:rPr>
            </w:pPr>
            <w:r>
              <w:rPr>
                <w:b/>
                <w:bCs/>
                <w:sz w:val="20"/>
                <w:szCs w:val="20"/>
              </w:rPr>
              <w:t>2017</w:t>
            </w:r>
          </w:p>
        </w:tc>
        <w:tc>
          <w:tcPr>
            <w:tcW w:w="1157" w:type="dxa"/>
            <w:tcBorders>
              <w:top w:val="nil"/>
              <w:left w:val="nil"/>
              <w:bottom w:val="nil"/>
              <w:right w:val="nil"/>
            </w:tcBorders>
            <w:shd w:val="clear" w:color="000000" w:fill="C0C0C0"/>
            <w:tcMar>
              <w:top w:w="15" w:type="dxa"/>
              <w:left w:w="15" w:type="dxa"/>
              <w:bottom w:w="0" w:type="dxa"/>
              <w:right w:w="15" w:type="dxa"/>
            </w:tcMar>
            <w:vAlign w:val="center"/>
            <w:hideMark/>
          </w:tcPr>
          <w:p w14:paraId="68EDB19F" w14:textId="77777777" w:rsidR="00500BD0" w:rsidRDefault="00500BD0" w:rsidP="00500BD0">
            <w:pPr>
              <w:spacing w:after="0" w:line="240" w:lineRule="auto"/>
              <w:jc w:val="center"/>
              <w:rPr>
                <w:b/>
                <w:bCs/>
                <w:sz w:val="20"/>
                <w:szCs w:val="20"/>
              </w:rPr>
            </w:pPr>
            <w:r>
              <w:rPr>
                <w:b/>
                <w:bCs/>
                <w:sz w:val="20"/>
                <w:szCs w:val="20"/>
              </w:rPr>
              <w:t>2018</w:t>
            </w:r>
          </w:p>
        </w:tc>
        <w:tc>
          <w:tcPr>
            <w:tcW w:w="442" w:type="dxa"/>
            <w:tcBorders>
              <w:top w:val="nil"/>
              <w:left w:val="nil"/>
              <w:bottom w:val="nil"/>
              <w:right w:val="nil"/>
            </w:tcBorders>
            <w:shd w:val="clear" w:color="000000" w:fill="C0C0C0"/>
            <w:tcMar>
              <w:top w:w="15" w:type="dxa"/>
              <w:left w:w="15" w:type="dxa"/>
              <w:bottom w:w="0" w:type="dxa"/>
              <w:right w:w="15" w:type="dxa"/>
            </w:tcMar>
            <w:vAlign w:val="center"/>
            <w:hideMark/>
          </w:tcPr>
          <w:p w14:paraId="01C40206" w14:textId="77777777" w:rsidR="00500BD0" w:rsidRDefault="00500BD0" w:rsidP="00500BD0">
            <w:pPr>
              <w:spacing w:after="0" w:line="240" w:lineRule="auto"/>
              <w:jc w:val="center"/>
              <w:rPr>
                <w:b/>
                <w:bCs/>
                <w:sz w:val="20"/>
                <w:szCs w:val="20"/>
              </w:rPr>
            </w:pPr>
            <w:r>
              <w:rPr>
                <w:b/>
                <w:bCs/>
                <w:sz w:val="20"/>
                <w:szCs w:val="20"/>
              </w:rPr>
              <w:t> </w:t>
            </w:r>
          </w:p>
        </w:tc>
        <w:tc>
          <w:tcPr>
            <w:tcW w:w="1155" w:type="dxa"/>
            <w:tcBorders>
              <w:top w:val="nil"/>
              <w:left w:val="nil"/>
              <w:bottom w:val="nil"/>
              <w:right w:val="nil"/>
            </w:tcBorders>
            <w:shd w:val="clear" w:color="000000" w:fill="C0C0C0"/>
            <w:tcMar>
              <w:top w:w="15" w:type="dxa"/>
              <w:left w:w="15" w:type="dxa"/>
              <w:bottom w:w="0" w:type="dxa"/>
              <w:right w:w="15" w:type="dxa"/>
            </w:tcMar>
            <w:vAlign w:val="center"/>
            <w:hideMark/>
          </w:tcPr>
          <w:p w14:paraId="578E4AD0" w14:textId="77777777" w:rsidR="00500BD0" w:rsidRDefault="00500BD0" w:rsidP="00500BD0">
            <w:pPr>
              <w:spacing w:after="0" w:line="240" w:lineRule="auto"/>
              <w:jc w:val="center"/>
              <w:rPr>
                <w:b/>
                <w:bCs/>
                <w:sz w:val="20"/>
                <w:szCs w:val="20"/>
              </w:rPr>
            </w:pPr>
            <w:r>
              <w:rPr>
                <w:b/>
                <w:bCs/>
                <w:sz w:val="20"/>
                <w:szCs w:val="20"/>
              </w:rPr>
              <w:t>2016</w:t>
            </w:r>
          </w:p>
        </w:tc>
        <w:tc>
          <w:tcPr>
            <w:tcW w:w="1155" w:type="dxa"/>
            <w:tcBorders>
              <w:top w:val="nil"/>
              <w:left w:val="nil"/>
              <w:bottom w:val="nil"/>
              <w:right w:val="nil"/>
            </w:tcBorders>
            <w:shd w:val="clear" w:color="000000" w:fill="C0C0C0"/>
            <w:tcMar>
              <w:top w:w="15" w:type="dxa"/>
              <w:left w:w="15" w:type="dxa"/>
              <w:bottom w:w="0" w:type="dxa"/>
              <w:right w:w="15" w:type="dxa"/>
            </w:tcMar>
            <w:vAlign w:val="center"/>
            <w:hideMark/>
          </w:tcPr>
          <w:p w14:paraId="08D8F4F8" w14:textId="77777777" w:rsidR="00500BD0" w:rsidRDefault="00500BD0" w:rsidP="00500BD0">
            <w:pPr>
              <w:spacing w:after="0" w:line="240" w:lineRule="auto"/>
              <w:jc w:val="center"/>
              <w:rPr>
                <w:b/>
                <w:bCs/>
                <w:sz w:val="20"/>
                <w:szCs w:val="20"/>
              </w:rPr>
            </w:pPr>
            <w:r>
              <w:rPr>
                <w:b/>
                <w:bCs/>
                <w:sz w:val="20"/>
                <w:szCs w:val="20"/>
              </w:rPr>
              <w:t>2017</w:t>
            </w:r>
          </w:p>
        </w:tc>
        <w:tc>
          <w:tcPr>
            <w:tcW w:w="1160" w:type="dxa"/>
            <w:tcBorders>
              <w:top w:val="nil"/>
              <w:left w:val="nil"/>
              <w:bottom w:val="nil"/>
              <w:right w:val="nil"/>
            </w:tcBorders>
            <w:shd w:val="clear" w:color="000000" w:fill="C0C0C0"/>
            <w:tcMar>
              <w:top w:w="15" w:type="dxa"/>
              <w:left w:w="15" w:type="dxa"/>
              <w:bottom w:w="0" w:type="dxa"/>
              <w:right w:w="15" w:type="dxa"/>
            </w:tcMar>
            <w:vAlign w:val="center"/>
            <w:hideMark/>
          </w:tcPr>
          <w:p w14:paraId="063A8BB0" w14:textId="77777777" w:rsidR="00500BD0" w:rsidRDefault="00500BD0" w:rsidP="00500BD0">
            <w:pPr>
              <w:spacing w:after="0" w:line="240" w:lineRule="auto"/>
              <w:jc w:val="center"/>
              <w:rPr>
                <w:b/>
                <w:bCs/>
                <w:sz w:val="20"/>
                <w:szCs w:val="20"/>
              </w:rPr>
            </w:pPr>
            <w:r>
              <w:rPr>
                <w:b/>
                <w:bCs/>
                <w:sz w:val="20"/>
                <w:szCs w:val="20"/>
              </w:rPr>
              <w:t>2018</w:t>
            </w:r>
          </w:p>
        </w:tc>
      </w:tr>
      <w:tr w:rsidR="00500BD0" w14:paraId="6C63F58C"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CE9C0" w14:textId="77777777" w:rsidR="00500BD0" w:rsidRDefault="00500BD0" w:rsidP="00500BD0">
            <w:pPr>
              <w:spacing w:after="0" w:line="240" w:lineRule="auto"/>
              <w:rPr>
                <w:b/>
                <w:bCs/>
                <w:sz w:val="20"/>
                <w:szCs w:val="20"/>
              </w:rPr>
            </w:pPr>
            <w:r>
              <w:rPr>
                <w:b/>
                <w:bCs/>
                <w:sz w:val="20"/>
                <w:szCs w:val="20"/>
              </w:rPr>
              <w:t>EÚ (28 krajín)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201ED4" w14:textId="77777777" w:rsidR="00500BD0" w:rsidRDefault="00500BD0" w:rsidP="00500BD0">
            <w:pPr>
              <w:spacing w:after="0" w:line="240" w:lineRule="auto"/>
              <w:jc w:val="center"/>
              <w:rPr>
                <w:b/>
                <w:bCs/>
                <w:color w:val="000000"/>
                <w:sz w:val="20"/>
                <w:szCs w:val="20"/>
              </w:rPr>
            </w:pPr>
            <w:r>
              <w:rPr>
                <w:b/>
                <w:bCs/>
                <w:color w:val="000000"/>
                <w:sz w:val="20"/>
                <w:szCs w:val="2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B67B5" w14:textId="77777777" w:rsidR="00500BD0" w:rsidRDefault="00500BD0" w:rsidP="00500BD0">
            <w:pPr>
              <w:spacing w:after="0" w:line="240" w:lineRule="auto"/>
              <w:jc w:val="center"/>
              <w:rPr>
                <w:b/>
                <w:bCs/>
                <w:color w:val="000000"/>
                <w:sz w:val="20"/>
                <w:szCs w:val="20"/>
              </w:rPr>
            </w:pPr>
            <w:r>
              <w:rPr>
                <w:b/>
                <w:bCs/>
                <w:color w:val="000000"/>
                <w:sz w:val="20"/>
                <w:szCs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D66989" w14:textId="77777777" w:rsidR="00500BD0" w:rsidRDefault="00500BD0" w:rsidP="00500BD0">
            <w:pPr>
              <w:spacing w:after="0" w:line="240" w:lineRule="auto"/>
              <w:jc w:val="center"/>
              <w:rPr>
                <w:b/>
                <w:bCs/>
                <w:color w:val="000000"/>
                <w:sz w:val="20"/>
                <w:szCs w:val="20"/>
              </w:rPr>
            </w:pPr>
            <w:r>
              <w:rPr>
                <w:b/>
                <w:bCs/>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BA45A" w14:textId="77777777" w:rsidR="00500BD0" w:rsidRDefault="00500BD0" w:rsidP="00500BD0">
            <w:pPr>
              <w:spacing w:after="0" w:line="240" w:lineRule="auto"/>
              <w:jc w:val="cente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D0D01" w14:textId="77777777" w:rsidR="00500BD0" w:rsidRDefault="00500BD0" w:rsidP="00500BD0">
            <w:pPr>
              <w:spacing w:after="0" w:line="240" w:lineRule="auto"/>
              <w:jc w:val="center"/>
              <w:rPr>
                <w:b/>
                <w:bCs/>
                <w:color w:val="000000"/>
                <w:sz w:val="20"/>
                <w:szCs w:val="20"/>
              </w:rPr>
            </w:pPr>
            <w:r>
              <w:rPr>
                <w:b/>
                <w:bCs/>
                <w:color w:val="000000"/>
                <w:sz w:val="20"/>
                <w:szCs w:val="20"/>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E89FF4" w14:textId="77777777" w:rsidR="00500BD0" w:rsidRDefault="00500BD0" w:rsidP="00500BD0">
            <w:pPr>
              <w:spacing w:after="0" w:line="240" w:lineRule="auto"/>
              <w:jc w:val="center"/>
              <w:rPr>
                <w:b/>
                <w:bCs/>
                <w:color w:val="000000"/>
                <w:sz w:val="20"/>
                <w:szCs w:val="20"/>
              </w:rPr>
            </w:pPr>
            <w:r>
              <w:rPr>
                <w:b/>
                <w:bCs/>
                <w:color w:val="000000"/>
                <w:sz w:val="20"/>
                <w:szCs w:val="20"/>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4D1D26" w14:textId="77777777" w:rsidR="00500BD0" w:rsidRDefault="00500BD0" w:rsidP="00500BD0">
            <w:pPr>
              <w:spacing w:after="0" w:line="240" w:lineRule="auto"/>
              <w:jc w:val="center"/>
              <w:rPr>
                <w:b/>
                <w:bCs/>
                <w:color w:val="000000"/>
                <w:sz w:val="20"/>
                <w:szCs w:val="20"/>
              </w:rPr>
            </w:pPr>
            <w:r>
              <w:rPr>
                <w:b/>
                <w:bCs/>
                <w:color w:val="000000"/>
                <w:sz w:val="20"/>
                <w:szCs w:val="20"/>
              </w:rPr>
              <w:t>80,4</w:t>
            </w:r>
          </w:p>
        </w:tc>
      </w:tr>
      <w:tr w:rsidR="00500BD0" w14:paraId="4CD494F2"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CFE548" w14:textId="77777777" w:rsidR="00500BD0" w:rsidRDefault="00500BD0" w:rsidP="00500BD0">
            <w:pPr>
              <w:spacing w:after="0" w:line="240" w:lineRule="auto"/>
              <w:rPr>
                <w:b/>
                <w:bCs/>
                <w:sz w:val="20"/>
                <w:szCs w:val="20"/>
              </w:rPr>
            </w:pPr>
            <w:r>
              <w:rPr>
                <w:b/>
                <w:bCs/>
                <w:sz w:val="20"/>
                <w:szCs w:val="20"/>
              </w:rPr>
              <w:t>Euro zóna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BEAE0" w14:textId="77777777" w:rsidR="00500BD0" w:rsidRDefault="00500BD0" w:rsidP="00500BD0">
            <w:pPr>
              <w:spacing w:after="0" w:line="240" w:lineRule="auto"/>
              <w:jc w:val="center"/>
              <w:rPr>
                <w:b/>
                <w:bCs/>
                <w:color w:val="000000"/>
                <w:sz w:val="20"/>
                <w:szCs w:val="20"/>
              </w:rPr>
            </w:pPr>
            <w:r>
              <w:rPr>
                <w:b/>
                <w:bCs/>
                <w:color w:val="000000"/>
                <w:sz w:val="20"/>
                <w:szCs w:val="2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E668D" w14:textId="77777777" w:rsidR="00500BD0" w:rsidRDefault="00500BD0" w:rsidP="00500BD0">
            <w:pPr>
              <w:spacing w:after="0" w:line="240" w:lineRule="auto"/>
              <w:jc w:val="center"/>
              <w:rPr>
                <w:b/>
                <w:bCs/>
                <w:color w:val="000000"/>
                <w:sz w:val="20"/>
                <w:szCs w:val="20"/>
              </w:rPr>
            </w:pPr>
            <w:r>
              <w:rPr>
                <w:b/>
                <w:bCs/>
                <w:color w:val="000000"/>
                <w:sz w:val="20"/>
                <w:szCs w:val="20"/>
              </w:rPr>
              <w:t>-0,9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0D429" w14:textId="77777777" w:rsidR="00500BD0" w:rsidRDefault="00500BD0" w:rsidP="00500BD0">
            <w:pPr>
              <w:spacing w:after="0" w:line="240" w:lineRule="auto"/>
              <w:jc w:val="center"/>
              <w:rPr>
                <w:b/>
                <w:bCs/>
                <w:color w:val="000000"/>
                <w:sz w:val="20"/>
                <w:szCs w:val="20"/>
              </w:rPr>
            </w:pPr>
            <w:r>
              <w:rPr>
                <w:b/>
                <w:bCs/>
                <w:color w:val="000000"/>
                <w:sz w:val="20"/>
                <w:szCs w:val="20"/>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817CA" w14:textId="77777777" w:rsidR="00500BD0" w:rsidRDefault="00500BD0" w:rsidP="00500BD0">
            <w:pPr>
              <w:spacing w:after="0" w:line="240" w:lineRule="auto"/>
              <w:jc w:val="cente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1573A1" w14:textId="77777777" w:rsidR="00500BD0" w:rsidRDefault="00500BD0" w:rsidP="00500BD0">
            <w:pPr>
              <w:spacing w:after="0" w:line="240" w:lineRule="auto"/>
              <w:jc w:val="center"/>
              <w:rPr>
                <w:b/>
                <w:bCs/>
                <w:color w:val="000000"/>
                <w:sz w:val="20"/>
                <w:szCs w:val="20"/>
              </w:rPr>
            </w:pPr>
            <w:r>
              <w:rPr>
                <w:b/>
                <w:bCs/>
                <w:color w:val="000000"/>
                <w:sz w:val="20"/>
                <w:szCs w:val="20"/>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01B9C2" w14:textId="77777777" w:rsidR="00500BD0" w:rsidRDefault="00500BD0" w:rsidP="00500BD0">
            <w:pPr>
              <w:spacing w:after="0" w:line="240" w:lineRule="auto"/>
              <w:jc w:val="center"/>
              <w:rPr>
                <w:b/>
                <w:bCs/>
                <w:color w:val="000000"/>
                <w:sz w:val="20"/>
                <w:szCs w:val="20"/>
              </w:rPr>
            </w:pPr>
            <w:r>
              <w:rPr>
                <w:b/>
                <w:bCs/>
                <w:color w:val="000000"/>
                <w:sz w:val="20"/>
                <w:szCs w:val="20"/>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403240" w14:textId="77777777" w:rsidR="00500BD0" w:rsidRDefault="00500BD0" w:rsidP="00500BD0">
            <w:pPr>
              <w:spacing w:after="0" w:line="240" w:lineRule="auto"/>
              <w:jc w:val="center"/>
              <w:rPr>
                <w:b/>
                <w:bCs/>
                <w:color w:val="000000"/>
                <w:sz w:val="20"/>
                <w:szCs w:val="20"/>
              </w:rPr>
            </w:pPr>
            <w:r>
              <w:rPr>
                <w:b/>
                <w:bCs/>
                <w:color w:val="000000"/>
                <w:sz w:val="20"/>
                <w:szCs w:val="20"/>
              </w:rPr>
              <w:t>85,9</w:t>
            </w:r>
          </w:p>
        </w:tc>
      </w:tr>
      <w:tr w:rsidR="00500BD0" w14:paraId="1CA5BDD0"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62DDA3" w14:textId="77777777" w:rsidR="00500BD0" w:rsidRDefault="00500BD0" w:rsidP="00500BD0">
            <w:pPr>
              <w:spacing w:after="0" w:line="240" w:lineRule="auto"/>
              <w:rPr>
                <w:sz w:val="20"/>
                <w:szCs w:val="20"/>
              </w:rPr>
            </w:pPr>
            <w:r>
              <w:rPr>
                <w:sz w:val="20"/>
                <w:szCs w:val="20"/>
              </w:rPr>
              <w:t>Cyprus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D61E5" w14:textId="77777777" w:rsidR="00500BD0" w:rsidRDefault="00500BD0" w:rsidP="00500BD0">
            <w:pPr>
              <w:spacing w:after="0" w:line="240" w:lineRule="auto"/>
              <w:jc w:val="center"/>
              <w:rPr>
                <w:color w:val="000000"/>
                <w:sz w:val="20"/>
                <w:szCs w:val="20"/>
              </w:rPr>
            </w:pPr>
            <w:r>
              <w:rPr>
                <w:color w:val="000000"/>
                <w:sz w:val="20"/>
                <w:szCs w:val="20"/>
              </w:rPr>
              <w:t>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18A6C" w14:textId="77777777" w:rsidR="00500BD0" w:rsidRDefault="00500BD0" w:rsidP="00500BD0">
            <w:pPr>
              <w:spacing w:after="0" w:line="240" w:lineRule="auto"/>
              <w:jc w:val="center"/>
              <w:rPr>
                <w:color w:val="000000"/>
                <w:sz w:val="20"/>
                <w:szCs w:val="20"/>
              </w:rPr>
            </w:pPr>
            <w:r>
              <w:rPr>
                <w:color w:val="000000"/>
                <w:sz w:val="20"/>
                <w:szCs w:val="2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8315E" w14:textId="77777777" w:rsidR="00500BD0" w:rsidRDefault="00500BD0" w:rsidP="00500BD0">
            <w:pPr>
              <w:spacing w:after="0" w:line="240" w:lineRule="auto"/>
              <w:jc w:val="center"/>
              <w:rPr>
                <w:color w:val="000000"/>
                <w:sz w:val="20"/>
                <w:szCs w:val="20"/>
              </w:rPr>
            </w:pPr>
            <w:r>
              <w:rPr>
                <w:color w:val="000000"/>
                <w:sz w:val="20"/>
                <w:szCs w:val="20"/>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FABEB6"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3249C" w14:textId="77777777" w:rsidR="00500BD0" w:rsidRDefault="00500BD0" w:rsidP="00500BD0">
            <w:pPr>
              <w:spacing w:after="0" w:line="240" w:lineRule="auto"/>
              <w:jc w:val="center"/>
              <w:rPr>
                <w:color w:val="000000"/>
                <w:sz w:val="20"/>
                <w:szCs w:val="20"/>
              </w:rPr>
            </w:pPr>
            <w:r>
              <w:rPr>
                <w:color w:val="000000"/>
                <w:sz w:val="20"/>
                <w:szCs w:val="20"/>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503C00" w14:textId="77777777" w:rsidR="00500BD0" w:rsidRDefault="00500BD0" w:rsidP="00500BD0">
            <w:pPr>
              <w:spacing w:after="0" w:line="240" w:lineRule="auto"/>
              <w:jc w:val="center"/>
              <w:rPr>
                <w:color w:val="000000"/>
                <w:sz w:val="20"/>
                <w:szCs w:val="20"/>
              </w:rPr>
            </w:pPr>
            <w:r>
              <w:rPr>
                <w:color w:val="000000"/>
                <w:sz w:val="20"/>
                <w:szCs w:val="20"/>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1AC935" w14:textId="77777777" w:rsidR="00500BD0" w:rsidRDefault="00500BD0" w:rsidP="00500BD0">
            <w:pPr>
              <w:spacing w:after="0" w:line="240" w:lineRule="auto"/>
              <w:jc w:val="center"/>
              <w:rPr>
                <w:color w:val="000000"/>
                <w:sz w:val="20"/>
                <w:szCs w:val="20"/>
              </w:rPr>
            </w:pPr>
            <w:r>
              <w:rPr>
                <w:color w:val="000000"/>
                <w:sz w:val="20"/>
                <w:szCs w:val="20"/>
              </w:rPr>
              <w:t>100,6</w:t>
            </w:r>
          </w:p>
        </w:tc>
      </w:tr>
      <w:tr w:rsidR="00500BD0" w14:paraId="52CD23C3"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F99F3" w14:textId="77777777" w:rsidR="00500BD0" w:rsidRDefault="00500BD0" w:rsidP="00500BD0">
            <w:pPr>
              <w:spacing w:after="0" w:line="240" w:lineRule="auto"/>
              <w:rPr>
                <w:sz w:val="20"/>
                <w:szCs w:val="20"/>
              </w:rPr>
            </w:pPr>
            <w:r>
              <w:rPr>
                <w:sz w:val="20"/>
                <w:szCs w:val="20"/>
              </w:rPr>
              <w:t>Rumunsko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1BA65" w14:textId="77777777" w:rsidR="00500BD0" w:rsidRDefault="00500BD0" w:rsidP="00500BD0">
            <w:pPr>
              <w:spacing w:after="0" w:line="240" w:lineRule="auto"/>
              <w:jc w:val="center"/>
              <w:rPr>
                <w:color w:val="000000"/>
                <w:sz w:val="20"/>
                <w:szCs w:val="20"/>
              </w:rPr>
            </w:pPr>
            <w:r>
              <w:rPr>
                <w:color w:val="000000"/>
                <w:sz w:val="20"/>
                <w:szCs w:val="20"/>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089A97" w14:textId="77777777" w:rsidR="00500BD0" w:rsidRDefault="00500BD0" w:rsidP="00500BD0">
            <w:pPr>
              <w:spacing w:after="0" w:line="240" w:lineRule="auto"/>
              <w:jc w:val="center"/>
              <w:rPr>
                <w:color w:val="000000"/>
                <w:sz w:val="20"/>
                <w:szCs w:val="20"/>
              </w:rPr>
            </w:pPr>
            <w:r>
              <w:rPr>
                <w:color w:val="000000"/>
                <w:sz w:val="20"/>
                <w:szCs w:val="20"/>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1F9442" w14:textId="77777777" w:rsidR="00500BD0" w:rsidRDefault="00500BD0" w:rsidP="00500BD0">
            <w:pPr>
              <w:spacing w:after="0" w:line="240" w:lineRule="auto"/>
              <w:jc w:val="center"/>
              <w:rPr>
                <w:color w:val="000000"/>
                <w:sz w:val="20"/>
                <w:szCs w:val="20"/>
              </w:rPr>
            </w:pPr>
            <w:r>
              <w:rPr>
                <w:color w:val="000000"/>
                <w:sz w:val="20"/>
                <w:szCs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77621"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CB94C6" w14:textId="77777777" w:rsidR="00500BD0" w:rsidRDefault="00500BD0" w:rsidP="00500BD0">
            <w:pPr>
              <w:spacing w:after="0" w:line="240" w:lineRule="auto"/>
              <w:jc w:val="center"/>
              <w:rPr>
                <w:color w:val="000000"/>
                <w:sz w:val="20"/>
                <w:szCs w:val="20"/>
              </w:rPr>
            </w:pPr>
            <w:r>
              <w:rPr>
                <w:color w:val="000000"/>
                <w:sz w:val="20"/>
                <w:szCs w:val="20"/>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174008" w14:textId="77777777" w:rsidR="00500BD0" w:rsidRDefault="00500BD0" w:rsidP="00500BD0">
            <w:pPr>
              <w:spacing w:after="0" w:line="240" w:lineRule="auto"/>
              <w:jc w:val="center"/>
              <w:rPr>
                <w:color w:val="000000"/>
                <w:sz w:val="20"/>
                <w:szCs w:val="20"/>
              </w:rPr>
            </w:pPr>
            <w:r>
              <w:rPr>
                <w:color w:val="000000"/>
                <w:sz w:val="20"/>
                <w:szCs w:val="20"/>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002D0C" w14:textId="77777777" w:rsidR="00500BD0" w:rsidRDefault="00500BD0" w:rsidP="00500BD0">
            <w:pPr>
              <w:spacing w:after="0" w:line="240" w:lineRule="auto"/>
              <w:jc w:val="center"/>
              <w:rPr>
                <w:color w:val="000000"/>
                <w:sz w:val="20"/>
                <w:szCs w:val="20"/>
              </w:rPr>
            </w:pPr>
            <w:r>
              <w:rPr>
                <w:color w:val="000000"/>
                <w:sz w:val="20"/>
                <w:szCs w:val="20"/>
              </w:rPr>
              <w:t>35,0</w:t>
            </w:r>
          </w:p>
        </w:tc>
      </w:tr>
      <w:tr w:rsidR="00500BD0" w14:paraId="55726A78"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E1DA17" w14:textId="77777777" w:rsidR="00500BD0" w:rsidRDefault="00500BD0" w:rsidP="00500BD0">
            <w:pPr>
              <w:spacing w:after="0" w:line="240" w:lineRule="auto"/>
              <w:rPr>
                <w:sz w:val="20"/>
                <w:szCs w:val="20"/>
              </w:rPr>
            </w:pPr>
            <w:r>
              <w:rPr>
                <w:sz w:val="20"/>
                <w:szCs w:val="20"/>
              </w:rPr>
              <w:t>Španielsko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86D8F" w14:textId="77777777" w:rsidR="00500BD0" w:rsidRDefault="00500BD0" w:rsidP="00500BD0">
            <w:pPr>
              <w:spacing w:after="0" w:line="240" w:lineRule="auto"/>
              <w:jc w:val="center"/>
              <w:rPr>
                <w:color w:val="000000"/>
                <w:sz w:val="20"/>
                <w:szCs w:val="20"/>
              </w:rPr>
            </w:pPr>
            <w:r>
              <w:rPr>
                <w:color w:val="000000"/>
                <w:sz w:val="20"/>
                <w:szCs w:val="20"/>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FF28C" w14:textId="77777777" w:rsidR="00500BD0" w:rsidRDefault="00500BD0" w:rsidP="00500BD0">
            <w:pPr>
              <w:spacing w:after="0" w:line="240" w:lineRule="auto"/>
              <w:jc w:val="center"/>
              <w:rPr>
                <w:color w:val="000000"/>
                <w:sz w:val="20"/>
                <w:szCs w:val="20"/>
              </w:rPr>
            </w:pPr>
            <w:r>
              <w:rPr>
                <w:color w:val="000000"/>
                <w:sz w:val="20"/>
                <w:szCs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D8B868" w14:textId="77777777" w:rsidR="00500BD0" w:rsidRDefault="00500BD0" w:rsidP="00500BD0">
            <w:pPr>
              <w:spacing w:after="0" w:line="240" w:lineRule="auto"/>
              <w:jc w:val="center"/>
              <w:rPr>
                <w:color w:val="000000"/>
                <w:sz w:val="20"/>
                <w:szCs w:val="20"/>
              </w:rPr>
            </w:pPr>
            <w:r>
              <w:rPr>
                <w:color w:val="000000"/>
                <w:sz w:val="20"/>
                <w:szCs w:val="20"/>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27358F"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3EAF9A" w14:textId="77777777" w:rsidR="00500BD0" w:rsidRDefault="00500BD0" w:rsidP="00500BD0">
            <w:pPr>
              <w:spacing w:after="0" w:line="240" w:lineRule="auto"/>
              <w:jc w:val="center"/>
              <w:rPr>
                <w:color w:val="000000"/>
                <w:sz w:val="20"/>
                <w:szCs w:val="20"/>
              </w:rPr>
            </w:pPr>
            <w:r>
              <w:rPr>
                <w:color w:val="000000"/>
                <w:sz w:val="20"/>
                <w:szCs w:val="20"/>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E37C24" w14:textId="77777777" w:rsidR="00500BD0" w:rsidRDefault="00500BD0" w:rsidP="00500BD0">
            <w:pPr>
              <w:spacing w:after="0" w:line="240" w:lineRule="auto"/>
              <w:jc w:val="center"/>
              <w:rPr>
                <w:color w:val="000000"/>
                <w:sz w:val="20"/>
                <w:szCs w:val="20"/>
              </w:rPr>
            </w:pPr>
            <w:r>
              <w:rPr>
                <w:color w:val="000000"/>
                <w:sz w:val="20"/>
                <w:szCs w:val="20"/>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1E38B5" w14:textId="77777777" w:rsidR="00500BD0" w:rsidRDefault="00500BD0" w:rsidP="00500BD0">
            <w:pPr>
              <w:spacing w:after="0" w:line="240" w:lineRule="auto"/>
              <w:jc w:val="center"/>
              <w:rPr>
                <w:color w:val="000000"/>
                <w:sz w:val="20"/>
                <w:szCs w:val="20"/>
              </w:rPr>
            </w:pPr>
            <w:r>
              <w:rPr>
                <w:color w:val="000000"/>
                <w:sz w:val="20"/>
                <w:szCs w:val="20"/>
              </w:rPr>
              <w:t>97,6</w:t>
            </w:r>
          </w:p>
        </w:tc>
      </w:tr>
      <w:tr w:rsidR="00500BD0" w14:paraId="5A987119"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6B5AF5" w14:textId="77777777" w:rsidR="00500BD0" w:rsidRDefault="00500BD0" w:rsidP="00500BD0">
            <w:pPr>
              <w:spacing w:after="0" w:line="240" w:lineRule="auto"/>
              <w:rPr>
                <w:sz w:val="20"/>
                <w:szCs w:val="20"/>
              </w:rPr>
            </w:pPr>
            <w:r>
              <w:rPr>
                <w:sz w:val="20"/>
                <w:szCs w:val="20"/>
              </w:rPr>
              <w:t>Francúzsko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D28EB" w14:textId="77777777" w:rsidR="00500BD0" w:rsidRDefault="00500BD0" w:rsidP="00500BD0">
            <w:pPr>
              <w:spacing w:after="0" w:line="240" w:lineRule="auto"/>
              <w:jc w:val="center"/>
              <w:rPr>
                <w:color w:val="000000"/>
                <w:sz w:val="20"/>
                <w:szCs w:val="20"/>
              </w:rPr>
            </w:pPr>
            <w:r>
              <w:rPr>
                <w:color w:val="000000"/>
                <w:sz w:val="20"/>
                <w:szCs w:val="20"/>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6796E2" w14:textId="77777777" w:rsidR="00500BD0" w:rsidRDefault="00500BD0" w:rsidP="00500BD0">
            <w:pPr>
              <w:spacing w:after="0" w:line="240" w:lineRule="auto"/>
              <w:jc w:val="center"/>
              <w:rPr>
                <w:color w:val="000000"/>
                <w:sz w:val="20"/>
                <w:szCs w:val="20"/>
              </w:rPr>
            </w:pPr>
            <w:r>
              <w:rPr>
                <w:color w:val="000000"/>
                <w:sz w:val="20"/>
                <w:szCs w:val="20"/>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14624D" w14:textId="77777777" w:rsidR="00500BD0" w:rsidRDefault="00500BD0" w:rsidP="00500BD0">
            <w:pPr>
              <w:spacing w:after="0" w:line="240" w:lineRule="auto"/>
              <w:jc w:val="center"/>
              <w:rPr>
                <w:color w:val="000000"/>
                <w:sz w:val="20"/>
                <w:szCs w:val="20"/>
              </w:rPr>
            </w:pPr>
            <w:r>
              <w:rPr>
                <w:color w:val="000000"/>
                <w:sz w:val="20"/>
                <w:szCs w:val="20"/>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0BE3B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2C933E" w14:textId="77777777" w:rsidR="00500BD0" w:rsidRDefault="00500BD0" w:rsidP="00500BD0">
            <w:pPr>
              <w:spacing w:after="0" w:line="240" w:lineRule="auto"/>
              <w:jc w:val="center"/>
              <w:rPr>
                <w:color w:val="000000"/>
                <w:sz w:val="20"/>
                <w:szCs w:val="20"/>
              </w:rPr>
            </w:pPr>
            <w:r>
              <w:rPr>
                <w:color w:val="000000"/>
                <w:sz w:val="20"/>
                <w:szCs w:val="20"/>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9733D" w14:textId="77777777" w:rsidR="00500BD0" w:rsidRDefault="00500BD0" w:rsidP="00500BD0">
            <w:pPr>
              <w:spacing w:after="0" w:line="240" w:lineRule="auto"/>
              <w:jc w:val="center"/>
              <w:rPr>
                <w:color w:val="000000"/>
                <w:sz w:val="20"/>
                <w:szCs w:val="20"/>
              </w:rPr>
            </w:pPr>
            <w:r>
              <w:rPr>
                <w:color w:val="000000"/>
                <w:sz w:val="20"/>
                <w:szCs w:val="20"/>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6AA1B" w14:textId="77777777" w:rsidR="00500BD0" w:rsidRDefault="00500BD0" w:rsidP="00500BD0">
            <w:pPr>
              <w:spacing w:after="0" w:line="240" w:lineRule="auto"/>
              <w:jc w:val="center"/>
              <w:rPr>
                <w:color w:val="000000"/>
                <w:sz w:val="20"/>
                <w:szCs w:val="20"/>
              </w:rPr>
            </w:pPr>
            <w:r>
              <w:rPr>
                <w:color w:val="000000"/>
                <w:sz w:val="20"/>
                <w:szCs w:val="20"/>
              </w:rPr>
              <w:t>98,4</w:t>
            </w:r>
          </w:p>
        </w:tc>
      </w:tr>
      <w:tr w:rsidR="00500BD0" w14:paraId="58259FDE"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7BB21" w14:textId="77777777" w:rsidR="00500BD0" w:rsidRDefault="00500BD0" w:rsidP="00500BD0">
            <w:pPr>
              <w:spacing w:after="0" w:line="240" w:lineRule="auto"/>
              <w:rPr>
                <w:sz w:val="20"/>
                <w:szCs w:val="20"/>
              </w:rPr>
            </w:pPr>
            <w:r>
              <w:rPr>
                <w:sz w:val="20"/>
                <w:szCs w:val="20"/>
              </w:rPr>
              <w:t>Maďarsko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2A745" w14:textId="77777777" w:rsidR="00500BD0" w:rsidRDefault="00500BD0" w:rsidP="00500BD0">
            <w:pPr>
              <w:spacing w:after="0" w:line="240" w:lineRule="auto"/>
              <w:jc w:val="center"/>
              <w:rPr>
                <w:color w:val="000000"/>
                <w:sz w:val="20"/>
                <w:szCs w:val="20"/>
              </w:rPr>
            </w:pPr>
            <w:r>
              <w:rPr>
                <w:color w:val="000000"/>
                <w:sz w:val="20"/>
                <w:szCs w:val="2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7EA70"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D9CBDD" w14:textId="77777777" w:rsidR="00500BD0" w:rsidRDefault="00500BD0" w:rsidP="00500BD0">
            <w:pPr>
              <w:spacing w:after="0" w:line="240" w:lineRule="auto"/>
              <w:jc w:val="center"/>
              <w:rPr>
                <w:color w:val="000000"/>
                <w:sz w:val="20"/>
                <w:szCs w:val="20"/>
              </w:rPr>
            </w:pPr>
            <w:r>
              <w:rPr>
                <w:color w:val="000000"/>
                <w:sz w:val="20"/>
                <w:szCs w:val="20"/>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EBCD3"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4E8E77" w14:textId="77777777" w:rsidR="00500BD0" w:rsidRDefault="00500BD0" w:rsidP="00500BD0">
            <w:pPr>
              <w:spacing w:after="0" w:line="240" w:lineRule="auto"/>
              <w:jc w:val="center"/>
              <w:rPr>
                <w:color w:val="000000"/>
                <w:sz w:val="20"/>
                <w:szCs w:val="20"/>
              </w:rPr>
            </w:pPr>
            <w:r>
              <w:rPr>
                <w:color w:val="000000"/>
                <w:sz w:val="20"/>
                <w:szCs w:val="20"/>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BC64B1" w14:textId="77777777" w:rsidR="00500BD0" w:rsidRDefault="00500BD0" w:rsidP="00500BD0">
            <w:pPr>
              <w:spacing w:after="0" w:line="240" w:lineRule="auto"/>
              <w:jc w:val="center"/>
              <w:rPr>
                <w:color w:val="000000"/>
                <w:sz w:val="20"/>
                <w:szCs w:val="20"/>
              </w:rPr>
            </w:pPr>
            <w:r>
              <w:rPr>
                <w:color w:val="000000"/>
                <w:sz w:val="20"/>
                <w:szCs w:val="20"/>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6F9EA2" w14:textId="77777777" w:rsidR="00500BD0" w:rsidRDefault="00500BD0" w:rsidP="00500BD0">
            <w:pPr>
              <w:spacing w:after="0" w:line="240" w:lineRule="auto"/>
              <w:jc w:val="center"/>
              <w:rPr>
                <w:color w:val="000000"/>
                <w:sz w:val="20"/>
                <w:szCs w:val="20"/>
              </w:rPr>
            </w:pPr>
            <w:r>
              <w:rPr>
                <w:color w:val="000000"/>
                <w:sz w:val="20"/>
                <w:szCs w:val="20"/>
              </w:rPr>
              <w:t>70,2</w:t>
            </w:r>
          </w:p>
        </w:tc>
      </w:tr>
      <w:tr w:rsidR="00500BD0" w14:paraId="484190D7"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72DA85" w14:textId="77777777" w:rsidR="00500BD0" w:rsidRDefault="00500BD0" w:rsidP="00500BD0">
            <w:pPr>
              <w:spacing w:after="0" w:line="240" w:lineRule="auto"/>
              <w:rPr>
                <w:sz w:val="20"/>
                <w:szCs w:val="20"/>
              </w:rPr>
            </w:pPr>
            <w:r>
              <w:rPr>
                <w:sz w:val="20"/>
                <w:szCs w:val="20"/>
              </w:rPr>
              <w:t>Veľká Británia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35F61B" w14:textId="77777777" w:rsidR="00500BD0" w:rsidRDefault="00500BD0" w:rsidP="00500BD0">
            <w:pPr>
              <w:spacing w:after="0" w:line="240" w:lineRule="auto"/>
              <w:jc w:val="center"/>
              <w:rPr>
                <w:color w:val="000000"/>
                <w:sz w:val="20"/>
                <w:szCs w:val="20"/>
              </w:rPr>
            </w:pPr>
            <w:r>
              <w:rPr>
                <w:color w:val="000000"/>
                <w:sz w:val="20"/>
                <w:szCs w:val="2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2F6931"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E32830" w14:textId="77777777" w:rsidR="00500BD0" w:rsidRDefault="00500BD0" w:rsidP="00500BD0">
            <w:pPr>
              <w:spacing w:after="0" w:line="240" w:lineRule="auto"/>
              <w:jc w:val="center"/>
              <w:rPr>
                <w:color w:val="000000"/>
                <w:sz w:val="20"/>
                <w:szCs w:val="20"/>
              </w:rPr>
            </w:pPr>
            <w:r>
              <w:rPr>
                <w:color w:val="000000"/>
                <w:sz w:val="20"/>
                <w:szCs w:val="20"/>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897370"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1E336D" w14:textId="77777777" w:rsidR="00500BD0" w:rsidRDefault="00500BD0" w:rsidP="00500BD0">
            <w:pPr>
              <w:spacing w:after="0" w:line="240" w:lineRule="auto"/>
              <w:jc w:val="center"/>
              <w:rPr>
                <w:color w:val="000000"/>
                <w:sz w:val="20"/>
                <w:szCs w:val="20"/>
              </w:rPr>
            </w:pPr>
            <w:r>
              <w:rPr>
                <w:color w:val="000000"/>
                <w:sz w:val="20"/>
                <w:szCs w:val="20"/>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A7CF16" w14:textId="77777777" w:rsidR="00500BD0" w:rsidRDefault="00500BD0" w:rsidP="00500BD0">
            <w:pPr>
              <w:spacing w:after="0" w:line="240" w:lineRule="auto"/>
              <w:jc w:val="center"/>
              <w:rPr>
                <w:color w:val="000000"/>
                <w:sz w:val="20"/>
                <w:szCs w:val="20"/>
              </w:rPr>
            </w:pPr>
            <w:r>
              <w:rPr>
                <w:color w:val="000000"/>
                <w:sz w:val="20"/>
                <w:szCs w:val="20"/>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06DD0" w14:textId="77777777" w:rsidR="00500BD0" w:rsidRDefault="00500BD0" w:rsidP="00500BD0">
            <w:pPr>
              <w:spacing w:after="0" w:line="240" w:lineRule="auto"/>
              <w:jc w:val="center"/>
              <w:rPr>
                <w:color w:val="000000"/>
                <w:sz w:val="20"/>
                <w:szCs w:val="20"/>
              </w:rPr>
            </w:pPr>
            <w:r>
              <w:rPr>
                <w:color w:val="000000"/>
                <w:sz w:val="20"/>
                <w:szCs w:val="20"/>
              </w:rPr>
              <w:t>85,9</w:t>
            </w:r>
          </w:p>
        </w:tc>
      </w:tr>
      <w:tr w:rsidR="00500BD0" w14:paraId="1FC79320"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E5E80" w14:textId="77777777" w:rsidR="00500BD0" w:rsidRDefault="00500BD0" w:rsidP="00500BD0">
            <w:pPr>
              <w:spacing w:after="0" w:line="240" w:lineRule="auto"/>
              <w:rPr>
                <w:sz w:val="20"/>
                <w:szCs w:val="20"/>
              </w:rPr>
            </w:pPr>
            <w:r>
              <w:rPr>
                <w:sz w:val="20"/>
                <w:szCs w:val="20"/>
              </w:rPr>
              <w:t>Taliansko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5C1889"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2616EA"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9CBFF" w14:textId="77777777" w:rsidR="00500BD0" w:rsidRDefault="00500BD0" w:rsidP="00500BD0">
            <w:pPr>
              <w:spacing w:after="0" w:line="240" w:lineRule="auto"/>
              <w:jc w:val="center"/>
              <w:rPr>
                <w:color w:val="000000"/>
                <w:sz w:val="20"/>
                <w:szCs w:val="20"/>
              </w:rPr>
            </w:pPr>
            <w:r>
              <w:rPr>
                <w:color w:val="000000"/>
                <w:sz w:val="20"/>
                <w:szCs w:val="2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3F04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C6546C" w14:textId="77777777" w:rsidR="00500BD0" w:rsidRDefault="00500BD0" w:rsidP="00500BD0">
            <w:pPr>
              <w:spacing w:after="0" w:line="240" w:lineRule="auto"/>
              <w:jc w:val="center"/>
              <w:rPr>
                <w:color w:val="000000"/>
                <w:sz w:val="20"/>
                <w:szCs w:val="20"/>
              </w:rPr>
            </w:pPr>
            <w:r>
              <w:rPr>
                <w:color w:val="000000"/>
                <w:sz w:val="20"/>
                <w:szCs w:val="20"/>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191A5" w14:textId="77777777" w:rsidR="00500BD0" w:rsidRDefault="00500BD0" w:rsidP="00500BD0">
            <w:pPr>
              <w:spacing w:after="0" w:line="240" w:lineRule="auto"/>
              <w:jc w:val="center"/>
              <w:rPr>
                <w:color w:val="000000"/>
                <w:sz w:val="20"/>
                <w:szCs w:val="20"/>
              </w:rPr>
            </w:pPr>
            <w:r>
              <w:rPr>
                <w:color w:val="000000"/>
                <w:sz w:val="20"/>
                <w:szCs w:val="20"/>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D3BAF" w14:textId="77777777" w:rsidR="00500BD0" w:rsidRDefault="00500BD0" w:rsidP="00500BD0">
            <w:pPr>
              <w:spacing w:after="0" w:line="240" w:lineRule="auto"/>
              <w:jc w:val="center"/>
              <w:rPr>
                <w:color w:val="000000"/>
                <w:sz w:val="20"/>
                <w:szCs w:val="20"/>
              </w:rPr>
            </w:pPr>
            <w:r>
              <w:rPr>
                <w:color w:val="000000"/>
                <w:sz w:val="20"/>
                <w:szCs w:val="20"/>
              </w:rPr>
              <w:t>134,8</w:t>
            </w:r>
          </w:p>
        </w:tc>
      </w:tr>
      <w:tr w:rsidR="00500BD0" w14:paraId="32D1C661"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3F17D" w14:textId="77777777" w:rsidR="00500BD0" w:rsidRDefault="00500BD0" w:rsidP="00500BD0">
            <w:pPr>
              <w:spacing w:after="0" w:line="240" w:lineRule="auto"/>
              <w:rPr>
                <w:b/>
                <w:bCs/>
                <w:sz w:val="20"/>
                <w:szCs w:val="20"/>
              </w:rPr>
            </w:pPr>
            <w:r>
              <w:rPr>
                <w:b/>
                <w:bCs/>
                <w:sz w:val="20"/>
                <w:szCs w:val="20"/>
              </w:rPr>
              <w:t>Slovensko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43177" w14:textId="77777777" w:rsidR="00500BD0" w:rsidRDefault="00500BD0" w:rsidP="00500BD0">
            <w:pPr>
              <w:spacing w:after="0" w:line="240" w:lineRule="auto"/>
              <w:jc w:val="center"/>
              <w:rPr>
                <w:b/>
                <w:bCs/>
                <w:color w:val="000000"/>
                <w:sz w:val="20"/>
                <w:szCs w:val="20"/>
              </w:rPr>
            </w:pPr>
            <w:r>
              <w:rPr>
                <w:b/>
                <w:bCs/>
                <w:color w:val="000000"/>
                <w:sz w:val="20"/>
                <w:szCs w:val="20"/>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5A48AC" w14:textId="77777777" w:rsidR="00500BD0" w:rsidRDefault="00500BD0" w:rsidP="00500BD0">
            <w:pPr>
              <w:spacing w:after="0" w:line="240" w:lineRule="auto"/>
              <w:jc w:val="center"/>
              <w:rPr>
                <w:b/>
                <w:bCs/>
                <w:color w:val="000000"/>
                <w:sz w:val="20"/>
                <w:szCs w:val="20"/>
              </w:rPr>
            </w:pPr>
            <w:r>
              <w:rPr>
                <w:b/>
                <w:bCs/>
                <w:color w:val="000000"/>
                <w:sz w:val="20"/>
                <w:szCs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A2A8EF" w14:textId="77777777" w:rsidR="00500BD0" w:rsidRDefault="00500BD0" w:rsidP="00500BD0">
            <w:pPr>
              <w:spacing w:after="0" w:line="240" w:lineRule="auto"/>
              <w:jc w:val="center"/>
              <w:rPr>
                <w:b/>
                <w:bCs/>
                <w:color w:val="000000"/>
                <w:sz w:val="20"/>
                <w:szCs w:val="20"/>
              </w:rPr>
            </w:pPr>
            <w:r>
              <w:rPr>
                <w:b/>
                <w:bCs/>
                <w:color w:val="000000"/>
                <w:sz w:val="20"/>
                <w:szCs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79701" w14:textId="77777777" w:rsidR="00500BD0" w:rsidRDefault="00500BD0" w:rsidP="00500BD0">
            <w:pPr>
              <w:spacing w:after="0" w:line="240" w:lineRule="auto"/>
              <w:jc w:val="cente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A8E92D" w14:textId="77777777" w:rsidR="00500BD0" w:rsidRDefault="00500BD0" w:rsidP="00500BD0">
            <w:pPr>
              <w:spacing w:after="0" w:line="240" w:lineRule="auto"/>
              <w:jc w:val="center"/>
              <w:rPr>
                <w:b/>
                <w:bCs/>
                <w:color w:val="000000"/>
                <w:sz w:val="20"/>
                <w:szCs w:val="20"/>
              </w:rPr>
            </w:pPr>
            <w:r>
              <w:rPr>
                <w:b/>
                <w:bCs/>
                <w:color w:val="000000"/>
                <w:sz w:val="20"/>
                <w:szCs w:val="20"/>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06437B" w14:textId="77777777" w:rsidR="00500BD0" w:rsidRDefault="00500BD0" w:rsidP="00500BD0">
            <w:pPr>
              <w:spacing w:after="0" w:line="240" w:lineRule="auto"/>
              <w:jc w:val="center"/>
              <w:rPr>
                <w:b/>
                <w:bCs/>
                <w:color w:val="000000"/>
                <w:sz w:val="20"/>
                <w:szCs w:val="20"/>
              </w:rPr>
            </w:pPr>
            <w:r>
              <w:rPr>
                <w:b/>
                <w:bCs/>
                <w:color w:val="000000"/>
                <w:sz w:val="20"/>
                <w:szCs w:val="20"/>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57A13E" w14:textId="77777777" w:rsidR="00500BD0" w:rsidRDefault="00500BD0" w:rsidP="00500BD0">
            <w:pPr>
              <w:spacing w:after="0" w:line="240" w:lineRule="auto"/>
              <w:jc w:val="center"/>
              <w:rPr>
                <w:b/>
                <w:bCs/>
                <w:color w:val="000000"/>
                <w:sz w:val="20"/>
                <w:szCs w:val="20"/>
              </w:rPr>
            </w:pPr>
            <w:r>
              <w:rPr>
                <w:b/>
                <w:bCs/>
                <w:color w:val="000000"/>
                <w:sz w:val="20"/>
                <w:szCs w:val="20"/>
              </w:rPr>
              <w:t>49,4</w:t>
            </w:r>
          </w:p>
        </w:tc>
      </w:tr>
      <w:tr w:rsidR="00500BD0" w14:paraId="5D6C1604"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B43EA5" w14:textId="77777777" w:rsidR="00500BD0" w:rsidRDefault="00500BD0" w:rsidP="00500BD0">
            <w:pPr>
              <w:spacing w:after="0" w:line="240" w:lineRule="auto"/>
              <w:rPr>
                <w:sz w:val="20"/>
                <w:szCs w:val="20"/>
              </w:rPr>
            </w:pPr>
            <w:r>
              <w:rPr>
                <w:sz w:val="20"/>
                <w:szCs w:val="20"/>
              </w:rPr>
              <w:t>Fínsko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41DC1" w14:textId="77777777" w:rsidR="00500BD0" w:rsidRDefault="00500BD0" w:rsidP="00500BD0">
            <w:pPr>
              <w:spacing w:after="0" w:line="240" w:lineRule="auto"/>
              <w:jc w:val="center"/>
              <w:rPr>
                <w:color w:val="000000"/>
                <w:sz w:val="20"/>
                <w:szCs w:val="20"/>
              </w:rPr>
            </w:pPr>
            <w:r>
              <w:rPr>
                <w:color w:val="000000"/>
                <w:sz w:val="20"/>
                <w:szCs w:val="2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863879"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15F1D"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1AAE41"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9BE1D5" w14:textId="77777777" w:rsidR="00500BD0" w:rsidRDefault="00500BD0" w:rsidP="00500BD0">
            <w:pPr>
              <w:spacing w:after="0" w:line="240" w:lineRule="auto"/>
              <w:jc w:val="center"/>
              <w:rPr>
                <w:color w:val="000000"/>
                <w:sz w:val="20"/>
                <w:szCs w:val="20"/>
              </w:rPr>
            </w:pPr>
            <w:r>
              <w:rPr>
                <w:color w:val="000000"/>
                <w:sz w:val="20"/>
                <w:szCs w:val="20"/>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389A2" w14:textId="77777777" w:rsidR="00500BD0" w:rsidRDefault="00500BD0" w:rsidP="00500BD0">
            <w:pPr>
              <w:spacing w:after="0" w:line="240" w:lineRule="auto"/>
              <w:jc w:val="center"/>
              <w:rPr>
                <w:color w:val="000000"/>
                <w:sz w:val="20"/>
                <w:szCs w:val="20"/>
              </w:rPr>
            </w:pPr>
            <w:r>
              <w:rPr>
                <w:color w:val="000000"/>
                <w:sz w:val="20"/>
                <w:szCs w:val="20"/>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340336" w14:textId="77777777" w:rsidR="00500BD0" w:rsidRDefault="00500BD0" w:rsidP="00500BD0">
            <w:pPr>
              <w:spacing w:after="0" w:line="240" w:lineRule="auto"/>
              <w:jc w:val="center"/>
              <w:rPr>
                <w:color w:val="000000"/>
                <w:sz w:val="20"/>
                <w:szCs w:val="20"/>
              </w:rPr>
            </w:pPr>
            <w:r>
              <w:rPr>
                <w:color w:val="000000"/>
                <w:sz w:val="20"/>
                <w:szCs w:val="20"/>
              </w:rPr>
              <w:t>59,0</w:t>
            </w:r>
          </w:p>
        </w:tc>
      </w:tr>
      <w:tr w:rsidR="00500BD0" w14:paraId="7FF4C622"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58AC5" w14:textId="77777777" w:rsidR="00500BD0" w:rsidRDefault="00500BD0" w:rsidP="00500BD0">
            <w:pPr>
              <w:spacing w:after="0" w:line="240" w:lineRule="auto"/>
              <w:rPr>
                <w:sz w:val="20"/>
                <w:szCs w:val="20"/>
              </w:rPr>
            </w:pPr>
            <w:r>
              <w:rPr>
                <w:sz w:val="20"/>
                <w:szCs w:val="20"/>
              </w:rPr>
              <w:t>Belgicko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F96FF4"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488296"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68F02"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691A64"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263FED" w14:textId="77777777" w:rsidR="00500BD0" w:rsidRDefault="00500BD0" w:rsidP="00500BD0">
            <w:pPr>
              <w:spacing w:after="0" w:line="240" w:lineRule="auto"/>
              <w:jc w:val="center"/>
              <w:rPr>
                <w:color w:val="000000"/>
                <w:sz w:val="20"/>
                <w:szCs w:val="20"/>
              </w:rPr>
            </w:pPr>
            <w:r>
              <w:rPr>
                <w:color w:val="000000"/>
                <w:sz w:val="20"/>
                <w:szCs w:val="20"/>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6F3985" w14:textId="77777777" w:rsidR="00500BD0" w:rsidRDefault="00500BD0" w:rsidP="00500BD0">
            <w:pPr>
              <w:spacing w:after="0" w:line="240" w:lineRule="auto"/>
              <w:jc w:val="center"/>
              <w:rPr>
                <w:color w:val="000000"/>
                <w:sz w:val="20"/>
                <w:szCs w:val="20"/>
              </w:rPr>
            </w:pPr>
            <w:r>
              <w:rPr>
                <w:color w:val="000000"/>
                <w:sz w:val="20"/>
                <w:szCs w:val="20"/>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E75AA" w14:textId="77777777" w:rsidR="00500BD0" w:rsidRDefault="00500BD0" w:rsidP="00500BD0">
            <w:pPr>
              <w:spacing w:after="0" w:line="240" w:lineRule="auto"/>
              <w:jc w:val="center"/>
              <w:rPr>
                <w:color w:val="000000"/>
                <w:sz w:val="20"/>
                <w:szCs w:val="20"/>
              </w:rPr>
            </w:pPr>
            <w:r>
              <w:rPr>
                <w:color w:val="000000"/>
                <w:sz w:val="20"/>
                <w:szCs w:val="20"/>
              </w:rPr>
              <w:t>100,0</w:t>
            </w:r>
          </w:p>
        </w:tc>
      </w:tr>
      <w:tr w:rsidR="00500BD0" w14:paraId="6AA740B4"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1FC36" w14:textId="77777777" w:rsidR="00500BD0" w:rsidRDefault="00500BD0" w:rsidP="00500BD0">
            <w:pPr>
              <w:spacing w:after="0" w:line="240" w:lineRule="auto"/>
              <w:rPr>
                <w:sz w:val="20"/>
                <w:szCs w:val="20"/>
              </w:rPr>
            </w:pPr>
            <w:r>
              <w:rPr>
                <w:sz w:val="20"/>
                <w:szCs w:val="20"/>
              </w:rPr>
              <w:t>Lotyšsko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15992F" w14:textId="77777777" w:rsidR="00500BD0" w:rsidRDefault="00500BD0" w:rsidP="00500BD0">
            <w:pPr>
              <w:spacing w:after="0" w:line="240" w:lineRule="auto"/>
              <w:jc w:val="center"/>
              <w:rPr>
                <w:color w:val="000000"/>
                <w:sz w:val="20"/>
                <w:szCs w:val="20"/>
              </w:rPr>
            </w:pPr>
            <w:r>
              <w:rPr>
                <w:color w:val="000000"/>
                <w:sz w:val="20"/>
                <w:szCs w:val="20"/>
              </w:rPr>
              <w:t>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25367" w14:textId="77777777" w:rsidR="00500BD0" w:rsidRDefault="00500BD0" w:rsidP="00500BD0">
            <w:pPr>
              <w:spacing w:after="0" w:line="240" w:lineRule="auto"/>
              <w:jc w:val="center"/>
              <w:rPr>
                <w:color w:val="000000"/>
                <w:sz w:val="20"/>
                <w:szCs w:val="20"/>
              </w:rPr>
            </w:pPr>
            <w:r>
              <w:rPr>
                <w:color w:val="000000"/>
                <w:sz w:val="20"/>
                <w:szCs w:val="20"/>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65A27"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D6BC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3D64F3" w14:textId="77777777" w:rsidR="00500BD0" w:rsidRDefault="00500BD0" w:rsidP="00500BD0">
            <w:pPr>
              <w:spacing w:after="0" w:line="240" w:lineRule="auto"/>
              <w:jc w:val="center"/>
              <w:rPr>
                <w:color w:val="000000"/>
                <w:sz w:val="20"/>
                <w:szCs w:val="20"/>
              </w:rPr>
            </w:pPr>
            <w:r>
              <w:rPr>
                <w:color w:val="000000"/>
                <w:sz w:val="20"/>
                <w:szCs w:val="20"/>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69112" w14:textId="77777777" w:rsidR="00500BD0" w:rsidRDefault="00500BD0" w:rsidP="00500BD0">
            <w:pPr>
              <w:spacing w:after="0" w:line="240" w:lineRule="auto"/>
              <w:jc w:val="center"/>
              <w:rPr>
                <w:color w:val="000000"/>
                <w:sz w:val="20"/>
                <w:szCs w:val="20"/>
              </w:rPr>
            </w:pPr>
            <w:r>
              <w:rPr>
                <w:color w:val="000000"/>
                <w:sz w:val="20"/>
                <w:szCs w:val="20"/>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0854BA" w14:textId="77777777" w:rsidR="00500BD0" w:rsidRDefault="00500BD0" w:rsidP="00500BD0">
            <w:pPr>
              <w:spacing w:after="0" w:line="240" w:lineRule="auto"/>
              <w:jc w:val="center"/>
              <w:rPr>
                <w:color w:val="000000"/>
                <w:sz w:val="20"/>
                <w:szCs w:val="20"/>
              </w:rPr>
            </w:pPr>
            <w:r>
              <w:rPr>
                <w:color w:val="000000"/>
                <w:sz w:val="20"/>
                <w:szCs w:val="20"/>
              </w:rPr>
              <w:t>36,4</w:t>
            </w:r>
          </w:p>
        </w:tc>
      </w:tr>
      <w:tr w:rsidR="00500BD0" w14:paraId="4B47CDDD"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6A3121" w14:textId="77777777" w:rsidR="00500BD0" w:rsidRDefault="00500BD0" w:rsidP="00500BD0">
            <w:pPr>
              <w:spacing w:after="0" w:line="240" w:lineRule="auto"/>
              <w:rPr>
                <w:sz w:val="20"/>
                <w:szCs w:val="20"/>
              </w:rPr>
            </w:pPr>
            <w:r>
              <w:rPr>
                <w:sz w:val="20"/>
                <w:szCs w:val="20"/>
              </w:rPr>
              <w:t>Estónsko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EB7C81" w14:textId="77777777" w:rsidR="00500BD0" w:rsidRDefault="00500BD0" w:rsidP="00500BD0">
            <w:pPr>
              <w:spacing w:after="0" w:line="240" w:lineRule="auto"/>
              <w:jc w:val="center"/>
              <w:rPr>
                <w:color w:val="000000"/>
                <w:sz w:val="20"/>
                <w:szCs w:val="20"/>
              </w:rPr>
            </w:pPr>
            <w:r>
              <w:rPr>
                <w:color w:val="000000"/>
                <w:sz w:val="20"/>
                <w:szCs w:val="20"/>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43F93"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D7B4A8" w14:textId="77777777" w:rsidR="00500BD0" w:rsidRDefault="00500BD0" w:rsidP="00500BD0">
            <w:pPr>
              <w:spacing w:after="0" w:line="240" w:lineRule="auto"/>
              <w:jc w:val="center"/>
              <w:rPr>
                <w:color w:val="000000"/>
                <w:sz w:val="20"/>
                <w:szCs w:val="20"/>
              </w:rPr>
            </w:pPr>
            <w:r>
              <w:rPr>
                <w:color w:val="000000"/>
                <w:sz w:val="20"/>
                <w:szCs w:val="20"/>
              </w:rPr>
              <w:t>-0,6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3A6B18"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2B5E4C" w14:textId="77777777" w:rsidR="00500BD0" w:rsidRDefault="00500BD0" w:rsidP="00500BD0">
            <w:pPr>
              <w:spacing w:after="0" w:line="240" w:lineRule="auto"/>
              <w:jc w:val="center"/>
              <w:rPr>
                <w:color w:val="000000"/>
                <w:sz w:val="20"/>
                <w:szCs w:val="20"/>
              </w:rPr>
            </w:pPr>
            <w:r>
              <w:rPr>
                <w:color w:val="000000"/>
                <w:sz w:val="20"/>
                <w:szCs w:val="20"/>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CD56A3" w14:textId="77777777" w:rsidR="00500BD0" w:rsidRDefault="00500BD0" w:rsidP="00500BD0">
            <w:pPr>
              <w:spacing w:after="0" w:line="240" w:lineRule="auto"/>
              <w:jc w:val="center"/>
              <w:rPr>
                <w:color w:val="000000"/>
                <w:sz w:val="20"/>
                <w:szCs w:val="20"/>
              </w:rPr>
            </w:pPr>
            <w:r>
              <w:rPr>
                <w:color w:val="000000"/>
                <w:sz w:val="20"/>
                <w:szCs w:val="20"/>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17A90" w14:textId="77777777" w:rsidR="00500BD0" w:rsidRDefault="00500BD0" w:rsidP="00500BD0">
            <w:pPr>
              <w:spacing w:after="0" w:line="240" w:lineRule="auto"/>
              <w:jc w:val="center"/>
              <w:rPr>
                <w:color w:val="000000"/>
                <w:sz w:val="20"/>
                <w:szCs w:val="20"/>
              </w:rPr>
            </w:pPr>
            <w:r>
              <w:rPr>
                <w:color w:val="000000"/>
                <w:sz w:val="20"/>
                <w:szCs w:val="20"/>
              </w:rPr>
              <w:t>8,4</w:t>
            </w:r>
          </w:p>
        </w:tc>
      </w:tr>
      <w:tr w:rsidR="00500BD0" w14:paraId="4E4AF1F5"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1722D" w14:textId="77777777" w:rsidR="00500BD0" w:rsidRDefault="00500BD0" w:rsidP="00500BD0">
            <w:pPr>
              <w:spacing w:after="0" w:line="240" w:lineRule="auto"/>
              <w:rPr>
                <w:sz w:val="20"/>
                <w:szCs w:val="20"/>
              </w:rPr>
            </w:pPr>
            <w:r>
              <w:rPr>
                <w:sz w:val="20"/>
                <w:szCs w:val="20"/>
              </w:rPr>
              <w:t>Portugalsko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75E87C" w14:textId="77777777" w:rsidR="00500BD0" w:rsidRDefault="00500BD0" w:rsidP="00500BD0">
            <w:pPr>
              <w:spacing w:after="0" w:line="240" w:lineRule="auto"/>
              <w:jc w:val="center"/>
              <w:rPr>
                <w:color w:val="000000"/>
                <w:sz w:val="20"/>
                <w:szCs w:val="20"/>
              </w:rPr>
            </w:pPr>
            <w:r>
              <w:rPr>
                <w:color w:val="000000"/>
                <w:sz w:val="20"/>
                <w:szCs w:val="2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4C977" w14:textId="77777777" w:rsidR="00500BD0" w:rsidRDefault="00500BD0" w:rsidP="00500BD0">
            <w:pPr>
              <w:spacing w:after="0" w:line="240" w:lineRule="auto"/>
              <w:jc w:val="center"/>
              <w:rPr>
                <w:color w:val="000000"/>
                <w:sz w:val="20"/>
                <w:szCs w:val="20"/>
              </w:rPr>
            </w:pPr>
            <w:r>
              <w:rPr>
                <w:color w:val="000000"/>
                <w:sz w:val="20"/>
                <w:szCs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91D410" w14:textId="77777777" w:rsidR="00500BD0" w:rsidRDefault="00500BD0" w:rsidP="00500BD0">
            <w:pPr>
              <w:spacing w:after="0" w:line="240" w:lineRule="auto"/>
              <w:jc w:val="center"/>
              <w:rPr>
                <w:color w:val="000000"/>
                <w:sz w:val="20"/>
                <w:szCs w:val="20"/>
              </w:rPr>
            </w:pPr>
            <w:r>
              <w:rPr>
                <w:color w:val="000000"/>
                <w:sz w:val="20"/>
                <w:szCs w:val="20"/>
              </w:rPr>
              <w:t>-0,4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815125"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29823" w14:textId="77777777" w:rsidR="00500BD0" w:rsidRDefault="00500BD0" w:rsidP="00500BD0">
            <w:pPr>
              <w:spacing w:after="0" w:line="240" w:lineRule="auto"/>
              <w:jc w:val="center"/>
              <w:rPr>
                <w:color w:val="000000"/>
                <w:sz w:val="20"/>
                <w:szCs w:val="20"/>
              </w:rPr>
            </w:pPr>
            <w:r>
              <w:rPr>
                <w:color w:val="000000"/>
                <w:sz w:val="20"/>
                <w:szCs w:val="20"/>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634A31" w14:textId="77777777" w:rsidR="00500BD0" w:rsidRDefault="00500BD0" w:rsidP="00500BD0">
            <w:pPr>
              <w:spacing w:after="0" w:line="240" w:lineRule="auto"/>
              <w:jc w:val="center"/>
              <w:rPr>
                <w:color w:val="000000"/>
                <w:sz w:val="20"/>
                <w:szCs w:val="20"/>
              </w:rPr>
            </w:pPr>
            <w:r>
              <w:rPr>
                <w:color w:val="000000"/>
                <w:sz w:val="20"/>
                <w:szCs w:val="20"/>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1EB41" w14:textId="77777777" w:rsidR="00500BD0" w:rsidRDefault="00500BD0" w:rsidP="00500BD0">
            <w:pPr>
              <w:spacing w:after="0" w:line="240" w:lineRule="auto"/>
              <w:jc w:val="center"/>
              <w:rPr>
                <w:color w:val="000000"/>
                <w:sz w:val="20"/>
                <w:szCs w:val="20"/>
              </w:rPr>
            </w:pPr>
            <w:r>
              <w:rPr>
                <w:color w:val="000000"/>
                <w:sz w:val="20"/>
                <w:szCs w:val="20"/>
              </w:rPr>
              <w:t>122,2</w:t>
            </w:r>
          </w:p>
        </w:tc>
      </w:tr>
      <w:tr w:rsidR="00500BD0" w14:paraId="4BF44D00"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313094" w14:textId="77777777" w:rsidR="00500BD0" w:rsidRDefault="00500BD0" w:rsidP="00500BD0">
            <w:pPr>
              <w:spacing w:after="0" w:line="240" w:lineRule="auto"/>
              <w:rPr>
                <w:sz w:val="20"/>
                <w:szCs w:val="20"/>
              </w:rPr>
            </w:pPr>
            <w:r>
              <w:rPr>
                <w:sz w:val="20"/>
                <w:szCs w:val="20"/>
              </w:rPr>
              <w:t>Poľsko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2158CE" w14:textId="77777777" w:rsidR="00500BD0" w:rsidRDefault="00500BD0" w:rsidP="00500BD0">
            <w:pPr>
              <w:spacing w:after="0" w:line="240" w:lineRule="auto"/>
              <w:jc w:val="center"/>
              <w:rPr>
                <w:color w:val="000000"/>
                <w:sz w:val="20"/>
                <w:szCs w:val="20"/>
              </w:rPr>
            </w:pPr>
            <w:r>
              <w:rPr>
                <w:color w:val="000000"/>
                <w:sz w:val="20"/>
                <w:szCs w:val="2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8DC21" w14:textId="77777777" w:rsidR="00500BD0" w:rsidRDefault="00500BD0" w:rsidP="00500BD0">
            <w:pPr>
              <w:spacing w:after="0" w:line="240" w:lineRule="auto"/>
              <w:jc w:val="center"/>
              <w:rPr>
                <w:color w:val="000000"/>
                <w:sz w:val="20"/>
                <w:szCs w:val="20"/>
              </w:rPr>
            </w:pPr>
            <w:r>
              <w:rPr>
                <w:color w:val="000000"/>
                <w:sz w:val="20"/>
                <w:szCs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1E397" w14:textId="77777777" w:rsidR="00500BD0" w:rsidRDefault="00500BD0" w:rsidP="00500BD0">
            <w:pPr>
              <w:spacing w:after="0" w:line="240" w:lineRule="auto"/>
              <w:jc w:val="center"/>
              <w:rPr>
                <w:color w:val="000000"/>
                <w:sz w:val="20"/>
                <w:szCs w:val="20"/>
              </w:rPr>
            </w:pPr>
            <w:r>
              <w:rPr>
                <w:color w:val="000000"/>
                <w:sz w:val="20"/>
                <w:szCs w:val="20"/>
              </w:rPr>
              <w:t>-0,2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4C63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5D659" w14:textId="77777777" w:rsidR="00500BD0" w:rsidRDefault="00500BD0" w:rsidP="00500BD0">
            <w:pPr>
              <w:spacing w:after="0" w:line="240" w:lineRule="auto"/>
              <w:jc w:val="center"/>
              <w:rPr>
                <w:color w:val="000000"/>
                <w:sz w:val="20"/>
                <w:szCs w:val="20"/>
              </w:rPr>
            </w:pPr>
            <w:r>
              <w:rPr>
                <w:color w:val="000000"/>
                <w:sz w:val="20"/>
                <w:szCs w:val="20"/>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ECD30C" w14:textId="77777777" w:rsidR="00500BD0" w:rsidRDefault="00500BD0" w:rsidP="00500BD0">
            <w:pPr>
              <w:spacing w:after="0" w:line="240" w:lineRule="auto"/>
              <w:jc w:val="center"/>
              <w:rPr>
                <w:color w:val="000000"/>
                <w:sz w:val="20"/>
                <w:szCs w:val="20"/>
              </w:rPr>
            </w:pPr>
            <w:r>
              <w:rPr>
                <w:color w:val="000000"/>
                <w:sz w:val="20"/>
                <w:szCs w:val="20"/>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694E78" w14:textId="77777777" w:rsidR="00500BD0" w:rsidRDefault="00500BD0" w:rsidP="00500BD0">
            <w:pPr>
              <w:spacing w:after="0" w:line="240" w:lineRule="auto"/>
              <w:jc w:val="center"/>
              <w:rPr>
                <w:color w:val="000000"/>
                <w:sz w:val="20"/>
                <w:szCs w:val="20"/>
              </w:rPr>
            </w:pPr>
            <w:r>
              <w:rPr>
                <w:color w:val="000000"/>
                <w:sz w:val="20"/>
                <w:szCs w:val="20"/>
              </w:rPr>
              <w:t>48,9</w:t>
            </w:r>
          </w:p>
        </w:tc>
      </w:tr>
      <w:tr w:rsidR="00500BD0" w14:paraId="3552ACF7"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3AD921" w14:textId="77777777" w:rsidR="00500BD0" w:rsidRDefault="00500BD0" w:rsidP="00500BD0">
            <w:pPr>
              <w:spacing w:after="0" w:line="240" w:lineRule="auto"/>
              <w:rPr>
                <w:sz w:val="20"/>
                <w:szCs w:val="20"/>
              </w:rPr>
            </w:pPr>
            <w:r>
              <w:rPr>
                <w:sz w:val="20"/>
                <w:szCs w:val="20"/>
              </w:rPr>
              <w:t>Írsko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A8C8EA"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3091A6" w14:textId="77777777" w:rsidR="00500BD0" w:rsidRDefault="00500BD0" w:rsidP="00500BD0">
            <w:pPr>
              <w:spacing w:after="0" w:line="240" w:lineRule="auto"/>
              <w:jc w:val="center"/>
              <w:rPr>
                <w:color w:val="000000"/>
                <w:sz w:val="20"/>
                <w:szCs w:val="20"/>
              </w:rPr>
            </w:pPr>
            <w:r>
              <w:rPr>
                <w:color w:val="000000"/>
                <w:sz w:val="20"/>
                <w:szCs w:val="20"/>
              </w:rPr>
              <w:t>-0,3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06294" w14:textId="77777777" w:rsidR="00500BD0" w:rsidRDefault="00500BD0" w:rsidP="00500BD0">
            <w:pPr>
              <w:spacing w:after="0" w:line="240" w:lineRule="auto"/>
              <w:jc w:val="center"/>
              <w:rPr>
                <w:color w:val="000000"/>
                <w:sz w:val="20"/>
                <w:szCs w:val="20"/>
              </w:rPr>
            </w:pPr>
            <w:r>
              <w:rPr>
                <w:color w:val="000000"/>
                <w:sz w:val="20"/>
                <w:szCs w:val="20"/>
              </w:rPr>
              <w:t>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E27000"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F9E98" w14:textId="77777777" w:rsidR="00500BD0" w:rsidRDefault="00500BD0" w:rsidP="00500BD0">
            <w:pPr>
              <w:spacing w:after="0" w:line="240" w:lineRule="auto"/>
              <w:jc w:val="center"/>
              <w:rPr>
                <w:color w:val="000000"/>
                <w:sz w:val="20"/>
                <w:szCs w:val="20"/>
              </w:rPr>
            </w:pPr>
            <w:r>
              <w:rPr>
                <w:color w:val="000000"/>
                <w:sz w:val="20"/>
                <w:szCs w:val="20"/>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A40AF4" w14:textId="77777777" w:rsidR="00500BD0" w:rsidRDefault="00500BD0" w:rsidP="00500BD0">
            <w:pPr>
              <w:spacing w:after="0" w:line="240" w:lineRule="auto"/>
              <w:jc w:val="center"/>
              <w:rPr>
                <w:color w:val="000000"/>
                <w:sz w:val="20"/>
                <w:szCs w:val="20"/>
              </w:rPr>
            </w:pPr>
            <w:r>
              <w:rPr>
                <w:color w:val="000000"/>
                <w:sz w:val="20"/>
                <w:szCs w:val="20"/>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51565" w14:textId="77777777" w:rsidR="00500BD0" w:rsidRDefault="00500BD0" w:rsidP="00500BD0">
            <w:pPr>
              <w:spacing w:after="0" w:line="240" w:lineRule="auto"/>
              <w:jc w:val="center"/>
              <w:rPr>
                <w:color w:val="000000"/>
                <w:sz w:val="20"/>
                <w:szCs w:val="20"/>
              </w:rPr>
            </w:pPr>
            <w:r>
              <w:rPr>
                <w:color w:val="000000"/>
                <w:sz w:val="20"/>
                <w:szCs w:val="20"/>
              </w:rPr>
              <w:t>63,6</w:t>
            </w:r>
          </w:p>
        </w:tc>
      </w:tr>
      <w:tr w:rsidR="00500BD0" w14:paraId="52B48A04"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C26170" w14:textId="77777777" w:rsidR="00500BD0" w:rsidRDefault="00500BD0" w:rsidP="00500BD0">
            <w:pPr>
              <w:spacing w:after="0" w:line="240" w:lineRule="auto"/>
              <w:rPr>
                <w:sz w:val="20"/>
                <w:szCs w:val="20"/>
              </w:rPr>
            </w:pPr>
            <w:r>
              <w:rPr>
                <w:sz w:val="20"/>
                <w:szCs w:val="20"/>
              </w:rPr>
              <w:t>Rakúsko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0DA22" w14:textId="77777777" w:rsidR="00500BD0" w:rsidRDefault="00500BD0" w:rsidP="00500BD0">
            <w:pPr>
              <w:spacing w:after="0" w:line="240" w:lineRule="auto"/>
              <w:jc w:val="center"/>
              <w:rPr>
                <w:color w:val="000000"/>
                <w:sz w:val="20"/>
                <w:szCs w:val="20"/>
              </w:rPr>
            </w:pPr>
            <w:r>
              <w:rPr>
                <w:color w:val="000000"/>
                <w:sz w:val="20"/>
                <w:szCs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5D1907"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5F0BD" w14:textId="77777777" w:rsidR="00500BD0" w:rsidRDefault="00500BD0" w:rsidP="00500BD0">
            <w:pPr>
              <w:spacing w:after="0" w:line="240" w:lineRule="auto"/>
              <w:jc w:val="center"/>
              <w:rPr>
                <w:color w:val="000000"/>
                <w:sz w:val="20"/>
                <w:szCs w:val="20"/>
              </w:rPr>
            </w:pPr>
            <w:r>
              <w:rPr>
                <w:color w:val="000000"/>
                <w:sz w:val="20"/>
                <w:szCs w:val="20"/>
              </w:rPr>
              <w:t>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182A3"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3D8A58" w14:textId="77777777" w:rsidR="00500BD0" w:rsidRDefault="00500BD0" w:rsidP="00500BD0">
            <w:pPr>
              <w:spacing w:after="0" w:line="240" w:lineRule="auto"/>
              <w:jc w:val="center"/>
              <w:rPr>
                <w:color w:val="000000"/>
                <w:sz w:val="20"/>
                <w:szCs w:val="20"/>
              </w:rPr>
            </w:pPr>
            <w:r>
              <w:rPr>
                <w:color w:val="000000"/>
                <w:sz w:val="20"/>
                <w:szCs w:val="20"/>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137B9" w14:textId="77777777" w:rsidR="00500BD0" w:rsidRDefault="00500BD0" w:rsidP="00500BD0">
            <w:pPr>
              <w:spacing w:after="0" w:line="240" w:lineRule="auto"/>
              <w:jc w:val="center"/>
              <w:rPr>
                <w:color w:val="000000"/>
                <w:sz w:val="20"/>
                <w:szCs w:val="20"/>
              </w:rPr>
            </w:pPr>
            <w:r>
              <w:rPr>
                <w:color w:val="000000"/>
                <w:sz w:val="20"/>
                <w:szCs w:val="20"/>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F38150" w14:textId="77777777" w:rsidR="00500BD0" w:rsidRDefault="00500BD0" w:rsidP="00500BD0">
            <w:pPr>
              <w:spacing w:after="0" w:line="240" w:lineRule="auto"/>
              <w:jc w:val="center"/>
              <w:rPr>
                <w:color w:val="000000"/>
                <w:sz w:val="20"/>
                <w:szCs w:val="20"/>
              </w:rPr>
            </w:pPr>
            <w:r>
              <w:rPr>
                <w:color w:val="000000"/>
                <w:sz w:val="20"/>
                <w:szCs w:val="20"/>
              </w:rPr>
              <w:t>74,0</w:t>
            </w:r>
          </w:p>
        </w:tc>
      </w:tr>
      <w:tr w:rsidR="00500BD0" w14:paraId="2445F643"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1F9EE2" w14:textId="77777777" w:rsidR="00500BD0" w:rsidRDefault="00500BD0" w:rsidP="00500BD0">
            <w:pPr>
              <w:spacing w:after="0" w:line="240" w:lineRule="auto"/>
              <w:rPr>
                <w:sz w:val="20"/>
                <w:szCs w:val="20"/>
              </w:rPr>
            </w:pPr>
            <w:r>
              <w:rPr>
                <w:sz w:val="20"/>
                <w:szCs w:val="20"/>
              </w:rPr>
              <w:t>Chorvátsko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1F365F" w14:textId="77777777" w:rsidR="00500BD0" w:rsidRDefault="00500BD0" w:rsidP="00500BD0">
            <w:pPr>
              <w:spacing w:after="0" w:line="240" w:lineRule="auto"/>
              <w:jc w:val="center"/>
              <w:rPr>
                <w:color w:val="000000"/>
                <w:sz w:val="20"/>
                <w:szCs w:val="20"/>
              </w:rPr>
            </w:pPr>
            <w:r>
              <w:rPr>
                <w:color w:val="000000"/>
                <w:sz w:val="20"/>
                <w:szCs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758E24"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DAB453" w14:textId="77777777" w:rsidR="00500BD0" w:rsidRDefault="00500BD0" w:rsidP="00500BD0">
            <w:pPr>
              <w:spacing w:after="0" w:line="240" w:lineRule="auto"/>
              <w:jc w:val="center"/>
              <w:rPr>
                <w:color w:val="000000"/>
                <w:sz w:val="20"/>
                <w:szCs w:val="20"/>
              </w:rPr>
            </w:pPr>
            <w:r>
              <w:rPr>
                <w:color w:val="000000"/>
                <w:sz w:val="20"/>
                <w:szCs w:val="20"/>
              </w:rPr>
              <w:t>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4A54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649F2" w14:textId="77777777" w:rsidR="00500BD0" w:rsidRDefault="00500BD0" w:rsidP="00500BD0">
            <w:pPr>
              <w:spacing w:after="0" w:line="240" w:lineRule="auto"/>
              <w:jc w:val="center"/>
              <w:rPr>
                <w:color w:val="000000"/>
                <w:sz w:val="20"/>
                <w:szCs w:val="20"/>
              </w:rPr>
            </w:pPr>
            <w:r>
              <w:rPr>
                <w:color w:val="000000"/>
                <w:sz w:val="20"/>
                <w:szCs w:val="20"/>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CFB3FC" w14:textId="77777777" w:rsidR="00500BD0" w:rsidRDefault="00500BD0" w:rsidP="00500BD0">
            <w:pPr>
              <w:spacing w:after="0" w:line="240" w:lineRule="auto"/>
              <w:jc w:val="center"/>
              <w:rPr>
                <w:color w:val="000000"/>
                <w:sz w:val="20"/>
                <w:szCs w:val="20"/>
              </w:rPr>
            </w:pPr>
            <w:r>
              <w:rPr>
                <w:color w:val="000000"/>
                <w:sz w:val="20"/>
                <w:szCs w:val="20"/>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38BA0B" w14:textId="77777777" w:rsidR="00500BD0" w:rsidRDefault="00500BD0" w:rsidP="00500BD0">
            <w:pPr>
              <w:spacing w:after="0" w:line="240" w:lineRule="auto"/>
              <w:jc w:val="center"/>
              <w:rPr>
                <w:color w:val="000000"/>
                <w:sz w:val="20"/>
                <w:szCs w:val="20"/>
              </w:rPr>
            </w:pPr>
            <w:r>
              <w:rPr>
                <w:color w:val="000000"/>
                <w:sz w:val="20"/>
                <w:szCs w:val="20"/>
              </w:rPr>
              <w:t>74,8</w:t>
            </w:r>
          </w:p>
        </w:tc>
      </w:tr>
      <w:tr w:rsidR="00500BD0" w14:paraId="3DA82B38"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054002" w14:textId="77777777" w:rsidR="00500BD0" w:rsidRDefault="00500BD0" w:rsidP="00500BD0">
            <w:pPr>
              <w:spacing w:after="0" w:line="240" w:lineRule="auto"/>
              <w:rPr>
                <w:sz w:val="20"/>
                <w:szCs w:val="20"/>
              </w:rPr>
            </w:pPr>
            <w:r>
              <w:rPr>
                <w:sz w:val="20"/>
                <w:szCs w:val="20"/>
              </w:rPr>
              <w:t>Litva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755423" w14:textId="77777777" w:rsidR="00500BD0" w:rsidRDefault="00500BD0" w:rsidP="00500BD0">
            <w:pPr>
              <w:spacing w:after="0" w:line="240" w:lineRule="auto"/>
              <w:jc w:val="center"/>
              <w:rPr>
                <w:color w:val="000000"/>
                <w:sz w:val="20"/>
                <w:szCs w:val="20"/>
              </w:rPr>
            </w:pPr>
            <w:r>
              <w:rPr>
                <w:color w:val="000000"/>
                <w:sz w:val="20"/>
                <w:szCs w:val="20"/>
              </w:rPr>
              <w:t>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297A29" w14:textId="77777777" w:rsidR="00500BD0" w:rsidRDefault="00500BD0" w:rsidP="00500BD0">
            <w:pPr>
              <w:spacing w:after="0" w:line="240" w:lineRule="auto"/>
              <w:jc w:val="center"/>
              <w:rPr>
                <w:color w:val="000000"/>
                <w:sz w:val="20"/>
                <w:szCs w:val="20"/>
              </w:rPr>
            </w:pPr>
            <w:r>
              <w:rPr>
                <w:color w:val="000000"/>
                <w:sz w:val="20"/>
                <w:szCs w:val="20"/>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0609F" w14:textId="77777777" w:rsidR="00500BD0" w:rsidRDefault="00500BD0" w:rsidP="00500BD0">
            <w:pPr>
              <w:spacing w:after="0" w:line="240" w:lineRule="auto"/>
              <w:jc w:val="center"/>
              <w:rPr>
                <w:color w:val="000000"/>
                <w:sz w:val="20"/>
                <w:szCs w:val="20"/>
              </w:rPr>
            </w:pPr>
            <w:r>
              <w:rPr>
                <w:color w:val="000000"/>
                <w:sz w:val="20"/>
                <w:szCs w:val="20"/>
              </w:rPr>
              <w:t>0,6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C7728D"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826D4F" w14:textId="77777777" w:rsidR="00500BD0" w:rsidRDefault="00500BD0" w:rsidP="00500BD0">
            <w:pPr>
              <w:spacing w:after="0" w:line="240" w:lineRule="auto"/>
              <w:jc w:val="center"/>
              <w:rPr>
                <w:color w:val="000000"/>
                <w:sz w:val="20"/>
                <w:szCs w:val="20"/>
              </w:rPr>
            </w:pPr>
            <w:r>
              <w:rPr>
                <w:color w:val="000000"/>
                <w:sz w:val="20"/>
                <w:szCs w:val="20"/>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81A42" w14:textId="77777777" w:rsidR="00500BD0" w:rsidRDefault="00500BD0" w:rsidP="00500BD0">
            <w:pPr>
              <w:spacing w:after="0" w:line="240" w:lineRule="auto"/>
              <w:jc w:val="center"/>
              <w:rPr>
                <w:color w:val="000000"/>
                <w:sz w:val="20"/>
                <w:szCs w:val="20"/>
              </w:rPr>
            </w:pPr>
            <w:r>
              <w:rPr>
                <w:color w:val="000000"/>
                <w:sz w:val="20"/>
                <w:szCs w:val="20"/>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043668" w14:textId="77777777" w:rsidR="00500BD0" w:rsidRDefault="00500BD0" w:rsidP="00500BD0">
            <w:pPr>
              <w:spacing w:after="0" w:line="240" w:lineRule="auto"/>
              <w:jc w:val="center"/>
              <w:rPr>
                <w:color w:val="000000"/>
                <w:sz w:val="20"/>
                <w:szCs w:val="20"/>
              </w:rPr>
            </w:pPr>
            <w:r>
              <w:rPr>
                <w:color w:val="000000"/>
                <w:sz w:val="20"/>
                <w:szCs w:val="20"/>
              </w:rPr>
              <w:t>34,1</w:t>
            </w:r>
          </w:p>
        </w:tc>
      </w:tr>
      <w:tr w:rsidR="00500BD0" w14:paraId="4DA1DDBE"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8ECB7F" w14:textId="77777777" w:rsidR="00500BD0" w:rsidRDefault="00500BD0" w:rsidP="00500BD0">
            <w:pPr>
              <w:spacing w:after="0" w:line="240" w:lineRule="auto"/>
              <w:rPr>
                <w:sz w:val="20"/>
                <w:szCs w:val="20"/>
              </w:rPr>
            </w:pPr>
            <w:r>
              <w:rPr>
                <w:sz w:val="20"/>
                <w:szCs w:val="20"/>
              </w:rPr>
              <w:t>Dánsko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21C444" w14:textId="77777777" w:rsidR="00500BD0" w:rsidRDefault="00500BD0" w:rsidP="00500BD0">
            <w:pPr>
              <w:spacing w:after="0" w:line="240" w:lineRule="auto"/>
              <w:jc w:val="center"/>
              <w:rPr>
                <w:color w:val="000000"/>
                <w:sz w:val="20"/>
                <w:szCs w:val="20"/>
              </w:rPr>
            </w:pPr>
            <w:r>
              <w:rPr>
                <w:color w:val="000000"/>
                <w:sz w:val="20"/>
                <w:szCs w:val="20"/>
              </w:rPr>
              <w:t>0,2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734BBA" w14:textId="77777777" w:rsidR="00500BD0" w:rsidRDefault="00500BD0" w:rsidP="00500BD0">
            <w:pPr>
              <w:spacing w:after="0" w:line="240" w:lineRule="auto"/>
              <w:jc w:val="center"/>
              <w:rPr>
                <w:color w:val="000000"/>
                <w:sz w:val="20"/>
                <w:szCs w:val="20"/>
              </w:rPr>
            </w:pPr>
            <w:r>
              <w:rPr>
                <w:color w:val="000000"/>
                <w:sz w:val="20"/>
                <w:szCs w:val="20"/>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D1568"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9B13EB"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57EFBF" w14:textId="77777777" w:rsidR="00500BD0" w:rsidRDefault="00500BD0" w:rsidP="00500BD0">
            <w:pPr>
              <w:spacing w:after="0" w:line="240" w:lineRule="auto"/>
              <w:jc w:val="center"/>
              <w:rPr>
                <w:color w:val="000000"/>
                <w:sz w:val="20"/>
                <w:szCs w:val="20"/>
              </w:rPr>
            </w:pPr>
            <w:r>
              <w:rPr>
                <w:color w:val="000000"/>
                <w:sz w:val="20"/>
                <w:szCs w:val="20"/>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952FE7" w14:textId="77777777" w:rsidR="00500BD0" w:rsidRDefault="00500BD0" w:rsidP="00500BD0">
            <w:pPr>
              <w:spacing w:after="0" w:line="240" w:lineRule="auto"/>
              <w:jc w:val="center"/>
              <w:rPr>
                <w:color w:val="000000"/>
                <w:sz w:val="20"/>
                <w:szCs w:val="20"/>
              </w:rPr>
            </w:pPr>
            <w:r>
              <w:rPr>
                <w:color w:val="000000"/>
                <w:sz w:val="20"/>
                <w:szCs w:val="20"/>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5B8FA1" w14:textId="77777777" w:rsidR="00500BD0" w:rsidRDefault="00500BD0" w:rsidP="00500BD0">
            <w:pPr>
              <w:spacing w:after="0" w:line="240" w:lineRule="auto"/>
              <w:jc w:val="center"/>
              <w:rPr>
                <w:color w:val="000000"/>
                <w:sz w:val="20"/>
                <w:szCs w:val="20"/>
              </w:rPr>
            </w:pPr>
            <w:r>
              <w:rPr>
                <w:color w:val="000000"/>
                <w:sz w:val="20"/>
                <w:szCs w:val="20"/>
              </w:rPr>
              <w:t>34,2</w:t>
            </w:r>
          </w:p>
        </w:tc>
      </w:tr>
      <w:tr w:rsidR="00500BD0" w14:paraId="72FDFE19"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C49C16" w14:textId="77777777" w:rsidR="00500BD0" w:rsidRDefault="00500BD0" w:rsidP="00500BD0">
            <w:pPr>
              <w:spacing w:after="0" w:line="240" w:lineRule="auto"/>
              <w:rPr>
                <w:sz w:val="20"/>
                <w:szCs w:val="20"/>
              </w:rPr>
            </w:pPr>
            <w:r>
              <w:rPr>
                <w:sz w:val="20"/>
                <w:szCs w:val="20"/>
              </w:rPr>
              <w:t>Slovinsko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A4DE91" w14:textId="77777777" w:rsidR="00500BD0" w:rsidRDefault="00500BD0" w:rsidP="00500BD0">
            <w:pPr>
              <w:spacing w:after="0" w:line="240" w:lineRule="auto"/>
              <w:jc w:val="center"/>
              <w:rPr>
                <w:color w:val="000000"/>
                <w:sz w:val="20"/>
                <w:szCs w:val="20"/>
              </w:rPr>
            </w:pPr>
            <w:r>
              <w:rPr>
                <w:color w:val="000000"/>
                <w:sz w:val="20"/>
                <w:szCs w:val="2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B5411" w14:textId="77777777" w:rsidR="00500BD0" w:rsidRDefault="00500BD0" w:rsidP="00500BD0">
            <w:pPr>
              <w:spacing w:after="0" w:line="240" w:lineRule="auto"/>
              <w:jc w:val="center"/>
              <w:rPr>
                <w:color w:val="000000"/>
                <w:sz w:val="20"/>
                <w:szCs w:val="20"/>
              </w:rPr>
            </w:pPr>
            <w:r>
              <w:rPr>
                <w:color w:val="000000"/>
                <w:sz w:val="20"/>
                <w:szCs w:val="20"/>
              </w:rPr>
              <w:t>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D4DF86"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8FFF3A"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3F557A" w14:textId="77777777" w:rsidR="00500BD0" w:rsidRDefault="00500BD0" w:rsidP="00500BD0">
            <w:pPr>
              <w:spacing w:after="0" w:line="240" w:lineRule="auto"/>
              <w:jc w:val="center"/>
              <w:rPr>
                <w:color w:val="000000"/>
                <w:sz w:val="20"/>
                <w:szCs w:val="20"/>
              </w:rPr>
            </w:pPr>
            <w:r>
              <w:rPr>
                <w:color w:val="000000"/>
                <w:sz w:val="20"/>
                <w:szCs w:val="20"/>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BED11B" w14:textId="77777777" w:rsidR="00500BD0" w:rsidRDefault="00500BD0" w:rsidP="00500BD0">
            <w:pPr>
              <w:spacing w:after="0" w:line="240" w:lineRule="auto"/>
              <w:jc w:val="center"/>
              <w:rPr>
                <w:color w:val="000000"/>
                <w:sz w:val="20"/>
                <w:szCs w:val="20"/>
              </w:rPr>
            </w:pPr>
            <w:r>
              <w:rPr>
                <w:color w:val="000000"/>
                <w:sz w:val="20"/>
                <w:szCs w:val="20"/>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8E3F5" w14:textId="77777777" w:rsidR="00500BD0" w:rsidRDefault="00500BD0" w:rsidP="00500BD0">
            <w:pPr>
              <w:spacing w:after="0" w:line="240" w:lineRule="auto"/>
              <w:jc w:val="center"/>
              <w:rPr>
                <w:color w:val="000000"/>
                <w:sz w:val="20"/>
                <w:szCs w:val="20"/>
              </w:rPr>
            </w:pPr>
            <w:r>
              <w:rPr>
                <w:color w:val="000000"/>
                <w:sz w:val="20"/>
                <w:szCs w:val="20"/>
              </w:rPr>
              <w:t>70,4</w:t>
            </w:r>
          </w:p>
        </w:tc>
      </w:tr>
      <w:tr w:rsidR="00500BD0" w14:paraId="7EEDB596"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0A0BF5" w14:textId="77777777" w:rsidR="00500BD0" w:rsidRDefault="00500BD0" w:rsidP="00500BD0">
            <w:pPr>
              <w:spacing w:after="0" w:line="240" w:lineRule="auto"/>
              <w:rPr>
                <w:sz w:val="20"/>
                <w:szCs w:val="20"/>
              </w:rPr>
            </w:pPr>
            <w:r>
              <w:rPr>
                <w:sz w:val="20"/>
                <w:szCs w:val="20"/>
              </w:rPr>
              <w:t>Švédsko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7967AF" w14:textId="77777777" w:rsidR="00500BD0" w:rsidRDefault="00500BD0" w:rsidP="00500BD0">
            <w:pPr>
              <w:spacing w:after="0" w:line="240" w:lineRule="auto"/>
              <w:jc w:val="center"/>
              <w:rPr>
                <w:color w:val="000000"/>
                <w:sz w:val="20"/>
                <w:szCs w:val="20"/>
              </w:rPr>
            </w:pPr>
            <w:r>
              <w:rPr>
                <w:color w:val="000000"/>
                <w:sz w:val="20"/>
                <w:szCs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8B6875" w14:textId="77777777" w:rsidR="00500BD0" w:rsidRDefault="00500BD0" w:rsidP="00500BD0">
            <w:pPr>
              <w:spacing w:after="0" w:line="240" w:lineRule="auto"/>
              <w:jc w:val="center"/>
              <w:rPr>
                <w:color w:val="000000"/>
                <w:sz w:val="20"/>
                <w:szCs w:val="20"/>
              </w:rPr>
            </w:pPr>
            <w:r>
              <w:rPr>
                <w:color w:val="000000"/>
                <w:sz w:val="20"/>
                <w:szCs w:val="2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334014" w14:textId="77777777" w:rsidR="00500BD0" w:rsidRDefault="00500BD0" w:rsidP="00500BD0">
            <w:pPr>
              <w:spacing w:after="0" w:line="240" w:lineRule="auto"/>
              <w:jc w:val="center"/>
              <w:rPr>
                <w:color w:val="000000"/>
                <w:sz w:val="20"/>
                <w:szCs w:val="20"/>
              </w:rPr>
            </w:pPr>
            <w:r>
              <w:rPr>
                <w:color w:val="000000"/>
                <w:sz w:val="20"/>
                <w:szCs w:val="20"/>
              </w:rPr>
              <w:t>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2DDE36"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B29821" w14:textId="77777777" w:rsidR="00500BD0" w:rsidRDefault="00500BD0" w:rsidP="00500BD0">
            <w:pPr>
              <w:spacing w:after="0" w:line="240" w:lineRule="auto"/>
              <w:jc w:val="center"/>
              <w:rPr>
                <w:color w:val="000000"/>
                <w:sz w:val="20"/>
                <w:szCs w:val="20"/>
              </w:rPr>
            </w:pPr>
            <w:r>
              <w:rPr>
                <w:color w:val="000000"/>
                <w:sz w:val="20"/>
                <w:szCs w:val="20"/>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832267" w14:textId="77777777" w:rsidR="00500BD0" w:rsidRDefault="00500BD0" w:rsidP="00500BD0">
            <w:pPr>
              <w:spacing w:after="0" w:line="240" w:lineRule="auto"/>
              <w:jc w:val="center"/>
              <w:rPr>
                <w:color w:val="000000"/>
                <w:sz w:val="20"/>
                <w:szCs w:val="20"/>
              </w:rPr>
            </w:pPr>
            <w:r>
              <w:rPr>
                <w:color w:val="000000"/>
                <w:sz w:val="20"/>
                <w:szCs w:val="20"/>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CB7900" w14:textId="77777777" w:rsidR="00500BD0" w:rsidRDefault="00500BD0" w:rsidP="00500BD0">
            <w:pPr>
              <w:spacing w:after="0" w:line="240" w:lineRule="auto"/>
              <w:jc w:val="center"/>
              <w:rPr>
                <w:color w:val="000000"/>
                <w:sz w:val="20"/>
                <w:szCs w:val="20"/>
              </w:rPr>
            </w:pPr>
            <w:r>
              <w:rPr>
                <w:color w:val="000000"/>
                <w:sz w:val="20"/>
                <w:szCs w:val="20"/>
              </w:rPr>
              <w:t>38,8</w:t>
            </w:r>
          </w:p>
        </w:tc>
      </w:tr>
      <w:tr w:rsidR="00500BD0" w14:paraId="68401EA2"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5C36DE" w14:textId="77777777" w:rsidR="00500BD0" w:rsidRDefault="00500BD0" w:rsidP="00500BD0">
            <w:pPr>
              <w:spacing w:after="0" w:line="240" w:lineRule="auto"/>
              <w:rPr>
                <w:sz w:val="20"/>
                <w:szCs w:val="20"/>
              </w:rPr>
            </w:pPr>
            <w:r>
              <w:rPr>
                <w:sz w:val="20"/>
                <w:szCs w:val="20"/>
              </w:rPr>
              <w:t>Grécko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185CA" w14:textId="77777777" w:rsidR="00500BD0" w:rsidRDefault="00500BD0" w:rsidP="00500BD0">
            <w:pPr>
              <w:spacing w:after="0" w:line="240" w:lineRule="auto"/>
              <w:jc w:val="center"/>
              <w:rPr>
                <w:color w:val="000000"/>
                <w:sz w:val="20"/>
                <w:szCs w:val="20"/>
              </w:rPr>
            </w:pPr>
            <w:r>
              <w:rPr>
                <w:color w:val="000000"/>
                <w:sz w:val="20"/>
                <w:szCs w:val="20"/>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6777D"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2EE39" w14:textId="77777777" w:rsidR="00500BD0" w:rsidRDefault="00500BD0" w:rsidP="00500BD0">
            <w:pPr>
              <w:spacing w:after="0" w:line="240" w:lineRule="auto"/>
              <w:jc w:val="center"/>
              <w:rPr>
                <w:color w:val="000000"/>
                <w:sz w:val="20"/>
                <w:szCs w:val="20"/>
              </w:rPr>
            </w:pPr>
            <w:r>
              <w:rPr>
                <w:color w:val="000000"/>
                <w:sz w:val="20"/>
                <w:szCs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79C545"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91A343" w14:textId="77777777" w:rsidR="00500BD0" w:rsidRDefault="00500BD0" w:rsidP="00500BD0">
            <w:pPr>
              <w:spacing w:after="0" w:line="240" w:lineRule="auto"/>
              <w:jc w:val="center"/>
              <w:rPr>
                <w:color w:val="000000"/>
                <w:sz w:val="20"/>
                <w:szCs w:val="20"/>
              </w:rPr>
            </w:pPr>
            <w:r>
              <w:rPr>
                <w:color w:val="000000"/>
                <w:sz w:val="20"/>
                <w:szCs w:val="20"/>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311ED9" w14:textId="77777777" w:rsidR="00500BD0" w:rsidRDefault="00500BD0" w:rsidP="00500BD0">
            <w:pPr>
              <w:spacing w:after="0" w:line="240" w:lineRule="auto"/>
              <w:jc w:val="center"/>
              <w:rPr>
                <w:color w:val="000000"/>
                <w:sz w:val="20"/>
                <w:szCs w:val="20"/>
              </w:rPr>
            </w:pPr>
            <w:r>
              <w:rPr>
                <w:color w:val="000000"/>
                <w:sz w:val="20"/>
                <w:szCs w:val="20"/>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95F0C" w14:textId="77777777" w:rsidR="00500BD0" w:rsidRDefault="00500BD0" w:rsidP="00500BD0">
            <w:pPr>
              <w:spacing w:after="0" w:line="240" w:lineRule="auto"/>
              <w:jc w:val="center"/>
              <w:rPr>
                <w:color w:val="000000"/>
                <w:sz w:val="20"/>
                <w:szCs w:val="20"/>
              </w:rPr>
            </w:pPr>
            <w:r>
              <w:rPr>
                <w:color w:val="000000"/>
                <w:sz w:val="20"/>
                <w:szCs w:val="20"/>
              </w:rPr>
              <w:t>181,2</w:t>
            </w:r>
          </w:p>
        </w:tc>
      </w:tr>
      <w:tr w:rsidR="00500BD0" w14:paraId="77966BBF"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E40D6E" w14:textId="77777777" w:rsidR="00500BD0" w:rsidRDefault="00500BD0" w:rsidP="00500BD0">
            <w:pPr>
              <w:spacing w:after="0" w:line="240" w:lineRule="auto"/>
              <w:rPr>
                <w:sz w:val="20"/>
                <w:szCs w:val="20"/>
              </w:rPr>
            </w:pPr>
            <w:r>
              <w:rPr>
                <w:sz w:val="20"/>
                <w:szCs w:val="20"/>
              </w:rPr>
              <w:t>Česká republika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43A56" w14:textId="77777777" w:rsidR="00500BD0" w:rsidRDefault="00500BD0" w:rsidP="00500BD0">
            <w:pPr>
              <w:spacing w:after="0" w:line="240" w:lineRule="auto"/>
              <w:jc w:val="center"/>
              <w:rPr>
                <w:color w:val="000000"/>
                <w:sz w:val="20"/>
                <w:szCs w:val="20"/>
              </w:rPr>
            </w:pPr>
            <w:r>
              <w:rPr>
                <w:color w:val="000000"/>
                <w:sz w:val="20"/>
                <w:szCs w:val="20"/>
              </w:rPr>
              <w:t>0,7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9EB503" w14:textId="77777777" w:rsidR="00500BD0" w:rsidRDefault="00500BD0" w:rsidP="00500BD0">
            <w:pPr>
              <w:spacing w:after="0" w:line="240" w:lineRule="auto"/>
              <w:jc w:val="center"/>
              <w:rPr>
                <w:color w:val="000000"/>
                <w:sz w:val="20"/>
                <w:szCs w:val="20"/>
              </w:rPr>
            </w:pPr>
            <w:r>
              <w:rPr>
                <w:color w:val="000000"/>
                <w:sz w:val="20"/>
                <w:szCs w:val="2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2D74E" w14:textId="77777777" w:rsidR="00500BD0" w:rsidRDefault="00500BD0" w:rsidP="00500BD0">
            <w:pPr>
              <w:spacing w:after="0" w:line="240" w:lineRule="auto"/>
              <w:jc w:val="center"/>
              <w:rPr>
                <w:color w:val="000000"/>
                <w:sz w:val="20"/>
                <w:szCs w:val="20"/>
              </w:rPr>
            </w:pPr>
            <w:r>
              <w:rPr>
                <w:color w:val="000000"/>
                <w:sz w:val="20"/>
                <w:szCs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AB36A"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1A886" w14:textId="77777777" w:rsidR="00500BD0" w:rsidRDefault="00500BD0" w:rsidP="00500BD0">
            <w:pPr>
              <w:spacing w:after="0" w:line="240" w:lineRule="auto"/>
              <w:jc w:val="center"/>
              <w:rPr>
                <w:color w:val="000000"/>
                <w:sz w:val="20"/>
                <w:szCs w:val="20"/>
              </w:rPr>
            </w:pPr>
            <w:r>
              <w:rPr>
                <w:color w:val="000000"/>
                <w:sz w:val="20"/>
                <w:szCs w:val="20"/>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AED4E" w14:textId="77777777" w:rsidR="00500BD0" w:rsidRDefault="00500BD0" w:rsidP="00500BD0">
            <w:pPr>
              <w:spacing w:after="0" w:line="240" w:lineRule="auto"/>
              <w:jc w:val="center"/>
              <w:rPr>
                <w:color w:val="000000"/>
                <w:sz w:val="20"/>
                <w:szCs w:val="20"/>
              </w:rPr>
            </w:pPr>
            <w:r>
              <w:rPr>
                <w:color w:val="000000"/>
                <w:sz w:val="20"/>
                <w:szCs w:val="20"/>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FE8DE6" w14:textId="77777777" w:rsidR="00500BD0" w:rsidRDefault="00500BD0" w:rsidP="00500BD0">
            <w:pPr>
              <w:spacing w:after="0" w:line="240" w:lineRule="auto"/>
              <w:jc w:val="center"/>
              <w:rPr>
                <w:color w:val="000000"/>
                <w:sz w:val="20"/>
                <w:szCs w:val="20"/>
              </w:rPr>
            </w:pPr>
            <w:r>
              <w:rPr>
                <w:color w:val="000000"/>
                <w:sz w:val="20"/>
                <w:szCs w:val="20"/>
              </w:rPr>
              <w:t>32,6</w:t>
            </w:r>
          </w:p>
        </w:tc>
      </w:tr>
      <w:tr w:rsidR="00500BD0" w14:paraId="30C8DE79"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06B42" w14:textId="77777777" w:rsidR="00500BD0" w:rsidRDefault="00500BD0" w:rsidP="00500BD0">
            <w:pPr>
              <w:spacing w:after="0" w:line="240" w:lineRule="auto"/>
              <w:rPr>
                <w:sz w:val="20"/>
                <w:szCs w:val="20"/>
              </w:rPr>
            </w:pPr>
            <w:r>
              <w:rPr>
                <w:sz w:val="20"/>
                <w:szCs w:val="20"/>
              </w:rPr>
              <w:t>Holandsko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F99F7" w14:textId="77777777" w:rsidR="00500BD0" w:rsidRDefault="00500BD0" w:rsidP="00500BD0">
            <w:pPr>
              <w:spacing w:after="0" w:line="240" w:lineRule="auto"/>
              <w:jc w:val="center"/>
              <w:rPr>
                <w:color w:val="000000"/>
                <w:sz w:val="20"/>
                <w:szCs w:val="20"/>
              </w:rPr>
            </w:pPr>
            <w:r>
              <w:rPr>
                <w:color w:val="000000"/>
                <w:sz w:val="20"/>
                <w:szCs w:val="20"/>
              </w:rPr>
              <w:t>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929483" w14:textId="77777777" w:rsidR="00500BD0" w:rsidRDefault="00500BD0" w:rsidP="00500BD0">
            <w:pPr>
              <w:spacing w:after="0" w:line="240" w:lineRule="auto"/>
              <w:jc w:val="center"/>
              <w:rPr>
                <w:color w:val="000000"/>
                <w:sz w:val="20"/>
                <w:szCs w:val="20"/>
              </w:rPr>
            </w:pPr>
            <w:r>
              <w:rPr>
                <w:color w:val="000000"/>
                <w:sz w:val="20"/>
                <w:szCs w:val="2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584221" w14:textId="77777777" w:rsidR="00500BD0" w:rsidRDefault="00500BD0" w:rsidP="00500BD0">
            <w:pPr>
              <w:spacing w:after="0" w:line="240" w:lineRule="auto"/>
              <w:jc w:val="center"/>
              <w:rPr>
                <w:color w:val="000000"/>
                <w:sz w:val="20"/>
                <w:szCs w:val="20"/>
              </w:rPr>
            </w:pPr>
            <w:r>
              <w:rPr>
                <w:color w:val="000000"/>
                <w:sz w:val="20"/>
                <w:szCs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DABFA"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EB744D" w14:textId="77777777" w:rsidR="00500BD0" w:rsidRDefault="00500BD0" w:rsidP="00500BD0">
            <w:pPr>
              <w:spacing w:after="0" w:line="240" w:lineRule="auto"/>
              <w:jc w:val="center"/>
              <w:rPr>
                <w:color w:val="000000"/>
                <w:sz w:val="20"/>
                <w:szCs w:val="20"/>
              </w:rPr>
            </w:pPr>
            <w:r>
              <w:rPr>
                <w:color w:val="000000"/>
                <w:sz w:val="20"/>
                <w:szCs w:val="20"/>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D9B00C" w14:textId="77777777" w:rsidR="00500BD0" w:rsidRDefault="00500BD0" w:rsidP="00500BD0">
            <w:pPr>
              <w:spacing w:after="0" w:line="240" w:lineRule="auto"/>
              <w:jc w:val="center"/>
              <w:rPr>
                <w:color w:val="000000"/>
                <w:sz w:val="20"/>
                <w:szCs w:val="20"/>
              </w:rPr>
            </w:pPr>
            <w:r>
              <w:rPr>
                <w:color w:val="000000"/>
                <w:sz w:val="20"/>
                <w:szCs w:val="20"/>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43A2CA" w14:textId="77777777" w:rsidR="00500BD0" w:rsidRDefault="00500BD0" w:rsidP="00500BD0">
            <w:pPr>
              <w:spacing w:after="0" w:line="240" w:lineRule="auto"/>
              <w:jc w:val="center"/>
              <w:rPr>
                <w:color w:val="000000"/>
                <w:sz w:val="20"/>
                <w:szCs w:val="20"/>
              </w:rPr>
            </w:pPr>
            <w:r>
              <w:rPr>
                <w:color w:val="000000"/>
                <w:sz w:val="20"/>
                <w:szCs w:val="20"/>
              </w:rPr>
              <w:t>52,4</w:t>
            </w:r>
          </w:p>
        </w:tc>
      </w:tr>
      <w:tr w:rsidR="00500BD0" w14:paraId="23EB97BC"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B9F8D" w14:textId="77777777" w:rsidR="00500BD0" w:rsidRDefault="00500BD0" w:rsidP="00500BD0">
            <w:pPr>
              <w:spacing w:after="0" w:line="240" w:lineRule="auto"/>
              <w:rPr>
                <w:sz w:val="20"/>
                <w:szCs w:val="20"/>
              </w:rPr>
            </w:pPr>
            <w:r>
              <w:rPr>
                <w:sz w:val="20"/>
                <w:szCs w:val="20"/>
              </w:rPr>
              <w:t>Bulharsko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4A4A9" w14:textId="77777777" w:rsidR="00500BD0" w:rsidRDefault="00500BD0" w:rsidP="00500BD0">
            <w:pPr>
              <w:spacing w:after="0" w:line="240" w:lineRule="auto"/>
              <w:jc w:val="center"/>
              <w:rPr>
                <w:color w:val="000000"/>
                <w:sz w:val="20"/>
                <w:szCs w:val="20"/>
              </w:rPr>
            </w:pPr>
            <w:r>
              <w:rPr>
                <w:color w:val="000000"/>
                <w:sz w:val="20"/>
                <w:szCs w:val="20"/>
              </w:rPr>
              <w:t>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5DC953" w14:textId="77777777" w:rsidR="00500BD0" w:rsidRDefault="00500BD0" w:rsidP="00500BD0">
            <w:pPr>
              <w:spacing w:after="0" w:line="240" w:lineRule="auto"/>
              <w:jc w:val="center"/>
              <w:rPr>
                <w:color w:val="000000"/>
                <w:sz w:val="20"/>
                <w:szCs w:val="20"/>
              </w:rPr>
            </w:pPr>
            <w:r>
              <w:rPr>
                <w:color w:val="000000"/>
                <w:sz w:val="20"/>
                <w:szCs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15E81" w14:textId="77777777" w:rsidR="00500BD0" w:rsidRDefault="00500BD0" w:rsidP="00500BD0">
            <w:pPr>
              <w:spacing w:after="0" w:line="240" w:lineRule="auto"/>
              <w:jc w:val="center"/>
              <w:rPr>
                <w:color w:val="000000"/>
                <w:sz w:val="20"/>
                <w:szCs w:val="20"/>
              </w:rPr>
            </w:pPr>
            <w:r>
              <w:rPr>
                <w:color w:val="000000"/>
                <w:sz w:val="20"/>
                <w:szCs w:val="20"/>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933D2E"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9EB7AB" w14:textId="77777777" w:rsidR="00500BD0" w:rsidRDefault="00500BD0" w:rsidP="00500BD0">
            <w:pPr>
              <w:spacing w:after="0" w:line="240" w:lineRule="auto"/>
              <w:jc w:val="center"/>
              <w:rPr>
                <w:color w:val="000000"/>
                <w:sz w:val="20"/>
                <w:szCs w:val="20"/>
              </w:rPr>
            </w:pPr>
            <w:r>
              <w:rPr>
                <w:color w:val="000000"/>
                <w:sz w:val="20"/>
                <w:szCs w:val="20"/>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F91088" w14:textId="77777777" w:rsidR="00500BD0" w:rsidRDefault="00500BD0" w:rsidP="00500BD0">
            <w:pPr>
              <w:spacing w:after="0" w:line="240" w:lineRule="auto"/>
              <w:jc w:val="center"/>
              <w:rPr>
                <w:color w:val="000000"/>
                <w:sz w:val="20"/>
                <w:szCs w:val="20"/>
              </w:rPr>
            </w:pPr>
            <w:r>
              <w:rPr>
                <w:color w:val="000000"/>
                <w:sz w:val="20"/>
                <w:szCs w:val="20"/>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FC2386" w14:textId="77777777" w:rsidR="00500BD0" w:rsidRDefault="00500BD0" w:rsidP="00500BD0">
            <w:pPr>
              <w:spacing w:after="0" w:line="240" w:lineRule="auto"/>
              <w:jc w:val="center"/>
              <w:rPr>
                <w:color w:val="000000"/>
                <w:sz w:val="20"/>
                <w:szCs w:val="20"/>
              </w:rPr>
            </w:pPr>
            <w:r>
              <w:rPr>
                <w:color w:val="000000"/>
                <w:sz w:val="20"/>
                <w:szCs w:val="20"/>
              </w:rPr>
              <w:t>22,3</w:t>
            </w:r>
          </w:p>
        </w:tc>
      </w:tr>
      <w:tr w:rsidR="00500BD0" w14:paraId="43DE4EB7"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28C8C9" w14:textId="77777777" w:rsidR="00500BD0" w:rsidRDefault="00500BD0" w:rsidP="00500BD0">
            <w:pPr>
              <w:spacing w:after="0" w:line="240" w:lineRule="auto"/>
              <w:rPr>
                <w:sz w:val="20"/>
                <w:szCs w:val="20"/>
              </w:rPr>
            </w:pPr>
            <w:r>
              <w:rPr>
                <w:sz w:val="20"/>
                <w:szCs w:val="20"/>
              </w:rPr>
              <w:t>Nemecko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B976B" w14:textId="77777777" w:rsidR="00500BD0" w:rsidRDefault="00500BD0" w:rsidP="00500BD0">
            <w:pPr>
              <w:spacing w:after="0" w:line="240" w:lineRule="auto"/>
              <w:jc w:val="center"/>
              <w:rPr>
                <w:color w:val="000000"/>
                <w:sz w:val="20"/>
                <w:szCs w:val="20"/>
              </w:rPr>
            </w:pPr>
            <w:r>
              <w:rPr>
                <w:color w:val="000000"/>
                <w:sz w:val="20"/>
                <w:szCs w:val="2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CB9E3" w14:textId="77777777" w:rsidR="00500BD0" w:rsidRDefault="00500BD0" w:rsidP="00500BD0">
            <w:pPr>
              <w:spacing w:after="0" w:line="240" w:lineRule="auto"/>
              <w:jc w:val="center"/>
              <w:rPr>
                <w:color w:val="000000"/>
                <w:sz w:val="20"/>
                <w:szCs w:val="20"/>
              </w:rPr>
            </w:pPr>
            <w:r>
              <w:rPr>
                <w:color w:val="000000"/>
                <w:sz w:val="20"/>
                <w:szCs w:val="2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42762" w14:textId="77777777" w:rsidR="00500BD0" w:rsidRDefault="00500BD0" w:rsidP="00500BD0">
            <w:pPr>
              <w:spacing w:after="0" w:line="240" w:lineRule="auto"/>
              <w:jc w:val="center"/>
              <w:rPr>
                <w:color w:val="000000"/>
                <w:sz w:val="20"/>
                <w:szCs w:val="20"/>
              </w:rPr>
            </w:pPr>
            <w:r>
              <w:rPr>
                <w:color w:val="000000"/>
                <w:sz w:val="20"/>
                <w:szCs w:val="2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7C66C"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405C3" w14:textId="77777777" w:rsidR="00500BD0" w:rsidRDefault="00500BD0" w:rsidP="00500BD0">
            <w:pPr>
              <w:spacing w:after="0" w:line="240" w:lineRule="auto"/>
              <w:jc w:val="center"/>
              <w:rPr>
                <w:color w:val="000000"/>
                <w:sz w:val="20"/>
                <w:szCs w:val="20"/>
              </w:rPr>
            </w:pPr>
            <w:r>
              <w:rPr>
                <w:color w:val="000000"/>
                <w:sz w:val="20"/>
                <w:szCs w:val="20"/>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DDCC3B" w14:textId="77777777" w:rsidR="00500BD0" w:rsidRDefault="00500BD0" w:rsidP="00500BD0">
            <w:pPr>
              <w:spacing w:after="0" w:line="240" w:lineRule="auto"/>
              <w:jc w:val="center"/>
              <w:rPr>
                <w:color w:val="000000"/>
                <w:sz w:val="20"/>
                <w:szCs w:val="20"/>
              </w:rPr>
            </w:pPr>
            <w:r>
              <w:rPr>
                <w:color w:val="000000"/>
                <w:sz w:val="20"/>
                <w:szCs w:val="20"/>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F0A45C" w14:textId="77777777" w:rsidR="00500BD0" w:rsidRDefault="00500BD0" w:rsidP="00500BD0">
            <w:pPr>
              <w:spacing w:after="0" w:line="240" w:lineRule="auto"/>
              <w:jc w:val="center"/>
              <w:rPr>
                <w:color w:val="000000"/>
                <w:sz w:val="20"/>
                <w:szCs w:val="20"/>
              </w:rPr>
            </w:pPr>
            <w:r>
              <w:rPr>
                <w:color w:val="000000"/>
                <w:sz w:val="20"/>
                <w:szCs w:val="20"/>
              </w:rPr>
              <w:t>61,9</w:t>
            </w:r>
          </w:p>
        </w:tc>
      </w:tr>
      <w:tr w:rsidR="00500BD0" w14:paraId="33DCCCD9" w14:textId="77777777" w:rsidTr="00500BD0">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7E8E88" w14:textId="77777777" w:rsidR="00500BD0" w:rsidRDefault="00500BD0" w:rsidP="00500BD0">
            <w:pPr>
              <w:spacing w:after="0" w:line="240" w:lineRule="auto"/>
              <w:rPr>
                <w:sz w:val="20"/>
                <w:szCs w:val="20"/>
              </w:rPr>
            </w:pPr>
            <w:r>
              <w:rPr>
                <w:sz w:val="20"/>
                <w:szCs w:val="20"/>
              </w:rPr>
              <w:t>Malta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2EDF43" w14:textId="77777777" w:rsidR="00500BD0" w:rsidRDefault="00500BD0" w:rsidP="00500BD0">
            <w:pPr>
              <w:spacing w:after="0" w:line="240" w:lineRule="auto"/>
              <w:jc w:val="center"/>
              <w:rPr>
                <w:color w:val="000000"/>
                <w:sz w:val="20"/>
                <w:szCs w:val="20"/>
              </w:rPr>
            </w:pPr>
            <w:r>
              <w:rPr>
                <w:color w:val="000000"/>
                <w:sz w:val="20"/>
                <w:szCs w:val="20"/>
              </w:rPr>
              <w:t>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37B75F" w14:textId="77777777" w:rsidR="00500BD0" w:rsidRDefault="00500BD0" w:rsidP="00500BD0">
            <w:pPr>
              <w:spacing w:after="0" w:line="240" w:lineRule="auto"/>
              <w:jc w:val="center"/>
              <w:rPr>
                <w:color w:val="000000"/>
                <w:sz w:val="20"/>
                <w:szCs w:val="20"/>
              </w:rPr>
            </w:pPr>
            <w:r>
              <w:rPr>
                <w:color w:val="000000"/>
                <w:sz w:val="20"/>
                <w:szCs w:val="2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2B3E4" w14:textId="77777777" w:rsidR="00500BD0" w:rsidRDefault="00500BD0" w:rsidP="00500BD0">
            <w:pPr>
              <w:spacing w:after="0" w:line="240" w:lineRule="auto"/>
              <w:jc w:val="center"/>
              <w:rPr>
                <w:color w:val="000000"/>
                <w:sz w:val="20"/>
                <w:szCs w:val="20"/>
              </w:rPr>
            </w:pPr>
            <w:r>
              <w:rPr>
                <w:color w:val="000000"/>
                <w:sz w:val="20"/>
                <w:szCs w:val="20"/>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3C1FBF"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ACE22" w14:textId="77777777" w:rsidR="00500BD0" w:rsidRDefault="00500BD0" w:rsidP="00500BD0">
            <w:pPr>
              <w:spacing w:after="0" w:line="240" w:lineRule="auto"/>
              <w:jc w:val="center"/>
              <w:rPr>
                <w:color w:val="000000"/>
                <w:sz w:val="20"/>
                <w:szCs w:val="20"/>
              </w:rPr>
            </w:pPr>
            <w:r>
              <w:rPr>
                <w:color w:val="000000"/>
                <w:sz w:val="20"/>
                <w:szCs w:val="20"/>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2CFFC" w14:textId="77777777" w:rsidR="00500BD0" w:rsidRDefault="00500BD0" w:rsidP="00500BD0">
            <w:pPr>
              <w:spacing w:after="0" w:line="240" w:lineRule="auto"/>
              <w:jc w:val="center"/>
              <w:rPr>
                <w:color w:val="000000"/>
                <w:sz w:val="20"/>
                <w:szCs w:val="20"/>
              </w:rPr>
            </w:pPr>
            <w:r>
              <w:rPr>
                <w:color w:val="000000"/>
                <w:sz w:val="20"/>
                <w:szCs w:val="20"/>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51C419" w14:textId="77777777" w:rsidR="00500BD0" w:rsidRDefault="00500BD0" w:rsidP="00500BD0">
            <w:pPr>
              <w:spacing w:after="0" w:line="240" w:lineRule="auto"/>
              <w:jc w:val="center"/>
              <w:rPr>
                <w:color w:val="000000"/>
                <w:sz w:val="20"/>
                <w:szCs w:val="20"/>
              </w:rPr>
            </w:pPr>
            <w:r>
              <w:rPr>
                <w:color w:val="000000"/>
                <w:sz w:val="20"/>
                <w:szCs w:val="20"/>
              </w:rPr>
              <w:t>45,8</w:t>
            </w:r>
          </w:p>
        </w:tc>
      </w:tr>
      <w:tr w:rsidR="00500BD0" w14:paraId="73757186" w14:textId="77777777" w:rsidTr="00500BD0">
        <w:trPr>
          <w:trHeight w:val="270"/>
        </w:trPr>
        <w:tc>
          <w:tcPr>
            <w:tcW w:w="0" w:type="auto"/>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14:paraId="38AB6B89" w14:textId="77777777" w:rsidR="00500BD0" w:rsidRDefault="00500BD0" w:rsidP="00500BD0">
            <w:pPr>
              <w:spacing w:after="0" w:line="240" w:lineRule="auto"/>
              <w:rPr>
                <w:sz w:val="20"/>
                <w:szCs w:val="20"/>
              </w:rPr>
            </w:pPr>
            <w:r>
              <w:rPr>
                <w:sz w:val="20"/>
                <w:szCs w:val="20"/>
              </w:rPr>
              <w:t>Luxembursko</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3494448" w14:textId="77777777" w:rsidR="00500BD0" w:rsidRDefault="00500BD0" w:rsidP="00500BD0">
            <w:pPr>
              <w:spacing w:after="0" w:line="240" w:lineRule="auto"/>
              <w:jc w:val="center"/>
              <w:rPr>
                <w:color w:val="000000"/>
                <w:sz w:val="20"/>
                <w:szCs w:val="20"/>
              </w:rPr>
            </w:pPr>
            <w:r>
              <w:rPr>
                <w:color w:val="000000"/>
                <w:sz w:val="20"/>
                <w:szCs w:val="20"/>
              </w:rPr>
              <w:t>1,8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CD4C02" w14:textId="77777777" w:rsidR="00500BD0" w:rsidRDefault="00500BD0" w:rsidP="00500BD0">
            <w:pPr>
              <w:spacing w:after="0" w:line="240" w:lineRule="auto"/>
              <w:jc w:val="center"/>
              <w:rPr>
                <w:color w:val="000000"/>
                <w:sz w:val="20"/>
                <w:szCs w:val="20"/>
              </w:rPr>
            </w:pPr>
            <w:r>
              <w:rPr>
                <w:color w:val="000000"/>
                <w:sz w:val="20"/>
                <w:szCs w:val="20"/>
              </w:rPr>
              <w:t>1,4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E9B7FF" w14:textId="77777777" w:rsidR="00500BD0" w:rsidRDefault="00500BD0" w:rsidP="00500BD0">
            <w:pPr>
              <w:spacing w:after="0" w:line="240" w:lineRule="auto"/>
              <w:jc w:val="center"/>
              <w:rPr>
                <w:color w:val="000000"/>
                <w:sz w:val="20"/>
                <w:szCs w:val="20"/>
              </w:rPr>
            </w:pPr>
            <w:r>
              <w:rPr>
                <w:color w:val="000000"/>
                <w:sz w:val="20"/>
                <w:szCs w:val="20"/>
              </w:rPr>
              <w:t>2,7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44B894" w14:textId="77777777" w:rsidR="00500BD0" w:rsidRDefault="00500BD0" w:rsidP="00500BD0">
            <w:pPr>
              <w:spacing w:after="0" w:line="240" w:lineRule="auto"/>
              <w:jc w:val="center"/>
              <w:rPr>
                <w:color w:val="000000"/>
                <w:sz w:val="20"/>
                <w:szCs w:val="20"/>
              </w:rPr>
            </w:pPr>
            <w:r>
              <w:rPr>
                <w:color w:val="000000"/>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E6A0B37" w14:textId="77777777" w:rsidR="00500BD0" w:rsidRDefault="00500BD0" w:rsidP="00500BD0">
            <w:pPr>
              <w:spacing w:after="0" w:line="240" w:lineRule="auto"/>
              <w:jc w:val="center"/>
              <w:rPr>
                <w:color w:val="000000"/>
                <w:sz w:val="20"/>
                <w:szCs w:val="20"/>
              </w:rPr>
            </w:pPr>
            <w:r>
              <w:rPr>
                <w:color w:val="000000"/>
                <w:sz w:val="20"/>
                <w:szCs w:val="20"/>
              </w:rPr>
              <w:t>20,1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53D03CA" w14:textId="77777777" w:rsidR="00500BD0" w:rsidRDefault="00500BD0" w:rsidP="00500BD0">
            <w:pPr>
              <w:spacing w:after="0" w:line="240" w:lineRule="auto"/>
              <w:jc w:val="center"/>
              <w:rPr>
                <w:color w:val="000000"/>
                <w:sz w:val="20"/>
                <w:szCs w:val="20"/>
              </w:rPr>
            </w:pPr>
            <w:r>
              <w:rPr>
                <w:color w:val="000000"/>
                <w:sz w:val="20"/>
                <w:szCs w:val="20"/>
              </w:rPr>
              <w:t>22,3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0C728D0" w14:textId="77777777" w:rsidR="00500BD0" w:rsidRDefault="00500BD0" w:rsidP="00500BD0">
            <w:pPr>
              <w:spacing w:after="0" w:line="240" w:lineRule="auto"/>
              <w:jc w:val="center"/>
              <w:rPr>
                <w:color w:val="000000"/>
                <w:sz w:val="20"/>
                <w:szCs w:val="20"/>
              </w:rPr>
            </w:pPr>
            <w:r>
              <w:rPr>
                <w:color w:val="000000"/>
                <w:sz w:val="20"/>
                <w:szCs w:val="20"/>
              </w:rPr>
              <w:t>21,0</w:t>
            </w:r>
          </w:p>
        </w:tc>
      </w:tr>
      <w:tr w:rsidR="00500BD0" w14:paraId="3640F1FE" w14:textId="77777777" w:rsidTr="00500BD0">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12A32" w14:textId="77777777" w:rsidR="00500BD0" w:rsidRDefault="00500BD0" w:rsidP="00500BD0">
            <w:pPr>
              <w:spacing w:after="0" w:line="240" w:lineRule="auto"/>
              <w:jc w:val="center"/>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CC9F6" w14:textId="77777777" w:rsidR="00500BD0" w:rsidRDefault="00500BD0" w:rsidP="00500BD0">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C9758" w14:textId="77777777" w:rsidR="00500BD0" w:rsidRDefault="00500BD0" w:rsidP="00500BD0">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6CE8D" w14:textId="77777777" w:rsidR="00500BD0" w:rsidRDefault="00500BD0" w:rsidP="00500BD0">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EF149" w14:textId="77777777" w:rsidR="00500BD0" w:rsidRDefault="00500BD0" w:rsidP="00500BD0">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2CF3" w14:textId="77777777" w:rsidR="00500BD0" w:rsidRDefault="00500BD0" w:rsidP="00500BD0">
            <w:pPr>
              <w:spacing w:after="0" w:line="240" w:lineRule="auto"/>
              <w:rPr>
                <w:sz w:val="20"/>
                <w:szCs w:val="20"/>
              </w:rPr>
            </w:pPr>
          </w:p>
        </w:tc>
        <w:tc>
          <w:tcPr>
            <w:tcW w:w="0" w:type="auto"/>
            <w:gridSpan w:val="2"/>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D183F4B" w14:textId="77777777" w:rsidR="00500BD0" w:rsidRPr="00C90207" w:rsidRDefault="00500BD0" w:rsidP="00500BD0">
            <w:pPr>
              <w:spacing w:after="0" w:line="240" w:lineRule="auto"/>
              <w:jc w:val="right"/>
              <w:rPr>
                <w:iCs/>
                <w:color w:val="000000"/>
                <w:sz w:val="16"/>
                <w:szCs w:val="16"/>
              </w:rPr>
            </w:pPr>
            <w:r w:rsidRPr="00C90207">
              <w:rPr>
                <w:iCs/>
                <w:color w:val="000000"/>
                <w:sz w:val="16"/>
                <w:szCs w:val="16"/>
              </w:rPr>
              <w:t>Zdroj: Eurostat</w:t>
            </w:r>
          </w:p>
        </w:tc>
      </w:tr>
    </w:tbl>
    <w:p w14:paraId="61316D46" w14:textId="77777777" w:rsidR="00F102F6" w:rsidRDefault="00F102F6" w:rsidP="00F102F6">
      <w:pPr>
        <w:pStyle w:val="Nadpis1"/>
        <w:numPr>
          <w:ilvl w:val="0"/>
          <w:numId w:val="0"/>
        </w:numPr>
        <w:spacing w:before="120" w:line="336" w:lineRule="auto"/>
        <w:ind w:left="1495" w:hanging="360"/>
      </w:pPr>
    </w:p>
    <w:p w14:paraId="09813BB7" w14:textId="77777777" w:rsidR="00F102F6" w:rsidRDefault="00F102F6">
      <w:pPr>
        <w:rPr>
          <w:rFonts w:eastAsiaTheme="majorEastAsia"/>
          <w:b/>
          <w:bCs/>
          <w:sz w:val="26"/>
          <w:szCs w:val="26"/>
        </w:rPr>
      </w:pPr>
      <w:r>
        <w:br w:type="page"/>
      </w:r>
    </w:p>
    <w:p w14:paraId="6631792E" w14:textId="4039EE8C" w:rsidR="003D050C" w:rsidRPr="00500BD0" w:rsidRDefault="003D050C" w:rsidP="003D050C">
      <w:pPr>
        <w:pStyle w:val="Nadpis1"/>
        <w:numPr>
          <w:ilvl w:val="0"/>
          <w:numId w:val="4"/>
        </w:numPr>
        <w:spacing w:before="120" w:line="336" w:lineRule="auto"/>
        <w:ind w:left="425" w:hanging="425"/>
      </w:pPr>
      <w:bookmarkStart w:id="33" w:name="_Toc23264796"/>
      <w:r w:rsidRPr="00500BD0">
        <w:t>Hospodárenie verejnej správy – požiadavky ústavného zákona o rozpočtovej zodpovednosti</w:t>
      </w:r>
      <w:bookmarkEnd w:id="33"/>
    </w:p>
    <w:p w14:paraId="5129D96C" w14:textId="77777777" w:rsidR="00500BD0" w:rsidRPr="00500BD0" w:rsidRDefault="00500BD0" w:rsidP="00500BD0">
      <w:pPr>
        <w:spacing w:before="120" w:line="336" w:lineRule="auto"/>
        <w:jc w:val="both"/>
      </w:pPr>
      <w:r w:rsidRPr="00500BD0">
        <w:t>Táto kapitola hodnotí vývoj hospodárenia verejnej správy najmä z pohľadu informácií, ktoré má obsahovať súhrnná výročná správa na základe ústavného zákona o rozpočtovej zodpovednosti (bilancia rozpočtu verejnej správy, jednorazové vplyvy a vyhodnotenie stratégie riadenia štátneho dlhu). Špecifikom týchto údajov a informácií je fakt, že z väčšej časti</w:t>
      </w:r>
      <w:r w:rsidRPr="006C565A">
        <w:rPr>
          <w:rStyle w:val="Odkaznapoznmkupodiarou"/>
          <w:szCs w:val="22"/>
        </w:rPr>
        <w:footnoteReference w:id="9"/>
      </w:r>
      <w:r w:rsidRPr="00500BD0">
        <w:t xml:space="preserve"> nie sú založené na štandardnej metodike ESA 2010 a v niektorých prípadoch sú postavené na odhadoch a metodike Ministerstva financií SR (jednorazové vplyvy, cyklická zložka, štrukturálne saldo), rozširujú však analytický pohľad na hospodárenie verejnej správy nad rámec salda a dlhu podľa maastrichtských kritérií.</w:t>
      </w:r>
    </w:p>
    <w:p w14:paraId="6AB48E20" w14:textId="346B5159" w:rsidR="00A65E40" w:rsidRPr="00500BD0" w:rsidRDefault="003F3407" w:rsidP="003F3407">
      <w:pPr>
        <w:pStyle w:val="Nadpis2"/>
        <w:numPr>
          <w:ilvl w:val="1"/>
          <w:numId w:val="4"/>
        </w:numPr>
        <w:spacing w:after="120"/>
      </w:pPr>
      <w:r>
        <w:t xml:space="preserve">   </w:t>
      </w:r>
      <w:bookmarkStart w:id="34" w:name="_Toc23264797"/>
      <w:r w:rsidR="00A65E40" w:rsidRPr="00500BD0">
        <w:t>Bilancia rozpočtu verejnej správy</w:t>
      </w:r>
      <w:bookmarkEnd w:id="34"/>
    </w:p>
    <w:p w14:paraId="5413AB15" w14:textId="2C4C8717" w:rsidR="00500BD0" w:rsidRPr="00500BD0" w:rsidRDefault="00500BD0" w:rsidP="00500BD0">
      <w:pPr>
        <w:spacing w:before="120" w:line="336" w:lineRule="auto"/>
        <w:jc w:val="both"/>
      </w:pPr>
      <w:r w:rsidRPr="00500BD0">
        <w:t>Bilancia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pozostáva z kombinácie kódov ESA 2010 a ekonomickej klasifikácie rozpočtovej klasifikácie. Kombinácia metodík má za cieľ umožniť prezentáciu analytických a zároveň medzinárodne porovnateľných údajov. Ekonomická klasifikácia poskytuje vecný pohľad na jednotlivé kategórie príjmov a výdavkov a metodika ESA 2010 umožňuje medzinárodné porovnania a je konzistentná s makroekonomickými kategóriami národných účtov (</w:t>
      </w:r>
      <w:r w:rsidR="00D704AF">
        <w:t xml:space="preserve">ako napr. </w:t>
      </w:r>
      <w:r w:rsidRPr="00500BD0">
        <w:t>HDP, spotreba verejnej správy).</w:t>
      </w:r>
    </w:p>
    <w:p w14:paraId="16D867CF" w14:textId="49EA6718" w:rsidR="003D050C" w:rsidRPr="00500BD0" w:rsidRDefault="003D050C" w:rsidP="00B051D3">
      <w:pPr>
        <w:pStyle w:val="Nadpis3"/>
        <w:numPr>
          <w:ilvl w:val="0"/>
          <w:numId w:val="0"/>
        </w:numPr>
        <w:spacing w:before="120" w:after="0"/>
        <w:ind w:left="1800" w:hanging="720"/>
        <w:rPr>
          <w:sz w:val="24"/>
          <w:szCs w:val="24"/>
        </w:rPr>
      </w:pPr>
      <w:bookmarkStart w:id="35" w:name="_Toc23264798"/>
      <w:r w:rsidRPr="00500BD0">
        <w:t>2.1.1.</w:t>
      </w:r>
      <w:r w:rsidR="003F00CD" w:rsidRPr="00500BD0">
        <w:tab/>
      </w:r>
      <w:r w:rsidRPr="00500BD0">
        <w:t>Príjmy verejnej správy</w:t>
      </w:r>
      <w:bookmarkEnd w:id="35"/>
    </w:p>
    <w:p w14:paraId="2BD84888" w14:textId="259139C7" w:rsidR="00500BD0" w:rsidRPr="00AA140A" w:rsidRDefault="00500BD0" w:rsidP="00500BD0">
      <w:pPr>
        <w:spacing w:before="120" w:after="0" w:line="336" w:lineRule="auto"/>
        <w:jc w:val="both"/>
        <w:rPr>
          <w:szCs w:val="22"/>
        </w:rPr>
      </w:pPr>
      <w:r w:rsidRPr="0006553A">
        <w:rPr>
          <w:b/>
          <w:szCs w:val="22"/>
        </w:rPr>
        <w:t xml:space="preserve">Celkové príjmy </w:t>
      </w:r>
      <w:r w:rsidRPr="0006553A">
        <w:rPr>
          <w:szCs w:val="22"/>
        </w:rPr>
        <w:t>rozpočtu verejnej správy v metodike ESA 2010 dosiahli v roku 2018 výšku 36 569 629 tis. eur (40,8 % HDP) a medziročne vzrástli o 6,9 </w:t>
      </w:r>
      <w:r w:rsidRPr="00AA140A">
        <w:rPr>
          <w:szCs w:val="22"/>
        </w:rPr>
        <w:t>%</w:t>
      </w:r>
      <w:r>
        <w:rPr>
          <w:szCs w:val="22"/>
        </w:rPr>
        <w:t>, čo predstavovalo nárast o 2 348 704 tis. eur</w:t>
      </w:r>
      <w:r w:rsidRPr="00AA140A">
        <w:rPr>
          <w:szCs w:val="22"/>
        </w:rPr>
        <w:t>. Pozitívny rast dosiahli všetky typy príjmov, najvýraznejší rast za</w:t>
      </w:r>
      <w:r>
        <w:rPr>
          <w:szCs w:val="22"/>
        </w:rPr>
        <w:t>znamenali transfery z </w:t>
      </w:r>
      <w:r w:rsidR="00F77CB0">
        <w:rPr>
          <w:szCs w:val="22"/>
        </w:rPr>
        <w:t>EU o 52,7 %, daňové príjmy o 5,9</w:t>
      </w:r>
      <w:r>
        <w:rPr>
          <w:szCs w:val="22"/>
        </w:rPr>
        <w:t> </w:t>
      </w:r>
      <w:r w:rsidRPr="00AA140A">
        <w:rPr>
          <w:szCs w:val="22"/>
        </w:rPr>
        <w:t>% a príspevky zamestnávateľov</w:t>
      </w:r>
      <w:r>
        <w:rPr>
          <w:szCs w:val="22"/>
        </w:rPr>
        <w:t xml:space="preserve"> </w:t>
      </w:r>
      <w:r w:rsidR="00F77CB0">
        <w:rPr>
          <w:szCs w:val="22"/>
        </w:rPr>
        <w:t>na sociálne zabezpečenie o 8,4</w:t>
      </w:r>
      <w:r>
        <w:rPr>
          <w:szCs w:val="22"/>
        </w:rPr>
        <w:t> </w:t>
      </w:r>
      <w:r w:rsidRPr="00AA140A">
        <w:rPr>
          <w:szCs w:val="22"/>
        </w:rPr>
        <w:t>%. </w:t>
      </w:r>
      <w:r w:rsidR="00161C86">
        <w:rPr>
          <w:szCs w:val="22"/>
        </w:rPr>
        <w:t>Na druhej strane však v</w:t>
      </w:r>
      <w:r w:rsidRPr="00AA140A">
        <w:rPr>
          <w:szCs w:val="22"/>
        </w:rPr>
        <w:t> roku 2018 došlo k poklesu</w:t>
      </w:r>
      <w:r>
        <w:rPr>
          <w:szCs w:val="22"/>
        </w:rPr>
        <w:t xml:space="preserve"> príjmov z úrokov o 10,7 </w:t>
      </w:r>
      <w:r w:rsidRPr="00AA140A">
        <w:rPr>
          <w:szCs w:val="22"/>
        </w:rPr>
        <w:t>%.</w:t>
      </w:r>
    </w:p>
    <w:tbl>
      <w:tblPr>
        <w:tblW w:w="9072" w:type="dxa"/>
        <w:tblCellMar>
          <w:left w:w="70" w:type="dxa"/>
          <w:right w:w="70" w:type="dxa"/>
        </w:tblCellMar>
        <w:tblLook w:val="04A0" w:firstRow="1" w:lastRow="0" w:firstColumn="1" w:lastColumn="0" w:noHBand="0" w:noVBand="1"/>
      </w:tblPr>
      <w:tblGrid>
        <w:gridCol w:w="3828"/>
        <w:gridCol w:w="1025"/>
        <w:gridCol w:w="1101"/>
        <w:gridCol w:w="1176"/>
        <w:gridCol w:w="994"/>
        <w:gridCol w:w="948"/>
      </w:tblGrid>
      <w:tr w:rsidR="00500BD0" w:rsidRPr="00324A47" w14:paraId="7C0AB268" w14:textId="77777777" w:rsidTr="00482590">
        <w:trPr>
          <w:trHeight w:val="420"/>
        </w:trPr>
        <w:tc>
          <w:tcPr>
            <w:tcW w:w="3828" w:type="dxa"/>
            <w:tcBorders>
              <w:top w:val="nil"/>
              <w:left w:val="nil"/>
              <w:bottom w:val="nil"/>
              <w:right w:val="nil"/>
            </w:tcBorders>
            <w:shd w:val="clear" w:color="000000" w:fill="000000"/>
            <w:noWrap/>
            <w:vAlign w:val="center"/>
            <w:hideMark/>
          </w:tcPr>
          <w:p w14:paraId="23634893" w14:textId="77777777" w:rsidR="00500BD0" w:rsidRPr="00324A47" w:rsidRDefault="00500BD0" w:rsidP="00500BD0">
            <w:pPr>
              <w:spacing w:after="0" w:line="240" w:lineRule="auto"/>
              <w:rPr>
                <w:b/>
                <w:bCs/>
                <w:color w:val="FFFFFF"/>
                <w:sz w:val="18"/>
                <w:szCs w:val="18"/>
                <w:lang w:eastAsia="sk-SK"/>
              </w:rPr>
            </w:pPr>
            <w:r w:rsidRPr="00324A47">
              <w:rPr>
                <w:b/>
                <w:bCs/>
                <w:color w:val="FFFFFF"/>
                <w:sz w:val="18"/>
                <w:szCs w:val="18"/>
                <w:lang w:eastAsia="sk-SK"/>
              </w:rPr>
              <w:t>Príjmy verejnej správy (ESA 2010)</w:t>
            </w:r>
          </w:p>
        </w:tc>
        <w:tc>
          <w:tcPr>
            <w:tcW w:w="1025" w:type="dxa"/>
            <w:tcBorders>
              <w:top w:val="nil"/>
              <w:left w:val="nil"/>
              <w:bottom w:val="nil"/>
              <w:right w:val="nil"/>
            </w:tcBorders>
            <w:shd w:val="clear" w:color="000000" w:fill="000000"/>
            <w:noWrap/>
            <w:vAlign w:val="center"/>
            <w:hideMark/>
          </w:tcPr>
          <w:p w14:paraId="32E3E79A" w14:textId="77777777" w:rsidR="00500BD0" w:rsidRPr="00324A47" w:rsidRDefault="00500BD0" w:rsidP="00500BD0">
            <w:pPr>
              <w:spacing w:after="0" w:line="240" w:lineRule="auto"/>
              <w:rPr>
                <w:b/>
                <w:bCs/>
                <w:color w:val="FFFFFF"/>
                <w:sz w:val="18"/>
                <w:szCs w:val="18"/>
                <w:lang w:eastAsia="sk-SK"/>
              </w:rPr>
            </w:pPr>
            <w:r w:rsidRPr="00324A47">
              <w:rPr>
                <w:b/>
                <w:bCs/>
                <w:color w:val="FFFFFF"/>
                <w:sz w:val="18"/>
                <w:szCs w:val="18"/>
                <w:lang w:eastAsia="sk-SK"/>
              </w:rPr>
              <w:t> </w:t>
            </w:r>
          </w:p>
        </w:tc>
        <w:tc>
          <w:tcPr>
            <w:tcW w:w="1101" w:type="dxa"/>
            <w:tcBorders>
              <w:top w:val="nil"/>
              <w:left w:val="nil"/>
              <w:bottom w:val="nil"/>
              <w:right w:val="nil"/>
            </w:tcBorders>
            <w:shd w:val="clear" w:color="000000" w:fill="000000"/>
            <w:noWrap/>
            <w:vAlign w:val="center"/>
            <w:hideMark/>
          </w:tcPr>
          <w:p w14:paraId="6C38BB43" w14:textId="77777777" w:rsidR="00500BD0" w:rsidRPr="00324A47" w:rsidRDefault="00500BD0" w:rsidP="00500BD0">
            <w:pPr>
              <w:spacing w:after="0" w:line="240" w:lineRule="auto"/>
              <w:rPr>
                <w:b/>
                <w:bCs/>
                <w:color w:val="FFFFFF"/>
                <w:sz w:val="18"/>
                <w:szCs w:val="18"/>
                <w:lang w:eastAsia="sk-SK"/>
              </w:rPr>
            </w:pPr>
            <w:r w:rsidRPr="00324A47">
              <w:rPr>
                <w:b/>
                <w:bCs/>
                <w:color w:val="FFFFFF"/>
                <w:sz w:val="18"/>
                <w:szCs w:val="18"/>
                <w:lang w:eastAsia="sk-SK"/>
              </w:rPr>
              <w:t> </w:t>
            </w:r>
          </w:p>
        </w:tc>
        <w:tc>
          <w:tcPr>
            <w:tcW w:w="1176" w:type="dxa"/>
            <w:tcBorders>
              <w:top w:val="nil"/>
              <w:left w:val="nil"/>
              <w:bottom w:val="nil"/>
              <w:right w:val="nil"/>
            </w:tcBorders>
            <w:shd w:val="clear" w:color="000000" w:fill="000000"/>
            <w:noWrap/>
            <w:vAlign w:val="center"/>
            <w:hideMark/>
          </w:tcPr>
          <w:p w14:paraId="5774DBA5" w14:textId="77777777" w:rsidR="00500BD0" w:rsidRPr="00324A47" w:rsidRDefault="00500BD0" w:rsidP="00500BD0">
            <w:pPr>
              <w:spacing w:after="0" w:line="240" w:lineRule="auto"/>
              <w:rPr>
                <w:b/>
                <w:bCs/>
                <w:color w:val="FFFFFF"/>
                <w:sz w:val="18"/>
                <w:szCs w:val="18"/>
                <w:lang w:eastAsia="sk-SK"/>
              </w:rPr>
            </w:pPr>
            <w:r w:rsidRPr="00324A47">
              <w:rPr>
                <w:b/>
                <w:bCs/>
                <w:color w:val="FFFFFF"/>
                <w:sz w:val="18"/>
                <w:szCs w:val="18"/>
                <w:lang w:eastAsia="sk-SK"/>
              </w:rPr>
              <w:t> </w:t>
            </w:r>
          </w:p>
        </w:tc>
        <w:tc>
          <w:tcPr>
            <w:tcW w:w="994" w:type="dxa"/>
            <w:tcBorders>
              <w:top w:val="nil"/>
              <w:left w:val="nil"/>
              <w:bottom w:val="nil"/>
              <w:right w:val="nil"/>
            </w:tcBorders>
            <w:shd w:val="clear" w:color="000000" w:fill="000000"/>
            <w:noWrap/>
            <w:vAlign w:val="center"/>
            <w:hideMark/>
          </w:tcPr>
          <w:p w14:paraId="391B2EC5" w14:textId="77777777" w:rsidR="00500BD0" w:rsidRPr="00324A47" w:rsidRDefault="00500BD0" w:rsidP="00500BD0">
            <w:pPr>
              <w:spacing w:after="0" w:line="240" w:lineRule="auto"/>
              <w:rPr>
                <w:b/>
                <w:bCs/>
                <w:color w:val="FFFFFF"/>
                <w:sz w:val="18"/>
                <w:szCs w:val="18"/>
                <w:lang w:eastAsia="sk-SK"/>
              </w:rPr>
            </w:pPr>
            <w:r w:rsidRPr="00324A47">
              <w:rPr>
                <w:b/>
                <w:bCs/>
                <w:color w:val="FFFFFF"/>
                <w:sz w:val="18"/>
                <w:szCs w:val="18"/>
                <w:lang w:eastAsia="sk-SK"/>
              </w:rPr>
              <w:t> </w:t>
            </w:r>
          </w:p>
        </w:tc>
        <w:tc>
          <w:tcPr>
            <w:tcW w:w="948" w:type="dxa"/>
            <w:tcBorders>
              <w:top w:val="nil"/>
              <w:left w:val="nil"/>
              <w:bottom w:val="nil"/>
              <w:right w:val="nil"/>
            </w:tcBorders>
            <w:shd w:val="clear" w:color="000000" w:fill="000000"/>
            <w:noWrap/>
            <w:vAlign w:val="center"/>
            <w:hideMark/>
          </w:tcPr>
          <w:p w14:paraId="62DE0FA2" w14:textId="77777777" w:rsidR="00500BD0" w:rsidRPr="00324A47" w:rsidRDefault="00500BD0" w:rsidP="00500BD0">
            <w:pPr>
              <w:spacing w:after="0" w:line="240" w:lineRule="auto"/>
              <w:jc w:val="right"/>
              <w:rPr>
                <w:b/>
                <w:bCs/>
                <w:color w:val="FFFFFF"/>
                <w:sz w:val="18"/>
                <w:szCs w:val="18"/>
                <w:lang w:eastAsia="sk-SK"/>
              </w:rPr>
            </w:pPr>
            <w:r w:rsidRPr="00324A47">
              <w:rPr>
                <w:b/>
                <w:bCs/>
                <w:color w:val="FFFFFF"/>
                <w:sz w:val="18"/>
                <w:szCs w:val="18"/>
                <w:lang w:eastAsia="sk-SK"/>
              </w:rPr>
              <w:t>v tis. eur</w:t>
            </w:r>
          </w:p>
        </w:tc>
      </w:tr>
      <w:tr w:rsidR="00500BD0" w:rsidRPr="00324A47" w14:paraId="32FCDC66" w14:textId="77777777" w:rsidTr="00500BD0">
        <w:trPr>
          <w:trHeight w:val="456"/>
        </w:trPr>
        <w:tc>
          <w:tcPr>
            <w:tcW w:w="3828" w:type="dxa"/>
            <w:tcBorders>
              <w:top w:val="single" w:sz="4" w:space="0" w:color="auto"/>
              <w:left w:val="nil"/>
              <w:bottom w:val="nil"/>
              <w:right w:val="nil"/>
            </w:tcBorders>
            <w:shd w:val="clear" w:color="000000" w:fill="BFBFBF"/>
            <w:noWrap/>
            <w:vAlign w:val="center"/>
            <w:hideMark/>
          </w:tcPr>
          <w:p w14:paraId="416B49F3" w14:textId="77777777" w:rsidR="00500BD0" w:rsidRPr="00324A47" w:rsidRDefault="00500BD0" w:rsidP="00500BD0">
            <w:pPr>
              <w:spacing w:after="0" w:line="240" w:lineRule="auto"/>
              <w:rPr>
                <w:b/>
                <w:bCs/>
                <w:sz w:val="18"/>
                <w:szCs w:val="18"/>
                <w:lang w:eastAsia="sk-SK"/>
              </w:rPr>
            </w:pPr>
            <w:r w:rsidRPr="00324A47">
              <w:rPr>
                <w:b/>
                <w:bCs/>
                <w:sz w:val="18"/>
                <w:szCs w:val="18"/>
                <w:lang w:eastAsia="sk-SK"/>
              </w:rPr>
              <w:t> </w:t>
            </w:r>
          </w:p>
        </w:tc>
        <w:tc>
          <w:tcPr>
            <w:tcW w:w="1025" w:type="dxa"/>
            <w:tcBorders>
              <w:top w:val="single" w:sz="4" w:space="0" w:color="auto"/>
              <w:left w:val="nil"/>
              <w:bottom w:val="nil"/>
              <w:right w:val="nil"/>
            </w:tcBorders>
            <w:shd w:val="clear" w:color="000000" w:fill="BFBFBF"/>
            <w:vAlign w:val="center"/>
            <w:hideMark/>
          </w:tcPr>
          <w:p w14:paraId="4C00C705"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2016</w:t>
            </w:r>
          </w:p>
        </w:tc>
        <w:tc>
          <w:tcPr>
            <w:tcW w:w="1101" w:type="dxa"/>
            <w:tcBorders>
              <w:top w:val="single" w:sz="4" w:space="0" w:color="auto"/>
              <w:left w:val="nil"/>
              <w:bottom w:val="nil"/>
              <w:right w:val="nil"/>
            </w:tcBorders>
            <w:shd w:val="clear" w:color="000000" w:fill="BFBFBF"/>
            <w:vAlign w:val="center"/>
            <w:hideMark/>
          </w:tcPr>
          <w:p w14:paraId="54DFD931"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2017</w:t>
            </w:r>
          </w:p>
        </w:tc>
        <w:tc>
          <w:tcPr>
            <w:tcW w:w="1176" w:type="dxa"/>
            <w:tcBorders>
              <w:top w:val="single" w:sz="4" w:space="0" w:color="auto"/>
              <w:left w:val="nil"/>
              <w:bottom w:val="nil"/>
              <w:right w:val="nil"/>
            </w:tcBorders>
            <w:shd w:val="clear" w:color="000000" w:fill="BFBFBF"/>
            <w:vAlign w:val="center"/>
            <w:hideMark/>
          </w:tcPr>
          <w:p w14:paraId="2A9C067E"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2018</w:t>
            </w:r>
          </w:p>
        </w:tc>
        <w:tc>
          <w:tcPr>
            <w:tcW w:w="994" w:type="dxa"/>
            <w:tcBorders>
              <w:top w:val="single" w:sz="4" w:space="0" w:color="auto"/>
              <w:left w:val="nil"/>
              <w:bottom w:val="nil"/>
              <w:right w:val="nil"/>
            </w:tcBorders>
            <w:shd w:val="clear" w:color="000000" w:fill="BFBFBF"/>
            <w:vAlign w:val="center"/>
            <w:hideMark/>
          </w:tcPr>
          <w:p w14:paraId="3EB1D382"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 xml:space="preserve">Rozpočet </w:t>
            </w:r>
            <w:r w:rsidRPr="00324A47">
              <w:rPr>
                <w:b/>
                <w:bCs/>
                <w:sz w:val="18"/>
                <w:szCs w:val="18"/>
                <w:lang w:eastAsia="sk-SK"/>
              </w:rPr>
              <w:br/>
              <w:t>2018</w:t>
            </w:r>
          </w:p>
        </w:tc>
        <w:tc>
          <w:tcPr>
            <w:tcW w:w="948" w:type="dxa"/>
            <w:tcBorders>
              <w:top w:val="single" w:sz="4" w:space="0" w:color="auto"/>
              <w:left w:val="nil"/>
              <w:bottom w:val="nil"/>
              <w:right w:val="nil"/>
            </w:tcBorders>
            <w:shd w:val="clear" w:color="000000" w:fill="BFBFBF"/>
            <w:vAlign w:val="center"/>
            <w:hideMark/>
          </w:tcPr>
          <w:p w14:paraId="470C03DC"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 xml:space="preserve">2018/2017 </w:t>
            </w:r>
            <w:r w:rsidRPr="00324A47">
              <w:rPr>
                <w:b/>
                <w:bCs/>
                <w:sz w:val="18"/>
                <w:szCs w:val="18"/>
                <w:lang w:eastAsia="sk-SK"/>
              </w:rPr>
              <w:br/>
              <w:t>v %</w:t>
            </w:r>
          </w:p>
        </w:tc>
      </w:tr>
      <w:tr w:rsidR="00500BD0" w:rsidRPr="00324A47" w14:paraId="533B0E08" w14:textId="77777777" w:rsidTr="00500BD0">
        <w:trPr>
          <w:trHeight w:val="255"/>
        </w:trPr>
        <w:tc>
          <w:tcPr>
            <w:tcW w:w="3828" w:type="dxa"/>
            <w:tcBorders>
              <w:top w:val="nil"/>
              <w:left w:val="nil"/>
              <w:bottom w:val="nil"/>
              <w:right w:val="nil"/>
            </w:tcBorders>
            <w:shd w:val="clear" w:color="auto" w:fill="auto"/>
            <w:noWrap/>
            <w:vAlign w:val="center"/>
            <w:hideMark/>
          </w:tcPr>
          <w:p w14:paraId="29A007DA" w14:textId="77777777" w:rsidR="00500BD0" w:rsidRPr="00324A47" w:rsidRDefault="00500BD0" w:rsidP="00500BD0">
            <w:pPr>
              <w:spacing w:after="0" w:line="240" w:lineRule="auto"/>
              <w:rPr>
                <w:b/>
                <w:bCs/>
                <w:color w:val="000000"/>
                <w:sz w:val="18"/>
                <w:szCs w:val="18"/>
                <w:lang w:eastAsia="sk-SK"/>
              </w:rPr>
            </w:pPr>
            <w:r w:rsidRPr="00324A47">
              <w:rPr>
                <w:b/>
                <w:bCs/>
                <w:color w:val="000000"/>
                <w:sz w:val="18"/>
                <w:szCs w:val="18"/>
                <w:lang w:eastAsia="sk-SK"/>
              </w:rPr>
              <w:t>Daňové príjmy</w:t>
            </w:r>
          </w:p>
        </w:tc>
        <w:tc>
          <w:tcPr>
            <w:tcW w:w="1025" w:type="dxa"/>
            <w:tcBorders>
              <w:top w:val="nil"/>
              <w:left w:val="nil"/>
              <w:bottom w:val="nil"/>
              <w:right w:val="nil"/>
            </w:tcBorders>
            <w:shd w:val="clear" w:color="auto" w:fill="auto"/>
            <w:noWrap/>
            <w:vAlign w:val="center"/>
            <w:hideMark/>
          </w:tcPr>
          <w:p w14:paraId="7B5A0504" w14:textId="77777777" w:rsidR="00500BD0" w:rsidRPr="00324A47" w:rsidRDefault="00500BD0" w:rsidP="00500BD0">
            <w:pPr>
              <w:spacing w:after="0" w:line="240" w:lineRule="auto"/>
              <w:jc w:val="right"/>
              <w:rPr>
                <w:b/>
                <w:bCs/>
                <w:sz w:val="18"/>
                <w:szCs w:val="18"/>
                <w:lang w:eastAsia="sk-SK"/>
              </w:rPr>
            </w:pPr>
            <w:r>
              <w:rPr>
                <w:b/>
                <w:bCs/>
                <w:sz w:val="18"/>
                <w:szCs w:val="18"/>
                <w:lang w:eastAsia="sk-SK"/>
              </w:rPr>
              <w:t>15 230 100</w:t>
            </w:r>
          </w:p>
        </w:tc>
        <w:tc>
          <w:tcPr>
            <w:tcW w:w="1101" w:type="dxa"/>
            <w:tcBorders>
              <w:top w:val="nil"/>
              <w:left w:val="nil"/>
              <w:bottom w:val="nil"/>
              <w:right w:val="nil"/>
            </w:tcBorders>
            <w:shd w:val="clear" w:color="auto" w:fill="auto"/>
            <w:noWrap/>
            <w:vAlign w:val="center"/>
            <w:hideMark/>
          </w:tcPr>
          <w:p w14:paraId="477F6DF4" w14:textId="77777777" w:rsidR="00500BD0" w:rsidRPr="00324A47" w:rsidRDefault="00500BD0" w:rsidP="00500BD0">
            <w:pPr>
              <w:spacing w:after="0" w:line="240" w:lineRule="auto"/>
              <w:jc w:val="right"/>
              <w:rPr>
                <w:b/>
                <w:bCs/>
                <w:sz w:val="18"/>
                <w:szCs w:val="18"/>
                <w:lang w:eastAsia="sk-SK"/>
              </w:rPr>
            </w:pPr>
            <w:r>
              <w:rPr>
                <w:b/>
                <w:bCs/>
                <w:sz w:val="18"/>
                <w:szCs w:val="18"/>
                <w:lang w:eastAsia="sk-SK"/>
              </w:rPr>
              <w:t>16 248 073</w:t>
            </w:r>
          </w:p>
        </w:tc>
        <w:tc>
          <w:tcPr>
            <w:tcW w:w="1176" w:type="dxa"/>
            <w:tcBorders>
              <w:top w:val="nil"/>
              <w:left w:val="nil"/>
              <w:bottom w:val="nil"/>
              <w:right w:val="nil"/>
            </w:tcBorders>
            <w:shd w:val="clear" w:color="000000" w:fill="BFBFBF"/>
            <w:noWrap/>
            <w:vAlign w:val="center"/>
            <w:hideMark/>
          </w:tcPr>
          <w:p w14:paraId="7EA9FB16"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17 212 253</w:t>
            </w:r>
          </w:p>
        </w:tc>
        <w:tc>
          <w:tcPr>
            <w:tcW w:w="994" w:type="dxa"/>
            <w:tcBorders>
              <w:top w:val="nil"/>
              <w:left w:val="nil"/>
              <w:bottom w:val="nil"/>
              <w:right w:val="nil"/>
            </w:tcBorders>
            <w:shd w:val="clear" w:color="auto" w:fill="auto"/>
            <w:noWrap/>
            <w:vAlign w:val="center"/>
            <w:hideMark/>
          </w:tcPr>
          <w:p w14:paraId="5A1265D7"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16 223 173</w:t>
            </w:r>
          </w:p>
        </w:tc>
        <w:tc>
          <w:tcPr>
            <w:tcW w:w="948" w:type="dxa"/>
            <w:tcBorders>
              <w:top w:val="nil"/>
              <w:left w:val="nil"/>
              <w:bottom w:val="nil"/>
              <w:right w:val="nil"/>
            </w:tcBorders>
            <w:shd w:val="clear" w:color="auto" w:fill="auto"/>
            <w:noWrap/>
            <w:vAlign w:val="center"/>
            <w:hideMark/>
          </w:tcPr>
          <w:p w14:paraId="0ED9C3D9" w14:textId="77777777" w:rsidR="00500BD0" w:rsidRPr="00324A47" w:rsidRDefault="00500BD0" w:rsidP="00500BD0">
            <w:pPr>
              <w:spacing w:after="0" w:line="240" w:lineRule="auto"/>
              <w:jc w:val="center"/>
              <w:rPr>
                <w:b/>
                <w:bCs/>
                <w:sz w:val="18"/>
                <w:szCs w:val="18"/>
                <w:lang w:eastAsia="sk-SK"/>
              </w:rPr>
            </w:pPr>
            <w:r>
              <w:rPr>
                <w:b/>
                <w:bCs/>
                <w:sz w:val="18"/>
                <w:szCs w:val="18"/>
                <w:lang w:eastAsia="sk-SK"/>
              </w:rPr>
              <w:t>5,9</w:t>
            </w:r>
          </w:p>
        </w:tc>
      </w:tr>
      <w:tr w:rsidR="00500BD0" w:rsidRPr="00324A47" w14:paraId="3D43A479" w14:textId="77777777" w:rsidTr="00500BD0">
        <w:trPr>
          <w:trHeight w:val="255"/>
        </w:trPr>
        <w:tc>
          <w:tcPr>
            <w:tcW w:w="3828" w:type="dxa"/>
            <w:tcBorders>
              <w:top w:val="nil"/>
              <w:left w:val="nil"/>
              <w:bottom w:val="nil"/>
              <w:right w:val="nil"/>
            </w:tcBorders>
            <w:shd w:val="clear" w:color="auto" w:fill="auto"/>
            <w:noWrap/>
            <w:vAlign w:val="center"/>
            <w:hideMark/>
          </w:tcPr>
          <w:p w14:paraId="1B963D92"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Dane z produkcie a dovozu</w:t>
            </w:r>
          </w:p>
        </w:tc>
        <w:tc>
          <w:tcPr>
            <w:tcW w:w="1025" w:type="dxa"/>
            <w:tcBorders>
              <w:top w:val="nil"/>
              <w:left w:val="nil"/>
              <w:bottom w:val="nil"/>
              <w:right w:val="nil"/>
            </w:tcBorders>
            <w:shd w:val="clear" w:color="auto" w:fill="auto"/>
            <w:noWrap/>
            <w:vAlign w:val="bottom"/>
            <w:hideMark/>
          </w:tcPr>
          <w:p w14:paraId="6DC4DCC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9 391 175</w:t>
            </w:r>
          </w:p>
        </w:tc>
        <w:tc>
          <w:tcPr>
            <w:tcW w:w="1101" w:type="dxa"/>
            <w:tcBorders>
              <w:top w:val="nil"/>
              <w:left w:val="nil"/>
              <w:bottom w:val="nil"/>
              <w:right w:val="nil"/>
            </w:tcBorders>
            <w:shd w:val="clear" w:color="auto" w:fill="auto"/>
            <w:noWrap/>
            <w:vAlign w:val="bottom"/>
            <w:hideMark/>
          </w:tcPr>
          <w:p w14:paraId="3455ECB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10 126 285</w:t>
            </w:r>
          </w:p>
        </w:tc>
        <w:tc>
          <w:tcPr>
            <w:tcW w:w="1176" w:type="dxa"/>
            <w:tcBorders>
              <w:top w:val="nil"/>
              <w:left w:val="nil"/>
              <w:bottom w:val="nil"/>
              <w:right w:val="nil"/>
            </w:tcBorders>
            <w:shd w:val="clear" w:color="000000" w:fill="BFBFBF"/>
            <w:noWrap/>
            <w:vAlign w:val="bottom"/>
            <w:hideMark/>
          </w:tcPr>
          <w:p w14:paraId="5F6649FF"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10 692 592</w:t>
            </w:r>
          </w:p>
        </w:tc>
        <w:tc>
          <w:tcPr>
            <w:tcW w:w="994" w:type="dxa"/>
            <w:tcBorders>
              <w:top w:val="nil"/>
              <w:left w:val="nil"/>
              <w:bottom w:val="nil"/>
              <w:right w:val="nil"/>
            </w:tcBorders>
            <w:shd w:val="clear" w:color="auto" w:fill="auto"/>
            <w:noWrap/>
            <w:vAlign w:val="bottom"/>
            <w:hideMark/>
          </w:tcPr>
          <w:p w14:paraId="7231939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9 831 298</w:t>
            </w:r>
          </w:p>
        </w:tc>
        <w:tc>
          <w:tcPr>
            <w:tcW w:w="948" w:type="dxa"/>
            <w:tcBorders>
              <w:top w:val="nil"/>
              <w:left w:val="nil"/>
              <w:bottom w:val="nil"/>
              <w:right w:val="nil"/>
            </w:tcBorders>
            <w:shd w:val="clear" w:color="auto" w:fill="auto"/>
            <w:noWrap/>
            <w:vAlign w:val="bottom"/>
            <w:hideMark/>
          </w:tcPr>
          <w:p w14:paraId="72F85E39"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5,6</w:t>
            </w:r>
          </w:p>
        </w:tc>
      </w:tr>
      <w:tr w:rsidR="00500BD0" w:rsidRPr="00324A47" w14:paraId="4A12FBFF" w14:textId="77777777" w:rsidTr="00500BD0">
        <w:trPr>
          <w:trHeight w:val="255"/>
        </w:trPr>
        <w:tc>
          <w:tcPr>
            <w:tcW w:w="3828" w:type="dxa"/>
            <w:tcBorders>
              <w:top w:val="nil"/>
              <w:left w:val="nil"/>
              <w:bottom w:val="nil"/>
              <w:right w:val="nil"/>
            </w:tcBorders>
            <w:shd w:val="clear" w:color="auto" w:fill="auto"/>
            <w:vAlign w:val="center"/>
            <w:hideMark/>
          </w:tcPr>
          <w:p w14:paraId="670981DB"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Daň z pridanej hodnoty</w:t>
            </w:r>
          </w:p>
        </w:tc>
        <w:tc>
          <w:tcPr>
            <w:tcW w:w="1025" w:type="dxa"/>
            <w:tcBorders>
              <w:top w:val="nil"/>
              <w:left w:val="nil"/>
              <w:bottom w:val="nil"/>
              <w:right w:val="nil"/>
            </w:tcBorders>
            <w:shd w:val="clear" w:color="auto" w:fill="auto"/>
            <w:noWrap/>
            <w:vAlign w:val="bottom"/>
            <w:hideMark/>
          </w:tcPr>
          <w:p w14:paraId="72C7AED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5 423 632</w:t>
            </w:r>
          </w:p>
        </w:tc>
        <w:tc>
          <w:tcPr>
            <w:tcW w:w="1101" w:type="dxa"/>
            <w:tcBorders>
              <w:top w:val="nil"/>
              <w:left w:val="nil"/>
              <w:bottom w:val="nil"/>
              <w:right w:val="nil"/>
            </w:tcBorders>
            <w:shd w:val="clear" w:color="auto" w:fill="auto"/>
            <w:noWrap/>
            <w:vAlign w:val="bottom"/>
            <w:hideMark/>
          </w:tcPr>
          <w:p w14:paraId="718B206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5 918 744</w:t>
            </w:r>
          </w:p>
        </w:tc>
        <w:tc>
          <w:tcPr>
            <w:tcW w:w="1176" w:type="dxa"/>
            <w:tcBorders>
              <w:top w:val="nil"/>
              <w:left w:val="nil"/>
              <w:bottom w:val="nil"/>
              <w:right w:val="nil"/>
            </w:tcBorders>
            <w:shd w:val="clear" w:color="000000" w:fill="BFBFBF"/>
            <w:noWrap/>
            <w:vAlign w:val="bottom"/>
            <w:hideMark/>
          </w:tcPr>
          <w:p w14:paraId="016624F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6 319 301</w:t>
            </w:r>
          </w:p>
        </w:tc>
        <w:tc>
          <w:tcPr>
            <w:tcW w:w="994" w:type="dxa"/>
            <w:tcBorders>
              <w:top w:val="nil"/>
              <w:left w:val="nil"/>
              <w:bottom w:val="nil"/>
              <w:right w:val="nil"/>
            </w:tcBorders>
            <w:shd w:val="clear" w:color="auto" w:fill="auto"/>
            <w:noWrap/>
            <w:vAlign w:val="bottom"/>
            <w:hideMark/>
          </w:tcPr>
          <w:p w14:paraId="46A42D8F"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6 104 417</w:t>
            </w:r>
          </w:p>
        </w:tc>
        <w:tc>
          <w:tcPr>
            <w:tcW w:w="948" w:type="dxa"/>
            <w:tcBorders>
              <w:top w:val="nil"/>
              <w:left w:val="nil"/>
              <w:bottom w:val="nil"/>
              <w:right w:val="nil"/>
            </w:tcBorders>
            <w:shd w:val="clear" w:color="auto" w:fill="auto"/>
            <w:noWrap/>
            <w:vAlign w:val="bottom"/>
            <w:hideMark/>
          </w:tcPr>
          <w:p w14:paraId="23749208"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6,8</w:t>
            </w:r>
          </w:p>
        </w:tc>
      </w:tr>
      <w:tr w:rsidR="00500BD0" w:rsidRPr="00324A47" w14:paraId="599AD308" w14:textId="77777777" w:rsidTr="00500BD0">
        <w:trPr>
          <w:trHeight w:val="255"/>
        </w:trPr>
        <w:tc>
          <w:tcPr>
            <w:tcW w:w="3828" w:type="dxa"/>
            <w:tcBorders>
              <w:top w:val="nil"/>
              <w:left w:val="nil"/>
              <w:bottom w:val="nil"/>
              <w:right w:val="nil"/>
            </w:tcBorders>
            <w:shd w:val="clear" w:color="auto" w:fill="auto"/>
            <w:vAlign w:val="center"/>
            <w:hideMark/>
          </w:tcPr>
          <w:p w14:paraId="555A3D3A"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Spotrebné dane</w:t>
            </w:r>
          </w:p>
        </w:tc>
        <w:tc>
          <w:tcPr>
            <w:tcW w:w="1025" w:type="dxa"/>
            <w:tcBorders>
              <w:top w:val="nil"/>
              <w:left w:val="nil"/>
              <w:bottom w:val="nil"/>
              <w:right w:val="nil"/>
            </w:tcBorders>
            <w:shd w:val="clear" w:color="auto" w:fill="auto"/>
            <w:noWrap/>
            <w:vAlign w:val="bottom"/>
            <w:hideMark/>
          </w:tcPr>
          <w:p w14:paraId="01EBC0E0"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2 660 932</w:t>
            </w:r>
          </w:p>
        </w:tc>
        <w:tc>
          <w:tcPr>
            <w:tcW w:w="1101" w:type="dxa"/>
            <w:tcBorders>
              <w:top w:val="nil"/>
              <w:left w:val="nil"/>
              <w:bottom w:val="nil"/>
              <w:right w:val="nil"/>
            </w:tcBorders>
            <w:shd w:val="clear" w:color="auto" w:fill="auto"/>
            <w:noWrap/>
            <w:vAlign w:val="bottom"/>
            <w:hideMark/>
          </w:tcPr>
          <w:p w14:paraId="4C530CF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2 818 776</w:t>
            </w:r>
          </w:p>
        </w:tc>
        <w:tc>
          <w:tcPr>
            <w:tcW w:w="1176" w:type="dxa"/>
            <w:tcBorders>
              <w:top w:val="nil"/>
              <w:left w:val="nil"/>
              <w:bottom w:val="nil"/>
              <w:right w:val="nil"/>
            </w:tcBorders>
            <w:shd w:val="clear" w:color="000000" w:fill="BFBFBF"/>
            <w:noWrap/>
            <w:vAlign w:val="bottom"/>
            <w:hideMark/>
          </w:tcPr>
          <w:p w14:paraId="292462E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2 916 412</w:t>
            </w:r>
          </w:p>
        </w:tc>
        <w:tc>
          <w:tcPr>
            <w:tcW w:w="994" w:type="dxa"/>
            <w:tcBorders>
              <w:top w:val="nil"/>
              <w:left w:val="nil"/>
              <w:bottom w:val="nil"/>
              <w:right w:val="nil"/>
            </w:tcBorders>
            <w:shd w:val="clear" w:color="auto" w:fill="auto"/>
            <w:noWrap/>
            <w:vAlign w:val="center"/>
            <w:hideMark/>
          </w:tcPr>
          <w:p w14:paraId="73F3113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2 341 129</w:t>
            </w:r>
          </w:p>
        </w:tc>
        <w:tc>
          <w:tcPr>
            <w:tcW w:w="948" w:type="dxa"/>
            <w:tcBorders>
              <w:top w:val="nil"/>
              <w:left w:val="nil"/>
              <w:bottom w:val="nil"/>
              <w:right w:val="nil"/>
            </w:tcBorders>
            <w:shd w:val="clear" w:color="auto" w:fill="auto"/>
            <w:noWrap/>
            <w:vAlign w:val="bottom"/>
            <w:hideMark/>
          </w:tcPr>
          <w:p w14:paraId="4EE8F20E"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3,5</w:t>
            </w:r>
          </w:p>
        </w:tc>
      </w:tr>
      <w:tr w:rsidR="00500BD0" w:rsidRPr="00324A47" w14:paraId="354205BD" w14:textId="77777777" w:rsidTr="00500BD0">
        <w:trPr>
          <w:trHeight w:val="255"/>
        </w:trPr>
        <w:tc>
          <w:tcPr>
            <w:tcW w:w="3828" w:type="dxa"/>
            <w:tcBorders>
              <w:top w:val="nil"/>
              <w:left w:val="nil"/>
              <w:bottom w:val="nil"/>
              <w:right w:val="nil"/>
            </w:tcBorders>
            <w:shd w:val="clear" w:color="auto" w:fill="auto"/>
            <w:vAlign w:val="center"/>
            <w:hideMark/>
          </w:tcPr>
          <w:p w14:paraId="239ED2D8"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Dovozné clo</w:t>
            </w:r>
          </w:p>
        </w:tc>
        <w:tc>
          <w:tcPr>
            <w:tcW w:w="1025" w:type="dxa"/>
            <w:tcBorders>
              <w:top w:val="nil"/>
              <w:left w:val="nil"/>
              <w:bottom w:val="nil"/>
              <w:right w:val="nil"/>
            </w:tcBorders>
            <w:shd w:val="clear" w:color="auto" w:fill="auto"/>
            <w:noWrap/>
            <w:vAlign w:val="bottom"/>
            <w:hideMark/>
          </w:tcPr>
          <w:p w14:paraId="1F0B626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39</w:t>
            </w:r>
          </w:p>
        </w:tc>
        <w:tc>
          <w:tcPr>
            <w:tcW w:w="1101" w:type="dxa"/>
            <w:tcBorders>
              <w:top w:val="nil"/>
              <w:left w:val="nil"/>
              <w:bottom w:val="nil"/>
              <w:right w:val="nil"/>
            </w:tcBorders>
            <w:shd w:val="clear" w:color="auto" w:fill="auto"/>
            <w:noWrap/>
            <w:vAlign w:val="bottom"/>
            <w:hideMark/>
          </w:tcPr>
          <w:p w14:paraId="12CA597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8</w:t>
            </w:r>
          </w:p>
        </w:tc>
        <w:tc>
          <w:tcPr>
            <w:tcW w:w="1176" w:type="dxa"/>
            <w:tcBorders>
              <w:top w:val="nil"/>
              <w:left w:val="nil"/>
              <w:bottom w:val="nil"/>
              <w:right w:val="nil"/>
            </w:tcBorders>
            <w:shd w:val="clear" w:color="000000" w:fill="BFBFBF"/>
            <w:noWrap/>
            <w:vAlign w:val="bottom"/>
            <w:hideMark/>
          </w:tcPr>
          <w:p w14:paraId="77D6FA7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18</w:t>
            </w:r>
          </w:p>
        </w:tc>
        <w:tc>
          <w:tcPr>
            <w:tcW w:w="994" w:type="dxa"/>
            <w:tcBorders>
              <w:top w:val="nil"/>
              <w:left w:val="nil"/>
              <w:bottom w:val="nil"/>
              <w:right w:val="nil"/>
            </w:tcBorders>
            <w:shd w:val="clear" w:color="auto" w:fill="auto"/>
            <w:noWrap/>
            <w:vAlign w:val="center"/>
            <w:hideMark/>
          </w:tcPr>
          <w:p w14:paraId="0D5408C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0</w:t>
            </w:r>
          </w:p>
        </w:tc>
        <w:tc>
          <w:tcPr>
            <w:tcW w:w="948" w:type="dxa"/>
            <w:tcBorders>
              <w:top w:val="nil"/>
              <w:left w:val="nil"/>
              <w:bottom w:val="nil"/>
              <w:right w:val="nil"/>
            </w:tcBorders>
            <w:shd w:val="clear" w:color="auto" w:fill="auto"/>
            <w:noWrap/>
            <w:vAlign w:val="bottom"/>
            <w:hideMark/>
          </w:tcPr>
          <w:p w14:paraId="6BE11726"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125,0</w:t>
            </w:r>
          </w:p>
        </w:tc>
      </w:tr>
      <w:tr w:rsidR="00500BD0" w:rsidRPr="00324A47" w14:paraId="7297D756" w14:textId="77777777" w:rsidTr="00500BD0">
        <w:trPr>
          <w:trHeight w:val="255"/>
        </w:trPr>
        <w:tc>
          <w:tcPr>
            <w:tcW w:w="3828" w:type="dxa"/>
            <w:tcBorders>
              <w:top w:val="nil"/>
              <w:left w:val="nil"/>
              <w:bottom w:val="nil"/>
              <w:right w:val="nil"/>
            </w:tcBorders>
            <w:shd w:val="clear" w:color="auto" w:fill="auto"/>
            <w:vAlign w:val="center"/>
            <w:hideMark/>
          </w:tcPr>
          <w:p w14:paraId="40E30418"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Dane z majetku a iné</w:t>
            </w:r>
          </w:p>
        </w:tc>
        <w:tc>
          <w:tcPr>
            <w:tcW w:w="1025" w:type="dxa"/>
            <w:tcBorders>
              <w:top w:val="nil"/>
              <w:left w:val="nil"/>
              <w:bottom w:val="nil"/>
              <w:right w:val="nil"/>
            </w:tcBorders>
            <w:shd w:val="clear" w:color="auto" w:fill="auto"/>
            <w:noWrap/>
            <w:vAlign w:val="bottom"/>
            <w:hideMark/>
          </w:tcPr>
          <w:p w14:paraId="6020DDC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318 062</w:t>
            </w:r>
          </w:p>
        </w:tc>
        <w:tc>
          <w:tcPr>
            <w:tcW w:w="1101" w:type="dxa"/>
            <w:tcBorders>
              <w:top w:val="nil"/>
              <w:left w:val="nil"/>
              <w:bottom w:val="nil"/>
              <w:right w:val="nil"/>
            </w:tcBorders>
            <w:shd w:val="clear" w:color="auto" w:fill="auto"/>
            <w:noWrap/>
            <w:vAlign w:val="bottom"/>
            <w:hideMark/>
          </w:tcPr>
          <w:p w14:paraId="67E97CC0"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329 625</w:t>
            </w:r>
          </w:p>
        </w:tc>
        <w:tc>
          <w:tcPr>
            <w:tcW w:w="1176" w:type="dxa"/>
            <w:tcBorders>
              <w:top w:val="nil"/>
              <w:left w:val="nil"/>
              <w:bottom w:val="nil"/>
              <w:right w:val="nil"/>
            </w:tcBorders>
            <w:shd w:val="clear" w:color="000000" w:fill="BFBFBF"/>
            <w:noWrap/>
            <w:vAlign w:val="bottom"/>
            <w:hideMark/>
          </w:tcPr>
          <w:p w14:paraId="0363C0F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337 928</w:t>
            </w:r>
          </w:p>
        </w:tc>
        <w:tc>
          <w:tcPr>
            <w:tcW w:w="994" w:type="dxa"/>
            <w:tcBorders>
              <w:top w:val="nil"/>
              <w:left w:val="nil"/>
              <w:bottom w:val="nil"/>
              <w:right w:val="nil"/>
            </w:tcBorders>
            <w:shd w:val="clear" w:color="auto" w:fill="auto"/>
            <w:noWrap/>
            <w:vAlign w:val="center"/>
            <w:hideMark/>
          </w:tcPr>
          <w:p w14:paraId="24EDCCAC"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261 260</w:t>
            </w:r>
          </w:p>
        </w:tc>
        <w:tc>
          <w:tcPr>
            <w:tcW w:w="948" w:type="dxa"/>
            <w:tcBorders>
              <w:top w:val="nil"/>
              <w:left w:val="nil"/>
              <w:bottom w:val="nil"/>
              <w:right w:val="nil"/>
            </w:tcBorders>
            <w:shd w:val="clear" w:color="auto" w:fill="auto"/>
            <w:noWrap/>
            <w:vAlign w:val="bottom"/>
            <w:hideMark/>
          </w:tcPr>
          <w:p w14:paraId="51D1A445"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2,5</w:t>
            </w:r>
          </w:p>
        </w:tc>
      </w:tr>
      <w:tr w:rsidR="00500BD0" w:rsidRPr="00324A47" w14:paraId="41806148" w14:textId="77777777" w:rsidTr="00500BD0">
        <w:trPr>
          <w:trHeight w:val="255"/>
        </w:trPr>
        <w:tc>
          <w:tcPr>
            <w:tcW w:w="3828" w:type="dxa"/>
            <w:tcBorders>
              <w:top w:val="nil"/>
              <w:left w:val="nil"/>
              <w:bottom w:val="nil"/>
              <w:right w:val="nil"/>
            </w:tcBorders>
            <w:shd w:val="clear" w:color="auto" w:fill="auto"/>
            <w:vAlign w:val="center"/>
            <w:hideMark/>
          </w:tcPr>
          <w:p w14:paraId="462CEA24"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Bežné dane z dôchodkov, majetku</w:t>
            </w:r>
          </w:p>
        </w:tc>
        <w:tc>
          <w:tcPr>
            <w:tcW w:w="1025" w:type="dxa"/>
            <w:tcBorders>
              <w:top w:val="nil"/>
              <w:left w:val="nil"/>
              <w:bottom w:val="nil"/>
              <w:right w:val="nil"/>
            </w:tcBorders>
            <w:shd w:val="clear" w:color="auto" w:fill="auto"/>
            <w:noWrap/>
            <w:vAlign w:val="bottom"/>
            <w:hideMark/>
          </w:tcPr>
          <w:p w14:paraId="441F302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5 838 921</w:t>
            </w:r>
          </w:p>
        </w:tc>
        <w:tc>
          <w:tcPr>
            <w:tcW w:w="1101" w:type="dxa"/>
            <w:tcBorders>
              <w:top w:val="nil"/>
              <w:left w:val="nil"/>
              <w:bottom w:val="nil"/>
              <w:right w:val="nil"/>
            </w:tcBorders>
            <w:shd w:val="clear" w:color="auto" w:fill="auto"/>
            <w:noWrap/>
            <w:vAlign w:val="bottom"/>
            <w:hideMark/>
          </w:tcPr>
          <w:p w14:paraId="7B86660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6 121 788</w:t>
            </w:r>
          </w:p>
        </w:tc>
        <w:tc>
          <w:tcPr>
            <w:tcW w:w="1176" w:type="dxa"/>
            <w:tcBorders>
              <w:top w:val="nil"/>
              <w:left w:val="nil"/>
              <w:bottom w:val="nil"/>
              <w:right w:val="nil"/>
            </w:tcBorders>
            <w:shd w:val="clear" w:color="000000" w:fill="BFBFBF"/>
            <w:noWrap/>
            <w:vAlign w:val="bottom"/>
            <w:hideMark/>
          </w:tcPr>
          <w:p w14:paraId="6E045CE0"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6 519 661</w:t>
            </w:r>
          </w:p>
        </w:tc>
        <w:tc>
          <w:tcPr>
            <w:tcW w:w="994" w:type="dxa"/>
            <w:tcBorders>
              <w:top w:val="nil"/>
              <w:left w:val="nil"/>
              <w:bottom w:val="nil"/>
              <w:right w:val="nil"/>
            </w:tcBorders>
            <w:shd w:val="clear" w:color="auto" w:fill="auto"/>
            <w:noWrap/>
            <w:vAlign w:val="center"/>
            <w:hideMark/>
          </w:tcPr>
          <w:p w14:paraId="386BEAD9"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6 391 875</w:t>
            </w:r>
          </w:p>
        </w:tc>
        <w:tc>
          <w:tcPr>
            <w:tcW w:w="948" w:type="dxa"/>
            <w:tcBorders>
              <w:top w:val="nil"/>
              <w:left w:val="nil"/>
              <w:bottom w:val="nil"/>
              <w:right w:val="nil"/>
            </w:tcBorders>
            <w:shd w:val="clear" w:color="auto" w:fill="auto"/>
            <w:noWrap/>
            <w:vAlign w:val="bottom"/>
            <w:hideMark/>
          </w:tcPr>
          <w:p w14:paraId="1F1D48D9"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6,5</w:t>
            </w:r>
          </w:p>
        </w:tc>
      </w:tr>
      <w:tr w:rsidR="00500BD0" w:rsidRPr="00324A47" w14:paraId="02BDEBA1" w14:textId="77777777" w:rsidTr="00500BD0">
        <w:trPr>
          <w:trHeight w:val="255"/>
        </w:trPr>
        <w:tc>
          <w:tcPr>
            <w:tcW w:w="3828" w:type="dxa"/>
            <w:tcBorders>
              <w:top w:val="nil"/>
              <w:left w:val="nil"/>
              <w:bottom w:val="nil"/>
              <w:right w:val="nil"/>
            </w:tcBorders>
            <w:shd w:val="clear" w:color="auto" w:fill="auto"/>
            <w:vAlign w:val="center"/>
            <w:hideMark/>
          </w:tcPr>
          <w:p w14:paraId="7520E6B0"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Daň z príjmov fyzických osôb</w:t>
            </w:r>
          </w:p>
        </w:tc>
        <w:tc>
          <w:tcPr>
            <w:tcW w:w="1025" w:type="dxa"/>
            <w:tcBorders>
              <w:top w:val="nil"/>
              <w:left w:val="nil"/>
              <w:bottom w:val="nil"/>
              <w:right w:val="nil"/>
            </w:tcBorders>
            <w:shd w:val="clear" w:color="auto" w:fill="auto"/>
            <w:noWrap/>
            <w:vAlign w:val="bottom"/>
            <w:hideMark/>
          </w:tcPr>
          <w:p w14:paraId="0A3EDE7C"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2 679 466</w:t>
            </w:r>
          </w:p>
        </w:tc>
        <w:tc>
          <w:tcPr>
            <w:tcW w:w="1101" w:type="dxa"/>
            <w:tcBorders>
              <w:top w:val="nil"/>
              <w:left w:val="nil"/>
              <w:bottom w:val="nil"/>
              <w:right w:val="nil"/>
            </w:tcBorders>
            <w:shd w:val="clear" w:color="auto" w:fill="auto"/>
            <w:noWrap/>
            <w:vAlign w:val="bottom"/>
            <w:hideMark/>
          </w:tcPr>
          <w:p w14:paraId="28E9E7E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2 855 230</w:t>
            </w:r>
          </w:p>
        </w:tc>
        <w:tc>
          <w:tcPr>
            <w:tcW w:w="1176" w:type="dxa"/>
            <w:tcBorders>
              <w:top w:val="nil"/>
              <w:left w:val="nil"/>
              <w:bottom w:val="nil"/>
              <w:right w:val="nil"/>
            </w:tcBorders>
            <w:shd w:val="clear" w:color="000000" w:fill="BFBFBF"/>
            <w:noWrap/>
            <w:vAlign w:val="bottom"/>
            <w:hideMark/>
          </w:tcPr>
          <w:p w14:paraId="307367BC"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3 215 969</w:t>
            </w:r>
          </w:p>
        </w:tc>
        <w:tc>
          <w:tcPr>
            <w:tcW w:w="994" w:type="dxa"/>
            <w:tcBorders>
              <w:top w:val="nil"/>
              <w:left w:val="nil"/>
              <w:bottom w:val="nil"/>
              <w:right w:val="nil"/>
            </w:tcBorders>
            <w:shd w:val="clear" w:color="auto" w:fill="auto"/>
            <w:noWrap/>
            <w:vAlign w:val="center"/>
            <w:hideMark/>
          </w:tcPr>
          <w:p w14:paraId="565F5BB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3 077 092</w:t>
            </w:r>
          </w:p>
        </w:tc>
        <w:tc>
          <w:tcPr>
            <w:tcW w:w="948" w:type="dxa"/>
            <w:tcBorders>
              <w:top w:val="nil"/>
              <w:left w:val="nil"/>
              <w:bottom w:val="nil"/>
              <w:right w:val="nil"/>
            </w:tcBorders>
            <w:shd w:val="clear" w:color="auto" w:fill="auto"/>
            <w:noWrap/>
            <w:vAlign w:val="bottom"/>
            <w:hideMark/>
          </w:tcPr>
          <w:p w14:paraId="234E0260"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12,6</w:t>
            </w:r>
          </w:p>
        </w:tc>
      </w:tr>
      <w:tr w:rsidR="00500BD0" w:rsidRPr="00324A47" w14:paraId="6AFA3114" w14:textId="77777777" w:rsidTr="00500BD0">
        <w:trPr>
          <w:trHeight w:val="255"/>
        </w:trPr>
        <w:tc>
          <w:tcPr>
            <w:tcW w:w="3828" w:type="dxa"/>
            <w:tcBorders>
              <w:top w:val="nil"/>
              <w:left w:val="nil"/>
              <w:bottom w:val="nil"/>
              <w:right w:val="nil"/>
            </w:tcBorders>
            <w:shd w:val="clear" w:color="auto" w:fill="auto"/>
            <w:noWrap/>
            <w:vAlign w:val="bottom"/>
            <w:hideMark/>
          </w:tcPr>
          <w:p w14:paraId="4B052F4B" w14:textId="77777777" w:rsidR="00500BD0" w:rsidRPr="00324A47" w:rsidRDefault="00500BD0" w:rsidP="00500BD0">
            <w:pPr>
              <w:spacing w:after="0" w:line="240" w:lineRule="auto"/>
              <w:ind w:firstLineChars="200" w:firstLine="360"/>
              <w:rPr>
                <w:color w:val="000000"/>
                <w:sz w:val="18"/>
                <w:szCs w:val="18"/>
                <w:lang w:eastAsia="sk-SK"/>
              </w:rPr>
            </w:pPr>
            <w:r w:rsidRPr="00324A47">
              <w:rPr>
                <w:color w:val="000000"/>
                <w:sz w:val="18"/>
                <w:szCs w:val="18"/>
                <w:lang w:eastAsia="sk-SK"/>
              </w:rPr>
              <w:t xml:space="preserve"> - zo závislej činnosti</w:t>
            </w:r>
          </w:p>
        </w:tc>
        <w:tc>
          <w:tcPr>
            <w:tcW w:w="1025" w:type="dxa"/>
            <w:tcBorders>
              <w:top w:val="nil"/>
              <w:left w:val="nil"/>
              <w:bottom w:val="nil"/>
              <w:right w:val="nil"/>
            </w:tcBorders>
            <w:shd w:val="clear" w:color="auto" w:fill="auto"/>
            <w:noWrap/>
            <w:vAlign w:val="bottom"/>
            <w:hideMark/>
          </w:tcPr>
          <w:p w14:paraId="20F425B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2 542 392</w:t>
            </w:r>
          </w:p>
        </w:tc>
        <w:tc>
          <w:tcPr>
            <w:tcW w:w="1101" w:type="dxa"/>
            <w:tcBorders>
              <w:top w:val="nil"/>
              <w:left w:val="nil"/>
              <w:bottom w:val="nil"/>
              <w:right w:val="nil"/>
            </w:tcBorders>
            <w:shd w:val="clear" w:color="auto" w:fill="auto"/>
            <w:noWrap/>
            <w:vAlign w:val="bottom"/>
            <w:hideMark/>
          </w:tcPr>
          <w:p w14:paraId="5158BE2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2 746 780</w:t>
            </w:r>
          </w:p>
        </w:tc>
        <w:tc>
          <w:tcPr>
            <w:tcW w:w="1176" w:type="dxa"/>
            <w:tcBorders>
              <w:top w:val="nil"/>
              <w:left w:val="nil"/>
              <w:bottom w:val="nil"/>
              <w:right w:val="nil"/>
            </w:tcBorders>
            <w:shd w:val="clear" w:color="000000" w:fill="BFBFBF"/>
            <w:noWrap/>
            <w:vAlign w:val="bottom"/>
            <w:hideMark/>
          </w:tcPr>
          <w:p w14:paraId="548450C9"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3 094 282</w:t>
            </w:r>
          </w:p>
        </w:tc>
        <w:tc>
          <w:tcPr>
            <w:tcW w:w="994" w:type="dxa"/>
            <w:tcBorders>
              <w:top w:val="nil"/>
              <w:left w:val="nil"/>
              <w:bottom w:val="nil"/>
              <w:right w:val="nil"/>
            </w:tcBorders>
            <w:shd w:val="clear" w:color="auto" w:fill="auto"/>
            <w:noWrap/>
            <w:vAlign w:val="center"/>
            <w:hideMark/>
          </w:tcPr>
          <w:p w14:paraId="731C0EB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2 938 936</w:t>
            </w:r>
          </w:p>
        </w:tc>
        <w:tc>
          <w:tcPr>
            <w:tcW w:w="948" w:type="dxa"/>
            <w:tcBorders>
              <w:top w:val="nil"/>
              <w:left w:val="nil"/>
              <w:bottom w:val="nil"/>
              <w:right w:val="nil"/>
            </w:tcBorders>
            <w:shd w:val="clear" w:color="auto" w:fill="auto"/>
            <w:noWrap/>
            <w:vAlign w:val="bottom"/>
            <w:hideMark/>
          </w:tcPr>
          <w:p w14:paraId="166CE782"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12,7</w:t>
            </w:r>
          </w:p>
        </w:tc>
      </w:tr>
      <w:tr w:rsidR="00500BD0" w:rsidRPr="00324A47" w14:paraId="769364C1" w14:textId="77777777" w:rsidTr="00500BD0">
        <w:trPr>
          <w:trHeight w:val="255"/>
        </w:trPr>
        <w:tc>
          <w:tcPr>
            <w:tcW w:w="3828" w:type="dxa"/>
            <w:tcBorders>
              <w:top w:val="nil"/>
              <w:left w:val="nil"/>
              <w:bottom w:val="nil"/>
              <w:right w:val="nil"/>
            </w:tcBorders>
            <w:shd w:val="clear" w:color="auto" w:fill="auto"/>
            <w:noWrap/>
            <w:vAlign w:val="bottom"/>
            <w:hideMark/>
          </w:tcPr>
          <w:p w14:paraId="1B39B7B7" w14:textId="77777777" w:rsidR="00500BD0" w:rsidRPr="00324A47" w:rsidRDefault="00500BD0" w:rsidP="00500BD0">
            <w:pPr>
              <w:spacing w:after="0" w:line="240" w:lineRule="auto"/>
              <w:ind w:firstLineChars="200" w:firstLine="360"/>
              <w:rPr>
                <w:color w:val="000000"/>
                <w:sz w:val="18"/>
                <w:szCs w:val="18"/>
                <w:lang w:eastAsia="sk-SK"/>
              </w:rPr>
            </w:pPr>
            <w:r w:rsidRPr="00324A47">
              <w:rPr>
                <w:color w:val="000000"/>
                <w:sz w:val="18"/>
                <w:szCs w:val="18"/>
                <w:lang w:eastAsia="sk-SK"/>
              </w:rPr>
              <w:t xml:space="preserve"> - z podnikania a inej samostatnej činnosti</w:t>
            </w:r>
          </w:p>
        </w:tc>
        <w:tc>
          <w:tcPr>
            <w:tcW w:w="1025" w:type="dxa"/>
            <w:tcBorders>
              <w:top w:val="nil"/>
              <w:left w:val="nil"/>
              <w:bottom w:val="nil"/>
              <w:right w:val="nil"/>
            </w:tcBorders>
            <w:shd w:val="clear" w:color="auto" w:fill="auto"/>
            <w:noWrap/>
            <w:vAlign w:val="bottom"/>
            <w:hideMark/>
          </w:tcPr>
          <w:p w14:paraId="1049AD3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137 075</w:t>
            </w:r>
          </w:p>
        </w:tc>
        <w:tc>
          <w:tcPr>
            <w:tcW w:w="1101" w:type="dxa"/>
            <w:tcBorders>
              <w:top w:val="nil"/>
              <w:left w:val="nil"/>
              <w:bottom w:val="nil"/>
              <w:right w:val="nil"/>
            </w:tcBorders>
            <w:shd w:val="clear" w:color="auto" w:fill="auto"/>
            <w:noWrap/>
            <w:vAlign w:val="bottom"/>
            <w:hideMark/>
          </w:tcPr>
          <w:p w14:paraId="7587DB1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108 449</w:t>
            </w:r>
          </w:p>
        </w:tc>
        <w:tc>
          <w:tcPr>
            <w:tcW w:w="1176" w:type="dxa"/>
            <w:tcBorders>
              <w:top w:val="nil"/>
              <w:left w:val="nil"/>
              <w:bottom w:val="nil"/>
              <w:right w:val="nil"/>
            </w:tcBorders>
            <w:shd w:val="clear" w:color="000000" w:fill="BFBFBF"/>
            <w:noWrap/>
            <w:vAlign w:val="bottom"/>
            <w:hideMark/>
          </w:tcPr>
          <w:p w14:paraId="77EE058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121 687</w:t>
            </w:r>
          </w:p>
        </w:tc>
        <w:tc>
          <w:tcPr>
            <w:tcW w:w="994" w:type="dxa"/>
            <w:tcBorders>
              <w:top w:val="nil"/>
              <w:left w:val="nil"/>
              <w:bottom w:val="nil"/>
              <w:right w:val="nil"/>
            </w:tcBorders>
            <w:shd w:val="clear" w:color="auto" w:fill="auto"/>
            <w:noWrap/>
            <w:vAlign w:val="bottom"/>
            <w:hideMark/>
          </w:tcPr>
          <w:p w14:paraId="01581BF0" w14:textId="77777777" w:rsidR="00500BD0" w:rsidRPr="00324A47" w:rsidRDefault="00500BD0" w:rsidP="00500BD0">
            <w:pPr>
              <w:spacing w:after="0" w:line="240" w:lineRule="auto"/>
              <w:jc w:val="right"/>
              <w:rPr>
                <w:sz w:val="18"/>
                <w:szCs w:val="18"/>
                <w:lang w:eastAsia="sk-SK"/>
              </w:rPr>
            </w:pPr>
            <w:r w:rsidRPr="00324A47">
              <w:rPr>
                <w:sz w:val="18"/>
                <w:szCs w:val="18"/>
                <w:lang w:eastAsia="sk-SK"/>
              </w:rPr>
              <w:t> </w:t>
            </w:r>
            <w:r>
              <w:rPr>
                <w:sz w:val="18"/>
                <w:szCs w:val="18"/>
                <w:lang w:eastAsia="sk-SK"/>
              </w:rPr>
              <w:t>138 156</w:t>
            </w:r>
          </w:p>
        </w:tc>
        <w:tc>
          <w:tcPr>
            <w:tcW w:w="948" w:type="dxa"/>
            <w:tcBorders>
              <w:top w:val="nil"/>
              <w:left w:val="nil"/>
              <w:bottom w:val="nil"/>
              <w:right w:val="nil"/>
            </w:tcBorders>
            <w:shd w:val="clear" w:color="auto" w:fill="auto"/>
            <w:noWrap/>
            <w:vAlign w:val="bottom"/>
            <w:hideMark/>
          </w:tcPr>
          <w:p w14:paraId="2C3489B3"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12,2</w:t>
            </w:r>
          </w:p>
        </w:tc>
      </w:tr>
      <w:tr w:rsidR="00500BD0" w:rsidRPr="00324A47" w14:paraId="6945D708" w14:textId="77777777" w:rsidTr="00500BD0">
        <w:trPr>
          <w:trHeight w:val="255"/>
        </w:trPr>
        <w:tc>
          <w:tcPr>
            <w:tcW w:w="3828" w:type="dxa"/>
            <w:tcBorders>
              <w:top w:val="nil"/>
              <w:left w:val="nil"/>
              <w:bottom w:val="nil"/>
              <w:right w:val="nil"/>
            </w:tcBorders>
            <w:shd w:val="clear" w:color="auto" w:fill="auto"/>
            <w:noWrap/>
            <w:vAlign w:val="center"/>
            <w:hideMark/>
          </w:tcPr>
          <w:p w14:paraId="0F8D2575"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Daň z príjmov právnických osôb</w:t>
            </w:r>
          </w:p>
        </w:tc>
        <w:tc>
          <w:tcPr>
            <w:tcW w:w="1025" w:type="dxa"/>
            <w:tcBorders>
              <w:top w:val="nil"/>
              <w:left w:val="nil"/>
              <w:bottom w:val="nil"/>
              <w:right w:val="nil"/>
            </w:tcBorders>
            <w:shd w:val="clear" w:color="auto" w:fill="auto"/>
            <w:noWrap/>
            <w:vAlign w:val="bottom"/>
            <w:hideMark/>
          </w:tcPr>
          <w:p w14:paraId="34E2B39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2 817 558</w:t>
            </w:r>
          </w:p>
        </w:tc>
        <w:tc>
          <w:tcPr>
            <w:tcW w:w="1101" w:type="dxa"/>
            <w:tcBorders>
              <w:top w:val="nil"/>
              <w:left w:val="nil"/>
              <w:bottom w:val="nil"/>
              <w:right w:val="nil"/>
            </w:tcBorders>
            <w:shd w:val="clear" w:color="auto" w:fill="auto"/>
            <w:noWrap/>
            <w:vAlign w:val="bottom"/>
            <w:hideMark/>
          </w:tcPr>
          <w:p w14:paraId="780FDF79"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2 925 461</w:t>
            </w:r>
          </w:p>
        </w:tc>
        <w:tc>
          <w:tcPr>
            <w:tcW w:w="1176" w:type="dxa"/>
            <w:tcBorders>
              <w:top w:val="nil"/>
              <w:left w:val="nil"/>
              <w:bottom w:val="nil"/>
              <w:right w:val="nil"/>
            </w:tcBorders>
            <w:shd w:val="clear" w:color="000000" w:fill="BFBFBF"/>
            <w:noWrap/>
            <w:vAlign w:val="bottom"/>
            <w:hideMark/>
          </w:tcPr>
          <w:p w14:paraId="13FD135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2 935 354</w:t>
            </w:r>
          </w:p>
        </w:tc>
        <w:tc>
          <w:tcPr>
            <w:tcW w:w="994" w:type="dxa"/>
            <w:tcBorders>
              <w:top w:val="nil"/>
              <w:left w:val="nil"/>
              <w:bottom w:val="nil"/>
              <w:right w:val="nil"/>
            </w:tcBorders>
            <w:shd w:val="clear" w:color="auto" w:fill="auto"/>
            <w:noWrap/>
            <w:vAlign w:val="center"/>
            <w:hideMark/>
          </w:tcPr>
          <w:p w14:paraId="6EDB466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2 794 125</w:t>
            </w:r>
          </w:p>
        </w:tc>
        <w:tc>
          <w:tcPr>
            <w:tcW w:w="948" w:type="dxa"/>
            <w:tcBorders>
              <w:top w:val="nil"/>
              <w:left w:val="nil"/>
              <w:bottom w:val="nil"/>
              <w:right w:val="nil"/>
            </w:tcBorders>
            <w:shd w:val="clear" w:color="auto" w:fill="auto"/>
            <w:noWrap/>
            <w:vAlign w:val="bottom"/>
            <w:hideMark/>
          </w:tcPr>
          <w:p w14:paraId="6D296CF5"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0,3</w:t>
            </w:r>
          </w:p>
        </w:tc>
      </w:tr>
      <w:tr w:rsidR="00500BD0" w:rsidRPr="00324A47" w14:paraId="664C20B1" w14:textId="77777777" w:rsidTr="00500BD0">
        <w:trPr>
          <w:trHeight w:val="255"/>
        </w:trPr>
        <w:tc>
          <w:tcPr>
            <w:tcW w:w="3828" w:type="dxa"/>
            <w:tcBorders>
              <w:top w:val="nil"/>
              <w:left w:val="nil"/>
              <w:bottom w:val="nil"/>
              <w:right w:val="nil"/>
            </w:tcBorders>
            <w:shd w:val="clear" w:color="auto" w:fill="auto"/>
            <w:noWrap/>
            <w:vAlign w:val="bottom"/>
            <w:hideMark/>
          </w:tcPr>
          <w:p w14:paraId="37573AA1"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Daň z príjmov vyberaná zrážkou </w:t>
            </w:r>
          </w:p>
        </w:tc>
        <w:tc>
          <w:tcPr>
            <w:tcW w:w="1025" w:type="dxa"/>
            <w:tcBorders>
              <w:top w:val="nil"/>
              <w:left w:val="nil"/>
              <w:bottom w:val="nil"/>
              <w:right w:val="nil"/>
            </w:tcBorders>
            <w:shd w:val="clear" w:color="auto" w:fill="auto"/>
            <w:noWrap/>
            <w:vAlign w:val="bottom"/>
            <w:hideMark/>
          </w:tcPr>
          <w:p w14:paraId="2870FB7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179 212</w:t>
            </w:r>
          </w:p>
        </w:tc>
        <w:tc>
          <w:tcPr>
            <w:tcW w:w="1101" w:type="dxa"/>
            <w:tcBorders>
              <w:top w:val="nil"/>
              <w:left w:val="nil"/>
              <w:bottom w:val="nil"/>
              <w:right w:val="nil"/>
            </w:tcBorders>
            <w:shd w:val="clear" w:color="auto" w:fill="auto"/>
            <w:noWrap/>
            <w:vAlign w:val="bottom"/>
            <w:hideMark/>
          </w:tcPr>
          <w:p w14:paraId="116C014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178 431</w:t>
            </w:r>
          </w:p>
        </w:tc>
        <w:tc>
          <w:tcPr>
            <w:tcW w:w="1176" w:type="dxa"/>
            <w:tcBorders>
              <w:top w:val="nil"/>
              <w:left w:val="nil"/>
              <w:bottom w:val="nil"/>
              <w:right w:val="nil"/>
            </w:tcBorders>
            <w:shd w:val="clear" w:color="000000" w:fill="BFBFBF"/>
            <w:noWrap/>
            <w:vAlign w:val="bottom"/>
            <w:hideMark/>
          </w:tcPr>
          <w:p w14:paraId="777A2D6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209 169</w:t>
            </w:r>
          </w:p>
        </w:tc>
        <w:tc>
          <w:tcPr>
            <w:tcW w:w="994" w:type="dxa"/>
            <w:tcBorders>
              <w:top w:val="nil"/>
              <w:left w:val="nil"/>
              <w:bottom w:val="nil"/>
              <w:right w:val="nil"/>
            </w:tcBorders>
            <w:shd w:val="clear" w:color="auto" w:fill="auto"/>
            <w:noWrap/>
            <w:vAlign w:val="center"/>
            <w:hideMark/>
          </w:tcPr>
          <w:p w14:paraId="252D9B9F"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242 638</w:t>
            </w:r>
          </w:p>
        </w:tc>
        <w:tc>
          <w:tcPr>
            <w:tcW w:w="948" w:type="dxa"/>
            <w:tcBorders>
              <w:top w:val="nil"/>
              <w:left w:val="nil"/>
              <w:bottom w:val="nil"/>
              <w:right w:val="nil"/>
            </w:tcBorders>
            <w:shd w:val="clear" w:color="auto" w:fill="auto"/>
            <w:noWrap/>
            <w:vAlign w:val="bottom"/>
            <w:hideMark/>
          </w:tcPr>
          <w:p w14:paraId="61B7E153"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17,2</w:t>
            </w:r>
          </w:p>
        </w:tc>
      </w:tr>
      <w:tr w:rsidR="00722DCB" w:rsidRPr="00324A47" w14:paraId="38BC0A14" w14:textId="77777777" w:rsidTr="00C05F79">
        <w:trPr>
          <w:trHeight w:val="456"/>
        </w:trPr>
        <w:tc>
          <w:tcPr>
            <w:tcW w:w="3828" w:type="dxa"/>
            <w:tcBorders>
              <w:top w:val="single" w:sz="4" w:space="0" w:color="auto"/>
              <w:left w:val="nil"/>
              <w:bottom w:val="nil"/>
              <w:right w:val="nil"/>
            </w:tcBorders>
            <w:shd w:val="clear" w:color="000000" w:fill="BFBFBF"/>
            <w:noWrap/>
            <w:vAlign w:val="center"/>
            <w:hideMark/>
          </w:tcPr>
          <w:p w14:paraId="29286A55" w14:textId="77777777" w:rsidR="00722DCB" w:rsidRPr="00324A47" w:rsidRDefault="00722DCB" w:rsidP="00C05F79">
            <w:pPr>
              <w:spacing w:after="0" w:line="240" w:lineRule="auto"/>
              <w:rPr>
                <w:b/>
                <w:bCs/>
                <w:sz w:val="18"/>
                <w:szCs w:val="18"/>
                <w:lang w:eastAsia="sk-SK"/>
              </w:rPr>
            </w:pPr>
            <w:r w:rsidRPr="00324A47">
              <w:rPr>
                <w:b/>
                <w:bCs/>
                <w:sz w:val="18"/>
                <w:szCs w:val="18"/>
                <w:lang w:eastAsia="sk-SK"/>
              </w:rPr>
              <w:t> </w:t>
            </w:r>
          </w:p>
        </w:tc>
        <w:tc>
          <w:tcPr>
            <w:tcW w:w="1025" w:type="dxa"/>
            <w:tcBorders>
              <w:top w:val="single" w:sz="4" w:space="0" w:color="auto"/>
              <w:left w:val="nil"/>
              <w:bottom w:val="nil"/>
              <w:right w:val="nil"/>
            </w:tcBorders>
            <w:shd w:val="clear" w:color="000000" w:fill="BFBFBF"/>
            <w:vAlign w:val="center"/>
            <w:hideMark/>
          </w:tcPr>
          <w:p w14:paraId="0E8419C5" w14:textId="77777777" w:rsidR="00722DCB" w:rsidRPr="00324A47" w:rsidRDefault="00722DCB" w:rsidP="00C05F79">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2016</w:t>
            </w:r>
          </w:p>
        </w:tc>
        <w:tc>
          <w:tcPr>
            <w:tcW w:w="1101" w:type="dxa"/>
            <w:tcBorders>
              <w:top w:val="single" w:sz="4" w:space="0" w:color="auto"/>
              <w:left w:val="nil"/>
              <w:bottom w:val="nil"/>
              <w:right w:val="nil"/>
            </w:tcBorders>
            <w:shd w:val="clear" w:color="000000" w:fill="BFBFBF"/>
            <w:vAlign w:val="center"/>
            <w:hideMark/>
          </w:tcPr>
          <w:p w14:paraId="7CDD5AB4" w14:textId="77777777" w:rsidR="00722DCB" w:rsidRPr="00324A47" w:rsidRDefault="00722DCB" w:rsidP="00C05F79">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2017</w:t>
            </w:r>
          </w:p>
        </w:tc>
        <w:tc>
          <w:tcPr>
            <w:tcW w:w="1176" w:type="dxa"/>
            <w:tcBorders>
              <w:top w:val="single" w:sz="4" w:space="0" w:color="auto"/>
              <w:left w:val="nil"/>
              <w:bottom w:val="nil"/>
              <w:right w:val="nil"/>
            </w:tcBorders>
            <w:shd w:val="clear" w:color="000000" w:fill="BFBFBF"/>
            <w:vAlign w:val="center"/>
            <w:hideMark/>
          </w:tcPr>
          <w:p w14:paraId="52ED97D0" w14:textId="77777777" w:rsidR="00722DCB" w:rsidRPr="00324A47" w:rsidRDefault="00722DCB" w:rsidP="00C05F79">
            <w:pPr>
              <w:spacing w:after="0" w:line="240" w:lineRule="auto"/>
              <w:jc w:val="center"/>
              <w:rPr>
                <w:b/>
                <w:bCs/>
                <w:sz w:val="18"/>
                <w:szCs w:val="18"/>
                <w:lang w:eastAsia="sk-SK"/>
              </w:rPr>
            </w:pPr>
            <w:r w:rsidRPr="00324A47">
              <w:rPr>
                <w:b/>
                <w:bCs/>
                <w:sz w:val="18"/>
                <w:szCs w:val="18"/>
                <w:lang w:eastAsia="sk-SK"/>
              </w:rPr>
              <w:t>Skutočnosť</w:t>
            </w:r>
            <w:r w:rsidRPr="00324A47">
              <w:rPr>
                <w:b/>
                <w:bCs/>
                <w:sz w:val="18"/>
                <w:szCs w:val="18"/>
                <w:lang w:eastAsia="sk-SK"/>
              </w:rPr>
              <w:br/>
              <w:t>2018</w:t>
            </w:r>
          </w:p>
        </w:tc>
        <w:tc>
          <w:tcPr>
            <w:tcW w:w="994" w:type="dxa"/>
            <w:tcBorders>
              <w:top w:val="single" w:sz="4" w:space="0" w:color="auto"/>
              <w:left w:val="nil"/>
              <w:bottom w:val="nil"/>
              <w:right w:val="nil"/>
            </w:tcBorders>
            <w:shd w:val="clear" w:color="000000" w:fill="BFBFBF"/>
            <w:vAlign w:val="center"/>
            <w:hideMark/>
          </w:tcPr>
          <w:p w14:paraId="7FE5DA1B" w14:textId="77777777" w:rsidR="00722DCB" w:rsidRPr="00324A47" w:rsidRDefault="00722DCB" w:rsidP="00C05F79">
            <w:pPr>
              <w:spacing w:after="0" w:line="240" w:lineRule="auto"/>
              <w:jc w:val="center"/>
              <w:rPr>
                <w:b/>
                <w:bCs/>
                <w:sz w:val="18"/>
                <w:szCs w:val="18"/>
                <w:lang w:eastAsia="sk-SK"/>
              </w:rPr>
            </w:pPr>
            <w:r w:rsidRPr="00324A47">
              <w:rPr>
                <w:b/>
                <w:bCs/>
                <w:sz w:val="18"/>
                <w:szCs w:val="18"/>
                <w:lang w:eastAsia="sk-SK"/>
              </w:rPr>
              <w:t xml:space="preserve">Rozpočet </w:t>
            </w:r>
            <w:r w:rsidRPr="00324A47">
              <w:rPr>
                <w:b/>
                <w:bCs/>
                <w:sz w:val="18"/>
                <w:szCs w:val="18"/>
                <w:lang w:eastAsia="sk-SK"/>
              </w:rPr>
              <w:br/>
              <w:t>2018</w:t>
            </w:r>
          </w:p>
        </w:tc>
        <w:tc>
          <w:tcPr>
            <w:tcW w:w="948" w:type="dxa"/>
            <w:tcBorders>
              <w:top w:val="single" w:sz="4" w:space="0" w:color="auto"/>
              <w:left w:val="nil"/>
              <w:bottom w:val="nil"/>
              <w:right w:val="nil"/>
            </w:tcBorders>
            <w:shd w:val="clear" w:color="000000" w:fill="BFBFBF"/>
            <w:vAlign w:val="center"/>
            <w:hideMark/>
          </w:tcPr>
          <w:p w14:paraId="2FED2BF4" w14:textId="77777777" w:rsidR="00722DCB" w:rsidRPr="00324A47" w:rsidRDefault="00722DCB" w:rsidP="00C05F79">
            <w:pPr>
              <w:spacing w:after="0" w:line="240" w:lineRule="auto"/>
              <w:jc w:val="center"/>
              <w:rPr>
                <w:b/>
                <w:bCs/>
                <w:sz w:val="18"/>
                <w:szCs w:val="18"/>
                <w:lang w:eastAsia="sk-SK"/>
              </w:rPr>
            </w:pPr>
            <w:r w:rsidRPr="00324A47">
              <w:rPr>
                <w:b/>
                <w:bCs/>
                <w:sz w:val="18"/>
                <w:szCs w:val="18"/>
                <w:lang w:eastAsia="sk-SK"/>
              </w:rPr>
              <w:t xml:space="preserve">2018/2017 </w:t>
            </w:r>
            <w:r w:rsidRPr="00324A47">
              <w:rPr>
                <w:b/>
                <w:bCs/>
                <w:sz w:val="18"/>
                <w:szCs w:val="18"/>
                <w:lang w:eastAsia="sk-SK"/>
              </w:rPr>
              <w:br/>
              <w:t>v %</w:t>
            </w:r>
          </w:p>
        </w:tc>
      </w:tr>
      <w:tr w:rsidR="00500BD0" w:rsidRPr="00D704AF" w14:paraId="7355D2DD" w14:textId="77777777" w:rsidTr="00500BD0">
        <w:trPr>
          <w:trHeight w:val="255"/>
        </w:trPr>
        <w:tc>
          <w:tcPr>
            <w:tcW w:w="3828" w:type="dxa"/>
            <w:tcBorders>
              <w:top w:val="nil"/>
              <w:left w:val="nil"/>
              <w:bottom w:val="nil"/>
              <w:right w:val="nil"/>
            </w:tcBorders>
            <w:shd w:val="clear" w:color="auto" w:fill="auto"/>
            <w:noWrap/>
            <w:vAlign w:val="bottom"/>
            <w:hideMark/>
          </w:tcPr>
          <w:p w14:paraId="118F0397" w14:textId="77777777" w:rsidR="00500BD0" w:rsidRPr="00D704AF" w:rsidRDefault="00500BD0" w:rsidP="00500BD0">
            <w:pPr>
              <w:spacing w:after="0" w:line="240" w:lineRule="auto"/>
              <w:ind w:firstLineChars="100" w:firstLine="180"/>
              <w:rPr>
                <w:i/>
                <w:iCs/>
                <w:color w:val="000000"/>
                <w:sz w:val="18"/>
                <w:szCs w:val="18"/>
                <w:lang w:eastAsia="sk-SK"/>
              </w:rPr>
            </w:pPr>
            <w:r w:rsidRPr="00D704AF">
              <w:rPr>
                <w:i/>
                <w:iCs/>
                <w:color w:val="000000"/>
                <w:sz w:val="18"/>
                <w:szCs w:val="18"/>
                <w:lang w:eastAsia="sk-SK"/>
              </w:rPr>
              <w:t xml:space="preserve"> - Daň z príjmov - emisie</w:t>
            </w:r>
            <w:r w:rsidRPr="00D704AF">
              <w:rPr>
                <w:rStyle w:val="Odkaznapoznmkupodiarou"/>
                <w:i/>
                <w:color w:val="000000"/>
                <w:sz w:val="18"/>
                <w:szCs w:val="18"/>
                <w:lang w:eastAsia="sk-SK"/>
              </w:rPr>
              <w:footnoteReference w:id="10"/>
            </w:r>
          </w:p>
        </w:tc>
        <w:tc>
          <w:tcPr>
            <w:tcW w:w="1025" w:type="dxa"/>
            <w:tcBorders>
              <w:top w:val="nil"/>
              <w:left w:val="nil"/>
              <w:bottom w:val="nil"/>
              <w:right w:val="nil"/>
            </w:tcBorders>
            <w:shd w:val="clear" w:color="auto" w:fill="auto"/>
            <w:noWrap/>
            <w:vAlign w:val="bottom"/>
            <w:hideMark/>
          </w:tcPr>
          <w:p w14:paraId="368970CD" w14:textId="77777777" w:rsidR="00500BD0" w:rsidRPr="00D704AF" w:rsidRDefault="00500BD0" w:rsidP="00500BD0">
            <w:pPr>
              <w:spacing w:after="0" w:line="240" w:lineRule="auto"/>
              <w:jc w:val="right"/>
              <w:rPr>
                <w:i/>
                <w:color w:val="000000"/>
                <w:sz w:val="18"/>
                <w:szCs w:val="18"/>
                <w:lang w:eastAsia="sk-SK"/>
              </w:rPr>
            </w:pPr>
            <w:r w:rsidRPr="00D704AF">
              <w:rPr>
                <w:i/>
                <w:color w:val="000000"/>
                <w:sz w:val="18"/>
                <w:szCs w:val="18"/>
                <w:lang w:eastAsia="sk-SK"/>
              </w:rPr>
              <w:t>0</w:t>
            </w:r>
          </w:p>
        </w:tc>
        <w:tc>
          <w:tcPr>
            <w:tcW w:w="1101" w:type="dxa"/>
            <w:tcBorders>
              <w:top w:val="nil"/>
              <w:left w:val="nil"/>
              <w:bottom w:val="nil"/>
              <w:right w:val="nil"/>
            </w:tcBorders>
            <w:shd w:val="clear" w:color="auto" w:fill="auto"/>
            <w:noWrap/>
            <w:vAlign w:val="bottom"/>
            <w:hideMark/>
          </w:tcPr>
          <w:p w14:paraId="51B9441C" w14:textId="77777777" w:rsidR="00500BD0" w:rsidRPr="00D704AF" w:rsidRDefault="00500BD0" w:rsidP="00500BD0">
            <w:pPr>
              <w:spacing w:after="0" w:line="240" w:lineRule="auto"/>
              <w:jc w:val="right"/>
              <w:rPr>
                <w:i/>
                <w:color w:val="000000"/>
                <w:sz w:val="18"/>
                <w:szCs w:val="18"/>
                <w:lang w:eastAsia="sk-SK"/>
              </w:rPr>
            </w:pPr>
            <w:r w:rsidRPr="00D704AF">
              <w:rPr>
                <w:i/>
                <w:color w:val="000000"/>
                <w:sz w:val="18"/>
                <w:szCs w:val="18"/>
                <w:lang w:eastAsia="sk-SK"/>
              </w:rPr>
              <w:t>0</w:t>
            </w:r>
          </w:p>
        </w:tc>
        <w:tc>
          <w:tcPr>
            <w:tcW w:w="1176" w:type="dxa"/>
            <w:tcBorders>
              <w:top w:val="nil"/>
              <w:left w:val="nil"/>
              <w:bottom w:val="nil"/>
              <w:right w:val="nil"/>
            </w:tcBorders>
            <w:shd w:val="clear" w:color="000000" w:fill="BFBFBF"/>
            <w:noWrap/>
            <w:vAlign w:val="bottom"/>
            <w:hideMark/>
          </w:tcPr>
          <w:p w14:paraId="4B76C5A1" w14:textId="77777777" w:rsidR="00500BD0" w:rsidRPr="00D704AF" w:rsidRDefault="00500BD0" w:rsidP="00500BD0">
            <w:pPr>
              <w:spacing w:after="0" w:line="240" w:lineRule="auto"/>
              <w:jc w:val="right"/>
              <w:rPr>
                <w:i/>
                <w:color w:val="000000"/>
                <w:sz w:val="18"/>
                <w:szCs w:val="18"/>
                <w:lang w:eastAsia="sk-SK"/>
              </w:rPr>
            </w:pPr>
            <w:r w:rsidRPr="00D704AF">
              <w:rPr>
                <w:i/>
                <w:color w:val="000000"/>
                <w:sz w:val="18"/>
                <w:szCs w:val="18"/>
                <w:lang w:eastAsia="sk-SK"/>
              </w:rPr>
              <w:t>-8 832</w:t>
            </w:r>
          </w:p>
        </w:tc>
        <w:tc>
          <w:tcPr>
            <w:tcW w:w="994" w:type="dxa"/>
            <w:tcBorders>
              <w:top w:val="nil"/>
              <w:left w:val="nil"/>
              <w:bottom w:val="nil"/>
              <w:right w:val="nil"/>
            </w:tcBorders>
            <w:shd w:val="clear" w:color="auto" w:fill="auto"/>
            <w:noWrap/>
            <w:vAlign w:val="center"/>
            <w:hideMark/>
          </w:tcPr>
          <w:p w14:paraId="26889B10" w14:textId="77777777" w:rsidR="00500BD0" w:rsidRPr="00D704AF" w:rsidRDefault="00500BD0" w:rsidP="00500BD0">
            <w:pPr>
              <w:spacing w:after="0" w:line="240" w:lineRule="auto"/>
              <w:jc w:val="right"/>
              <w:rPr>
                <w:i/>
                <w:color w:val="000000"/>
                <w:sz w:val="18"/>
                <w:szCs w:val="18"/>
                <w:lang w:eastAsia="sk-SK"/>
              </w:rPr>
            </w:pPr>
            <w:r w:rsidRPr="00D704AF">
              <w:rPr>
                <w:i/>
                <w:color w:val="000000"/>
                <w:sz w:val="18"/>
                <w:szCs w:val="18"/>
                <w:lang w:eastAsia="sk-SK"/>
              </w:rPr>
              <w:t>0</w:t>
            </w:r>
          </w:p>
        </w:tc>
        <w:tc>
          <w:tcPr>
            <w:tcW w:w="948" w:type="dxa"/>
            <w:tcBorders>
              <w:top w:val="nil"/>
              <w:left w:val="nil"/>
              <w:bottom w:val="nil"/>
              <w:right w:val="nil"/>
            </w:tcBorders>
            <w:shd w:val="clear" w:color="auto" w:fill="auto"/>
            <w:noWrap/>
            <w:vAlign w:val="bottom"/>
            <w:hideMark/>
          </w:tcPr>
          <w:p w14:paraId="61B18C07" w14:textId="77777777" w:rsidR="00500BD0" w:rsidRPr="00D704AF" w:rsidRDefault="00500BD0" w:rsidP="00500BD0">
            <w:pPr>
              <w:spacing w:after="0" w:line="240" w:lineRule="auto"/>
              <w:jc w:val="center"/>
              <w:rPr>
                <w:i/>
                <w:color w:val="000000"/>
                <w:sz w:val="18"/>
                <w:szCs w:val="18"/>
                <w:lang w:eastAsia="sk-SK"/>
              </w:rPr>
            </w:pPr>
            <w:r w:rsidRPr="00D704AF">
              <w:rPr>
                <w:i/>
                <w:color w:val="000000"/>
                <w:sz w:val="18"/>
                <w:szCs w:val="18"/>
                <w:lang w:eastAsia="sk-SK"/>
              </w:rPr>
              <w:t>0,0</w:t>
            </w:r>
          </w:p>
        </w:tc>
      </w:tr>
      <w:tr w:rsidR="00500BD0" w:rsidRPr="00324A47" w14:paraId="3C3A7E57" w14:textId="77777777" w:rsidTr="00500BD0">
        <w:trPr>
          <w:trHeight w:val="255"/>
        </w:trPr>
        <w:tc>
          <w:tcPr>
            <w:tcW w:w="3828" w:type="dxa"/>
            <w:tcBorders>
              <w:top w:val="nil"/>
              <w:left w:val="nil"/>
              <w:bottom w:val="nil"/>
              <w:right w:val="nil"/>
            </w:tcBorders>
            <w:shd w:val="clear" w:color="auto" w:fill="auto"/>
            <w:noWrap/>
            <w:vAlign w:val="center"/>
            <w:hideMark/>
          </w:tcPr>
          <w:p w14:paraId="3E875ED2"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Dane z majetku a iné</w:t>
            </w:r>
          </w:p>
        </w:tc>
        <w:tc>
          <w:tcPr>
            <w:tcW w:w="1025" w:type="dxa"/>
            <w:tcBorders>
              <w:top w:val="nil"/>
              <w:left w:val="nil"/>
              <w:bottom w:val="nil"/>
              <w:right w:val="nil"/>
            </w:tcBorders>
            <w:shd w:val="clear" w:color="auto" w:fill="auto"/>
            <w:noWrap/>
            <w:vAlign w:val="bottom"/>
            <w:hideMark/>
          </w:tcPr>
          <w:p w14:paraId="6A4D85E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29 839</w:t>
            </w:r>
          </w:p>
        </w:tc>
        <w:tc>
          <w:tcPr>
            <w:tcW w:w="1101" w:type="dxa"/>
            <w:tcBorders>
              <w:top w:val="nil"/>
              <w:left w:val="nil"/>
              <w:bottom w:val="nil"/>
              <w:right w:val="nil"/>
            </w:tcBorders>
            <w:shd w:val="clear" w:color="auto" w:fill="auto"/>
            <w:noWrap/>
            <w:vAlign w:val="bottom"/>
            <w:hideMark/>
          </w:tcPr>
          <w:p w14:paraId="3B1743D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31 082</w:t>
            </w:r>
          </w:p>
        </w:tc>
        <w:tc>
          <w:tcPr>
            <w:tcW w:w="1176" w:type="dxa"/>
            <w:tcBorders>
              <w:top w:val="nil"/>
              <w:left w:val="nil"/>
              <w:bottom w:val="nil"/>
              <w:right w:val="nil"/>
            </w:tcBorders>
            <w:shd w:val="clear" w:color="000000" w:fill="BFBFBF"/>
            <w:noWrap/>
            <w:vAlign w:val="bottom"/>
            <w:hideMark/>
          </w:tcPr>
          <w:p w14:paraId="069357A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31 239</w:t>
            </w:r>
          </w:p>
        </w:tc>
        <w:tc>
          <w:tcPr>
            <w:tcW w:w="994" w:type="dxa"/>
            <w:tcBorders>
              <w:top w:val="nil"/>
              <w:left w:val="nil"/>
              <w:bottom w:val="nil"/>
              <w:right w:val="nil"/>
            </w:tcBorders>
            <w:shd w:val="clear" w:color="auto" w:fill="auto"/>
            <w:noWrap/>
            <w:vAlign w:val="center"/>
            <w:hideMark/>
          </w:tcPr>
          <w:p w14:paraId="5D97018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120 506</w:t>
            </w:r>
          </w:p>
        </w:tc>
        <w:tc>
          <w:tcPr>
            <w:tcW w:w="948" w:type="dxa"/>
            <w:tcBorders>
              <w:top w:val="nil"/>
              <w:left w:val="nil"/>
              <w:bottom w:val="nil"/>
              <w:right w:val="nil"/>
            </w:tcBorders>
            <w:shd w:val="clear" w:color="auto" w:fill="auto"/>
            <w:noWrap/>
            <w:vAlign w:val="bottom"/>
            <w:hideMark/>
          </w:tcPr>
          <w:p w14:paraId="0523748A"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0,5</w:t>
            </w:r>
          </w:p>
        </w:tc>
      </w:tr>
      <w:tr w:rsidR="00500BD0" w:rsidRPr="00324A47" w14:paraId="0F977551" w14:textId="77777777" w:rsidTr="00500BD0">
        <w:trPr>
          <w:trHeight w:val="255"/>
        </w:trPr>
        <w:tc>
          <w:tcPr>
            <w:tcW w:w="3828" w:type="dxa"/>
            <w:tcBorders>
              <w:top w:val="nil"/>
              <w:left w:val="nil"/>
              <w:bottom w:val="nil"/>
              <w:right w:val="nil"/>
            </w:tcBorders>
            <w:shd w:val="clear" w:color="auto" w:fill="auto"/>
            <w:noWrap/>
            <w:vAlign w:val="center"/>
            <w:hideMark/>
          </w:tcPr>
          <w:p w14:paraId="2B0DAFE4"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Dane z kapitálu</w:t>
            </w:r>
          </w:p>
        </w:tc>
        <w:tc>
          <w:tcPr>
            <w:tcW w:w="1025" w:type="dxa"/>
            <w:tcBorders>
              <w:top w:val="nil"/>
              <w:left w:val="nil"/>
              <w:bottom w:val="nil"/>
              <w:right w:val="nil"/>
            </w:tcBorders>
            <w:shd w:val="clear" w:color="auto" w:fill="auto"/>
            <w:noWrap/>
            <w:vAlign w:val="bottom"/>
            <w:hideMark/>
          </w:tcPr>
          <w:p w14:paraId="472180F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4</w:t>
            </w:r>
          </w:p>
        </w:tc>
        <w:tc>
          <w:tcPr>
            <w:tcW w:w="1101" w:type="dxa"/>
            <w:tcBorders>
              <w:top w:val="nil"/>
              <w:left w:val="nil"/>
              <w:bottom w:val="nil"/>
              <w:right w:val="nil"/>
            </w:tcBorders>
            <w:shd w:val="clear" w:color="auto" w:fill="auto"/>
            <w:noWrap/>
            <w:vAlign w:val="bottom"/>
            <w:hideMark/>
          </w:tcPr>
          <w:p w14:paraId="6B5D53F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0</w:t>
            </w:r>
          </w:p>
        </w:tc>
        <w:tc>
          <w:tcPr>
            <w:tcW w:w="1176" w:type="dxa"/>
            <w:tcBorders>
              <w:top w:val="nil"/>
              <w:left w:val="nil"/>
              <w:bottom w:val="nil"/>
              <w:right w:val="nil"/>
            </w:tcBorders>
            <w:shd w:val="clear" w:color="000000" w:fill="BFBFBF"/>
            <w:noWrap/>
            <w:vAlign w:val="bottom"/>
            <w:hideMark/>
          </w:tcPr>
          <w:p w14:paraId="766B8C4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0</w:t>
            </w:r>
          </w:p>
        </w:tc>
        <w:tc>
          <w:tcPr>
            <w:tcW w:w="994" w:type="dxa"/>
            <w:tcBorders>
              <w:top w:val="nil"/>
              <w:left w:val="nil"/>
              <w:bottom w:val="nil"/>
              <w:right w:val="nil"/>
            </w:tcBorders>
            <w:shd w:val="clear" w:color="auto" w:fill="auto"/>
            <w:noWrap/>
            <w:vAlign w:val="center"/>
            <w:hideMark/>
          </w:tcPr>
          <w:p w14:paraId="16F0DCA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0</w:t>
            </w:r>
          </w:p>
        </w:tc>
        <w:tc>
          <w:tcPr>
            <w:tcW w:w="948" w:type="dxa"/>
            <w:tcBorders>
              <w:top w:val="nil"/>
              <w:left w:val="nil"/>
              <w:bottom w:val="nil"/>
              <w:right w:val="nil"/>
            </w:tcBorders>
            <w:shd w:val="clear" w:color="auto" w:fill="auto"/>
            <w:noWrap/>
            <w:vAlign w:val="bottom"/>
            <w:hideMark/>
          </w:tcPr>
          <w:p w14:paraId="314DC551" w14:textId="77777777" w:rsidR="00500BD0" w:rsidRPr="00324A47" w:rsidRDefault="00500BD0" w:rsidP="00500BD0">
            <w:pPr>
              <w:spacing w:after="0" w:line="240" w:lineRule="auto"/>
              <w:jc w:val="center"/>
              <w:rPr>
                <w:color w:val="000000"/>
                <w:sz w:val="18"/>
                <w:szCs w:val="18"/>
                <w:lang w:eastAsia="sk-SK"/>
              </w:rPr>
            </w:pPr>
            <w:r>
              <w:rPr>
                <w:color w:val="000000"/>
                <w:sz w:val="18"/>
                <w:szCs w:val="18"/>
                <w:lang w:eastAsia="sk-SK"/>
              </w:rPr>
              <w:t>0,0</w:t>
            </w:r>
          </w:p>
        </w:tc>
      </w:tr>
      <w:tr w:rsidR="00500BD0" w:rsidRPr="00324A47" w14:paraId="4C2E4142" w14:textId="77777777" w:rsidTr="00500BD0">
        <w:trPr>
          <w:trHeight w:val="255"/>
        </w:trPr>
        <w:tc>
          <w:tcPr>
            <w:tcW w:w="3828" w:type="dxa"/>
            <w:tcBorders>
              <w:top w:val="nil"/>
              <w:left w:val="nil"/>
              <w:bottom w:val="nil"/>
              <w:right w:val="nil"/>
            </w:tcBorders>
            <w:shd w:val="clear" w:color="auto" w:fill="auto"/>
            <w:noWrap/>
            <w:vAlign w:val="center"/>
            <w:hideMark/>
          </w:tcPr>
          <w:p w14:paraId="407C6371" w14:textId="77777777" w:rsidR="00500BD0" w:rsidRPr="00324A47" w:rsidRDefault="00500BD0" w:rsidP="00500BD0">
            <w:pPr>
              <w:spacing w:after="0" w:line="240" w:lineRule="auto"/>
              <w:rPr>
                <w:b/>
                <w:bCs/>
                <w:color w:val="000000"/>
                <w:sz w:val="18"/>
                <w:szCs w:val="18"/>
                <w:lang w:eastAsia="sk-SK"/>
              </w:rPr>
            </w:pPr>
            <w:r w:rsidRPr="00324A47">
              <w:rPr>
                <w:b/>
                <w:bCs/>
                <w:color w:val="000000"/>
                <w:sz w:val="18"/>
                <w:szCs w:val="18"/>
                <w:lang w:eastAsia="sk-SK"/>
              </w:rPr>
              <w:t>Príspevky na sociálne zabezpečenie</w:t>
            </w:r>
          </w:p>
        </w:tc>
        <w:tc>
          <w:tcPr>
            <w:tcW w:w="1025" w:type="dxa"/>
            <w:tcBorders>
              <w:top w:val="nil"/>
              <w:left w:val="nil"/>
              <w:bottom w:val="nil"/>
              <w:right w:val="nil"/>
            </w:tcBorders>
            <w:shd w:val="clear" w:color="auto" w:fill="auto"/>
            <w:noWrap/>
            <w:vAlign w:val="center"/>
            <w:hideMark/>
          </w:tcPr>
          <w:p w14:paraId="7EFFB6AC"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11 656 605</w:t>
            </w:r>
          </w:p>
        </w:tc>
        <w:tc>
          <w:tcPr>
            <w:tcW w:w="1101" w:type="dxa"/>
            <w:tcBorders>
              <w:top w:val="nil"/>
              <w:left w:val="nil"/>
              <w:bottom w:val="nil"/>
              <w:right w:val="nil"/>
            </w:tcBorders>
            <w:shd w:val="clear" w:color="auto" w:fill="auto"/>
            <w:noWrap/>
            <w:vAlign w:val="center"/>
            <w:hideMark/>
          </w:tcPr>
          <w:p w14:paraId="330FCF68"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12 588 770</w:t>
            </w:r>
          </w:p>
        </w:tc>
        <w:tc>
          <w:tcPr>
            <w:tcW w:w="1176" w:type="dxa"/>
            <w:tcBorders>
              <w:top w:val="nil"/>
              <w:left w:val="nil"/>
              <w:bottom w:val="nil"/>
              <w:right w:val="nil"/>
            </w:tcBorders>
            <w:shd w:val="clear" w:color="000000" w:fill="BFBFBF"/>
            <w:noWrap/>
            <w:vAlign w:val="center"/>
            <w:hideMark/>
          </w:tcPr>
          <w:p w14:paraId="0094AA6B"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13 435 470</w:t>
            </w:r>
          </w:p>
        </w:tc>
        <w:tc>
          <w:tcPr>
            <w:tcW w:w="994" w:type="dxa"/>
            <w:tcBorders>
              <w:top w:val="nil"/>
              <w:left w:val="nil"/>
              <w:bottom w:val="nil"/>
              <w:right w:val="nil"/>
            </w:tcBorders>
            <w:shd w:val="clear" w:color="auto" w:fill="auto"/>
            <w:noWrap/>
            <w:vAlign w:val="center"/>
            <w:hideMark/>
          </w:tcPr>
          <w:p w14:paraId="625A71FB"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13 107 877</w:t>
            </w:r>
          </w:p>
        </w:tc>
        <w:tc>
          <w:tcPr>
            <w:tcW w:w="948" w:type="dxa"/>
            <w:tcBorders>
              <w:top w:val="nil"/>
              <w:left w:val="nil"/>
              <w:bottom w:val="nil"/>
              <w:right w:val="nil"/>
            </w:tcBorders>
            <w:shd w:val="clear" w:color="auto" w:fill="auto"/>
            <w:noWrap/>
            <w:vAlign w:val="center"/>
            <w:hideMark/>
          </w:tcPr>
          <w:p w14:paraId="42D3A358"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6,7</w:t>
            </w:r>
          </w:p>
        </w:tc>
      </w:tr>
      <w:tr w:rsidR="00500BD0" w:rsidRPr="00324A47" w14:paraId="30996CED" w14:textId="77777777" w:rsidTr="00500BD0">
        <w:trPr>
          <w:trHeight w:val="255"/>
        </w:trPr>
        <w:tc>
          <w:tcPr>
            <w:tcW w:w="3828" w:type="dxa"/>
            <w:tcBorders>
              <w:top w:val="nil"/>
              <w:left w:val="nil"/>
              <w:bottom w:val="nil"/>
              <w:right w:val="nil"/>
            </w:tcBorders>
            <w:shd w:val="clear" w:color="auto" w:fill="auto"/>
            <w:noWrap/>
            <w:vAlign w:val="center"/>
            <w:hideMark/>
          </w:tcPr>
          <w:p w14:paraId="258A5619"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Skutočné príspevky na sociálne zabezpečenie</w:t>
            </w:r>
          </w:p>
        </w:tc>
        <w:tc>
          <w:tcPr>
            <w:tcW w:w="1025" w:type="dxa"/>
            <w:tcBorders>
              <w:top w:val="nil"/>
              <w:left w:val="nil"/>
              <w:bottom w:val="nil"/>
              <w:right w:val="nil"/>
            </w:tcBorders>
            <w:shd w:val="clear" w:color="auto" w:fill="auto"/>
            <w:noWrap/>
            <w:vAlign w:val="bottom"/>
            <w:hideMark/>
          </w:tcPr>
          <w:p w14:paraId="4715BDBF"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11 475 968</w:t>
            </w:r>
          </w:p>
        </w:tc>
        <w:tc>
          <w:tcPr>
            <w:tcW w:w="1101" w:type="dxa"/>
            <w:tcBorders>
              <w:top w:val="nil"/>
              <w:left w:val="nil"/>
              <w:bottom w:val="nil"/>
              <w:right w:val="nil"/>
            </w:tcBorders>
            <w:shd w:val="clear" w:color="auto" w:fill="auto"/>
            <w:noWrap/>
            <w:vAlign w:val="bottom"/>
            <w:hideMark/>
          </w:tcPr>
          <w:p w14:paraId="281D18D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12 399 531</w:t>
            </w:r>
          </w:p>
        </w:tc>
        <w:tc>
          <w:tcPr>
            <w:tcW w:w="1176" w:type="dxa"/>
            <w:tcBorders>
              <w:top w:val="nil"/>
              <w:left w:val="nil"/>
              <w:bottom w:val="nil"/>
              <w:right w:val="nil"/>
            </w:tcBorders>
            <w:shd w:val="clear" w:color="000000" w:fill="BFBFBF"/>
            <w:noWrap/>
            <w:vAlign w:val="bottom"/>
            <w:hideMark/>
          </w:tcPr>
          <w:p w14:paraId="7F4F8CE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13 247 224</w:t>
            </w:r>
          </w:p>
        </w:tc>
        <w:tc>
          <w:tcPr>
            <w:tcW w:w="994" w:type="dxa"/>
            <w:tcBorders>
              <w:top w:val="nil"/>
              <w:left w:val="nil"/>
              <w:bottom w:val="nil"/>
              <w:right w:val="nil"/>
            </w:tcBorders>
            <w:shd w:val="clear" w:color="auto" w:fill="auto"/>
            <w:noWrap/>
            <w:vAlign w:val="center"/>
            <w:hideMark/>
          </w:tcPr>
          <w:p w14:paraId="29DD8A1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12 941 491</w:t>
            </w:r>
          </w:p>
        </w:tc>
        <w:tc>
          <w:tcPr>
            <w:tcW w:w="948" w:type="dxa"/>
            <w:tcBorders>
              <w:top w:val="nil"/>
              <w:left w:val="nil"/>
              <w:bottom w:val="nil"/>
              <w:right w:val="nil"/>
            </w:tcBorders>
            <w:shd w:val="clear" w:color="auto" w:fill="auto"/>
            <w:noWrap/>
            <w:vAlign w:val="bottom"/>
            <w:hideMark/>
          </w:tcPr>
          <w:p w14:paraId="33070D63"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6,8</w:t>
            </w:r>
          </w:p>
        </w:tc>
      </w:tr>
      <w:tr w:rsidR="00500BD0" w:rsidRPr="00324A47" w14:paraId="333B7F13" w14:textId="77777777" w:rsidTr="00500BD0">
        <w:trPr>
          <w:trHeight w:val="255"/>
        </w:trPr>
        <w:tc>
          <w:tcPr>
            <w:tcW w:w="3828" w:type="dxa"/>
            <w:tcBorders>
              <w:top w:val="nil"/>
              <w:left w:val="nil"/>
              <w:bottom w:val="nil"/>
              <w:right w:val="nil"/>
            </w:tcBorders>
            <w:shd w:val="clear" w:color="auto" w:fill="auto"/>
            <w:noWrap/>
            <w:vAlign w:val="center"/>
            <w:hideMark/>
          </w:tcPr>
          <w:p w14:paraId="08F49166"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Príspevky zamestnávateľov</w:t>
            </w:r>
          </w:p>
        </w:tc>
        <w:tc>
          <w:tcPr>
            <w:tcW w:w="1025" w:type="dxa"/>
            <w:tcBorders>
              <w:top w:val="nil"/>
              <w:left w:val="nil"/>
              <w:bottom w:val="nil"/>
              <w:right w:val="nil"/>
            </w:tcBorders>
            <w:shd w:val="clear" w:color="auto" w:fill="auto"/>
            <w:noWrap/>
            <w:vAlign w:val="bottom"/>
            <w:hideMark/>
          </w:tcPr>
          <w:p w14:paraId="297AAC9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6 506 689</w:t>
            </w:r>
          </w:p>
        </w:tc>
        <w:tc>
          <w:tcPr>
            <w:tcW w:w="1101" w:type="dxa"/>
            <w:tcBorders>
              <w:top w:val="nil"/>
              <w:left w:val="nil"/>
              <w:bottom w:val="nil"/>
              <w:right w:val="nil"/>
            </w:tcBorders>
            <w:shd w:val="clear" w:color="auto" w:fill="auto"/>
            <w:noWrap/>
            <w:vAlign w:val="bottom"/>
            <w:hideMark/>
          </w:tcPr>
          <w:p w14:paraId="623C72C6"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7 262 552</w:t>
            </w:r>
          </w:p>
        </w:tc>
        <w:tc>
          <w:tcPr>
            <w:tcW w:w="1176" w:type="dxa"/>
            <w:tcBorders>
              <w:top w:val="nil"/>
              <w:left w:val="nil"/>
              <w:bottom w:val="nil"/>
              <w:right w:val="nil"/>
            </w:tcBorders>
            <w:shd w:val="clear" w:color="000000" w:fill="BFBFBF"/>
            <w:noWrap/>
            <w:vAlign w:val="bottom"/>
            <w:hideMark/>
          </w:tcPr>
          <w:p w14:paraId="440C062C" w14:textId="77777777" w:rsidR="00500BD0" w:rsidRPr="00324A47" w:rsidRDefault="00500BD0" w:rsidP="00500BD0">
            <w:pPr>
              <w:spacing w:after="0" w:line="240" w:lineRule="auto"/>
              <w:jc w:val="right"/>
              <w:rPr>
                <w:sz w:val="18"/>
                <w:szCs w:val="18"/>
                <w:lang w:eastAsia="sk-SK"/>
              </w:rPr>
            </w:pPr>
            <w:r w:rsidRPr="00324A47">
              <w:rPr>
                <w:sz w:val="18"/>
                <w:szCs w:val="18"/>
                <w:lang w:eastAsia="sk-SK"/>
              </w:rPr>
              <w:t>7 870 696</w:t>
            </w:r>
          </w:p>
        </w:tc>
        <w:tc>
          <w:tcPr>
            <w:tcW w:w="994" w:type="dxa"/>
            <w:tcBorders>
              <w:top w:val="nil"/>
              <w:left w:val="nil"/>
              <w:bottom w:val="nil"/>
              <w:right w:val="nil"/>
            </w:tcBorders>
            <w:shd w:val="clear" w:color="auto" w:fill="auto"/>
            <w:noWrap/>
            <w:vAlign w:val="center"/>
            <w:hideMark/>
          </w:tcPr>
          <w:p w14:paraId="1C55A393"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7 300 941</w:t>
            </w:r>
          </w:p>
        </w:tc>
        <w:tc>
          <w:tcPr>
            <w:tcW w:w="948" w:type="dxa"/>
            <w:tcBorders>
              <w:top w:val="nil"/>
              <w:left w:val="nil"/>
              <w:bottom w:val="nil"/>
              <w:right w:val="nil"/>
            </w:tcBorders>
            <w:shd w:val="clear" w:color="auto" w:fill="auto"/>
            <w:noWrap/>
            <w:vAlign w:val="bottom"/>
            <w:hideMark/>
          </w:tcPr>
          <w:p w14:paraId="1C70ECDC"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8,4</w:t>
            </w:r>
          </w:p>
        </w:tc>
      </w:tr>
      <w:tr w:rsidR="00500BD0" w:rsidRPr="00324A47" w14:paraId="1311968D" w14:textId="77777777" w:rsidTr="00500BD0">
        <w:trPr>
          <w:trHeight w:val="255"/>
        </w:trPr>
        <w:tc>
          <w:tcPr>
            <w:tcW w:w="3828" w:type="dxa"/>
            <w:tcBorders>
              <w:top w:val="nil"/>
              <w:left w:val="nil"/>
              <w:bottom w:val="nil"/>
              <w:right w:val="nil"/>
            </w:tcBorders>
            <w:shd w:val="clear" w:color="auto" w:fill="auto"/>
            <w:noWrap/>
            <w:vAlign w:val="center"/>
            <w:hideMark/>
          </w:tcPr>
          <w:p w14:paraId="0C86DCDD"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Príspevky zamestnancov</w:t>
            </w:r>
          </w:p>
        </w:tc>
        <w:tc>
          <w:tcPr>
            <w:tcW w:w="1025" w:type="dxa"/>
            <w:tcBorders>
              <w:top w:val="nil"/>
              <w:left w:val="nil"/>
              <w:bottom w:val="nil"/>
              <w:right w:val="nil"/>
            </w:tcBorders>
            <w:shd w:val="clear" w:color="auto" w:fill="auto"/>
            <w:noWrap/>
            <w:vAlign w:val="bottom"/>
            <w:hideMark/>
          </w:tcPr>
          <w:p w14:paraId="2CD3BF69" w14:textId="77777777" w:rsidR="00500BD0" w:rsidRPr="00324A47" w:rsidRDefault="00500BD0" w:rsidP="00500BD0">
            <w:pPr>
              <w:spacing w:after="0" w:line="240" w:lineRule="auto"/>
              <w:jc w:val="right"/>
              <w:rPr>
                <w:color w:val="000000"/>
                <w:sz w:val="18"/>
                <w:szCs w:val="18"/>
                <w:lang w:eastAsia="sk-SK"/>
              </w:rPr>
            </w:pPr>
            <w:r>
              <w:rPr>
                <w:color w:val="000000"/>
                <w:sz w:val="18"/>
                <w:szCs w:val="18"/>
                <w:lang w:eastAsia="sk-SK"/>
              </w:rPr>
              <w:t>2 705 989</w:t>
            </w:r>
          </w:p>
        </w:tc>
        <w:tc>
          <w:tcPr>
            <w:tcW w:w="1101" w:type="dxa"/>
            <w:tcBorders>
              <w:top w:val="nil"/>
              <w:left w:val="nil"/>
              <w:bottom w:val="nil"/>
              <w:right w:val="nil"/>
            </w:tcBorders>
            <w:shd w:val="clear" w:color="auto" w:fill="auto"/>
            <w:noWrap/>
            <w:vAlign w:val="bottom"/>
            <w:hideMark/>
          </w:tcPr>
          <w:p w14:paraId="5262F0AA" w14:textId="77777777" w:rsidR="00500BD0" w:rsidRPr="00324A47" w:rsidRDefault="00500BD0" w:rsidP="00500BD0">
            <w:pPr>
              <w:spacing w:after="0" w:line="240" w:lineRule="auto"/>
              <w:jc w:val="right"/>
              <w:rPr>
                <w:color w:val="000000"/>
                <w:sz w:val="18"/>
                <w:szCs w:val="18"/>
                <w:lang w:eastAsia="sk-SK"/>
              </w:rPr>
            </w:pPr>
            <w:r>
              <w:rPr>
                <w:color w:val="000000"/>
                <w:sz w:val="18"/>
                <w:szCs w:val="18"/>
                <w:lang w:eastAsia="sk-SK"/>
              </w:rPr>
              <w:t>2 786 249</w:t>
            </w:r>
          </w:p>
        </w:tc>
        <w:tc>
          <w:tcPr>
            <w:tcW w:w="1176" w:type="dxa"/>
            <w:tcBorders>
              <w:top w:val="nil"/>
              <w:left w:val="nil"/>
              <w:bottom w:val="nil"/>
              <w:right w:val="nil"/>
            </w:tcBorders>
            <w:shd w:val="clear" w:color="000000" w:fill="BFBFBF"/>
            <w:noWrap/>
            <w:vAlign w:val="bottom"/>
            <w:hideMark/>
          </w:tcPr>
          <w:p w14:paraId="38B79B93" w14:textId="77777777" w:rsidR="00500BD0" w:rsidRPr="00324A47" w:rsidRDefault="00500BD0" w:rsidP="00500BD0">
            <w:pPr>
              <w:spacing w:after="0" w:line="240" w:lineRule="auto"/>
              <w:jc w:val="right"/>
              <w:rPr>
                <w:sz w:val="18"/>
                <w:szCs w:val="18"/>
                <w:lang w:eastAsia="sk-SK"/>
              </w:rPr>
            </w:pPr>
            <w:r>
              <w:rPr>
                <w:sz w:val="18"/>
                <w:szCs w:val="18"/>
                <w:lang w:eastAsia="sk-SK"/>
              </w:rPr>
              <w:t>2 917 702</w:t>
            </w:r>
          </w:p>
        </w:tc>
        <w:tc>
          <w:tcPr>
            <w:tcW w:w="994" w:type="dxa"/>
            <w:tcBorders>
              <w:top w:val="nil"/>
              <w:left w:val="nil"/>
              <w:bottom w:val="nil"/>
              <w:right w:val="nil"/>
            </w:tcBorders>
            <w:shd w:val="clear" w:color="auto" w:fill="auto"/>
            <w:noWrap/>
            <w:vAlign w:val="center"/>
            <w:hideMark/>
          </w:tcPr>
          <w:p w14:paraId="76D82CD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2 972 974</w:t>
            </w:r>
          </w:p>
        </w:tc>
        <w:tc>
          <w:tcPr>
            <w:tcW w:w="948" w:type="dxa"/>
            <w:tcBorders>
              <w:top w:val="nil"/>
              <w:left w:val="nil"/>
              <w:bottom w:val="nil"/>
              <w:right w:val="nil"/>
            </w:tcBorders>
            <w:shd w:val="clear" w:color="auto" w:fill="auto"/>
            <w:noWrap/>
            <w:vAlign w:val="bottom"/>
            <w:hideMark/>
          </w:tcPr>
          <w:p w14:paraId="5E3E3203"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4,7</w:t>
            </w:r>
          </w:p>
        </w:tc>
      </w:tr>
      <w:tr w:rsidR="00500BD0" w:rsidRPr="00324A47" w14:paraId="0D2FD85F" w14:textId="77777777" w:rsidTr="00500BD0">
        <w:trPr>
          <w:trHeight w:val="255"/>
        </w:trPr>
        <w:tc>
          <w:tcPr>
            <w:tcW w:w="3828" w:type="dxa"/>
            <w:tcBorders>
              <w:top w:val="nil"/>
              <w:left w:val="nil"/>
              <w:bottom w:val="nil"/>
              <w:right w:val="nil"/>
            </w:tcBorders>
            <w:shd w:val="clear" w:color="auto" w:fill="auto"/>
            <w:noWrap/>
            <w:vAlign w:val="center"/>
            <w:hideMark/>
          </w:tcPr>
          <w:p w14:paraId="24C9638F" w14:textId="77777777" w:rsidR="00500BD0" w:rsidRPr="009B0CF6" w:rsidRDefault="00500BD0" w:rsidP="00500BD0">
            <w:pPr>
              <w:spacing w:after="0" w:line="240" w:lineRule="auto"/>
              <w:ind w:firstLineChars="100" w:firstLine="180"/>
              <w:rPr>
                <w:color w:val="000000"/>
                <w:sz w:val="18"/>
                <w:szCs w:val="18"/>
                <w:lang w:eastAsia="sk-SK"/>
              </w:rPr>
            </w:pPr>
            <w:r w:rsidRPr="009B0CF6">
              <w:rPr>
                <w:color w:val="000000"/>
                <w:sz w:val="18"/>
                <w:szCs w:val="18"/>
                <w:lang w:eastAsia="sk-SK"/>
              </w:rPr>
              <w:t xml:space="preserve"> - Príspevky SZČO a nepracujúcich osôb</w:t>
            </w:r>
          </w:p>
        </w:tc>
        <w:tc>
          <w:tcPr>
            <w:tcW w:w="1025" w:type="dxa"/>
            <w:tcBorders>
              <w:top w:val="nil"/>
              <w:left w:val="nil"/>
              <w:bottom w:val="nil"/>
              <w:right w:val="nil"/>
            </w:tcBorders>
            <w:shd w:val="clear" w:color="auto" w:fill="auto"/>
            <w:noWrap/>
            <w:vAlign w:val="bottom"/>
            <w:hideMark/>
          </w:tcPr>
          <w:p w14:paraId="5CFD3199" w14:textId="77777777" w:rsidR="00500BD0" w:rsidRPr="009B0CF6" w:rsidRDefault="00500BD0" w:rsidP="00500BD0">
            <w:pPr>
              <w:spacing w:after="0" w:line="240" w:lineRule="auto"/>
              <w:jc w:val="right"/>
              <w:rPr>
                <w:color w:val="000000"/>
                <w:sz w:val="18"/>
                <w:szCs w:val="18"/>
                <w:lang w:eastAsia="sk-SK"/>
              </w:rPr>
            </w:pPr>
            <w:r w:rsidRPr="009B0CF6">
              <w:rPr>
                <w:color w:val="000000"/>
                <w:sz w:val="18"/>
                <w:szCs w:val="18"/>
                <w:lang w:eastAsia="sk-SK"/>
              </w:rPr>
              <w:t>2 263 290</w:t>
            </w:r>
          </w:p>
        </w:tc>
        <w:tc>
          <w:tcPr>
            <w:tcW w:w="1101" w:type="dxa"/>
            <w:tcBorders>
              <w:top w:val="nil"/>
              <w:left w:val="nil"/>
              <w:bottom w:val="nil"/>
              <w:right w:val="nil"/>
            </w:tcBorders>
            <w:shd w:val="clear" w:color="auto" w:fill="auto"/>
            <w:noWrap/>
            <w:vAlign w:val="bottom"/>
            <w:hideMark/>
          </w:tcPr>
          <w:p w14:paraId="7864B3D0" w14:textId="77777777" w:rsidR="00500BD0" w:rsidRPr="009B0CF6" w:rsidRDefault="00500BD0" w:rsidP="00500BD0">
            <w:pPr>
              <w:spacing w:after="0" w:line="240" w:lineRule="auto"/>
              <w:jc w:val="right"/>
              <w:rPr>
                <w:color w:val="000000"/>
                <w:sz w:val="18"/>
                <w:szCs w:val="18"/>
                <w:lang w:eastAsia="sk-SK"/>
              </w:rPr>
            </w:pPr>
            <w:r w:rsidRPr="009B0CF6">
              <w:rPr>
                <w:color w:val="000000"/>
                <w:sz w:val="18"/>
                <w:szCs w:val="18"/>
                <w:lang w:eastAsia="sk-SK"/>
              </w:rPr>
              <w:t>2 350 730</w:t>
            </w:r>
          </w:p>
        </w:tc>
        <w:tc>
          <w:tcPr>
            <w:tcW w:w="1176" w:type="dxa"/>
            <w:tcBorders>
              <w:top w:val="nil"/>
              <w:left w:val="nil"/>
              <w:bottom w:val="nil"/>
              <w:right w:val="nil"/>
            </w:tcBorders>
            <w:shd w:val="clear" w:color="000000" w:fill="BFBFBF"/>
            <w:noWrap/>
            <w:vAlign w:val="bottom"/>
            <w:hideMark/>
          </w:tcPr>
          <w:p w14:paraId="4A532EB8" w14:textId="77777777" w:rsidR="00500BD0" w:rsidRPr="009B0CF6" w:rsidRDefault="00500BD0" w:rsidP="00500BD0">
            <w:pPr>
              <w:spacing w:after="0" w:line="240" w:lineRule="auto"/>
              <w:jc w:val="right"/>
              <w:rPr>
                <w:sz w:val="18"/>
                <w:szCs w:val="18"/>
                <w:lang w:eastAsia="sk-SK"/>
              </w:rPr>
            </w:pPr>
            <w:r w:rsidRPr="009B0CF6">
              <w:rPr>
                <w:sz w:val="18"/>
                <w:szCs w:val="18"/>
                <w:lang w:eastAsia="sk-SK"/>
              </w:rPr>
              <w:t>2 458 826</w:t>
            </w:r>
          </w:p>
        </w:tc>
        <w:tc>
          <w:tcPr>
            <w:tcW w:w="994" w:type="dxa"/>
            <w:tcBorders>
              <w:top w:val="nil"/>
              <w:left w:val="nil"/>
              <w:bottom w:val="nil"/>
              <w:right w:val="nil"/>
            </w:tcBorders>
            <w:shd w:val="clear" w:color="auto" w:fill="auto"/>
            <w:noWrap/>
            <w:vAlign w:val="center"/>
            <w:hideMark/>
          </w:tcPr>
          <w:p w14:paraId="743421EE" w14:textId="77777777" w:rsidR="00500BD0" w:rsidRPr="009B0CF6" w:rsidRDefault="00500BD0" w:rsidP="00500BD0">
            <w:pPr>
              <w:spacing w:after="0" w:line="240" w:lineRule="auto"/>
              <w:jc w:val="right"/>
              <w:rPr>
                <w:color w:val="000000"/>
                <w:sz w:val="18"/>
                <w:szCs w:val="18"/>
                <w:lang w:eastAsia="sk-SK"/>
              </w:rPr>
            </w:pPr>
            <w:r w:rsidRPr="009B0CF6">
              <w:rPr>
                <w:color w:val="000000"/>
                <w:sz w:val="18"/>
                <w:szCs w:val="18"/>
                <w:lang w:eastAsia="sk-SK"/>
              </w:rPr>
              <w:t>2 667 576</w:t>
            </w:r>
          </w:p>
        </w:tc>
        <w:tc>
          <w:tcPr>
            <w:tcW w:w="948" w:type="dxa"/>
            <w:tcBorders>
              <w:top w:val="nil"/>
              <w:left w:val="nil"/>
              <w:bottom w:val="nil"/>
              <w:right w:val="nil"/>
            </w:tcBorders>
            <w:shd w:val="clear" w:color="auto" w:fill="auto"/>
            <w:noWrap/>
            <w:vAlign w:val="bottom"/>
            <w:hideMark/>
          </w:tcPr>
          <w:p w14:paraId="0F06A68B" w14:textId="77777777" w:rsidR="00500BD0" w:rsidRPr="009B0CF6" w:rsidRDefault="00500BD0" w:rsidP="00500BD0">
            <w:pPr>
              <w:spacing w:after="0" w:line="240" w:lineRule="auto"/>
              <w:jc w:val="center"/>
              <w:rPr>
                <w:color w:val="000000"/>
                <w:sz w:val="18"/>
                <w:szCs w:val="18"/>
                <w:lang w:eastAsia="sk-SK"/>
              </w:rPr>
            </w:pPr>
            <w:r>
              <w:rPr>
                <w:color w:val="000000"/>
                <w:sz w:val="18"/>
                <w:szCs w:val="18"/>
                <w:lang w:eastAsia="sk-SK"/>
              </w:rPr>
              <w:t>4,6</w:t>
            </w:r>
          </w:p>
        </w:tc>
      </w:tr>
      <w:tr w:rsidR="00500BD0" w:rsidRPr="00324A47" w14:paraId="77FB06BD" w14:textId="77777777" w:rsidTr="00500BD0">
        <w:trPr>
          <w:trHeight w:val="255"/>
        </w:trPr>
        <w:tc>
          <w:tcPr>
            <w:tcW w:w="3828" w:type="dxa"/>
            <w:tcBorders>
              <w:top w:val="nil"/>
              <w:left w:val="nil"/>
              <w:bottom w:val="nil"/>
              <w:right w:val="nil"/>
            </w:tcBorders>
            <w:shd w:val="clear" w:color="auto" w:fill="auto"/>
            <w:noWrap/>
            <w:vAlign w:val="center"/>
            <w:hideMark/>
          </w:tcPr>
          <w:p w14:paraId="7F8C7EFD"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Imputované príspevky na sociálne zabezpečenie</w:t>
            </w:r>
          </w:p>
        </w:tc>
        <w:tc>
          <w:tcPr>
            <w:tcW w:w="1025" w:type="dxa"/>
            <w:tcBorders>
              <w:top w:val="nil"/>
              <w:left w:val="nil"/>
              <w:bottom w:val="nil"/>
              <w:right w:val="nil"/>
            </w:tcBorders>
            <w:shd w:val="clear" w:color="auto" w:fill="auto"/>
            <w:noWrap/>
            <w:vAlign w:val="bottom"/>
            <w:hideMark/>
          </w:tcPr>
          <w:p w14:paraId="4BF09EE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180 637</w:t>
            </w:r>
          </w:p>
        </w:tc>
        <w:tc>
          <w:tcPr>
            <w:tcW w:w="1101" w:type="dxa"/>
            <w:tcBorders>
              <w:top w:val="nil"/>
              <w:left w:val="nil"/>
              <w:bottom w:val="nil"/>
              <w:right w:val="nil"/>
            </w:tcBorders>
            <w:shd w:val="clear" w:color="auto" w:fill="auto"/>
            <w:noWrap/>
            <w:vAlign w:val="bottom"/>
            <w:hideMark/>
          </w:tcPr>
          <w:p w14:paraId="690BF806"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189 239</w:t>
            </w:r>
          </w:p>
        </w:tc>
        <w:tc>
          <w:tcPr>
            <w:tcW w:w="1176" w:type="dxa"/>
            <w:tcBorders>
              <w:top w:val="nil"/>
              <w:left w:val="nil"/>
              <w:bottom w:val="nil"/>
              <w:right w:val="nil"/>
            </w:tcBorders>
            <w:shd w:val="clear" w:color="000000" w:fill="BFBFBF"/>
            <w:noWrap/>
            <w:vAlign w:val="bottom"/>
            <w:hideMark/>
          </w:tcPr>
          <w:p w14:paraId="0B36F9AA" w14:textId="77777777" w:rsidR="00500BD0" w:rsidRPr="00324A47" w:rsidRDefault="00500BD0" w:rsidP="00500BD0">
            <w:pPr>
              <w:spacing w:after="0" w:line="240" w:lineRule="auto"/>
              <w:jc w:val="right"/>
              <w:rPr>
                <w:sz w:val="18"/>
                <w:szCs w:val="18"/>
                <w:lang w:eastAsia="sk-SK"/>
              </w:rPr>
            </w:pPr>
            <w:r w:rsidRPr="00324A47">
              <w:rPr>
                <w:sz w:val="18"/>
                <w:szCs w:val="18"/>
                <w:lang w:eastAsia="sk-SK"/>
              </w:rPr>
              <w:t>188 246</w:t>
            </w:r>
          </w:p>
        </w:tc>
        <w:tc>
          <w:tcPr>
            <w:tcW w:w="994" w:type="dxa"/>
            <w:tcBorders>
              <w:top w:val="nil"/>
              <w:left w:val="nil"/>
              <w:bottom w:val="nil"/>
              <w:right w:val="nil"/>
            </w:tcBorders>
            <w:shd w:val="clear" w:color="auto" w:fill="auto"/>
            <w:noWrap/>
            <w:vAlign w:val="center"/>
            <w:hideMark/>
          </w:tcPr>
          <w:p w14:paraId="5714AF6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166 386</w:t>
            </w:r>
          </w:p>
        </w:tc>
        <w:tc>
          <w:tcPr>
            <w:tcW w:w="948" w:type="dxa"/>
            <w:tcBorders>
              <w:top w:val="nil"/>
              <w:left w:val="nil"/>
              <w:bottom w:val="nil"/>
              <w:right w:val="nil"/>
            </w:tcBorders>
            <w:shd w:val="clear" w:color="auto" w:fill="auto"/>
            <w:noWrap/>
            <w:vAlign w:val="bottom"/>
            <w:hideMark/>
          </w:tcPr>
          <w:p w14:paraId="4F9A92B5"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-0,5</w:t>
            </w:r>
          </w:p>
        </w:tc>
      </w:tr>
      <w:tr w:rsidR="00500BD0" w:rsidRPr="00324A47" w14:paraId="22D69704" w14:textId="77777777" w:rsidTr="00500BD0">
        <w:trPr>
          <w:trHeight w:val="255"/>
        </w:trPr>
        <w:tc>
          <w:tcPr>
            <w:tcW w:w="3828" w:type="dxa"/>
            <w:tcBorders>
              <w:top w:val="nil"/>
              <w:left w:val="nil"/>
              <w:bottom w:val="nil"/>
              <w:right w:val="nil"/>
            </w:tcBorders>
            <w:shd w:val="clear" w:color="auto" w:fill="auto"/>
            <w:noWrap/>
            <w:vAlign w:val="center"/>
            <w:hideMark/>
          </w:tcPr>
          <w:p w14:paraId="743E6A75" w14:textId="77777777" w:rsidR="00500BD0" w:rsidRPr="00324A47" w:rsidRDefault="00500BD0" w:rsidP="00500BD0">
            <w:pPr>
              <w:spacing w:after="0" w:line="240" w:lineRule="auto"/>
              <w:rPr>
                <w:b/>
                <w:bCs/>
                <w:color w:val="000000"/>
                <w:sz w:val="18"/>
                <w:szCs w:val="18"/>
                <w:lang w:eastAsia="sk-SK"/>
              </w:rPr>
            </w:pPr>
            <w:r w:rsidRPr="00324A47">
              <w:rPr>
                <w:b/>
                <w:bCs/>
                <w:color w:val="000000"/>
                <w:sz w:val="18"/>
                <w:szCs w:val="18"/>
                <w:lang w:eastAsia="sk-SK"/>
              </w:rPr>
              <w:t>Nedaňové príjmy</w:t>
            </w:r>
          </w:p>
        </w:tc>
        <w:tc>
          <w:tcPr>
            <w:tcW w:w="1025" w:type="dxa"/>
            <w:tcBorders>
              <w:top w:val="nil"/>
              <w:left w:val="nil"/>
              <w:bottom w:val="nil"/>
              <w:right w:val="nil"/>
            </w:tcBorders>
            <w:shd w:val="clear" w:color="auto" w:fill="auto"/>
            <w:noWrap/>
            <w:vAlign w:val="center"/>
            <w:hideMark/>
          </w:tcPr>
          <w:p w14:paraId="1986F6A1"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4 340 475</w:t>
            </w:r>
          </w:p>
        </w:tc>
        <w:tc>
          <w:tcPr>
            <w:tcW w:w="1101" w:type="dxa"/>
            <w:tcBorders>
              <w:top w:val="nil"/>
              <w:left w:val="nil"/>
              <w:bottom w:val="nil"/>
              <w:right w:val="nil"/>
            </w:tcBorders>
            <w:shd w:val="clear" w:color="auto" w:fill="auto"/>
            <w:noWrap/>
            <w:vAlign w:val="center"/>
            <w:hideMark/>
          </w:tcPr>
          <w:p w14:paraId="69B03628"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4 458 477</w:t>
            </w:r>
          </w:p>
        </w:tc>
        <w:tc>
          <w:tcPr>
            <w:tcW w:w="1176" w:type="dxa"/>
            <w:tcBorders>
              <w:top w:val="nil"/>
              <w:left w:val="nil"/>
              <w:bottom w:val="nil"/>
              <w:right w:val="nil"/>
            </w:tcBorders>
            <w:shd w:val="clear" w:color="000000" w:fill="BFBFBF"/>
            <w:noWrap/>
            <w:vAlign w:val="center"/>
            <w:hideMark/>
          </w:tcPr>
          <w:p w14:paraId="281A9B29"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4 682 834</w:t>
            </w:r>
          </w:p>
        </w:tc>
        <w:tc>
          <w:tcPr>
            <w:tcW w:w="994" w:type="dxa"/>
            <w:tcBorders>
              <w:top w:val="nil"/>
              <w:left w:val="nil"/>
              <w:bottom w:val="nil"/>
              <w:right w:val="nil"/>
            </w:tcBorders>
            <w:shd w:val="clear" w:color="auto" w:fill="auto"/>
            <w:noWrap/>
            <w:vAlign w:val="center"/>
            <w:hideMark/>
          </w:tcPr>
          <w:p w14:paraId="1FBF4CB0"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4 161 838</w:t>
            </w:r>
          </w:p>
        </w:tc>
        <w:tc>
          <w:tcPr>
            <w:tcW w:w="948" w:type="dxa"/>
            <w:tcBorders>
              <w:top w:val="nil"/>
              <w:left w:val="nil"/>
              <w:bottom w:val="nil"/>
              <w:right w:val="nil"/>
            </w:tcBorders>
            <w:shd w:val="clear" w:color="auto" w:fill="auto"/>
            <w:noWrap/>
            <w:vAlign w:val="center"/>
            <w:hideMark/>
          </w:tcPr>
          <w:p w14:paraId="08EDB8C8"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5,0</w:t>
            </w:r>
          </w:p>
        </w:tc>
      </w:tr>
      <w:tr w:rsidR="00500BD0" w:rsidRPr="00324A47" w14:paraId="4EBDBAD1" w14:textId="77777777" w:rsidTr="00500BD0">
        <w:trPr>
          <w:trHeight w:val="255"/>
        </w:trPr>
        <w:tc>
          <w:tcPr>
            <w:tcW w:w="3828" w:type="dxa"/>
            <w:tcBorders>
              <w:top w:val="nil"/>
              <w:left w:val="nil"/>
              <w:bottom w:val="nil"/>
              <w:right w:val="nil"/>
            </w:tcBorders>
            <w:shd w:val="clear" w:color="auto" w:fill="auto"/>
            <w:noWrap/>
            <w:vAlign w:val="center"/>
            <w:hideMark/>
          </w:tcPr>
          <w:p w14:paraId="1D6C3D70"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Tržby</w:t>
            </w:r>
          </w:p>
        </w:tc>
        <w:tc>
          <w:tcPr>
            <w:tcW w:w="1025" w:type="dxa"/>
            <w:tcBorders>
              <w:top w:val="nil"/>
              <w:left w:val="nil"/>
              <w:bottom w:val="nil"/>
              <w:right w:val="nil"/>
            </w:tcBorders>
            <w:shd w:val="clear" w:color="auto" w:fill="auto"/>
            <w:noWrap/>
            <w:vAlign w:val="bottom"/>
            <w:hideMark/>
          </w:tcPr>
          <w:p w14:paraId="5C7DA20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3 719 651</w:t>
            </w:r>
          </w:p>
        </w:tc>
        <w:tc>
          <w:tcPr>
            <w:tcW w:w="1101" w:type="dxa"/>
            <w:tcBorders>
              <w:top w:val="nil"/>
              <w:left w:val="nil"/>
              <w:bottom w:val="nil"/>
              <w:right w:val="nil"/>
            </w:tcBorders>
            <w:shd w:val="clear" w:color="auto" w:fill="auto"/>
            <w:noWrap/>
            <w:vAlign w:val="bottom"/>
            <w:hideMark/>
          </w:tcPr>
          <w:p w14:paraId="5ABD535C"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3 796 112</w:t>
            </w:r>
          </w:p>
        </w:tc>
        <w:tc>
          <w:tcPr>
            <w:tcW w:w="1176" w:type="dxa"/>
            <w:tcBorders>
              <w:top w:val="nil"/>
              <w:left w:val="nil"/>
              <w:bottom w:val="nil"/>
              <w:right w:val="nil"/>
            </w:tcBorders>
            <w:shd w:val="clear" w:color="000000" w:fill="BFBFBF"/>
            <w:noWrap/>
            <w:vAlign w:val="bottom"/>
            <w:hideMark/>
          </w:tcPr>
          <w:p w14:paraId="2C33DD7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4 019 226</w:t>
            </w:r>
          </w:p>
        </w:tc>
        <w:tc>
          <w:tcPr>
            <w:tcW w:w="994" w:type="dxa"/>
            <w:tcBorders>
              <w:top w:val="nil"/>
              <w:left w:val="nil"/>
              <w:bottom w:val="nil"/>
              <w:right w:val="nil"/>
            </w:tcBorders>
            <w:shd w:val="clear" w:color="auto" w:fill="auto"/>
            <w:noWrap/>
            <w:vAlign w:val="center"/>
            <w:hideMark/>
          </w:tcPr>
          <w:p w14:paraId="5CC31CE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3 600 541</w:t>
            </w:r>
          </w:p>
        </w:tc>
        <w:tc>
          <w:tcPr>
            <w:tcW w:w="948" w:type="dxa"/>
            <w:tcBorders>
              <w:top w:val="nil"/>
              <w:left w:val="nil"/>
              <w:bottom w:val="nil"/>
              <w:right w:val="nil"/>
            </w:tcBorders>
            <w:shd w:val="clear" w:color="auto" w:fill="auto"/>
            <w:noWrap/>
            <w:vAlign w:val="bottom"/>
            <w:hideMark/>
          </w:tcPr>
          <w:p w14:paraId="4438B67D"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5,9</w:t>
            </w:r>
          </w:p>
        </w:tc>
      </w:tr>
      <w:tr w:rsidR="00500BD0" w:rsidRPr="00324A47" w14:paraId="56FFDAE3" w14:textId="77777777" w:rsidTr="00500BD0">
        <w:trPr>
          <w:trHeight w:val="255"/>
        </w:trPr>
        <w:tc>
          <w:tcPr>
            <w:tcW w:w="3828" w:type="dxa"/>
            <w:tcBorders>
              <w:top w:val="nil"/>
              <w:left w:val="nil"/>
              <w:bottom w:val="nil"/>
              <w:right w:val="nil"/>
            </w:tcBorders>
            <w:shd w:val="clear" w:color="auto" w:fill="auto"/>
            <w:noWrap/>
            <w:vAlign w:val="center"/>
            <w:hideMark/>
          </w:tcPr>
          <w:p w14:paraId="5FB4C2DC"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Produkcia trhová + pre vlastné konečné použitie</w:t>
            </w:r>
          </w:p>
        </w:tc>
        <w:tc>
          <w:tcPr>
            <w:tcW w:w="1025" w:type="dxa"/>
            <w:tcBorders>
              <w:top w:val="nil"/>
              <w:left w:val="nil"/>
              <w:bottom w:val="nil"/>
              <w:right w:val="nil"/>
            </w:tcBorders>
            <w:shd w:val="clear" w:color="auto" w:fill="auto"/>
            <w:noWrap/>
            <w:vAlign w:val="bottom"/>
            <w:hideMark/>
          </w:tcPr>
          <w:p w14:paraId="34A4511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3 499 780</w:t>
            </w:r>
          </w:p>
        </w:tc>
        <w:tc>
          <w:tcPr>
            <w:tcW w:w="1101" w:type="dxa"/>
            <w:tcBorders>
              <w:top w:val="nil"/>
              <w:left w:val="nil"/>
              <w:bottom w:val="nil"/>
              <w:right w:val="nil"/>
            </w:tcBorders>
            <w:shd w:val="clear" w:color="auto" w:fill="auto"/>
            <w:noWrap/>
            <w:vAlign w:val="bottom"/>
            <w:hideMark/>
          </w:tcPr>
          <w:p w14:paraId="1EC7605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3 559 037</w:t>
            </w:r>
          </w:p>
        </w:tc>
        <w:tc>
          <w:tcPr>
            <w:tcW w:w="1176" w:type="dxa"/>
            <w:tcBorders>
              <w:top w:val="nil"/>
              <w:left w:val="nil"/>
              <w:bottom w:val="nil"/>
              <w:right w:val="nil"/>
            </w:tcBorders>
            <w:shd w:val="clear" w:color="000000" w:fill="BFBFBF"/>
            <w:noWrap/>
            <w:vAlign w:val="bottom"/>
            <w:hideMark/>
          </w:tcPr>
          <w:p w14:paraId="61C75E3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3 783 705</w:t>
            </w:r>
          </w:p>
        </w:tc>
        <w:tc>
          <w:tcPr>
            <w:tcW w:w="994" w:type="dxa"/>
            <w:tcBorders>
              <w:top w:val="nil"/>
              <w:left w:val="nil"/>
              <w:bottom w:val="nil"/>
              <w:right w:val="nil"/>
            </w:tcBorders>
            <w:shd w:val="clear" w:color="auto" w:fill="auto"/>
            <w:noWrap/>
            <w:vAlign w:val="center"/>
            <w:hideMark/>
          </w:tcPr>
          <w:p w14:paraId="38764CC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3 565 089</w:t>
            </w:r>
          </w:p>
        </w:tc>
        <w:tc>
          <w:tcPr>
            <w:tcW w:w="948" w:type="dxa"/>
            <w:tcBorders>
              <w:top w:val="nil"/>
              <w:left w:val="nil"/>
              <w:bottom w:val="nil"/>
              <w:right w:val="nil"/>
            </w:tcBorders>
            <w:shd w:val="clear" w:color="auto" w:fill="auto"/>
            <w:noWrap/>
            <w:vAlign w:val="bottom"/>
            <w:hideMark/>
          </w:tcPr>
          <w:p w14:paraId="2D6D5919"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6,3</w:t>
            </w:r>
          </w:p>
        </w:tc>
      </w:tr>
      <w:tr w:rsidR="00500BD0" w:rsidRPr="00324A47" w14:paraId="3FCCF34C" w14:textId="77777777" w:rsidTr="00500BD0">
        <w:trPr>
          <w:trHeight w:val="255"/>
        </w:trPr>
        <w:tc>
          <w:tcPr>
            <w:tcW w:w="3828" w:type="dxa"/>
            <w:tcBorders>
              <w:top w:val="nil"/>
              <w:left w:val="nil"/>
              <w:bottom w:val="nil"/>
              <w:right w:val="nil"/>
            </w:tcBorders>
            <w:shd w:val="clear" w:color="auto" w:fill="auto"/>
            <w:noWrap/>
            <w:vAlign w:val="center"/>
            <w:hideMark/>
          </w:tcPr>
          <w:p w14:paraId="307D2942"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Platby za ostatnú netrhovú produkciu</w:t>
            </w:r>
          </w:p>
        </w:tc>
        <w:tc>
          <w:tcPr>
            <w:tcW w:w="1025" w:type="dxa"/>
            <w:tcBorders>
              <w:top w:val="nil"/>
              <w:left w:val="nil"/>
              <w:bottom w:val="nil"/>
              <w:right w:val="nil"/>
            </w:tcBorders>
            <w:shd w:val="clear" w:color="auto" w:fill="auto"/>
            <w:noWrap/>
            <w:vAlign w:val="bottom"/>
            <w:hideMark/>
          </w:tcPr>
          <w:p w14:paraId="4CA486F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219 871</w:t>
            </w:r>
          </w:p>
        </w:tc>
        <w:tc>
          <w:tcPr>
            <w:tcW w:w="1101" w:type="dxa"/>
            <w:tcBorders>
              <w:top w:val="nil"/>
              <w:left w:val="nil"/>
              <w:bottom w:val="nil"/>
              <w:right w:val="nil"/>
            </w:tcBorders>
            <w:shd w:val="clear" w:color="auto" w:fill="auto"/>
            <w:noWrap/>
            <w:vAlign w:val="bottom"/>
            <w:hideMark/>
          </w:tcPr>
          <w:p w14:paraId="5ED9ADB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237 075</w:t>
            </w:r>
          </w:p>
        </w:tc>
        <w:tc>
          <w:tcPr>
            <w:tcW w:w="1176" w:type="dxa"/>
            <w:tcBorders>
              <w:top w:val="nil"/>
              <w:left w:val="nil"/>
              <w:bottom w:val="nil"/>
              <w:right w:val="nil"/>
            </w:tcBorders>
            <w:shd w:val="clear" w:color="000000" w:fill="BFBFBF"/>
            <w:noWrap/>
            <w:vAlign w:val="bottom"/>
            <w:hideMark/>
          </w:tcPr>
          <w:p w14:paraId="5FE9D0A5"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235 521</w:t>
            </w:r>
          </w:p>
        </w:tc>
        <w:tc>
          <w:tcPr>
            <w:tcW w:w="994" w:type="dxa"/>
            <w:tcBorders>
              <w:top w:val="nil"/>
              <w:left w:val="nil"/>
              <w:bottom w:val="nil"/>
              <w:right w:val="nil"/>
            </w:tcBorders>
            <w:shd w:val="clear" w:color="auto" w:fill="auto"/>
            <w:noWrap/>
            <w:vAlign w:val="center"/>
            <w:hideMark/>
          </w:tcPr>
          <w:p w14:paraId="27F6264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35 452</w:t>
            </w:r>
          </w:p>
        </w:tc>
        <w:tc>
          <w:tcPr>
            <w:tcW w:w="948" w:type="dxa"/>
            <w:tcBorders>
              <w:top w:val="nil"/>
              <w:left w:val="nil"/>
              <w:bottom w:val="nil"/>
              <w:right w:val="nil"/>
            </w:tcBorders>
            <w:shd w:val="clear" w:color="auto" w:fill="auto"/>
            <w:noWrap/>
            <w:vAlign w:val="bottom"/>
            <w:hideMark/>
          </w:tcPr>
          <w:p w14:paraId="29265D10"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-0,7</w:t>
            </w:r>
          </w:p>
        </w:tc>
      </w:tr>
      <w:tr w:rsidR="00500BD0" w:rsidRPr="00324A47" w14:paraId="5D79E905" w14:textId="77777777" w:rsidTr="00500BD0">
        <w:trPr>
          <w:trHeight w:val="255"/>
        </w:trPr>
        <w:tc>
          <w:tcPr>
            <w:tcW w:w="3828" w:type="dxa"/>
            <w:tcBorders>
              <w:top w:val="nil"/>
              <w:left w:val="nil"/>
              <w:bottom w:val="nil"/>
              <w:right w:val="nil"/>
            </w:tcBorders>
            <w:shd w:val="clear" w:color="auto" w:fill="auto"/>
            <w:noWrap/>
            <w:vAlign w:val="center"/>
            <w:hideMark/>
          </w:tcPr>
          <w:p w14:paraId="349E8533"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Dôchodky z majetku</w:t>
            </w:r>
          </w:p>
        </w:tc>
        <w:tc>
          <w:tcPr>
            <w:tcW w:w="1025" w:type="dxa"/>
            <w:tcBorders>
              <w:top w:val="nil"/>
              <w:left w:val="nil"/>
              <w:bottom w:val="nil"/>
              <w:right w:val="nil"/>
            </w:tcBorders>
            <w:shd w:val="clear" w:color="auto" w:fill="auto"/>
            <w:noWrap/>
            <w:vAlign w:val="bottom"/>
            <w:hideMark/>
          </w:tcPr>
          <w:p w14:paraId="4068C02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620 824</w:t>
            </w:r>
          </w:p>
        </w:tc>
        <w:tc>
          <w:tcPr>
            <w:tcW w:w="1101" w:type="dxa"/>
            <w:tcBorders>
              <w:top w:val="nil"/>
              <w:left w:val="nil"/>
              <w:bottom w:val="nil"/>
              <w:right w:val="nil"/>
            </w:tcBorders>
            <w:shd w:val="clear" w:color="auto" w:fill="auto"/>
            <w:noWrap/>
            <w:vAlign w:val="bottom"/>
            <w:hideMark/>
          </w:tcPr>
          <w:p w14:paraId="0DA0951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662 365</w:t>
            </w:r>
          </w:p>
        </w:tc>
        <w:tc>
          <w:tcPr>
            <w:tcW w:w="1176" w:type="dxa"/>
            <w:tcBorders>
              <w:top w:val="nil"/>
              <w:left w:val="nil"/>
              <w:bottom w:val="nil"/>
              <w:right w:val="nil"/>
            </w:tcBorders>
            <w:shd w:val="clear" w:color="000000" w:fill="BFBFBF"/>
            <w:noWrap/>
            <w:vAlign w:val="bottom"/>
            <w:hideMark/>
          </w:tcPr>
          <w:p w14:paraId="6483CBDF"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663 608</w:t>
            </w:r>
          </w:p>
        </w:tc>
        <w:tc>
          <w:tcPr>
            <w:tcW w:w="994" w:type="dxa"/>
            <w:tcBorders>
              <w:top w:val="nil"/>
              <w:left w:val="nil"/>
              <w:bottom w:val="nil"/>
              <w:right w:val="nil"/>
            </w:tcBorders>
            <w:shd w:val="clear" w:color="auto" w:fill="auto"/>
            <w:noWrap/>
            <w:vAlign w:val="center"/>
            <w:hideMark/>
          </w:tcPr>
          <w:p w14:paraId="2F311F4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561 297</w:t>
            </w:r>
          </w:p>
        </w:tc>
        <w:tc>
          <w:tcPr>
            <w:tcW w:w="948" w:type="dxa"/>
            <w:tcBorders>
              <w:top w:val="nil"/>
              <w:left w:val="nil"/>
              <w:bottom w:val="nil"/>
              <w:right w:val="nil"/>
            </w:tcBorders>
            <w:shd w:val="clear" w:color="auto" w:fill="auto"/>
            <w:noWrap/>
            <w:vAlign w:val="bottom"/>
            <w:hideMark/>
          </w:tcPr>
          <w:p w14:paraId="0A89A48A"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0,2</w:t>
            </w:r>
          </w:p>
        </w:tc>
      </w:tr>
      <w:tr w:rsidR="00500BD0" w:rsidRPr="00324A47" w14:paraId="2F72FC20" w14:textId="77777777" w:rsidTr="00500BD0">
        <w:trPr>
          <w:trHeight w:val="255"/>
        </w:trPr>
        <w:tc>
          <w:tcPr>
            <w:tcW w:w="3828" w:type="dxa"/>
            <w:tcBorders>
              <w:top w:val="nil"/>
              <w:left w:val="nil"/>
              <w:bottom w:val="nil"/>
              <w:right w:val="nil"/>
            </w:tcBorders>
            <w:shd w:val="clear" w:color="auto" w:fill="auto"/>
            <w:noWrap/>
            <w:vAlign w:val="center"/>
            <w:hideMark/>
          </w:tcPr>
          <w:p w14:paraId="28ED4912"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Dividendy</w:t>
            </w:r>
          </w:p>
        </w:tc>
        <w:tc>
          <w:tcPr>
            <w:tcW w:w="1025" w:type="dxa"/>
            <w:tcBorders>
              <w:top w:val="nil"/>
              <w:left w:val="nil"/>
              <w:bottom w:val="nil"/>
              <w:right w:val="nil"/>
            </w:tcBorders>
            <w:shd w:val="clear" w:color="auto" w:fill="auto"/>
            <w:noWrap/>
            <w:vAlign w:val="bottom"/>
            <w:hideMark/>
          </w:tcPr>
          <w:p w14:paraId="321912B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323 117</w:t>
            </w:r>
          </w:p>
        </w:tc>
        <w:tc>
          <w:tcPr>
            <w:tcW w:w="1101" w:type="dxa"/>
            <w:tcBorders>
              <w:top w:val="nil"/>
              <w:left w:val="nil"/>
              <w:bottom w:val="nil"/>
              <w:right w:val="nil"/>
            </w:tcBorders>
            <w:shd w:val="clear" w:color="auto" w:fill="auto"/>
            <w:noWrap/>
            <w:vAlign w:val="bottom"/>
            <w:hideMark/>
          </w:tcPr>
          <w:p w14:paraId="06F04596"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391 398</w:t>
            </w:r>
          </w:p>
        </w:tc>
        <w:tc>
          <w:tcPr>
            <w:tcW w:w="1176" w:type="dxa"/>
            <w:tcBorders>
              <w:top w:val="nil"/>
              <w:left w:val="nil"/>
              <w:bottom w:val="nil"/>
              <w:right w:val="nil"/>
            </w:tcBorders>
            <w:shd w:val="clear" w:color="000000" w:fill="BFBFBF"/>
            <w:noWrap/>
            <w:vAlign w:val="bottom"/>
            <w:hideMark/>
          </w:tcPr>
          <w:p w14:paraId="4AAA411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410 123</w:t>
            </w:r>
          </w:p>
        </w:tc>
        <w:tc>
          <w:tcPr>
            <w:tcW w:w="994" w:type="dxa"/>
            <w:tcBorders>
              <w:top w:val="nil"/>
              <w:left w:val="nil"/>
              <w:bottom w:val="nil"/>
              <w:right w:val="nil"/>
            </w:tcBorders>
            <w:shd w:val="clear" w:color="auto" w:fill="auto"/>
            <w:noWrap/>
            <w:vAlign w:val="center"/>
            <w:hideMark/>
          </w:tcPr>
          <w:p w14:paraId="008EFE26"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475 042</w:t>
            </w:r>
          </w:p>
        </w:tc>
        <w:tc>
          <w:tcPr>
            <w:tcW w:w="948" w:type="dxa"/>
            <w:tcBorders>
              <w:top w:val="nil"/>
              <w:left w:val="nil"/>
              <w:bottom w:val="nil"/>
              <w:right w:val="nil"/>
            </w:tcBorders>
            <w:shd w:val="clear" w:color="auto" w:fill="auto"/>
            <w:noWrap/>
            <w:vAlign w:val="bottom"/>
            <w:hideMark/>
          </w:tcPr>
          <w:p w14:paraId="08B8AA89"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4,8</w:t>
            </w:r>
          </w:p>
        </w:tc>
      </w:tr>
      <w:tr w:rsidR="00500BD0" w:rsidRPr="00324A47" w14:paraId="54BB0EC0" w14:textId="77777777" w:rsidTr="00500BD0">
        <w:trPr>
          <w:trHeight w:val="255"/>
        </w:trPr>
        <w:tc>
          <w:tcPr>
            <w:tcW w:w="3828" w:type="dxa"/>
            <w:tcBorders>
              <w:top w:val="nil"/>
              <w:left w:val="nil"/>
              <w:bottom w:val="nil"/>
              <w:right w:val="nil"/>
            </w:tcBorders>
            <w:shd w:val="clear" w:color="auto" w:fill="auto"/>
            <w:noWrap/>
            <w:vAlign w:val="center"/>
            <w:hideMark/>
          </w:tcPr>
          <w:p w14:paraId="693F18FF"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 xml:space="preserve"> - Úroky</w:t>
            </w:r>
          </w:p>
        </w:tc>
        <w:tc>
          <w:tcPr>
            <w:tcW w:w="1025" w:type="dxa"/>
            <w:tcBorders>
              <w:top w:val="nil"/>
              <w:left w:val="nil"/>
              <w:bottom w:val="nil"/>
              <w:right w:val="nil"/>
            </w:tcBorders>
            <w:shd w:val="clear" w:color="auto" w:fill="auto"/>
            <w:noWrap/>
            <w:vAlign w:val="bottom"/>
            <w:hideMark/>
          </w:tcPr>
          <w:p w14:paraId="34AEEE2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221 807</w:t>
            </w:r>
          </w:p>
        </w:tc>
        <w:tc>
          <w:tcPr>
            <w:tcW w:w="1101" w:type="dxa"/>
            <w:tcBorders>
              <w:top w:val="nil"/>
              <w:left w:val="nil"/>
              <w:bottom w:val="nil"/>
              <w:right w:val="nil"/>
            </w:tcBorders>
            <w:shd w:val="clear" w:color="auto" w:fill="auto"/>
            <w:noWrap/>
            <w:vAlign w:val="bottom"/>
            <w:hideMark/>
          </w:tcPr>
          <w:p w14:paraId="35F230F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191 517</w:t>
            </w:r>
          </w:p>
        </w:tc>
        <w:tc>
          <w:tcPr>
            <w:tcW w:w="1176" w:type="dxa"/>
            <w:tcBorders>
              <w:top w:val="nil"/>
              <w:left w:val="nil"/>
              <w:bottom w:val="nil"/>
              <w:right w:val="nil"/>
            </w:tcBorders>
            <w:shd w:val="clear" w:color="000000" w:fill="BFBFBF"/>
            <w:noWrap/>
            <w:vAlign w:val="bottom"/>
            <w:hideMark/>
          </w:tcPr>
          <w:p w14:paraId="274D70CA"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171 011</w:t>
            </w:r>
          </w:p>
        </w:tc>
        <w:tc>
          <w:tcPr>
            <w:tcW w:w="994" w:type="dxa"/>
            <w:tcBorders>
              <w:top w:val="nil"/>
              <w:left w:val="nil"/>
              <w:bottom w:val="nil"/>
              <w:right w:val="nil"/>
            </w:tcBorders>
            <w:shd w:val="clear" w:color="auto" w:fill="auto"/>
            <w:noWrap/>
            <w:vAlign w:val="center"/>
            <w:hideMark/>
          </w:tcPr>
          <w:p w14:paraId="60ECAEE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37 525</w:t>
            </w:r>
          </w:p>
        </w:tc>
        <w:tc>
          <w:tcPr>
            <w:tcW w:w="948" w:type="dxa"/>
            <w:tcBorders>
              <w:top w:val="nil"/>
              <w:left w:val="nil"/>
              <w:bottom w:val="nil"/>
              <w:right w:val="nil"/>
            </w:tcBorders>
            <w:shd w:val="clear" w:color="auto" w:fill="auto"/>
            <w:noWrap/>
            <w:vAlign w:val="bottom"/>
            <w:hideMark/>
          </w:tcPr>
          <w:p w14:paraId="72FFA71E"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-10,7</w:t>
            </w:r>
          </w:p>
        </w:tc>
      </w:tr>
      <w:tr w:rsidR="00500BD0" w:rsidRPr="00324A47" w14:paraId="371B7AC9" w14:textId="77777777" w:rsidTr="00500BD0">
        <w:trPr>
          <w:trHeight w:val="255"/>
        </w:trPr>
        <w:tc>
          <w:tcPr>
            <w:tcW w:w="3828" w:type="dxa"/>
            <w:tcBorders>
              <w:top w:val="nil"/>
              <w:left w:val="nil"/>
              <w:bottom w:val="nil"/>
              <w:right w:val="nil"/>
            </w:tcBorders>
            <w:shd w:val="clear" w:color="auto" w:fill="auto"/>
            <w:noWrap/>
            <w:vAlign w:val="center"/>
            <w:hideMark/>
          </w:tcPr>
          <w:p w14:paraId="2731C879" w14:textId="77777777" w:rsidR="00500BD0" w:rsidRPr="00324A47" w:rsidRDefault="00500BD0" w:rsidP="00500BD0">
            <w:pPr>
              <w:spacing w:after="0" w:line="240" w:lineRule="auto"/>
              <w:rPr>
                <w:b/>
                <w:bCs/>
                <w:color w:val="000000"/>
                <w:sz w:val="18"/>
                <w:szCs w:val="18"/>
                <w:lang w:eastAsia="sk-SK"/>
              </w:rPr>
            </w:pPr>
            <w:r w:rsidRPr="00324A47">
              <w:rPr>
                <w:b/>
                <w:bCs/>
                <w:color w:val="000000"/>
                <w:sz w:val="18"/>
                <w:szCs w:val="18"/>
                <w:lang w:eastAsia="sk-SK"/>
              </w:rPr>
              <w:t>Granty a transfery</w:t>
            </w:r>
          </w:p>
        </w:tc>
        <w:tc>
          <w:tcPr>
            <w:tcW w:w="1025" w:type="dxa"/>
            <w:tcBorders>
              <w:top w:val="nil"/>
              <w:left w:val="nil"/>
              <w:bottom w:val="nil"/>
              <w:right w:val="nil"/>
            </w:tcBorders>
            <w:shd w:val="clear" w:color="auto" w:fill="auto"/>
            <w:noWrap/>
            <w:vAlign w:val="center"/>
            <w:hideMark/>
          </w:tcPr>
          <w:p w14:paraId="3BE492F0"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1 299 241</w:t>
            </w:r>
          </w:p>
        </w:tc>
        <w:tc>
          <w:tcPr>
            <w:tcW w:w="1101" w:type="dxa"/>
            <w:tcBorders>
              <w:top w:val="nil"/>
              <w:left w:val="nil"/>
              <w:bottom w:val="nil"/>
              <w:right w:val="nil"/>
            </w:tcBorders>
            <w:shd w:val="clear" w:color="auto" w:fill="auto"/>
            <w:noWrap/>
            <w:vAlign w:val="center"/>
            <w:hideMark/>
          </w:tcPr>
          <w:p w14:paraId="4AE5D7E1"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925 605</w:t>
            </w:r>
          </w:p>
        </w:tc>
        <w:tc>
          <w:tcPr>
            <w:tcW w:w="1176" w:type="dxa"/>
            <w:tcBorders>
              <w:top w:val="nil"/>
              <w:left w:val="nil"/>
              <w:bottom w:val="nil"/>
              <w:right w:val="nil"/>
            </w:tcBorders>
            <w:shd w:val="clear" w:color="000000" w:fill="BFBFBF"/>
            <w:noWrap/>
            <w:vAlign w:val="center"/>
            <w:hideMark/>
          </w:tcPr>
          <w:p w14:paraId="6E97B2A5" w14:textId="77777777" w:rsidR="00500BD0" w:rsidRPr="00324A47" w:rsidRDefault="00500BD0" w:rsidP="00500BD0">
            <w:pPr>
              <w:spacing w:after="0" w:line="240" w:lineRule="auto"/>
              <w:jc w:val="right"/>
              <w:rPr>
                <w:b/>
                <w:bCs/>
                <w:sz w:val="18"/>
                <w:szCs w:val="18"/>
                <w:lang w:eastAsia="sk-SK"/>
              </w:rPr>
            </w:pPr>
            <w:r w:rsidRPr="00324A47">
              <w:rPr>
                <w:b/>
                <w:bCs/>
                <w:sz w:val="18"/>
                <w:szCs w:val="18"/>
                <w:lang w:eastAsia="sk-SK"/>
              </w:rPr>
              <w:t>1 239 072</w:t>
            </w:r>
          </w:p>
        </w:tc>
        <w:tc>
          <w:tcPr>
            <w:tcW w:w="994" w:type="dxa"/>
            <w:tcBorders>
              <w:top w:val="nil"/>
              <w:left w:val="nil"/>
              <w:bottom w:val="nil"/>
              <w:right w:val="nil"/>
            </w:tcBorders>
            <w:shd w:val="clear" w:color="auto" w:fill="auto"/>
            <w:noWrap/>
            <w:vAlign w:val="center"/>
            <w:hideMark/>
          </w:tcPr>
          <w:p w14:paraId="4CAD50F6"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939 384</w:t>
            </w:r>
          </w:p>
        </w:tc>
        <w:tc>
          <w:tcPr>
            <w:tcW w:w="948" w:type="dxa"/>
            <w:tcBorders>
              <w:top w:val="nil"/>
              <w:left w:val="nil"/>
              <w:bottom w:val="nil"/>
              <w:right w:val="nil"/>
            </w:tcBorders>
            <w:shd w:val="clear" w:color="auto" w:fill="auto"/>
            <w:noWrap/>
            <w:vAlign w:val="center"/>
            <w:hideMark/>
          </w:tcPr>
          <w:p w14:paraId="3007D24C" w14:textId="77777777" w:rsidR="00500BD0" w:rsidRPr="00324A47" w:rsidRDefault="00500BD0" w:rsidP="00500BD0">
            <w:pPr>
              <w:spacing w:after="0" w:line="240" w:lineRule="auto"/>
              <w:jc w:val="center"/>
              <w:rPr>
                <w:b/>
                <w:bCs/>
                <w:sz w:val="18"/>
                <w:szCs w:val="18"/>
                <w:lang w:eastAsia="sk-SK"/>
              </w:rPr>
            </w:pPr>
            <w:r w:rsidRPr="00324A47">
              <w:rPr>
                <w:b/>
                <w:bCs/>
                <w:sz w:val="18"/>
                <w:szCs w:val="18"/>
                <w:lang w:eastAsia="sk-SK"/>
              </w:rPr>
              <w:t>33,9</w:t>
            </w:r>
          </w:p>
        </w:tc>
      </w:tr>
      <w:tr w:rsidR="00500BD0" w:rsidRPr="00324A47" w14:paraId="7871EF09" w14:textId="77777777" w:rsidTr="00500BD0">
        <w:trPr>
          <w:trHeight w:val="255"/>
        </w:trPr>
        <w:tc>
          <w:tcPr>
            <w:tcW w:w="3828" w:type="dxa"/>
            <w:tcBorders>
              <w:top w:val="nil"/>
              <w:left w:val="nil"/>
              <w:bottom w:val="nil"/>
              <w:right w:val="nil"/>
            </w:tcBorders>
            <w:shd w:val="clear" w:color="auto" w:fill="auto"/>
            <w:noWrap/>
            <w:vAlign w:val="center"/>
            <w:hideMark/>
          </w:tcPr>
          <w:p w14:paraId="34424E4E" w14:textId="77777777" w:rsidR="00500BD0" w:rsidRPr="00324A47" w:rsidRDefault="00500BD0" w:rsidP="00500BD0">
            <w:pPr>
              <w:spacing w:after="0" w:line="240" w:lineRule="auto"/>
              <w:ind w:firstLineChars="100" w:firstLine="180"/>
              <w:rPr>
                <w:i/>
                <w:iCs/>
                <w:color w:val="000000"/>
                <w:sz w:val="18"/>
                <w:szCs w:val="18"/>
                <w:lang w:eastAsia="sk-SK"/>
              </w:rPr>
            </w:pPr>
            <w:r>
              <w:rPr>
                <w:i/>
                <w:iCs/>
                <w:color w:val="000000"/>
                <w:sz w:val="18"/>
                <w:szCs w:val="18"/>
                <w:lang w:eastAsia="sk-SK"/>
              </w:rPr>
              <w:t>z toho: z EÚ</w:t>
            </w:r>
          </w:p>
        </w:tc>
        <w:tc>
          <w:tcPr>
            <w:tcW w:w="1025" w:type="dxa"/>
            <w:tcBorders>
              <w:top w:val="nil"/>
              <w:left w:val="nil"/>
              <w:bottom w:val="nil"/>
              <w:right w:val="nil"/>
            </w:tcBorders>
            <w:shd w:val="clear" w:color="auto" w:fill="auto"/>
            <w:noWrap/>
            <w:vAlign w:val="bottom"/>
            <w:hideMark/>
          </w:tcPr>
          <w:p w14:paraId="6EC2E5A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787 803</w:t>
            </w:r>
          </w:p>
        </w:tc>
        <w:tc>
          <w:tcPr>
            <w:tcW w:w="1101" w:type="dxa"/>
            <w:tcBorders>
              <w:top w:val="nil"/>
              <w:left w:val="nil"/>
              <w:bottom w:val="nil"/>
              <w:right w:val="nil"/>
            </w:tcBorders>
            <w:shd w:val="clear" w:color="auto" w:fill="auto"/>
            <w:noWrap/>
            <w:vAlign w:val="bottom"/>
            <w:hideMark/>
          </w:tcPr>
          <w:p w14:paraId="45F0C694"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661 403</w:t>
            </w:r>
          </w:p>
        </w:tc>
        <w:tc>
          <w:tcPr>
            <w:tcW w:w="1176" w:type="dxa"/>
            <w:tcBorders>
              <w:top w:val="nil"/>
              <w:left w:val="nil"/>
              <w:bottom w:val="nil"/>
              <w:right w:val="nil"/>
            </w:tcBorders>
            <w:shd w:val="clear" w:color="000000" w:fill="BFBFBF"/>
            <w:noWrap/>
            <w:vAlign w:val="bottom"/>
            <w:hideMark/>
          </w:tcPr>
          <w:p w14:paraId="40FEFB4D"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1 009 861</w:t>
            </w:r>
          </w:p>
        </w:tc>
        <w:tc>
          <w:tcPr>
            <w:tcW w:w="994" w:type="dxa"/>
            <w:tcBorders>
              <w:top w:val="nil"/>
              <w:left w:val="nil"/>
              <w:bottom w:val="nil"/>
              <w:right w:val="nil"/>
            </w:tcBorders>
            <w:shd w:val="clear" w:color="auto" w:fill="auto"/>
            <w:noWrap/>
            <w:vAlign w:val="center"/>
            <w:hideMark/>
          </w:tcPr>
          <w:p w14:paraId="10FB8328" w14:textId="77777777" w:rsidR="00500BD0" w:rsidRPr="00324A47" w:rsidRDefault="00500BD0" w:rsidP="00500BD0">
            <w:pPr>
              <w:spacing w:after="0" w:line="240" w:lineRule="auto"/>
              <w:jc w:val="right"/>
              <w:rPr>
                <w:color w:val="000000"/>
                <w:sz w:val="18"/>
                <w:szCs w:val="18"/>
                <w:lang w:eastAsia="sk-SK"/>
              </w:rPr>
            </w:pPr>
            <w:r>
              <w:rPr>
                <w:color w:val="000000"/>
                <w:sz w:val="18"/>
                <w:szCs w:val="18"/>
                <w:lang w:eastAsia="sk-SK"/>
              </w:rPr>
              <w:t>346 043</w:t>
            </w:r>
          </w:p>
        </w:tc>
        <w:tc>
          <w:tcPr>
            <w:tcW w:w="948" w:type="dxa"/>
            <w:tcBorders>
              <w:top w:val="nil"/>
              <w:left w:val="nil"/>
              <w:bottom w:val="nil"/>
              <w:right w:val="nil"/>
            </w:tcBorders>
            <w:shd w:val="clear" w:color="auto" w:fill="auto"/>
            <w:noWrap/>
            <w:vAlign w:val="bottom"/>
            <w:hideMark/>
          </w:tcPr>
          <w:p w14:paraId="1BE34244"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52,7</w:t>
            </w:r>
          </w:p>
        </w:tc>
      </w:tr>
      <w:tr w:rsidR="00500BD0" w:rsidRPr="00324A47" w14:paraId="1504D7C9" w14:textId="77777777" w:rsidTr="00500BD0">
        <w:trPr>
          <w:trHeight w:val="255"/>
        </w:trPr>
        <w:tc>
          <w:tcPr>
            <w:tcW w:w="3828" w:type="dxa"/>
            <w:tcBorders>
              <w:top w:val="nil"/>
              <w:left w:val="nil"/>
              <w:bottom w:val="nil"/>
              <w:right w:val="nil"/>
            </w:tcBorders>
            <w:shd w:val="clear" w:color="auto" w:fill="auto"/>
            <w:noWrap/>
            <w:vAlign w:val="center"/>
            <w:hideMark/>
          </w:tcPr>
          <w:p w14:paraId="45EC1F49"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Ostatné bežné transfery</w:t>
            </w:r>
          </w:p>
        </w:tc>
        <w:tc>
          <w:tcPr>
            <w:tcW w:w="1025" w:type="dxa"/>
            <w:tcBorders>
              <w:top w:val="nil"/>
              <w:left w:val="nil"/>
              <w:bottom w:val="nil"/>
              <w:right w:val="nil"/>
            </w:tcBorders>
            <w:shd w:val="clear" w:color="auto" w:fill="auto"/>
            <w:noWrap/>
            <w:vAlign w:val="bottom"/>
            <w:hideMark/>
          </w:tcPr>
          <w:p w14:paraId="0E790678"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770 762</w:t>
            </w:r>
          </w:p>
        </w:tc>
        <w:tc>
          <w:tcPr>
            <w:tcW w:w="1101" w:type="dxa"/>
            <w:tcBorders>
              <w:top w:val="nil"/>
              <w:left w:val="nil"/>
              <w:bottom w:val="nil"/>
              <w:right w:val="nil"/>
            </w:tcBorders>
            <w:shd w:val="clear" w:color="auto" w:fill="auto"/>
            <w:noWrap/>
            <w:vAlign w:val="bottom"/>
            <w:hideMark/>
          </w:tcPr>
          <w:p w14:paraId="53F9DFF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622 614</w:t>
            </w:r>
          </w:p>
        </w:tc>
        <w:tc>
          <w:tcPr>
            <w:tcW w:w="1176" w:type="dxa"/>
            <w:tcBorders>
              <w:top w:val="nil"/>
              <w:left w:val="nil"/>
              <w:bottom w:val="nil"/>
              <w:right w:val="nil"/>
            </w:tcBorders>
            <w:shd w:val="clear" w:color="000000" w:fill="BFBFBF"/>
            <w:noWrap/>
            <w:vAlign w:val="bottom"/>
            <w:hideMark/>
          </w:tcPr>
          <w:p w14:paraId="3412E82B"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617 700</w:t>
            </w:r>
          </w:p>
        </w:tc>
        <w:tc>
          <w:tcPr>
            <w:tcW w:w="994" w:type="dxa"/>
            <w:tcBorders>
              <w:top w:val="nil"/>
              <w:left w:val="nil"/>
              <w:bottom w:val="nil"/>
              <w:right w:val="nil"/>
            </w:tcBorders>
            <w:shd w:val="clear" w:color="auto" w:fill="auto"/>
            <w:noWrap/>
            <w:vAlign w:val="center"/>
            <w:hideMark/>
          </w:tcPr>
          <w:p w14:paraId="54618BBE"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905 571</w:t>
            </w:r>
          </w:p>
        </w:tc>
        <w:tc>
          <w:tcPr>
            <w:tcW w:w="948" w:type="dxa"/>
            <w:tcBorders>
              <w:top w:val="nil"/>
              <w:left w:val="nil"/>
              <w:bottom w:val="nil"/>
              <w:right w:val="nil"/>
            </w:tcBorders>
            <w:shd w:val="clear" w:color="auto" w:fill="auto"/>
            <w:noWrap/>
            <w:vAlign w:val="bottom"/>
            <w:hideMark/>
          </w:tcPr>
          <w:p w14:paraId="3D3AD4DC"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-0,8</w:t>
            </w:r>
          </w:p>
        </w:tc>
      </w:tr>
      <w:tr w:rsidR="00500BD0" w:rsidRPr="00324A47" w14:paraId="18742054" w14:textId="77777777" w:rsidTr="00500BD0">
        <w:trPr>
          <w:trHeight w:val="255"/>
        </w:trPr>
        <w:tc>
          <w:tcPr>
            <w:tcW w:w="3828" w:type="dxa"/>
            <w:tcBorders>
              <w:top w:val="nil"/>
              <w:left w:val="nil"/>
              <w:bottom w:val="single" w:sz="4" w:space="0" w:color="auto"/>
              <w:right w:val="nil"/>
            </w:tcBorders>
            <w:shd w:val="clear" w:color="auto" w:fill="auto"/>
            <w:noWrap/>
            <w:vAlign w:val="center"/>
            <w:hideMark/>
          </w:tcPr>
          <w:p w14:paraId="75D70804" w14:textId="77777777" w:rsidR="00500BD0" w:rsidRPr="00324A47" w:rsidRDefault="00500BD0" w:rsidP="00500BD0">
            <w:pPr>
              <w:spacing w:after="0" w:line="240" w:lineRule="auto"/>
              <w:ind w:firstLineChars="100" w:firstLine="180"/>
              <w:rPr>
                <w:color w:val="000000"/>
                <w:sz w:val="18"/>
                <w:szCs w:val="18"/>
                <w:lang w:eastAsia="sk-SK"/>
              </w:rPr>
            </w:pPr>
            <w:r w:rsidRPr="00324A47">
              <w:rPr>
                <w:color w:val="000000"/>
                <w:sz w:val="18"/>
                <w:szCs w:val="18"/>
                <w:lang w:eastAsia="sk-SK"/>
              </w:rPr>
              <w:t>Kapitálové transfery</w:t>
            </w:r>
          </w:p>
        </w:tc>
        <w:tc>
          <w:tcPr>
            <w:tcW w:w="1025" w:type="dxa"/>
            <w:tcBorders>
              <w:top w:val="nil"/>
              <w:left w:val="nil"/>
              <w:bottom w:val="nil"/>
              <w:right w:val="nil"/>
            </w:tcBorders>
            <w:shd w:val="clear" w:color="auto" w:fill="auto"/>
            <w:noWrap/>
            <w:vAlign w:val="bottom"/>
            <w:hideMark/>
          </w:tcPr>
          <w:p w14:paraId="555B8507"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528 479</w:t>
            </w:r>
          </w:p>
        </w:tc>
        <w:tc>
          <w:tcPr>
            <w:tcW w:w="1101" w:type="dxa"/>
            <w:tcBorders>
              <w:top w:val="nil"/>
              <w:left w:val="nil"/>
              <w:bottom w:val="nil"/>
              <w:right w:val="nil"/>
            </w:tcBorders>
            <w:shd w:val="clear" w:color="auto" w:fill="auto"/>
            <w:noWrap/>
            <w:vAlign w:val="bottom"/>
            <w:hideMark/>
          </w:tcPr>
          <w:p w14:paraId="330B35E2"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302 991</w:t>
            </w:r>
          </w:p>
        </w:tc>
        <w:tc>
          <w:tcPr>
            <w:tcW w:w="1176" w:type="dxa"/>
            <w:tcBorders>
              <w:top w:val="nil"/>
              <w:left w:val="nil"/>
              <w:bottom w:val="nil"/>
              <w:right w:val="nil"/>
            </w:tcBorders>
            <w:shd w:val="clear" w:color="000000" w:fill="BFBFBF"/>
            <w:noWrap/>
            <w:vAlign w:val="bottom"/>
            <w:hideMark/>
          </w:tcPr>
          <w:p w14:paraId="501EFEDC"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621 372</w:t>
            </w:r>
          </w:p>
        </w:tc>
        <w:tc>
          <w:tcPr>
            <w:tcW w:w="994" w:type="dxa"/>
            <w:tcBorders>
              <w:top w:val="nil"/>
              <w:left w:val="nil"/>
              <w:bottom w:val="single" w:sz="4" w:space="0" w:color="auto"/>
              <w:right w:val="nil"/>
            </w:tcBorders>
            <w:shd w:val="clear" w:color="auto" w:fill="auto"/>
            <w:noWrap/>
            <w:vAlign w:val="center"/>
            <w:hideMark/>
          </w:tcPr>
          <w:p w14:paraId="50241D01" w14:textId="77777777" w:rsidR="00500BD0" w:rsidRPr="00324A47" w:rsidRDefault="00500BD0" w:rsidP="00500BD0">
            <w:pPr>
              <w:spacing w:after="0" w:line="240" w:lineRule="auto"/>
              <w:jc w:val="right"/>
              <w:rPr>
                <w:color w:val="000000"/>
                <w:sz w:val="18"/>
                <w:szCs w:val="18"/>
                <w:lang w:eastAsia="sk-SK"/>
              </w:rPr>
            </w:pPr>
            <w:r w:rsidRPr="00324A47">
              <w:rPr>
                <w:color w:val="000000"/>
                <w:sz w:val="18"/>
                <w:szCs w:val="18"/>
                <w:lang w:eastAsia="sk-SK"/>
              </w:rPr>
              <w:t>33 813</w:t>
            </w:r>
          </w:p>
        </w:tc>
        <w:tc>
          <w:tcPr>
            <w:tcW w:w="948" w:type="dxa"/>
            <w:tcBorders>
              <w:top w:val="nil"/>
              <w:left w:val="nil"/>
              <w:bottom w:val="nil"/>
              <w:right w:val="nil"/>
            </w:tcBorders>
            <w:shd w:val="clear" w:color="auto" w:fill="auto"/>
            <w:noWrap/>
            <w:vAlign w:val="bottom"/>
            <w:hideMark/>
          </w:tcPr>
          <w:p w14:paraId="14799C76" w14:textId="77777777" w:rsidR="00500BD0" w:rsidRPr="00324A47" w:rsidRDefault="00500BD0" w:rsidP="00500BD0">
            <w:pPr>
              <w:spacing w:after="0" w:line="240" w:lineRule="auto"/>
              <w:jc w:val="center"/>
              <w:rPr>
                <w:color w:val="000000"/>
                <w:sz w:val="18"/>
                <w:szCs w:val="18"/>
                <w:lang w:eastAsia="sk-SK"/>
              </w:rPr>
            </w:pPr>
            <w:r w:rsidRPr="00324A47">
              <w:rPr>
                <w:color w:val="000000"/>
                <w:sz w:val="18"/>
                <w:szCs w:val="18"/>
                <w:lang w:eastAsia="sk-SK"/>
              </w:rPr>
              <w:t>105,1</w:t>
            </w:r>
          </w:p>
        </w:tc>
      </w:tr>
      <w:tr w:rsidR="00500BD0" w:rsidRPr="00324A47" w14:paraId="4E94A02B" w14:textId="77777777" w:rsidTr="00500BD0">
        <w:trPr>
          <w:trHeight w:val="255"/>
        </w:trPr>
        <w:tc>
          <w:tcPr>
            <w:tcW w:w="3828" w:type="dxa"/>
            <w:tcBorders>
              <w:top w:val="single" w:sz="4" w:space="0" w:color="auto"/>
              <w:left w:val="nil"/>
              <w:bottom w:val="nil"/>
              <w:right w:val="nil"/>
            </w:tcBorders>
            <w:shd w:val="clear" w:color="000000" w:fill="BFBFBF"/>
            <w:vAlign w:val="center"/>
            <w:hideMark/>
          </w:tcPr>
          <w:p w14:paraId="3A08F89A" w14:textId="77777777" w:rsidR="00500BD0" w:rsidRPr="00324A47" w:rsidRDefault="00500BD0" w:rsidP="00500BD0">
            <w:pPr>
              <w:spacing w:after="0" w:line="240" w:lineRule="auto"/>
              <w:jc w:val="both"/>
              <w:rPr>
                <w:b/>
                <w:bCs/>
                <w:sz w:val="18"/>
                <w:szCs w:val="18"/>
                <w:lang w:eastAsia="sk-SK"/>
              </w:rPr>
            </w:pPr>
            <w:r w:rsidRPr="00324A47">
              <w:rPr>
                <w:b/>
                <w:bCs/>
                <w:sz w:val="18"/>
                <w:szCs w:val="18"/>
                <w:lang w:eastAsia="sk-SK"/>
              </w:rPr>
              <w:t>Príjmy spolu</w:t>
            </w:r>
          </w:p>
        </w:tc>
        <w:tc>
          <w:tcPr>
            <w:tcW w:w="1025" w:type="dxa"/>
            <w:tcBorders>
              <w:top w:val="single" w:sz="4" w:space="0" w:color="auto"/>
              <w:left w:val="nil"/>
              <w:bottom w:val="nil"/>
              <w:right w:val="nil"/>
            </w:tcBorders>
            <w:shd w:val="clear" w:color="000000" w:fill="BFBFBF"/>
            <w:noWrap/>
            <w:vAlign w:val="bottom"/>
            <w:hideMark/>
          </w:tcPr>
          <w:p w14:paraId="05360DBB"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32 526 421</w:t>
            </w:r>
          </w:p>
        </w:tc>
        <w:tc>
          <w:tcPr>
            <w:tcW w:w="1101" w:type="dxa"/>
            <w:tcBorders>
              <w:top w:val="single" w:sz="4" w:space="0" w:color="auto"/>
              <w:left w:val="nil"/>
              <w:bottom w:val="nil"/>
              <w:right w:val="nil"/>
            </w:tcBorders>
            <w:shd w:val="clear" w:color="000000" w:fill="BFBFBF"/>
            <w:noWrap/>
            <w:vAlign w:val="bottom"/>
            <w:hideMark/>
          </w:tcPr>
          <w:p w14:paraId="05B973FD"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34 220 925</w:t>
            </w:r>
          </w:p>
        </w:tc>
        <w:tc>
          <w:tcPr>
            <w:tcW w:w="1176" w:type="dxa"/>
            <w:tcBorders>
              <w:top w:val="single" w:sz="4" w:space="0" w:color="auto"/>
              <w:left w:val="nil"/>
              <w:bottom w:val="nil"/>
              <w:right w:val="nil"/>
            </w:tcBorders>
            <w:shd w:val="clear" w:color="000000" w:fill="BFBFBF"/>
            <w:noWrap/>
            <w:vAlign w:val="bottom"/>
            <w:hideMark/>
          </w:tcPr>
          <w:p w14:paraId="36A3551A"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36 569 629</w:t>
            </w:r>
          </w:p>
        </w:tc>
        <w:tc>
          <w:tcPr>
            <w:tcW w:w="994" w:type="dxa"/>
            <w:tcBorders>
              <w:top w:val="nil"/>
              <w:left w:val="nil"/>
              <w:bottom w:val="nil"/>
              <w:right w:val="nil"/>
            </w:tcBorders>
            <w:shd w:val="clear" w:color="000000" w:fill="BFBFBF"/>
            <w:noWrap/>
            <w:vAlign w:val="bottom"/>
            <w:hideMark/>
          </w:tcPr>
          <w:p w14:paraId="33049605"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34 432 272</w:t>
            </w:r>
          </w:p>
        </w:tc>
        <w:tc>
          <w:tcPr>
            <w:tcW w:w="948" w:type="dxa"/>
            <w:tcBorders>
              <w:top w:val="single" w:sz="4" w:space="0" w:color="auto"/>
              <w:left w:val="nil"/>
              <w:bottom w:val="nil"/>
              <w:right w:val="nil"/>
            </w:tcBorders>
            <w:shd w:val="clear" w:color="000000" w:fill="BFBFBF"/>
            <w:noWrap/>
            <w:vAlign w:val="bottom"/>
            <w:hideMark/>
          </w:tcPr>
          <w:p w14:paraId="51FC13E9" w14:textId="77777777" w:rsidR="00500BD0" w:rsidRPr="00324A47" w:rsidRDefault="00500BD0" w:rsidP="00500BD0">
            <w:pPr>
              <w:spacing w:after="0" w:line="240" w:lineRule="auto"/>
              <w:jc w:val="center"/>
              <w:rPr>
                <w:b/>
                <w:bCs/>
                <w:color w:val="000000"/>
                <w:sz w:val="18"/>
                <w:szCs w:val="18"/>
                <w:lang w:eastAsia="sk-SK"/>
              </w:rPr>
            </w:pPr>
            <w:r w:rsidRPr="00324A47">
              <w:rPr>
                <w:b/>
                <w:bCs/>
                <w:color w:val="000000"/>
                <w:sz w:val="18"/>
                <w:szCs w:val="18"/>
                <w:lang w:eastAsia="sk-SK"/>
              </w:rPr>
              <w:t>6,9</w:t>
            </w:r>
          </w:p>
        </w:tc>
      </w:tr>
      <w:tr w:rsidR="00500BD0" w:rsidRPr="00324A47" w14:paraId="00D16310" w14:textId="77777777" w:rsidTr="00500BD0">
        <w:trPr>
          <w:trHeight w:val="255"/>
        </w:trPr>
        <w:tc>
          <w:tcPr>
            <w:tcW w:w="3828" w:type="dxa"/>
            <w:tcBorders>
              <w:top w:val="nil"/>
              <w:left w:val="nil"/>
              <w:bottom w:val="single" w:sz="4" w:space="0" w:color="auto"/>
              <w:right w:val="nil"/>
            </w:tcBorders>
            <w:shd w:val="clear" w:color="000000" w:fill="BFBFBF"/>
            <w:noWrap/>
            <w:vAlign w:val="center"/>
            <w:hideMark/>
          </w:tcPr>
          <w:p w14:paraId="36D1793F" w14:textId="77777777" w:rsidR="00500BD0" w:rsidRPr="00324A47" w:rsidRDefault="00500BD0" w:rsidP="00500BD0">
            <w:pPr>
              <w:spacing w:after="0" w:line="240" w:lineRule="auto"/>
              <w:rPr>
                <w:b/>
                <w:bCs/>
                <w:sz w:val="18"/>
                <w:szCs w:val="18"/>
                <w:lang w:eastAsia="sk-SK"/>
              </w:rPr>
            </w:pPr>
            <w:r w:rsidRPr="00324A47">
              <w:rPr>
                <w:b/>
                <w:bCs/>
                <w:sz w:val="18"/>
                <w:szCs w:val="18"/>
                <w:lang w:eastAsia="sk-SK"/>
              </w:rPr>
              <w:t xml:space="preserve">     % z HDP</w:t>
            </w:r>
          </w:p>
        </w:tc>
        <w:tc>
          <w:tcPr>
            <w:tcW w:w="1025" w:type="dxa"/>
            <w:tcBorders>
              <w:top w:val="nil"/>
              <w:left w:val="nil"/>
              <w:bottom w:val="single" w:sz="4" w:space="0" w:color="auto"/>
              <w:right w:val="nil"/>
            </w:tcBorders>
            <w:shd w:val="clear" w:color="000000" w:fill="BFBFBF"/>
            <w:noWrap/>
            <w:vAlign w:val="bottom"/>
            <w:hideMark/>
          </w:tcPr>
          <w:p w14:paraId="1D2547BF"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40,1</w:t>
            </w:r>
          </w:p>
        </w:tc>
        <w:tc>
          <w:tcPr>
            <w:tcW w:w="1101" w:type="dxa"/>
            <w:tcBorders>
              <w:top w:val="nil"/>
              <w:left w:val="nil"/>
              <w:bottom w:val="single" w:sz="4" w:space="0" w:color="auto"/>
              <w:right w:val="nil"/>
            </w:tcBorders>
            <w:shd w:val="clear" w:color="000000" w:fill="BFBFBF"/>
            <w:noWrap/>
            <w:vAlign w:val="bottom"/>
            <w:hideMark/>
          </w:tcPr>
          <w:p w14:paraId="3A3E2668"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40,5</w:t>
            </w:r>
          </w:p>
        </w:tc>
        <w:tc>
          <w:tcPr>
            <w:tcW w:w="1176" w:type="dxa"/>
            <w:tcBorders>
              <w:top w:val="nil"/>
              <w:left w:val="nil"/>
              <w:bottom w:val="single" w:sz="4" w:space="0" w:color="auto"/>
              <w:right w:val="nil"/>
            </w:tcBorders>
            <w:shd w:val="clear" w:color="000000" w:fill="BFBFBF"/>
            <w:noWrap/>
            <w:vAlign w:val="bottom"/>
            <w:hideMark/>
          </w:tcPr>
          <w:p w14:paraId="7D542A36" w14:textId="77777777" w:rsidR="00500BD0" w:rsidRPr="00324A47" w:rsidRDefault="00500BD0" w:rsidP="00500BD0">
            <w:pPr>
              <w:spacing w:after="0" w:line="240" w:lineRule="auto"/>
              <w:jc w:val="right"/>
              <w:rPr>
                <w:b/>
                <w:bCs/>
                <w:color w:val="000000"/>
                <w:sz w:val="18"/>
                <w:szCs w:val="18"/>
                <w:lang w:eastAsia="sk-SK"/>
              </w:rPr>
            </w:pPr>
            <w:r w:rsidRPr="00324A47">
              <w:rPr>
                <w:b/>
                <w:bCs/>
                <w:color w:val="000000"/>
                <w:sz w:val="18"/>
                <w:szCs w:val="18"/>
                <w:lang w:eastAsia="sk-SK"/>
              </w:rPr>
              <w:t>40,8</w:t>
            </w:r>
          </w:p>
        </w:tc>
        <w:tc>
          <w:tcPr>
            <w:tcW w:w="994" w:type="dxa"/>
            <w:tcBorders>
              <w:top w:val="nil"/>
              <w:left w:val="nil"/>
              <w:bottom w:val="single" w:sz="4" w:space="0" w:color="auto"/>
              <w:right w:val="nil"/>
            </w:tcBorders>
            <w:shd w:val="clear" w:color="000000" w:fill="BFBFBF"/>
            <w:noWrap/>
            <w:vAlign w:val="center"/>
            <w:hideMark/>
          </w:tcPr>
          <w:p w14:paraId="20E44FEE" w14:textId="604E4A6E" w:rsidR="00500BD0" w:rsidRPr="00324A47" w:rsidRDefault="00500BD0" w:rsidP="00B43C57">
            <w:pPr>
              <w:spacing w:after="0" w:line="240" w:lineRule="auto"/>
              <w:jc w:val="right"/>
              <w:rPr>
                <w:b/>
                <w:bCs/>
                <w:color w:val="000000"/>
                <w:sz w:val="18"/>
                <w:szCs w:val="18"/>
                <w:lang w:eastAsia="sk-SK"/>
              </w:rPr>
            </w:pPr>
            <w:r w:rsidRPr="00324A47">
              <w:rPr>
                <w:b/>
                <w:bCs/>
                <w:color w:val="000000"/>
                <w:sz w:val="18"/>
                <w:szCs w:val="18"/>
                <w:lang w:eastAsia="sk-SK"/>
              </w:rPr>
              <w:t>3</w:t>
            </w:r>
            <w:r w:rsidR="00B43C57">
              <w:rPr>
                <w:b/>
                <w:bCs/>
                <w:color w:val="000000"/>
                <w:sz w:val="18"/>
                <w:szCs w:val="18"/>
                <w:lang w:eastAsia="sk-SK"/>
              </w:rPr>
              <w:t>8</w:t>
            </w:r>
            <w:r w:rsidRPr="00324A47">
              <w:rPr>
                <w:b/>
                <w:bCs/>
                <w:color w:val="000000"/>
                <w:sz w:val="18"/>
                <w:szCs w:val="18"/>
                <w:lang w:eastAsia="sk-SK"/>
              </w:rPr>
              <w:t>,5</w:t>
            </w:r>
          </w:p>
        </w:tc>
        <w:tc>
          <w:tcPr>
            <w:tcW w:w="948" w:type="dxa"/>
            <w:tcBorders>
              <w:top w:val="nil"/>
              <w:left w:val="nil"/>
              <w:bottom w:val="single" w:sz="4" w:space="0" w:color="auto"/>
              <w:right w:val="nil"/>
            </w:tcBorders>
            <w:shd w:val="clear" w:color="000000" w:fill="BFBFBF"/>
            <w:noWrap/>
            <w:vAlign w:val="bottom"/>
            <w:hideMark/>
          </w:tcPr>
          <w:p w14:paraId="71DB301B" w14:textId="77777777" w:rsidR="00500BD0" w:rsidRPr="00324A47" w:rsidRDefault="00500BD0" w:rsidP="00500BD0">
            <w:pPr>
              <w:spacing w:after="0" w:line="240" w:lineRule="auto"/>
              <w:jc w:val="center"/>
              <w:rPr>
                <w:b/>
                <w:bCs/>
                <w:color w:val="000000"/>
                <w:sz w:val="18"/>
                <w:szCs w:val="18"/>
                <w:lang w:eastAsia="sk-SK"/>
              </w:rPr>
            </w:pPr>
            <w:r w:rsidRPr="00324A47">
              <w:rPr>
                <w:b/>
                <w:bCs/>
                <w:color w:val="000000"/>
                <w:sz w:val="18"/>
                <w:szCs w:val="18"/>
                <w:lang w:eastAsia="sk-SK"/>
              </w:rPr>
              <w:t>0,3</w:t>
            </w:r>
          </w:p>
        </w:tc>
      </w:tr>
      <w:tr w:rsidR="00500BD0" w:rsidRPr="00324A47" w14:paraId="395625E3" w14:textId="77777777" w:rsidTr="00500BD0">
        <w:trPr>
          <w:trHeight w:val="255"/>
        </w:trPr>
        <w:tc>
          <w:tcPr>
            <w:tcW w:w="3828" w:type="dxa"/>
            <w:tcBorders>
              <w:top w:val="nil"/>
              <w:left w:val="nil"/>
              <w:bottom w:val="nil"/>
              <w:right w:val="nil"/>
            </w:tcBorders>
            <w:shd w:val="clear" w:color="auto" w:fill="auto"/>
            <w:noWrap/>
            <w:vAlign w:val="bottom"/>
            <w:hideMark/>
          </w:tcPr>
          <w:p w14:paraId="7BD21BF9" w14:textId="77777777" w:rsidR="00500BD0" w:rsidRPr="00324A47" w:rsidRDefault="00500BD0" w:rsidP="00500BD0">
            <w:pPr>
              <w:spacing w:after="0" w:line="240" w:lineRule="auto"/>
              <w:jc w:val="center"/>
              <w:rPr>
                <w:b/>
                <w:bCs/>
                <w:color w:val="000000"/>
                <w:sz w:val="18"/>
                <w:szCs w:val="18"/>
                <w:lang w:eastAsia="sk-SK"/>
              </w:rPr>
            </w:pPr>
          </w:p>
        </w:tc>
        <w:tc>
          <w:tcPr>
            <w:tcW w:w="1025" w:type="dxa"/>
            <w:tcBorders>
              <w:top w:val="nil"/>
              <w:left w:val="nil"/>
              <w:bottom w:val="nil"/>
              <w:right w:val="nil"/>
            </w:tcBorders>
            <w:shd w:val="clear" w:color="auto" w:fill="auto"/>
            <w:noWrap/>
            <w:vAlign w:val="bottom"/>
            <w:hideMark/>
          </w:tcPr>
          <w:p w14:paraId="46882462" w14:textId="77777777" w:rsidR="00500BD0" w:rsidRPr="00324A47" w:rsidRDefault="00500BD0" w:rsidP="00500BD0">
            <w:pPr>
              <w:spacing w:after="0" w:line="240" w:lineRule="auto"/>
              <w:rPr>
                <w:sz w:val="20"/>
                <w:szCs w:val="20"/>
                <w:lang w:eastAsia="sk-SK"/>
              </w:rPr>
            </w:pPr>
          </w:p>
        </w:tc>
        <w:tc>
          <w:tcPr>
            <w:tcW w:w="1101" w:type="dxa"/>
            <w:tcBorders>
              <w:top w:val="nil"/>
              <w:left w:val="nil"/>
              <w:bottom w:val="nil"/>
              <w:right w:val="nil"/>
            </w:tcBorders>
            <w:shd w:val="clear" w:color="auto" w:fill="auto"/>
            <w:noWrap/>
            <w:vAlign w:val="bottom"/>
            <w:hideMark/>
          </w:tcPr>
          <w:p w14:paraId="6FE88B75" w14:textId="77777777" w:rsidR="00500BD0" w:rsidRPr="00324A47" w:rsidRDefault="00500BD0" w:rsidP="00500BD0">
            <w:pPr>
              <w:spacing w:after="0" w:line="240" w:lineRule="auto"/>
              <w:rPr>
                <w:sz w:val="20"/>
                <w:szCs w:val="20"/>
                <w:lang w:eastAsia="sk-SK"/>
              </w:rPr>
            </w:pPr>
          </w:p>
        </w:tc>
        <w:tc>
          <w:tcPr>
            <w:tcW w:w="1176" w:type="dxa"/>
            <w:tcBorders>
              <w:top w:val="nil"/>
              <w:left w:val="nil"/>
              <w:bottom w:val="nil"/>
              <w:right w:val="nil"/>
            </w:tcBorders>
            <w:shd w:val="clear" w:color="auto" w:fill="auto"/>
            <w:noWrap/>
            <w:vAlign w:val="bottom"/>
            <w:hideMark/>
          </w:tcPr>
          <w:p w14:paraId="473AE8C3" w14:textId="77777777" w:rsidR="00500BD0" w:rsidRPr="00324A47" w:rsidRDefault="00500BD0" w:rsidP="00500BD0">
            <w:pPr>
              <w:spacing w:after="0" w:line="240" w:lineRule="auto"/>
              <w:rPr>
                <w:sz w:val="20"/>
                <w:szCs w:val="20"/>
                <w:lang w:eastAsia="sk-SK"/>
              </w:rPr>
            </w:pPr>
          </w:p>
        </w:tc>
        <w:tc>
          <w:tcPr>
            <w:tcW w:w="1942" w:type="dxa"/>
            <w:gridSpan w:val="2"/>
            <w:tcBorders>
              <w:top w:val="single" w:sz="4" w:space="0" w:color="auto"/>
              <w:left w:val="nil"/>
              <w:bottom w:val="nil"/>
              <w:right w:val="nil"/>
            </w:tcBorders>
            <w:shd w:val="clear" w:color="auto" w:fill="auto"/>
            <w:noWrap/>
            <w:hideMark/>
          </w:tcPr>
          <w:p w14:paraId="3A0051FD" w14:textId="0EE748E3" w:rsidR="00500BD0" w:rsidRPr="00324A47" w:rsidRDefault="00500BD0" w:rsidP="00500BD0">
            <w:pPr>
              <w:spacing w:after="0" w:line="240" w:lineRule="auto"/>
              <w:jc w:val="right"/>
              <w:rPr>
                <w:sz w:val="16"/>
                <w:szCs w:val="16"/>
                <w:lang w:eastAsia="sk-SK"/>
              </w:rPr>
            </w:pPr>
            <w:r w:rsidRPr="00324A47">
              <w:rPr>
                <w:sz w:val="16"/>
                <w:szCs w:val="16"/>
                <w:lang w:eastAsia="sk-SK"/>
              </w:rPr>
              <w:t>Zdroj: ŠÚ</w:t>
            </w:r>
            <w:r w:rsidR="00D704AF">
              <w:rPr>
                <w:sz w:val="16"/>
                <w:szCs w:val="16"/>
                <w:lang w:eastAsia="sk-SK"/>
              </w:rPr>
              <w:t xml:space="preserve"> </w:t>
            </w:r>
            <w:r w:rsidRPr="00324A47">
              <w:rPr>
                <w:sz w:val="16"/>
                <w:szCs w:val="16"/>
                <w:lang w:eastAsia="sk-SK"/>
              </w:rPr>
              <w:t>SR, MF SR</w:t>
            </w:r>
          </w:p>
        </w:tc>
      </w:tr>
    </w:tbl>
    <w:p w14:paraId="38F83A2D" w14:textId="77777777" w:rsidR="00500BD0" w:rsidRDefault="00500BD0" w:rsidP="00500BD0">
      <w:pPr>
        <w:spacing w:after="120" w:line="336" w:lineRule="auto"/>
        <w:jc w:val="both"/>
      </w:pPr>
      <w:r w:rsidRPr="006E78F0">
        <w:rPr>
          <w:b/>
        </w:rPr>
        <w:t>Daňové a odvodové príjmy</w:t>
      </w:r>
      <w:r w:rsidRPr="00A56733">
        <w:t xml:space="preserve"> v roku 2018 tvorili 83,8 % všetkých </w:t>
      </w:r>
      <w:r w:rsidRPr="003055E0">
        <w:t>príjmov verejnej správy a zaznamenali medziročný rast o 6,3 %. Medziročný rast bol korigovaný poklesom zdravotných odvodov za poistencov štátu o 8,5 %. Odhliadnuc od toho by bol medziročný rast daní a odvodov na úrovni 7,0</w:t>
      </w:r>
      <w:r>
        <w:t> </w:t>
      </w:r>
      <w:r w:rsidRPr="003055E0">
        <w:t>%. Príspevok</w:t>
      </w:r>
      <w:r w:rsidRPr="009938C0">
        <w:t xml:space="preserve"> makroekonomického vývoja k rastu daňových a odvodových príjmov bol vo výške </w:t>
      </w:r>
      <w:r>
        <w:t>6,6 p. </w:t>
      </w:r>
      <w:r w:rsidRPr="009938C0">
        <w:t xml:space="preserve">b. </w:t>
      </w:r>
      <w:r w:rsidRPr="00F01A1A">
        <w:t>Slovenská ekonomika pokračovala aj v roku 2018 v rastúcom tempe, oproti roku 2017 vzrástla o 4,0 %. Najvýraznejšie k</w:t>
      </w:r>
      <w:r>
        <w:t xml:space="preserve"> ekonomickému </w:t>
      </w:r>
      <w:r w:rsidRPr="00F01A1A">
        <w:t xml:space="preserve">rastu vďaka výbornej kondícii trhu práce prispela spotreba domácností. </w:t>
      </w:r>
      <w:r w:rsidRPr="00B55832">
        <w:t xml:space="preserve">Export len mierne predbehol zahraničný dopyt. </w:t>
      </w:r>
      <w:r>
        <w:t xml:space="preserve">Investície zopakovali rast blízky 4 %. Rast </w:t>
      </w:r>
      <w:r w:rsidRPr="00E25568">
        <w:t>cenovej hladiny o 2,5</w:t>
      </w:r>
      <w:r>
        <w:t> </w:t>
      </w:r>
      <w:r w:rsidRPr="00E25568">
        <w:t>% bol najrýchlejší od roku 2013. Rast zamestnanosti stlačil nezamestn</w:t>
      </w:r>
      <w:r>
        <w:t>anosť na historické minimum 6,6 </w:t>
      </w:r>
      <w:r w:rsidRPr="00E25568">
        <w:t>%. Z</w:t>
      </w:r>
      <w:r w:rsidRPr="00DB09AA">
        <w:t>o všetkých makroekonomických základní bol zaznamenaný pokles iba v prípade úrokovej bázy, ktorá negatívne ovplyvnila výnos dane z príjmov vybera</w:t>
      </w:r>
      <w:r w:rsidRPr="009938C0">
        <w:t>nej zrážkou. Príspevok vyššej úspešnosti výberu k rastu daňový</w:t>
      </w:r>
      <w:r>
        <w:t>ch a odvodových príjmov bol 0,8 p. </w:t>
      </w:r>
      <w:r w:rsidRPr="009938C0">
        <w:t>b</w:t>
      </w:r>
      <w:r w:rsidRPr="00BF78F0">
        <w:t>.</w:t>
      </w:r>
      <w:r w:rsidRPr="00BF78F0">
        <w:rPr>
          <w:vertAlign w:val="superscript"/>
        </w:rPr>
        <w:footnoteReference w:id="11"/>
      </w:r>
      <w:r w:rsidRPr="00BF78F0">
        <w:t xml:space="preserve"> Vyššia efektívnosť výberu bola zaznamenaná najmä v prípade dane z pridanej hodnoty, dane z príjmov fyzických osôb zo</w:t>
      </w:r>
      <w:r>
        <w:t> </w:t>
      </w:r>
      <w:r w:rsidRPr="00BF78F0">
        <w:t>závislej činnosti a sociálnych odvodov. Legislatívne opatrenia a iné faktory korigovali medziročný rast výnosu daní</w:t>
      </w:r>
      <w:r>
        <w:t xml:space="preserve"> smerom</w:t>
      </w:r>
      <w:r w:rsidRPr="00BF78F0">
        <w:t xml:space="preserve"> nadol.</w:t>
      </w:r>
    </w:p>
    <w:p w14:paraId="25DC997B" w14:textId="437D4BAA" w:rsidR="00500BD0" w:rsidRPr="003D01AE" w:rsidRDefault="00500BD0" w:rsidP="00500BD0">
      <w:pPr>
        <w:autoSpaceDE w:val="0"/>
        <w:autoSpaceDN w:val="0"/>
        <w:adjustRightInd w:val="0"/>
        <w:spacing w:after="120" w:line="336" w:lineRule="auto"/>
        <w:jc w:val="both"/>
        <w:rPr>
          <w:highlight w:val="yellow"/>
        </w:rPr>
      </w:pPr>
      <w:r w:rsidRPr="0043759C">
        <w:rPr>
          <w:b/>
        </w:rPr>
        <w:t>Daň z pridanej hodnoty (DPH)</w:t>
      </w:r>
      <w:r>
        <w:t xml:space="preserve"> </w:t>
      </w:r>
      <w:r w:rsidRPr="007F1B3F">
        <w:t>vzrástla v </w:t>
      </w:r>
      <w:r w:rsidRPr="00ED113B">
        <w:t>roku 2018 najviac spomedzi daňových a odvodových</w:t>
      </w:r>
      <w:r w:rsidRPr="007F1B3F">
        <w:t xml:space="preserve"> príjmov, a to vo výške </w:t>
      </w:r>
      <w:r>
        <w:t>400</w:t>
      </w:r>
      <w:r w:rsidR="007D7B1C">
        <w:t> 557 tis. </w:t>
      </w:r>
      <w:r>
        <w:t>eur (</w:t>
      </w:r>
      <w:r w:rsidRPr="007F1B3F">
        <w:t>6,8 %</w:t>
      </w:r>
      <w:r>
        <w:t>)</w:t>
      </w:r>
      <w:r w:rsidRPr="007F1B3F">
        <w:t xml:space="preserve"> v porovnaní s predchádzajúcim rokom. Na rast výnosu vplýval</w:t>
      </w:r>
      <w:r w:rsidR="003F3407">
        <w:t>a</w:t>
      </w:r>
      <w:r w:rsidRPr="00825B4F">
        <w:t xml:space="preserve"> vyššia úspešnosť výberu dane a najmä priaznivý vývoj makroekonomického prostredia, ťahaný spotrebou domácností. Medziročne stúpli aj investície a medzispotreba vlády, ktorá pozitívne vplývajú na výnos DPH.</w:t>
      </w:r>
      <w:r>
        <w:t xml:space="preserve"> Iné faktory znížili medziročný rast mierne o 0,8 p. b.</w:t>
      </w:r>
    </w:p>
    <w:p w14:paraId="1AF8C1F4" w14:textId="7134CD96" w:rsidR="00500BD0" w:rsidRPr="00F40152" w:rsidRDefault="00500BD0" w:rsidP="00500BD0">
      <w:pPr>
        <w:spacing w:after="120" w:line="336" w:lineRule="auto"/>
        <w:jc w:val="both"/>
      </w:pPr>
      <w:r w:rsidRPr="00F40152">
        <w:rPr>
          <w:b/>
        </w:rPr>
        <w:t>Spotrebné dane</w:t>
      </w:r>
      <w:r>
        <w:rPr>
          <w:b/>
        </w:rPr>
        <w:t xml:space="preserve"> (SD)</w:t>
      </w:r>
      <w:r w:rsidRPr="00F40152">
        <w:t xml:space="preserve"> v roku 2018 zaznamenali medziročný nárast o 3,5 % (bez vplyvu navýšenia SD z elektriny o „zelenú energiu“</w:t>
      </w:r>
      <w:r>
        <w:t xml:space="preserve"> by</w:t>
      </w:r>
      <w:r w:rsidRPr="00F40152">
        <w:t xml:space="preserve"> bol nárast 2,9</w:t>
      </w:r>
      <w:r>
        <w:t xml:space="preserve"> </w:t>
      </w:r>
      <w:r w:rsidRPr="00F40152">
        <w:t>%)</w:t>
      </w:r>
      <w:r>
        <w:rPr>
          <w:rStyle w:val="Odkaznapoznmkupodiarou"/>
        </w:rPr>
        <w:footnoteReference w:id="12"/>
      </w:r>
      <w:r w:rsidRPr="00F40152">
        <w:t xml:space="preserve">. </w:t>
      </w:r>
      <w:r w:rsidRPr="00BA29DB">
        <w:t xml:space="preserve">Väčšina </w:t>
      </w:r>
      <w:r w:rsidR="005971A7" w:rsidRPr="00BA29DB">
        <w:t xml:space="preserve">príjmu zo </w:t>
      </w:r>
      <w:r w:rsidRPr="00BA29DB">
        <w:t xml:space="preserve">spotrebných </w:t>
      </w:r>
      <w:r>
        <w:t>daní je tvorená SD z minerálnych olejov a z tabakových výrobkov, ktoré zároveň najviac prispeli aj k medziročnému rastu.</w:t>
      </w:r>
      <w:r w:rsidRPr="00F40152">
        <w:t xml:space="preserve"> Výnos dane z minerálnych olejov vzrástol o 3,0 %. Za nárastom je vyšší rast reálneho HDP čiastočne korigovaný nižšou efektivitou výberu dane. Nárast výnosu spotrebnej dane z tabakových výrobkov o 2,4 % je spôsobený najmä vyššou spotrebou domácností a posunom zaplatenia dane jedným subjektom z roku 2017 do roku 2018.</w:t>
      </w:r>
    </w:p>
    <w:p w14:paraId="54355EF1" w14:textId="4CA27057" w:rsidR="00500BD0" w:rsidRPr="0037761D" w:rsidRDefault="00500BD0" w:rsidP="00500BD0">
      <w:pPr>
        <w:spacing w:after="120" w:line="336" w:lineRule="auto"/>
        <w:jc w:val="both"/>
      </w:pPr>
      <w:r w:rsidRPr="0037761D">
        <w:rPr>
          <w:b/>
        </w:rPr>
        <w:t xml:space="preserve">Daň z príjmov fyzických osôb </w:t>
      </w:r>
      <w:r>
        <w:rPr>
          <w:b/>
        </w:rPr>
        <w:t xml:space="preserve">(DPFO) </w:t>
      </w:r>
      <w:r w:rsidRPr="0037761D">
        <w:t>v roku 2018 vzrástla o 12,6 %. K vyššiemu výnosu prispel najmä rast DPFO</w:t>
      </w:r>
      <w:r w:rsidR="007D7B1C">
        <w:t xml:space="preserve"> zo závislej činnosti v sume 347 502 tis. </w:t>
      </w:r>
      <w:r w:rsidRPr="0037761D">
        <w:t xml:space="preserve">eur (12,7 %). K vyššiemu výnosu </w:t>
      </w:r>
      <w:r>
        <w:t>výrazne dopomohol</w:t>
      </w:r>
      <w:r w:rsidRPr="0037761D">
        <w:t xml:space="preserve"> pozitívny vývoj na trhu práce</w:t>
      </w:r>
      <w:r w:rsidR="004E2DE8">
        <w:t>,</w:t>
      </w:r>
      <w:r w:rsidRPr="0037761D">
        <w:t xml:space="preserve"> vyššia úspešnosť výberu dane</w:t>
      </w:r>
      <w:r>
        <w:t xml:space="preserve"> </w:t>
      </w:r>
      <w:r w:rsidR="004E2DE8">
        <w:t>a ovplyvnila ho aj pomalšia indexácia daňového systému</w:t>
      </w:r>
      <w:r w:rsidRPr="0037761D">
        <w:t xml:space="preserve">. DPFO z podnikania </w:t>
      </w:r>
      <w:r>
        <w:t xml:space="preserve">medziročne </w:t>
      </w:r>
      <w:r w:rsidRPr="0037761D">
        <w:t>vzrástla o</w:t>
      </w:r>
      <w:r w:rsidR="008726DB">
        <w:t> </w:t>
      </w:r>
      <w:r w:rsidRPr="0037761D">
        <w:t>13</w:t>
      </w:r>
      <w:r w:rsidR="008726DB">
        <w:t> 238 tis. </w:t>
      </w:r>
      <w:r w:rsidRPr="00492128">
        <w:t>eur (12,2</w:t>
      </w:r>
      <w:r>
        <w:t> </w:t>
      </w:r>
      <w:r w:rsidRPr="00492128">
        <w:t>%).</w:t>
      </w:r>
      <w:r w:rsidRPr="0037761D">
        <w:t xml:space="preserve"> </w:t>
      </w:r>
    </w:p>
    <w:p w14:paraId="1E883153" w14:textId="0FDDEA13" w:rsidR="00500BD0" w:rsidRDefault="00500BD0" w:rsidP="00500BD0">
      <w:pPr>
        <w:spacing w:before="120" w:after="120" w:line="336" w:lineRule="auto"/>
        <w:jc w:val="both"/>
      </w:pPr>
      <w:r w:rsidRPr="00413972">
        <w:t xml:space="preserve">Medziročný rast výnosu </w:t>
      </w:r>
      <w:r w:rsidRPr="00413972">
        <w:rPr>
          <w:b/>
        </w:rPr>
        <w:t xml:space="preserve">dane z príjmu právnických osôb </w:t>
      </w:r>
      <w:r w:rsidRPr="00413972">
        <w:t xml:space="preserve">dosiahol 0,3 %. </w:t>
      </w:r>
      <w:r>
        <w:t xml:space="preserve">Nízky </w:t>
      </w:r>
      <w:r w:rsidRPr="00413972">
        <w:t>rast</w:t>
      </w:r>
      <w:r>
        <w:t xml:space="preserve"> výnosu</w:t>
      </w:r>
      <w:r w:rsidRPr="00413972">
        <w:t xml:space="preserve"> </w:t>
      </w:r>
      <w:r>
        <w:t>bol ovplyvnený aj</w:t>
      </w:r>
      <w:r w:rsidRPr="00413972">
        <w:t xml:space="preserve"> </w:t>
      </w:r>
      <w:r>
        <w:t>z dôvodu</w:t>
      </w:r>
      <w:r w:rsidRPr="00413972">
        <w:t xml:space="preserve"> zrušenia daňovej licencie od 1.1.2018 </w:t>
      </w:r>
      <w:r>
        <w:t xml:space="preserve">(odhadovaný </w:t>
      </w:r>
      <w:r w:rsidR="00963866">
        <w:t xml:space="preserve">negatívny vplyv vo výške </w:t>
      </w:r>
      <w:r>
        <w:t>100</w:t>
      </w:r>
      <w:r w:rsidR="00963866">
        <w:t> 000 tis. </w:t>
      </w:r>
      <w:r w:rsidRPr="00413972">
        <w:t>eur</w:t>
      </w:r>
      <w:r>
        <w:t>)</w:t>
      </w:r>
      <w:r w:rsidRPr="00413972">
        <w:t xml:space="preserve">, </w:t>
      </w:r>
      <w:r>
        <w:t>čo</w:t>
      </w:r>
      <w:r w:rsidRPr="00413972">
        <w:t xml:space="preserve"> viac než z polovice kompenzoval</w:t>
      </w:r>
      <w:r>
        <w:t>i</w:t>
      </w:r>
      <w:r w:rsidRPr="00413972">
        <w:t xml:space="preserve"> nižš</w:t>
      </w:r>
      <w:r>
        <w:t>ie</w:t>
      </w:r>
      <w:r w:rsidRPr="00413972">
        <w:t xml:space="preserve"> odpis</w:t>
      </w:r>
      <w:r>
        <w:t>y</w:t>
      </w:r>
      <w:r w:rsidRPr="00413972">
        <w:t xml:space="preserve"> daňových strát. Od 1.1.2018 totiž skončila možnosť uplatniť </w:t>
      </w:r>
      <w:r>
        <w:t xml:space="preserve">si </w:t>
      </w:r>
      <w:r w:rsidRPr="00413972">
        <w:t>odpis strát za obdobie 2010 až 2013. Dodatočným faktorom</w:t>
      </w:r>
      <w:r>
        <w:t>,</w:t>
      </w:r>
      <w:r w:rsidRPr="00413972">
        <w:t xml:space="preserve"> ktorý prispel k medziročnému rastu výnosu bol pokračujúci rast ziskovosti firiem</w:t>
      </w:r>
      <w:r>
        <w:t xml:space="preserve"> spojený s rastom ekonomiky</w:t>
      </w:r>
      <w:r w:rsidRPr="00413972">
        <w:t>.</w:t>
      </w:r>
    </w:p>
    <w:p w14:paraId="69D8F499" w14:textId="62B03931" w:rsidR="00500BD0" w:rsidRPr="0080286A" w:rsidRDefault="00500BD0" w:rsidP="00500BD0">
      <w:pPr>
        <w:spacing w:after="120" w:line="336" w:lineRule="auto"/>
        <w:jc w:val="both"/>
      </w:pPr>
      <w:r w:rsidRPr="0080286A">
        <w:t xml:space="preserve">Výnos </w:t>
      </w:r>
      <w:r w:rsidRPr="0080286A">
        <w:rPr>
          <w:b/>
        </w:rPr>
        <w:t>dane z príjmu vyberanej zrážkou</w:t>
      </w:r>
      <w:r w:rsidRPr="0080286A">
        <w:t xml:space="preserve"> </w:t>
      </w:r>
      <w:r w:rsidR="00697A31">
        <w:t>medziročne vzrástol o 17,2 % (30 738 tis. </w:t>
      </w:r>
      <w:r w:rsidRPr="0080286A">
        <w:t>eur). Nárast je najmä z dôvodu zavedenia dane z dividend, ktorá zvýšila medziročne príjmy o</w:t>
      </w:r>
      <w:r w:rsidR="00697A31">
        <w:t> </w:t>
      </w:r>
      <w:r w:rsidRPr="0080286A">
        <w:t>23</w:t>
      </w:r>
      <w:r w:rsidR="00697A31">
        <w:t> 665 tis. </w:t>
      </w:r>
      <w:r w:rsidRPr="0080286A">
        <w:t>eur. K rastu prispel aj vyšší rast HDP a jednorazové faktory. Naopak, vývoj priemernej úrokovej miery</w:t>
      </w:r>
      <w:r>
        <w:t>, ktorá tvorí makroekonomickú základňu,</w:t>
      </w:r>
      <w:r w:rsidRPr="0080286A">
        <w:t xml:space="preserve"> korigoval výnos nadol.</w:t>
      </w:r>
    </w:p>
    <w:p w14:paraId="432C7B4E" w14:textId="77777777" w:rsidR="00500BD0" w:rsidRPr="00EA4C5D" w:rsidRDefault="00500BD0" w:rsidP="00500BD0">
      <w:pPr>
        <w:spacing w:after="120" w:line="336" w:lineRule="auto"/>
        <w:jc w:val="both"/>
      </w:pPr>
      <w:r w:rsidRPr="00A77ACA">
        <w:t xml:space="preserve">Medziročný nárast </w:t>
      </w:r>
      <w:r w:rsidRPr="00A77ACA">
        <w:rPr>
          <w:b/>
        </w:rPr>
        <w:t>príspevkov na sociálne zabezpečenie</w:t>
      </w:r>
      <w:r w:rsidRPr="00A77ACA">
        <w:t xml:space="preserve"> (sociálnych aj zdravotných odvodov) </w:t>
      </w:r>
      <w:r>
        <w:t>predstavoval</w:t>
      </w:r>
      <w:r w:rsidRPr="00A77ACA">
        <w:t> 6,8 %</w:t>
      </w:r>
      <w:r>
        <w:t xml:space="preserve">. Odvody ekonomicky aktívnych osôb (najmä </w:t>
      </w:r>
      <w:r w:rsidRPr="0099113E">
        <w:t>bez vplyvu štátom plateného poistného</w:t>
      </w:r>
      <w:r>
        <w:t xml:space="preserve">) rástli medziročne o 8,4 %. Tento nárast </w:t>
      </w:r>
      <w:r w:rsidRPr="00A77ACA">
        <w:t xml:space="preserve">bol spôsobený najmä pozitívnym vývojom na trhu práce. </w:t>
      </w:r>
      <w:r>
        <w:t xml:space="preserve">Pri sociálnych odvodoch bol výnos ovplyvnený nadol zavedením odvodovej odpočítateľnej položky na sociálne odvody pre dôchodcov a postupnou zmenou sadzieb odvodov do II. piliera. Pri zdravotných odvodoch k vyššiemu výnosu prispelo zrušenie odvodovej odpočítateľnej položky (OOP) </w:t>
      </w:r>
      <w:r w:rsidRPr="00EA4C5D">
        <w:t xml:space="preserve">na zdravotné odvody pre zamestnávateľa a úprava výpočtu OOP. </w:t>
      </w:r>
    </w:p>
    <w:p w14:paraId="1C83447E" w14:textId="77777777" w:rsidR="00500BD0" w:rsidRPr="00EA4C5D" w:rsidRDefault="00500BD0" w:rsidP="00500BD0">
      <w:pPr>
        <w:spacing w:after="120" w:line="336" w:lineRule="auto"/>
        <w:jc w:val="both"/>
        <w:rPr>
          <w:szCs w:val="22"/>
        </w:rPr>
      </w:pPr>
      <w:r w:rsidRPr="00EA4C5D">
        <w:rPr>
          <w:b/>
          <w:szCs w:val="22"/>
        </w:rPr>
        <w:t>V rámci nedaňových príjmov</w:t>
      </w:r>
      <w:r w:rsidRPr="00EA4C5D">
        <w:rPr>
          <w:szCs w:val="22"/>
        </w:rPr>
        <w:t xml:space="preserve"> vzrástol v roku 2018 </w:t>
      </w:r>
      <w:r w:rsidRPr="00180F64">
        <w:rPr>
          <w:b/>
          <w:szCs w:val="22"/>
        </w:rPr>
        <w:t>výnos z tržieb</w:t>
      </w:r>
      <w:r w:rsidRPr="00EA4C5D">
        <w:rPr>
          <w:szCs w:val="22"/>
        </w:rPr>
        <w:t xml:space="preserve"> za produkciu verejnej správy o 5,9 %</w:t>
      </w:r>
      <w:r>
        <w:rPr>
          <w:szCs w:val="22"/>
        </w:rPr>
        <w:t xml:space="preserve"> (nárast o 223 114 tis. eur)</w:t>
      </w:r>
      <w:r w:rsidRPr="00EA4C5D">
        <w:rPr>
          <w:szCs w:val="22"/>
        </w:rPr>
        <w:t>, pričom platby za ostatnú netrhovú produkciu poklesli o 0,7</w:t>
      </w:r>
      <w:r>
        <w:rPr>
          <w:szCs w:val="22"/>
        </w:rPr>
        <w:t xml:space="preserve"> </w:t>
      </w:r>
      <w:r w:rsidRPr="00EA4C5D">
        <w:rPr>
          <w:szCs w:val="22"/>
        </w:rPr>
        <w:t>% (príjmy z poplatkov za</w:t>
      </w:r>
      <w:r>
        <w:rPr>
          <w:szCs w:val="22"/>
        </w:rPr>
        <w:t> </w:t>
      </w:r>
      <w:r w:rsidRPr="00EA4C5D">
        <w:rPr>
          <w:szCs w:val="22"/>
        </w:rPr>
        <w:t xml:space="preserve">školy, školské zariadenia a materské školy). </w:t>
      </w:r>
    </w:p>
    <w:p w14:paraId="72E7517D" w14:textId="4F72FE0E" w:rsidR="00500BD0" w:rsidRDefault="00500BD0" w:rsidP="00500BD0">
      <w:pPr>
        <w:spacing w:after="120" w:line="336" w:lineRule="auto"/>
        <w:jc w:val="both"/>
        <w:rPr>
          <w:rFonts w:eastAsia="Calibri"/>
          <w:color w:val="FF0000"/>
        </w:rPr>
      </w:pPr>
      <w:r>
        <w:rPr>
          <w:rFonts w:eastAsia="Calibri"/>
          <w:b/>
        </w:rPr>
        <w:t>Dividendy a odvody zo zisku</w:t>
      </w:r>
      <w:r>
        <w:rPr>
          <w:rFonts w:eastAsia="Calibri"/>
        </w:rPr>
        <w:t xml:space="preserve"> zaznamenali rast o 4,8 % (nárast o 18 725 tis. eur). Podniky s najvyšším výnosom ESA dividend do rozpočtu verejnej správy v roku 2018 boli Slovenský plynárenský priemysel, a.s. (266 014 tis. eur), Slovenská elektrizačná a prenosová sústava, a.s. (59 000 tis. eur) a tri energetické podniky (v súhrnnej výške 44 093 tis. eur). Najvyšší rast dividend zaznamenali v roku 2018 Západoslovenská energetika, a. s. o 37,8 % a Slovenský plynárenský priemysel, a.</w:t>
      </w:r>
      <w:r w:rsidR="00017D21">
        <w:rPr>
          <w:rFonts w:eastAsia="Calibri"/>
        </w:rPr>
        <w:t xml:space="preserve"> </w:t>
      </w:r>
      <w:r>
        <w:rPr>
          <w:rFonts w:eastAsia="Calibri"/>
        </w:rPr>
        <w:t xml:space="preserve">s. o 30,1 %. </w:t>
      </w:r>
    </w:p>
    <w:p w14:paraId="2F2E1FB3" w14:textId="77777777" w:rsidR="00500BD0" w:rsidRPr="00326A3B" w:rsidRDefault="00500BD0" w:rsidP="00500BD0">
      <w:pPr>
        <w:spacing w:before="120" w:after="0" w:line="336" w:lineRule="auto"/>
        <w:jc w:val="both"/>
        <w:rPr>
          <w:szCs w:val="22"/>
        </w:rPr>
      </w:pPr>
      <w:r w:rsidRPr="00326A3B">
        <w:rPr>
          <w:szCs w:val="22"/>
        </w:rPr>
        <w:t xml:space="preserve">K zníženiu príjmov z </w:t>
      </w:r>
      <w:r w:rsidRPr="00326A3B">
        <w:rPr>
          <w:b/>
          <w:szCs w:val="22"/>
        </w:rPr>
        <w:t>úrokov</w:t>
      </w:r>
      <w:r w:rsidRPr="00326A3B">
        <w:rPr>
          <w:szCs w:val="22"/>
        </w:rPr>
        <w:t xml:space="preserve"> o 10,7</w:t>
      </w:r>
      <w:r>
        <w:rPr>
          <w:szCs w:val="22"/>
        </w:rPr>
        <w:t> </w:t>
      </w:r>
      <w:r w:rsidRPr="00326A3B">
        <w:rPr>
          <w:szCs w:val="22"/>
        </w:rPr>
        <w:t>%</w:t>
      </w:r>
      <w:r>
        <w:rPr>
          <w:szCs w:val="22"/>
        </w:rPr>
        <w:t xml:space="preserve"> (pokles o 20 506 tis. eur)</w:t>
      </w:r>
      <w:r w:rsidRPr="00326A3B">
        <w:rPr>
          <w:szCs w:val="22"/>
        </w:rPr>
        <w:t xml:space="preserve"> oproti predchádzajúcemu roku prispel pokles časového rozlíšenia prémií zo štátnych dlhopisov v kapitole štátny dlh.</w:t>
      </w:r>
    </w:p>
    <w:p w14:paraId="1782D019" w14:textId="3478E526" w:rsidR="00500BD0" w:rsidRPr="00EA4C5D" w:rsidRDefault="00500BD0" w:rsidP="00500BD0">
      <w:pPr>
        <w:spacing w:before="120" w:after="0" w:line="336" w:lineRule="auto"/>
        <w:jc w:val="both"/>
        <w:rPr>
          <w:szCs w:val="22"/>
        </w:rPr>
      </w:pPr>
      <w:r>
        <w:t xml:space="preserve">Výrazný nárast o 52,7 % zaznamenali v roku 2018 </w:t>
      </w:r>
      <w:r>
        <w:rPr>
          <w:b/>
          <w:bCs/>
        </w:rPr>
        <w:t xml:space="preserve">granty a transfery </w:t>
      </w:r>
      <w:r w:rsidR="00125DEF">
        <w:rPr>
          <w:bCs/>
        </w:rPr>
        <w:t>(nárast o 313 458 tis. eur).</w:t>
      </w:r>
      <w:r w:rsidRPr="00964B30">
        <w:rPr>
          <w:bCs/>
        </w:rPr>
        <w:t xml:space="preserve"> </w:t>
      </w:r>
      <w:r w:rsidR="00125DEF">
        <w:t>T</w:t>
      </w:r>
      <w:r>
        <w:t xml:space="preserve">ento nárast súvisí </w:t>
      </w:r>
      <w:r w:rsidR="00125DEF">
        <w:t xml:space="preserve">s akceleráciou čerpania </w:t>
      </w:r>
      <w:r>
        <w:t>EÚ fondov v treťom programovom období</w:t>
      </w:r>
      <w:r w:rsidR="00125DEF">
        <w:t xml:space="preserve"> 2014-2020 a tiež s procesom ukončovania predchádzajúceho programového obdobia </w:t>
      </w:r>
      <w:r>
        <w:t>2007 </w:t>
      </w:r>
      <w:r w:rsidR="00125DEF">
        <w:t>–</w:t>
      </w:r>
      <w:r>
        <w:t> 2013</w:t>
      </w:r>
      <w:r w:rsidR="00386B64">
        <w:t>,</w:t>
      </w:r>
      <w:r w:rsidR="00125DEF">
        <w:t xml:space="preserve"> v rámci ktorého došlo v roku 2018 k prijatiu záverečnej platby z</w:t>
      </w:r>
      <w:r>
        <w:t> Európskej komisie</w:t>
      </w:r>
      <w:r w:rsidR="00125DEF">
        <w:t xml:space="preserve"> za OP Bratislavský kraj a na národnej úrovni k vysporiadaniu nezrovnalosti za OP Informatizácia spoločnosti</w:t>
      </w:r>
      <w:r>
        <w:t>.</w:t>
      </w:r>
    </w:p>
    <w:p w14:paraId="1EBC668A" w14:textId="77777777" w:rsidR="00500BD0" w:rsidRPr="00B80506" w:rsidRDefault="00500BD0" w:rsidP="00500BD0">
      <w:pPr>
        <w:pStyle w:val="Nadpis3"/>
        <w:numPr>
          <w:ilvl w:val="0"/>
          <w:numId w:val="0"/>
        </w:numPr>
        <w:spacing w:before="120" w:after="0"/>
        <w:ind w:left="1800" w:hanging="720"/>
        <w:rPr>
          <w:rStyle w:val="Nadpis3Char"/>
          <w:b/>
          <w:sz w:val="24"/>
          <w:szCs w:val="24"/>
        </w:rPr>
      </w:pPr>
      <w:bookmarkStart w:id="36" w:name="_Toc23264799"/>
      <w:r w:rsidRPr="00B80506">
        <w:t xml:space="preserve">2.1.2. </w:t>
      </w:r>
      <w:r w:rsidRPr="00B80506">
        <w:tab/>
        <w:t>Výdavky verejnej správy</w:t>
      </w:r>
      <w:bookmarkEnd w:id="36"/>
    </w:p>
    <w:p w14:paraId="3CB684F7" w14:textId="77777777" w:rsidR="00500BD0" w:rsidRDefault="00500BD0" w:rsidP="00500BD0">
      <w:pPr>
        <w:spacing w:before="120" w:after="0" w:line="336" w:lineRule="auto"/>
        <w:jc w:val="both"/>
        <w:rPr>
          <w:szCs w:val="22"/>
        </w:rPr>
      </w:pPr>
      <w:r w:rsidRPr="00B80506">
        <w:rPr>
          <w:b/>
          <w:szCs w:val="22"/>
        </w:rPr>
        <w:t xml:space="preserve">Celkové výdavky </w:t>
      </w:r>
      <w:r w:rsidRPr="00B80506">
        <w:rPr>
          <w:szCs w:val="22"/>
        </w:rPr>
        <w:t xml:space="preserve">verejnej správy v roku 2018 v metodike ESA 2010 dosiahli </w:t>
      </w:r>
      <w:r w:rsidRPr="00B80506">
        <w:rPr>
          <w:bCs/>
          <w:szCs w:val="22"/>
        </w:rPr>
        <w:t>37 520 833</w:t>
      </w:r>
      <w:r w:rsidRPr="00B80506">
        <w:rPr>
          <w:b/>
          <w:bCs/>
          <w:szCs w:val="22"/>
        </w:rPr>
        <w:t> </w:t>
      </w:r>
      <w:r w:rsidRPr="00B80506">
        <w:rPr>
          <w:szCs w:val="22"/>
        </w:rPr>
        <w:t>tis. eur (41,8 % HDP). Medziročne sa celkové výdavky zvýšili o 7,1 %</w:t>
      </w:r>
      <w:r>
        <w:rPr>
          <w:szCs w:val="22"/>
        </w:rPr>
        <w:t>, čo predstavovalo nárast o 2 494 947 tis. eur</w:t>
      </w:r>
      <w:r w:rsidRPr="00B80506">
        <w:rPr>
          <w:szCs w:val="22"/>
        </w:rPr>
        <w:t>.</w:t>
      </w:r>
    </w:p>
    <w:p w14:paraId="4117C07C" w14:textId="77777777" w:rsidR="00500BD0" w:rsidRDefault="00500BD0" w:rsidP="00500BD0">
      <w:pPr>
        <w:spacing w:before="120" w:after="0" w:line="336" w:lineRule="auto"/>
        <w:jc w:val="both"/>
        <w:rPr>
          <w:lang w:eastAsia="sk-SK"/>
        </w:rPr>
      </w:pPr>
      <w:r w:rsidRPr="003012CA">
        <w:rPr>
          <w:b/>
          <w:szCs w:val="22"/>
        </w:rPr>
        <w:t>Kompenzácie zamestnancov</w:t>
      </w:r>
      <w:r w:rsidRPr="003012CA">
        <w:rPr>
          <w:szCs w:val="22"/>
        </w:rPr>
        <w:t xml:space="preserve"> vzrástli v roku 2018 o 5,5 %</w:t>
      </w:r>
      <w:r>
        <w:rPr>
          <w:szCs w:val="22"/>
        </w:rPr>
        <w:t xml:space="preserve"> (nárast o 439 452 tis. eur).</w:t>
      </w:r>
      <w:r w:rsidRPr="003012CA">
        <w:rPr>
          <w:szCs w:val="22"/>
        </w:rPr>
        <w:t xml:space="preserve"> </w:t>
      </w:r>
      <w:r w:rsidRPr="003012CA">
        <w:rPr>
          <w:lang w:eastAsia="sk-SK"/>
        </w:rPr>
        <w:t>Medziročný nárast výdavkov na mzdy, platy, služobné príjmy a ostatné osobné vyrovnania ovplyvnilo predovšetkým zvýšenie platov štátnych zamestnancov (v štátnozamestnaneckom aj služobnom pomere) a z</w:t>
      </w:r>
      <w:r>
        <w:rPr>
          <w:lang w:eastAsia="sk-SK"/>
        </w:rPr>
        <w:t>amestnancov pri výkone práce vo </w:t>
      </w:r>
      <w:r w:rsidRPr="003012CA">
        <w:rPr>
          <w:lang w:eastAsia="sk-SK"/>
        </w:rPr>
        <w:t>verejnom záujme s výnimkou učiteľov vysokých škôl a pedagogických zamestnancov</w:t>
      </w:r>
      <w:r>
        <w:rPr>
          <w:lang w:eastAsia="sk-SK"/>
        </w:rPr>
        <w:t xml:space="preserve"> a odborných zamestnancov o 4,8</w:t>
      </w:r>
      <w:r>
        <w:t> </w:t>
      </w:r>
      <w:r w:rsidRPr="003012CA">
        <w:rPr>
          <w:lang w:eastAsia="sk-SK"/>
        </w:rPr>
        <w:t>% s účinnosťou od 1. januára 2018.</w:t>
      </w:r>
    </w:p>
    <w:p w14:paraId="47403D32" w14:textId="77777777" w:rsidR="00500BD0" w:rsidRPr="003012CA" w:rsidRDefault="00500BD0" w:rsidP="00500BD0">
      <w:pPr>
        <w:spacing w:before="120" w:after="0" w:line="336" w:lineRule="auto"/>
        <w:jc w:val="both"/>
        <w:rPr>
          <w:szCs w:val="22"/>
        </w:rPr>
      </w:pPr>
      <w:r>
        <w:rPr>
          <w:b/>
          <w:szCs w:val="22"/>
        </w:rPr>
        <w:t>Dane</w:t>
      </w:r>
      <w:r w:rsidRPr="003012CA">
        <w:rPr>
          <w:szCs w:val="22"/>
        </w:rPr>
        <w:t xml:space="preserve"> </w:t>
      </w:r>
      <w:r>
        <w:rPr>
          <w:szCs w:val="22"/>
        </w:rPr>
        <w:t>v roku 2018 vzrástli o 72,1 % (nárast o 62 862 tis. eur). Nárast bol spôsobený vyšším platením daní subjektov verejnej správy napr. miestnych daní a poplatkov, DPH, na obstaranie tovarov a služieb v rámci výkonu predmetu činnosti.</w:t>
      </w:r>
    </w:p>
    <w:p w14:paraId="06789370" w14:textId="06C1DC65" w:rsidR="00500BD0" w:rsidRDefault="00500BD0" w:rsidP="00500BD0">
      <w:pPr>
        <w:spacing w:before="120" w:after="0" w:line="336" w:lineRule="auto"/>
        <w:jc w:val="both"/>
        <w:rPr>
          <w:szCs w:val="22"/>
        </w:rPr>
      </w:pPr>
      <w:r w:rsidRPr="003012CA">
        <w:rPr>
          <w:b/>
          <w:szCs w:val="22"/>
        </w:rPr>
        <w:t xml:space="preserve">Medzispotreba </w:t>
      </w:r>
      <w:r w:rsidRPr="003012CA">
        <w:rPr>
          <w:szCs w:val="22"/>
        </w:rPr>
        <w:t>(spotreba tovarov a služieb v rámci verejnej správy)</w:t>
      </w:r>
      <w:r>
        <w:rPr>
          <w:szCs w:val="22"/>
        </w:rPr>
        <w:t xml:space="preserve"> </w:t>
      </w:r>
      <w:r w:rsidRPr="003012CA">
        <w:rPr>
          <w:szCs w:val="22"/>
        </w:rPr>
        <w:t>sa zvýšila o 2,6 %</w:t>
      </w:r>
      <w:r>
        <w:rPr>
          <w:szCs w:val="22"/>
        </w:rPr>
        <w:t xml:space="preserve"> (nárast o 125 881 tis. eur), čo bolo spôsobené najmä vyššími platbami za špeciálne služby ako sú napr. projektové práce, služby poskytnuté formou outsouringu, komerčné, právne, audítorské a poradensko-konzultačné služby atď</w:t>
      </w:r>
      <w:r w:rsidRPr="003012CA">
        <w:rPr>
          <w:szCs w:val="22"/>
        </w:rPr>
        <w:t>.</w:t>
      </w:r>
    </w:p>
    <w:p w14:paraId="5ABCF538" w14:textId="7965220C" w:rsidR="00500BD0" w:rsidRPr="003012CA" w:rsidRDefault="00500BD0" w:rsidP="00500BD0">
      <w:pPr>
        <w:spacing w:before="120" w:after="0" w:line="336" w:lineRule="auto"/>
        <w:jc w:val="both"/>
        <w:rPr>
          <w:szCs w:val="22"/>
        </w:rPr>
      </w:pPr>
      <w:r w:rsidRPr="003012CA">
        <w:rPr>
          <w:szCs w:val="22"/>
        </w:rPr>
        <w:t xml:space="preserve">Celkové </w:t>
      </w:r>
      <w:r w:rsidRPr="003012CA">
        <w:rPr>
          <w:b/>
          <w:szCs w:val="22"/>
        </w:rPr>
        <w:t>subvencie</w:t>
      </w:r>
      <w:r>
        <w:rPr>
          <w:szCs w:val="22"/>
        </w:rPr>
        <w:t xml:space="preserve"> vzrástli o 7,4 %, čo predstavovalo nárast o 72 409 tis. eur</w:t>
      </w:r>
      <w:r w:rsidR="006C00A3">
        <w:rPr>
          <w:szCs w:val="22"/>
        </w:rPr>
        <w:t>.</w:t>
      </w:r>
      <w:r>
        <w:rPr>
          <w:szCs w:val="22"/>
        </w:rPr>
        <w:t xml:space="preserve"> Išlo najmä o nárast subvencií Ministerstva dopravy</w:t>
      </w:r>
      <w:r w:rsidR="006C00A3">
        <w:rPr>
          <w:szCs w:val="22"/>
        </w:rPr>
        <w:t xml:space="preserve"> a</w:t>
      </w:r>
      <w:r>
        <w:rPr>
          <w:szCs w:val="22"/>
        </w:rPr>
        <w:t xml:space="preserve"> výstavby SR Železniciam SR vrátane spolufinancovania Kohézneho fondu</w:t>
      </w:r>
      <w:r w:rsidR="006C00A3">
        <w:rPr>
          <w:szCs w:val="22"/>
        </w:rPr>
        <w:t>, ktoré</w:t>
      </w:r>
      <w:r>
        <w:rPr>
          <w:szCs w:val="22"/>
        </w:rPr>
        <w:t xml:space="preserve"> vzrástli oproti roku 2017 o 60 738 tis. eur a Národnej diaľničnej spoločnosti, a. s. vrátane spolufinancovania Kohézneho fondu a</w:t>
      </w:r>
      <w:r w:rsidR="006C00A3">
        <w:rPr>
          <w:szCs w:val="22"/>
        </w:rPr>
        <w:t> </w:t>
      </w:r>
      <w:r>
        <w:rPr>
          <w:szCs w:val="22"/>
        </w:rPr>
        <w:t>ERDF</w:t>
      </w:r>
      <w:r w:rsidR="006C00A3">
        <w:rPr>
          <w:szCs w:val="22"/>
        </w:rPr>
        <w:t>, ktoré</w:t>
      </w:r>
      <w:r>
        <w:rPr>
          <w:szCs w:val="22"/>
        </w:rPr>
        <w:t xml:space="preserve"> vzrástli oproti roku 2017 o 32 815 tis. eur. Z</w:t>
      </w:r>
      <w:r w:rsidRPr="003012CA">
        <w:rPr>
          <w:szCs w:val="22"/>
        </w:rPr>
        <w:t>ároveň subvencie plynúce do poľnohospodárstva poklesli o 3,4</w:t>
      </w:r>
      <w:r>
        <w:rPr>
          <w:szCs w:val="22"/>
        </w:rPr>
        <w:t> </w:t>
      </w:r>
      <w:r w:rsidRPr="003012CA">
        <w:rPr>
          <w:szCs w:val="22"/>
        </w:rPr>
        <w:t>%.</w:t>
      </w:r>
    </w:p>
    <w:p w14:paraId="1E1854C4" w14:textId="775E9C35" w:rsidR="00500BD0" w:rsidRPr="003012CA" w:rsidRDefault="00500BD0" w:rsidP="00500BD0">
      <w:pPr>
        <w:spacing w:before="120" w:after="0" w:line="336" w:lineRule="auto"/>
        <w:jc w:val="both"/>
        <w:rPr>
          <w:szCs w:val="22"/>
        </w:rPr>
      </w:pPr>
      <w:r w:rsidRPr="003012CA">
        <w:rPr>
          <w:b/>
          <w:szCs w:val="22"/>
        </w:rPr>
        <w:t>Ostatné bežné transfery</w:t>
      </w:r>
      <w:r w:rsidRPr="003012CA">
        <w:rPr>
          <w:szCs w:val="22"/>
        </w:rPr>
        <w:t xml:space="preserve"> vzrástli o 47,8 %</w:t>
      </w:r>
      <w:r>
        <w:rPr>
          <w:szCs w:val="22"/>
        </w:rPr>
        <w:t xml:space="preserve"> (nárast o 558 264 tis. eur), z toho v rámci ŠR prispel k nárastu bežných transferov nárast transferov jednotlivcom a neziskovým právnickým osobám o 67 885 tis. eur (predovšetkým občianskym združeniam, nadáciám a neziskovým organizáciám), ďalej na dôchodkové dávky, na peňažné príspevky na kompenzáciu a na aktívne opatrenia na trhu práce.</w:t>
      </w:r>
    </w:p>
    <w:p w14:paraId="26789A81" w14:textId="77777777" w:rsidR="00500BD0" w:rsidRPr="003012CA" w:rsidRDefault="00500BD0" w:rsidP="00500BD0">
      <w:pPr>
        <w:spacing w:before="120" w:after="0" w:line="336" w:lineRule="auto"/>
        <w:jc w:val="both"/>
        <w:rPr>
          <w:szCs w:val="22"/>
        </w:rPr>
      </w:pPr>
      <w:r w:rsidRPr="003012CA">
        <w:rPr>
          <w:b/>
          <w:szCs w:val="22"/>
        </w:rPr>
        <w:t>Sociálne transfery</w:t>
      </w:r>
      <w:r w:rsidRPr="003012CA">
        <w:rPr>
          <w:szCs w:val="22"/>
        </w:rPr>
        <w:t xml:space="preserve"> obyvateľstvu sú najväčšou položkou </w:t>
      </w:r>
      <w:r>
        <w:rPr>
          <w:szCs w:val="22"/>
        </w:rPr>
        <w:t xml:space="preserve">výdavkov </w:t>
      </w:r>
      <w:r w:rsidRPr="003012CA">
        <w:rPr>
          <w:szCs w:val="22"/>
        </w:rPr>
        <w:t>rozpočtu verejnej správy, v roku 2018 mali podiel na celkových výdavkoch 46,1 % a oproti predchádzajúcemu roku vzrástli o 3,9</w:t>
      </w:r>
      <w:r>
        <w:rPr>
          <w:szCs w:val="22"/>
        </w:rPr>
        <w:t> </w:t>
      </w:r>
      <w:r w:rsidRPr="003012CA">
        <w:rPr>
          <w:szCs w:val="22"/>
        </w:rPr>
        <w:t>%</w:t>
      </w:r>
      <w:r>
        <w:rPr>
          <w:szCs w:val="22"/>
        </w:rPr>
        <w:t xml:space="preserve"> (nárast o 616 334 tis. eur)</w:t>
      </w:r>
      <w:r w:rsidRPr="003012CA">
        <w:rPr>
          <w:szCs w:val="22"/>
        </w:rPr>
        <w:t xml:space="preserve">. Priaznivý ekonomický vývoj a najmä výborná dynamika trhu práce prispeli k poklesu dávok v hmotnej núdzi o 18,7 %. </w:t>
      </w:r>
      <w:r>
        <w:rPr>
          <w:szCs w:val="22"/>
        </w:rPr>
        <w:t>Nárast bežných transferov v Sociálnej poisťovni bol v hotovostných platbách z poistenia o 396 375 tis. eur (na nemocenské dávky, na dôchodkové dávky zo starobného poistenia, na úrazové dávky, na dôchodkové dávky z invalidného poistenia, na platené poistné za skupiny osôb ustanovené zákonom a dávky v nezamestnanosti).</w:t>
      </w:r>
    </w:p>
    <w:p w14:paraId="7BCBFC49" w14:textId="5D7C9F87" w:rsidR="00500BD0" w:rsidRPr="00EA4C5D" w:rsidRDefault="00500BD0" w:rsidP="00500BD0">
      <w:pPr>
        <w:spacing w:before="120" w:after="0" w:line="336" w:lineRule="auto"/>
        <w:jc w:val="both"/>
        <w:rPr>
          <w:szCs w:val="22"/>
        </w:rPr>
      </w:pPr>
      <w:r w:rsidRPr="00EA4C5D">
        <w:rPr>
          <w:szCs w:val="22"/>
        </w:rPr>
        <w:t>V roku 2018 ostali výdavky na aktívne opatrenia trhu práce takmer na tej istej úrovni. Nemocenské dávky sa v roku 2018 zvýšili o 16,9 %. Na rast výdavkov Sociálnej poisťovne malo vplyv aj zvýšenie výdavkov na peňažné príspevky na kompenzáciu o 20,1 % (nárast súvisí najmä so zvýšením príspevku na opatrovanie).</w:t>
      </w:r>
    </w:p>
    <w:p w14:paraId="5B9A69EA" w14:textId="1417B1FC" w:rsidR="00500BD0" w:rsidRPr="00EA4C5D" w:rsidRDefault="00500BD0" w:rsidP="00500BD0">
      <w:pPr>
        <w:spacing w:before="120" w:after="0" w:line="336" w:lineRule="auto"/>
        <w:jc w:val="both"/>
        <w:rPr>
          <w:szCs w:val="22"/>
        </w:rPr>
      </w:pPr>
      <w:r w:rsidRPr="002953A8">
        <w:rPr>
          <w:b/>
          <w:szCs w:val="22"/>
        </w:rPr>
        <w:t>Kapitálové výdavky</w:t>
      </w:r>
      <w:r w:rsidRPr="00EA4C5D">
        <w:rPr>
          <w:szCs w:val="22"/>
        </w:rPr>
        <w:t xml:space="preserve"> sa zvýšili oproti predchádzajúcemu roku o 20,4</w:t>
      </w:r>
      <w:r>
        <w:rPr>
          <w:szCs w:val="22"/>
        </w:rPr>
        <w:t> </w:t>
      </w:r>
      <w:r w:rsidRPr="00EA4C5D">
        <w:rPr>
          <w:szCs w:val="22"/>
        </w:rPr>
        <w:t>%</w:t>
      </w:r>
      <w:r>
        <w:rPr>
          <w:szCs w:val="22"/>
        </w:rPr>
        <w:t xml:space="preserve"> (nárast o 629 018 tis. eur)</w:t>
      </w:r>
      <w:r w:rsidRPr="00EA4C5D">
        <w:rPr>
          <w:szCs w:val="22"/>
        </w:rPr>
        <w:t>, predovšetkým z dôvodu zvýšenia hrubej tvorby fixného kapitálu o 17,6 %.</w:t>
      </w:r>
      <w:r>
        <w:rPr>
          <w:szCs w:val="22"/>
        </w:rPr>
        <w:t xml:space="preserve"> Nárast o 501 807 tis. eur súvisí so zvýšenou mierou investovania verejnej správy z dôvodu zvýšeného čerpania fondov z EÚ. Najvýraznejší nárast čerpania kapitálových výdavkov bol </w:t>
      </w:r>
      <w:r w:rsidR="00FB7B88">
        <w:rPr>
          <w:szCs w:val="22"/>
        </w:rPr>
        <w:t xml:space="preserve">u </w:t>
      </w:r>
      <w:r>
        <w:rPr>
          <w:szCs w:val="22"/>
        </w:rPr>
        <w:t>obc</w:t>
      </w:r>
      <w:r w:rsidR="00FB7B88">
        <w:rPr>
          <w:szCs w:val="22"/>
        </w:rPr>
        <w:t>í</w:t>
      </w:r>
      <w:r>
        <w:rPr>
          <w:szCs w:val="22"/>
        </w:rPr>
        <w:t xml:space="preserve"> (nárast o 277 226 tis. eur).</w:t>
      </w:r>
    </w:p>
    <w:tbl>
      <w:tblPr>
        <w:tblW w:w="9262" w:type="dxa"/>
        <w:tblCellMar>
          <w:left w:w="70" w:type="dxa"/>
          <w:right w:w="70" w:type="dxa"/>
        </w:tblCellMar>
        <w:tblLook w:val="04A0" w:firstRow="1" w:lastRow="0" w:firstColumn="1" w:lastColumn="0" w:noHBand="0" w:noVBand="1"/>
      </w:tblPr>
      <w:tblGrid>
        <w:gridCol w:w="3969"/>
        <w:gridCol w:w="1040"/>
        <w:gridCol w:w="1040"/>
        <w:gridCol w:w="1040"/>
        <w:gridCol w:w="1133"/>
        <w:gridCol w:w="1040"/>
      </w:tblGrid>
      <w:tr w:rsidR="00500BD0" w:rsidRPr="007F1B39" w14:paraId="6F3AF3E1" w14:textId="77777777" w:rsidTr="00482590">
        <w:trPr>
          <w:trHeight w:val="420"/>
        </w:trPr>
        <w:tc>
          <w:tcPr>
            <w:tcW w:w="3969" w:type="dxa"/>
            <w:tcBorders>
              <w:top w:val="nil"/>
              <w:left w:val="nil"/>
              <w:bottom w:val="nil"/>
              <w:right w:val="nil"/>
            </w:tcBorders>
            <w:shd w:val="clear" w:color="000000" w:fill="000000"/>
            <w:noWrap/>
            <w:vAlign w:val="center"/>
            <w:hideMark/>
          </w:tcPr>
          <w:p w14:paraId="4DDE1757" w14:textId="77777777" w:rsidR="00500BD0" w:rsidRPr="007F1B39" w:rsidRDefault="00500BD0" w:rsidP="00500BD0">
            <w:pPr>
              <w:spacing w:after="0" w:line="240" w:lineRule="auto"/>
              <w:rPr>
                <w:b/>
                <w:bCs/>
                <w:color w:val="FFFFFF"/>
                <w:sz w:val="18"/>
                <w:szCs w:val="18"/>
                <w:lang w:eastAsia="sk-SK"/>
              </w:rPr>
            </w:pPr>
            <w:r w:rsidRPr="007F1B39">
              <w:rPr>
                <w:b/>
                <w:bCs/>
                <w:color w:val="FFFFFF"/>
                <w:sz w:val="18"/>
                <w:szCs w:val="18"/>
                <w:lang w:eastAsia="sk-SK"/>
              </w:rPr>
              <w:t>Výdavky verejnej správy (ESA 2010)</w:t>
            </w:r>
          </w:p>
        </w:tc>
        <w:tc>
          <w:tcPr>
            <w:tcW w:w="1040" w:type="dxa"/>
            <w:tcBorders>
              <w:top w:val="nil"/>
              <w:left w:val="nil"/>
              <w:bottom w:val="nil"/>
              <w:right w:val="nil"/>
            </w:tcBorders>
            <w:shd w:val="clear" w:color="000000" w:fill="000000"/>
            <w:noWrap/>
            <w:vAlign w:val="center"/>
            <w:hideMark/>
          </w:tcPr>
          <w:p w14:paraId="5C323C92" w14:textId="77777777" w:rsidR="00500BD0" w:rsidRPr="007F1B39" w:rsidRDefault="00500BD0" w:rsidP="00500BD0">
            <w:pPr>
              <w:spacing w:after="0" w:line="240" w:lineRule="auto"/>
              <w:rPr>
                <w:b/>
                <w:bCs/>
                <w:color w:val="FFFFFF"/>
                <w:sz w:val="18"/>
                <w:szCs w:val="18"/>
                <w:lang w:eastAsia="sk-SK"/>
              </w:rPr>
            </w:pPr>
            <w:r w:rsidRPr="007F1B39">
              <w:rPr>
                <w:b/>
                <w:bCs/>
                <w:color w:val="FFFFFF"/>
                <w:sz w:val="18"/>
                <w:szCs w:val="18"/>
                <w:lang w:eastAsia="sk-SK"/>
              </w:rPr>
              <w:t> </w:t>
            </w:r>
          </w:p>
        </w:tc>
        <w:tc>
          <w:tcPr>
            <w:tcW w:w="1040" w:type="dxa"/>
            <w:tcBorders>
              <w:top w:val="nil"/>
              <w:left w:val="nil"/>
              <w:bottom w:val="nil"/>
              <w:right w:val="nil"/>
            </w:tcBorders>
            <w:shd w:val="clear" w:color="000000" w:fill="000000"/>
            <w:noWrap/>
            <w:vAlign w:val="center"/>
            <w:hideMark/>
          </w:tcPr>
          <w:p w14:paraId="0E4A9053" w14:textId="77777777" w:rsidR="00500BD0" w:rsidRPr="007F1B39" w:rsidRDefault="00500BD0" w:rsidP="00500BD0">
            <w:pPr>
              <w:spacing w:after="0" w:line="240" w:lineRule="auto"/>
              <w:rPr>
                <w:b/>
                <w:bCs/>
                <w:color w:val="FFFFFF"/>
                <w:sz w:val="18"/>
                <w:szCs w:val="18"/>
                <w:lang w:eastAsia="sk-SK"/>
              </w:rPr>
            </w:pPr>
            <w:r w:rsidRPr="007F1B39">
              <w:rPr>
                <w:b/>
                <w:bCs/>
                <w:color w:val="FFFFFF"/>
                <w:sz w:val="18"/>
                <w:szCs w:val="18"/>
                <w:lang w:eastAsia="sk-SK"/>
              </w:rPr>
              <w:t> </w:t>
            </w:r>
          </w:p>
        </w:tc>
        <w:tc>
          <w:tcPr>
            <w:tcW w:w="1040" w:type="dxa"/>
            <w:tcBorders>
              <w:top w:val="nil"/>
              <w:left w:val="nil"/>
              <w:bottom w:val="nil"/>
              <w:right w:val="nil"/>
            </w:tcBorders>
            <w:shd w:val="clear" w:color="000000" w:fill="000000"/>
            <w:noWrap/>
            <w:vAlign w:val="center"/>
            <w:hideMark/>
          </w:tcPr>
          <w:p w14:paraId="5D8F671D" w14:textId="77777777" w:rsidR="00500BD0" w:rsidRPr="007F1B39" w:rsidRDefault="00500BD0" w:rsidP="00500BD0">
            <w:pPr>
              <w:spacing w:after="0" w:line="240" w:lineRule="auto"/>
              <w:rPr>
                <w:b/>
                <w:bCs/>
                <w:color w:val="FFFFFF"/>
                <w:sz w:val="18"/>
                <w:szCs w:val="18"/>
                <w:lang w:eastAsia="sk-SK"/>
              </w:rPr>
            </w:pPr>
            <w:r w:rsidRPr="007F1B39">
              <w:rPr>
                <w:b/>
                <w:bCs/>
                <w:color w:val="FFFFFF"/>
                <w:sz w:val="18"/>
                <w:szCs w:val="18"/>
                <w:lang w:eastAsia="sk-SK"/>
              </w:rPr>
              <w:t> </w:t>
            </w:r>
          </w:p>
        </w:tc>
        <w:tc>
          <w:tcPr>
            <w:tcW w:w="1133" w:type="dxa"/>
            <w:tcBorders>
              <w:top w:val="nil"/>
              <w:left w:val="nil"/>
              <w:bottom w:val="nil"/>
              <w:right w:val="nil"/>
            </w:tcBorders>
            <w:shd w:val="clear" w:color="000000" w:fill="000000"/>
            <w:noWrap/>
            <w:vAlign w:val="center"/>
            <w:hideMark/>
          </w:tcPr>
          <w:p w14:paraId="6173AEC1" w14:textId="77777777" w:rsidR="00500BD0" w:rsidRPr="007F1B39" w:rsidRDefault="00500BD0" w:rsidP="00500BD0">
            <w:pPr>
              <w:spacing w:after="0" w:line="240" w:lineRule="auto"/>
              <w:rPr>
                <w:b/>
                <w:bCs/>
                <w:color w:val="FFFFFF"/>
                <w:sz w:val="18"/>
                <w:szCs w:val="18"/>
                <w:lang w:eastAsia="sk-SK"/>
              </w:rPr>
            </w:pPr>
            <w:r w:rsidRPr="007F1B39">
              <w:rPr>
                <w:b/>
                <w:bCs/>
                <w:color w:val="FFFFFF"/>
                <w:sz w:val="18"/>
                <w:szCs w:val="18"/>
                <w:lang w:eastAsia="sk-SK"/>
              </w:rPr>
              <w:t> </w:t>
            </w:r>
          </w:p>
        </w:tc>
        <w:tc>
          <w:tcPr>
            <w:tcW w:w="1040" w:type="dxa"/>
            <w:tcBorders>
              <w:top w:val="nil"/>
              <w:left w:val="nil"/>
              <w:bottom w:val="nil"/>
              <w:right w:val="nil"/>
            </w:tcBorders>
            <w:shd w:val="clear" w:color="000000" w:fill="000000"/>
            <w:noWrap/>
            <w:vAlign w:val="center"/>
            <w:hideMark/>
          </w:tcPr>
          <w:p w14:paraId="2E041F8B" w14:textId="77777777" w:rsidR="00500BD0" w:rsidRPr="007F1B39" w:rsidRDefault="00500BD0" w:rsidP="00500BD0">
            <w:pPr>
              <w:spacing w:after="0" w:line="240" w:lineRule="auto"/>
              <w:jc w:val="right"/>
              <w:rPr>
                <w:b/>
                <w:bCs/>
                <w:color w:val="FFFFFF"/>
                <w:sz w:val="18"/>
                <w:szCs w:val="18"/>
                <w:lang w:eastAsia="sk-SK"/>
              </w:rPr>
            </w:pPr>
            <w:r w:rsidRPr="007F1B39">
              <w:rPr>
                <w:b/>
                <w:bCs/>
                <w:color w:val="FFFFFF"/>
                <w:sz w:val="18"/>
                <w:szCs w:val="18"/>
                <w:lang w:eastAsia="sk-SK"/>
              </w:rPr>
              <w:t xml:space="preserve"> v tis. eur</w:t>
            </w:r>
          </w:p>
        </w:tc>
      </w:tr>
      <w:tr w:rsidR="00500BD0" w:rsidRPr="007F1B39" w14:paraId="019DC49D" w14:textId="77777777" w:rsidTr="00500BD0">
        <w:trPr>
          <w:trHeight w:val="456"/>
        </w:trPr>
        <w:tc>
          <w:tcPr>
            <w:tcW w:w="3969" w:type="dxa"/>
            <w:tcBorders>
              <w:top w:val="single" w:sz="4" w:space="0" w:color="auto"/>
              <w:left w:val="nil"/>
              <w:bottom w:val="nil"/>
              <w:right w:val="nil"/>
            </w:tcBorders>
            <w:shd w:val="clear" w:color="000000" w:fill="BFBFBF"/>
            <w:noWrap/>
            <w:vAlign w:val="center"/>
            <w:hideMark/>
          </w:tcPr>
          <w:p w14:paraId="43AAFD84" w14:textId="77777777" w:rsidR="00500BD0" w:rsidRPr="007F1B39" w:rsidRDefault="00500BD0" w:rsidP="00500BD0">
            <w:pPr>
              <w:spacing w:after="0" w:line="240" w:lineRule="auto"/>
              <w:rPr>
                <w:b/>
                <w:bCs/>
                <w:sz w:val="18"/>
                <w:szCs w:val="18"/>
                <w:lang w:eastAsia="sk-SK"/>
              </w:rPr>
            </w:pPr>
            <w:r w:rsidRPr="007F1B39">
              <w:rPr>
                <w:b/>
                <w:bCs/>
                <w:sz w:val="18"/>
                <w:szCs w:val="18"/>
                <w:lang w:eastAsia="sk-SK"/>
              </w:rPr>
              <w:t> </w:t>
            </w:r>
          </w:p>
        </w:tc>
        <w:tc>
          <w:tcPr>
            <w:tcW w:w="1040" w:type="dxa"/>
            <w:tcBorders>
              <w:top w:val="single" w:sz="4" w:space="0" w:color="auto"/>
              <w:left w:val="nil"/>
              <w:bottom w:val="nil"/>
              <w:right w:val="nil"/>
            </w:tcBorders>
            <w:shd w:val="clear" w:color="000000" w:fill="BFBFBF"/>
            <w:vAlign w:val="center"/>
            <w:hideMark/>
          </w:tcPr>
          <w:p w14:paraId="11CC97AF"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2016</w:t>
            </w:r>
          </w:p>
        </w:tc>
        <w:tc>
          <w:tcPr>
            <w:tcW w:w="1040" w:type="dxa"/>
            <w:tcBorders>
              <w:top w:val="single" w:sz="4" w:space="0" w:color="auto"/>
              <w:left w:val="nil"/>
              <w:bottom w:val="nil"/>
              <w:right w:val="nil"/>
            </w:tcBorders>
            <w:shd w:val="clear" w:color="000000" w:fill="BFBFBF"/>
            <w:vAlign w:val="center"/>
            <w:hideMark/>
          </w:tcPr>
          <w:p w14:paraId="70E3C92C"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2017</w:t>
            </w:r>
          </w:p>
        </w:tc>
        <w:tc>
          <w:tcPr>
            <w:tcW w:w="1040" w:type="dxa"/>
            <w:tcBorders>
              <w:top w:val="single" w:sz="4" w:space="0" w:color="auto"/>
              <w:left w:val="nil"/>
              <w:bottom w:val="nil"/>
              <w:right w:val="nil"/>
            </w:tcBorders>
            <w:shd w:val="clear" w:color="000000" w:fill="BFBFBF"/>
            <w:vAlign w:val="center"/>
            <w:hideMark/>
          </w:tcPr>
          <w:p w14:paraId="6DA98A74"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2018</w:t>
            </w:r>
          </w:p>
        </w:tc>
        <w:tc>
          <w:tcPr>
            <w:tcW w:w="1133" w:type="dxa"/>
            <w:tcBorders>
              <w:top w:val="single" w:sz="4" w:space="0" w:color="auto"/>
              <w:left w:val="nil"/>
              <w:bottom w:val="nil"/>
              <w:right w:val="nil"/>
            </w:tcBorders>
            <w:shd w:val="clear" w:color="000000" w:fill="BFBFBF"/>
            <w:vAlign w:val="center"/>
            <w:hideMark/>
          </w:tcPr>
          <w:p w14:paraId="1C316C85"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 xml:space="preserve">Rozpočet </w:t>
            </w:r>
            <w:r w:rsidRPr="007F1B39">
              <w:rPr>
                <w:b/>
                <w:bCs/>
                <w:sz w:val="18"/>
                <w:szCs w:val="18"/>
                <w:lang w:eastAsia="sk-SK"/>
              </w:rPr>
              <w:br/>
              <w:t>2018</w:t>
            </w:r>
          </w:p>
        </w:tc>
        <w:tc>
          <w:tcPr>
            <w:tcW w:w="1040" w:type="dxa"/>
            <w:tcBorders>
              <w:top w:val="single" w:sz="4" w:space="0" w:color="auto"/>
              <w:left w:val="nil"/>
              <w:bottom w:val="nil"/>
              <w:right w:val="nil"/>
            </w:tcBorders>
            <w:shd w:val="clear" w:color="000000" w:fill="BFBFBF"/>
            <w:vAlign w:val="center"/>
            <w:hideMark/>
          </w:tcPr>
          <w:p w14:paraId="2F1CDED8"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2018/2017</w:t>
            </w:r>
            <w:r w:rsidRPr="007F1B39">
              <w:rPr>
                <w:b/>
                <w:bCs/>
                <w:sz w:val="18"/>
                <w:szCs w:val="18"/>
                <w:lang w:eastAsia="sk-SK"/>
              </w:rPr>
              <w:br/>
              <w:t>v %</w:t>
            </w:r>
          </w:p>
        </w:tc>
      </w:tr>
      <w:tr w:rsidR="00500BD0" w:rsidRPr="007F1B39" w14:paraId="2B174560" w14:textId="77777777" w:rsidTr="00500BD0">
        <w:trPr>
          <w:trHeight w:val="300"/>
        </w:trPr>
        <w:tc>
          <w:tcPr>
            <w:tcW w:w="3969" w:type="dxa"/>
            <w:tcBorders>
              <w:top w:val="nil"/>
              <w:left w:val="nil"/>
              <w:bottom w:val="nil"/>
              <w:right w:val="nil"/>
            </w:tcBorders>
            <w:shd w:val="clear" w:color="auto" w:fill="auto"/>
            <w:noWrap/>
            <w:vAlign w:val="center"/>
            <w:hideMark/>
          </w:tcPr>
          <w:p w14:paraId="1C8C5ABB" w14:textId="77777777" w:rsidR="00500BD0" w:rsidRPr="007F1B39" w:rsidRDefault="00500BD0" w:rsidP="00500BD0">
            <w:pPr>
              <w:spacing w:after="0" w:line="240" w:lineRule="auto"/>
              <w:rPr>
                <w:b/>
                <w:bCs/>
                <w:color w:val="000000"/>
                <w:sz w:val="18"/>
                <w:szCs w:val="18"/>
                <w:lang w:eastAsia="sk-SK"/>
              </w:rPr>
            </w:pPr>
            <w:r w:rsidRPr="007F1B39">
              <w:rPr>
                <w:b/>
                <w:bCs/>
                <w:color w:val="000000"/>
                <w:sz w:val="18"/>
                <w:szCs w:val="18"/>
                <w:lang w:eastAsia="sk-SK"/>
              </w:rPr>
              <w:t>Bežné výdavky</w:t>
            </w:r>
          </w:p>
        </w:tc>
        <w:tc>
          <w:tcPr>
            <w:tcW w:w="1040" w:type="dxa"/>
            <w:tcBorders>
              <w:top w:val="nil"/>
              <w:left w:val="nil"/>
              <w:bottom w:val="nil"/>
              <w:right w:val="nil"/>
            </w:tcBorders>
            <w:shd w:val="clear" w:color="auto" w:fill="auto"/>
            <w:noWrap/>
            <w:vAlign w:val="center"/>
            <w:hideMark/>
          </w:tcPr>
          <w:p w14:paraId="4F818B67"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31 223 163</w:t>
            </w:r>
          </w:p>
        </w:tc>
        <w:tc>
          <w:tcPr>
            <w:tcW w:w="1040" w:type="dxa"/>
            <w:tcBorders>
              <w:top w:val="nil"/>
              <w:left w:val="nil"/>
              <w:bottom w:val="nil"/>
              <w:right w:val="nil"/>
            </w:tcBorders>
            <w:shd w:val="clear" w:color="auto" w:fill="auto"/>
            <w:noWrap/>
            <w:vAlign w:val="center"/>
            <w:hideMark/>
          </w:tcPr>
          <w:p w14:paraId="37CDE119"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31 935 208</w:t>
            </w:r>
          </w:p>
        </w:tc>
        <w:tc>
          <w:tcPr>
            <w:tcW w:w="1040" w:type="dxa"/>
            <w:tcBorders>
              <w:top w:val="nil"/>
              <w:left w:val="nil"/>
              <w:bottom w:val="nil"/>
              <w:right w:val="nil"/>
            </w:tcBorders>
            <w:shd w:val="clear" w:color="000000" w:fill="BFBFBF"/>
            <w:noWrap/>
            <w:vAlign w:val="center"/>
            <w:hideMark/>
          </w:tcPr>
          <w:p w14:paraId="704142D0"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33 801 137</w:t>
            </w:r>
          </w:p>
        </w:tc>
        <w:tc>
          <w:tcPr>
            <w:tcW w:w="1133" w:type="dxa"/>
            <w:tcBorders>
              <w:top w:val="nil"/>
              <w:left w:val="nil"/>
              <w:bottom w:val="nil"/>
              <w:right w:val="nil"/>
            </w:tcBorders>
            <w:shd w:val="clear" w:color="auto" w:fill="auto"/>
            <w:noWrap/>
            <w:vAlign w:val="center"/>
            <w:hideMark/>
          </w:tcPr>
          <w:p w14:paraId="12AD1163"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32 807 440</w:t>
            </w:r>
          </w:p>
        </w:tc>
        <w:tc>
          <w:tcPr>
            <w:tcW w:w="1040" w:type="dxa"/>
            <w:tcBorders>
              <w:top w:val="nil"/>
              <w:left w:val="nil"/>
              <w:bottom w:val="nil"/>
              <w:right w:val="nil"/>
            </w:tcBorders>
            <w:shd w:val="clear" w:color="auto" w:fill="auto"/>
            <w:noWrap/>
            <w:vAlign w:val="center"/>
            <w:hideMark/>
          </w:tcPr>
          <w:p w14:paraId="1480C521"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5,8</w:t>
            </w:r>
          </w:p>
        </w:tc>
      </w:tr>
      <w:tr w:rsidR="00500BD0" w:rsidRPr="007F1B39" w14:paraId="33A7D9CF" w14:textId="77777777" w:rsidTr="00500BD0">
        <w:trPr>
          <w:trHeight w:val="300"/>
        </w:trPr>
        <w:tc>
          <w:tcPr>
            <w:tcW w:w="3969" w:type="dxa"/>
            <w:tcBorders>
              <w:top w:val="nil"/>
              <w:left w:val="nil"/>
              <w:bottom w:val="nil"/>
              <w:right w:val="nil"/>
            </w:tcBorders>
            <w:shd w:val="clear" w:color="auto" w:fill="auto"/>
            <w:noWrap/>
            <w:vAlign w:val="center"/>
            <w:hideMark/>
          </w:tcPr>
          <w:p w14:paraId="36CD4B2B"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Kompenzácie zamestnancov</w:t>
            </w:r>
          </w:p>
        </w:tc>
        <w:tc>
          <w:tcPr>
            <w:tcW w:w="1040" w:type="dxa"/>
            <w:tcBorders>
              <w:top w:val="nil"/>
              <w:left w:val="nil"/>
              <w:bottom w:val="nil"/>
              <w:right w:val="nil"/>
            </w:tcBorders>
            <w:shd w:val="clear" w:color="auto" w:fill="auto"/>
            <w:noWrap/>
            <w:vAlign w:val="bottom"/>
            <w:hideMark/>
          </w:tcPr>
          <w:p w14:paraId="7CC97B8C"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7 535 123</w:t>
            </w:r>
          </w:p>
        </w:tc>
        <w:tc>
          <w:tcPr>
            <w:tcW w:w="1040" w:type="dxa"/>
            <w:tcBorders>
              <w:top w:val="nil"/>
              <w:left w:val="nil"/>
              <w:bottom w:val="nil"/>
              <w:right w:val="nil"/>
            </w:tcBorders>
            <w:shd w:val="clear" w:color="auto" w:fill="auto"/>
            <w:noWrap/>
            <w:vAlign w:val="bottom"/>
            <w:hideMark/>
          </w:tcPr>
          <w:p w14:paraId="58959C46"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7 920 081</w:t>
            </w:r>
          </w:p>
        </w:tc>
        <w:tc>
          <w:tcPr>
            <w:tcW w:w="1040" w:type="dxa"/>
            <w:tcBorders>
              <w:top w:val="nil"/>
              <w:left w:val="nil"/>
              <w:bottom w:val="nil"/>
              <w:right w:val="nil"/>
            </w:tcBorders>
            <w:shd w:val="clear" w:color="000000" w:fill="BFBFBF"/>
            <w:noWrap/>
            <w:vAlign w:val="bottom"/>
            <w:hideMark/>
          </w:tcPr>
          <w:p w14:paraId="7E99115A"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8 359 533</w:t>
            </w:r>
          </w:p>
        </w:tc>
        <w:tc>
          <w:tcPr>
            <w:tcW w:w="1133" w:type="dxa"/>
            <w:tcBorders>
              <w:top w:val="nil"/>
              <w:left w:val="nil"/>
              <w:bottom w:val="nil"/>
              <w:right w:val="nil"/>
            </w:tcBorders>
            <w:shd w:val="clear" w:color="auto" w:fill="auto"/>
            <w:noWrap/>
            <w:vAlign w:val="center"/>
            <w:hideMark/>
          </w:tcPr>
          <w:p w14:paraId="513BA76D"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8 105 228</w:t>
            </w:r>
          </w:p>
        </w:tc>
        <w:tc>
          <w:tcPr>
            <w:tcW w:w="1040" w:type="dxa"/>
            <w:tcBorders>
              <w:top w:val="nil"/>
              <w:left w:val="nil"/>
              <w:bottom w:val="nil"/>
              <w:right w:val="nil"/>
            </w:tcBorders>
            <w:shd w:val="clear" w:color="auto" w:fill="auto"/>
            <w:noWrap/>
            <w:vAlign w:val="center"/>
            <w:hideMark/>
          </w:tcPr>
          <w:p w14:paraId="7892D2A4"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5,5</w:t>
            </w:r>
          </w:p>
        </w:tc>
      </w:tr>
      <w:tr w:rsidR="00500BD0" w:rsidRPr="007F1B39" w14:paraId="3C10CA32" w14:textId="77777777" w:rsidTr="00500BD0">
        <w:trPr>
          <w:trHeight w:val="300"/>
        </w:trPr>
        <w:tc>
          <w:tcPr>
            <w:tcW w:w="3969" w:type="dxa"/>
            <w:tcBorders>
              <w:top w:val="nil"/>
              <w:left w:val="nil"/>
              <w:bottom w:val="nil"/>
              <w:right w:val="nil"/>
            </w:tcBorders>
            <w:shd w:val="clear" w:color="auto" w:fill="auto"/>
            <w:noWrap/>
            <w:vAlign w:val="center"/>
            <w:hideMark/>
          </w:tcPr>
          <w:p w14:paraId="495BBA55"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Mzdy a platy</w:t>
            </w:r>
          </w:p>
        </w:tc>
        <w:tc>
          <w:tcPr>
            <w:tcW w:w="1040" w:type="dxa"/>
            <w:tcBorders>
              <w:top w:val="nil"/>
              <w:left w:val="nil"/>
              <w:bottom w:val="nil"/>
              <w:right w:val="nil"/>
            </w:tcBorders>
            <w:shd w:val="clear" w:color="auto" w:fill="auto"/>
            <w:noWrap/>
            <w:vAlign w:val="bottom"/>
            <w:hideMark/>
          </w:tcPr>
          <w:p w14:paraId="5F082A71"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5 463 785</w:t>
            </w:r>
          </w:p>
        </w:tc>
        <w:tc>
          <w:tcPr>
            <w:tcW w:w="1040" w:type="dxa"/>
            <w:tcBorders>
              <w:top w:val="nil"/>
              <w:left w:val="nil"/>
              <w:bottom w:val="nil"/>
              <w:right w:val="nil"/>
            </w:tcBorders>
            <w:shd w:val="clear" w:color="auto" w:fill="auto"/>
            <w:noWrap/>
            <w:vAlign w:val="bottom"/>
            <w:hideMark/>
          </w:tcPr>
          <w:p w14:paraId="5751098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5 752 540</w:t>
            </w:r>
          </w:p>
        </w:tc>
        <w:tc>
          <w:tcPr>
            <w:tcW w:w="1040" w:type="dxa"/>
            <w:tcBorders>
              <w:top w:val="nil"/>
              <w:left w:val="nil"/>
              <w:bottom w:val="nil"/>
              <w:right w:val="nil"/>
            </w:tcBorders>
            <w:shd w:val="clear" w:color="000000" w:fill="BFBFBF"/>
            <w:noWrap/>
            <w:vAlign w:val="bottom"/>
            <w:hideMark/>
          </w:tcPr>
          <w:p w14:paraId="5AE7E0D4"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6 224 267</w:t>
            </w:r>
          </w:p>
        </w:tc>
        <w:tc>
          <w:tcPr>
            <w:tcW w:w="1133" w:type="dxa"/>
            <w:tcBorders>
              <w:top w:val="nil"/>
              <w:left w:val="nil"/>
              <w:bottom w:val="nil"/>
              <w:right w:val="nil"/>
            </w:tcBorders>
            <w:shd w:val="clear" w:color="auto" w:fill="auto"/>
            <w:noWrap/>
            <w:vAlign w:val="center"/>
            <w:hideMark/>
          </w:tcPr>
          <w:p w14:paraId="0CA8FBD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5 932 962</w:t>
            </w:r>
          </w:p>
        </w:tc>
        <w:tc>
          <w:tcPr>
            <w:tcW w:w="1040" w:type="dxa"/>
            <w:tcBorders>
              <w:top w:val="nil"/>
              <w:left w:val="nil"/>
              <w:bottom w:val="nil"/>
              <w:right w:val="nil"/>
            </w:tcBorders>
            <w:shd w:val="clear" w:color="auto" w:fill="auto"/>
            <w:noWrap/>
            <w:vAlign w:val="center"/>
            <w:hideMark/>
          </w:tcPr>
          <w:p w14:paraId="49D2EE67"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8,2</w:t>
            </w:r>
          </w:p>
        </w:tc>
      </w:tr>
      <w:tr w:rsidR="00500BD0" w:rsidRPr="007F1B39" w14:paraId="7AE6B1F5" w14:textId="77777777" w:rsidTr="00500BD0">
        <w:trPr>
          <w:trHeight w:val="300"/>
        </w:trPr>
        <w:tc>
          <w:tcPr>
            <w:tcW w:w="3969" w:type="dxa"/>
            <w:tcBorders>
              <w:top w:val="nil"/>
              <w:left w:val="nil"/>
              <w:bottom w:val="nil"/>
              <w:right w:val="nil"/>
            </w:tcBorders>
            <w:shd w:val="clear" w:color="auto" w:fill="auto"/>
            <w:noWrap/>
            <w:vAlign w:val="center"/>
            <w:hideMark/>
          </w:tcPr>
          <w:p w14:paraId="6B29C5C4"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Sociálne príspevky zamestnávateľov</w:t>
            </w:r>
          </w:p>
        </w:tc>
        <w:tc>
          <w:tcPr>
            <w:tcW w:w="1040" w:type="dxa"/>
            <w:tcBorders>
              <w:top w:val="nil"/>
              <w:left w:val="nil"/>
              <w:bottom w:val="nil"/>
              <w:right w:val="nil"/>
            </w:tcBorders>
            <w:shd w:val="clear" w:color="auto" w:fill="auto"/>
            <w:noWrap/>
            <w:vAlign w:val="bottom"/>
            <w:hideMark/>
          </w:tcPr>
          <w:p w14:paraId="3C94D5BB"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2 071 338</w:t>
            </w:r>
          </w:p>
        </w:tc>
        <w:tc>
          <w:tcPr>
            <w:tcW w:w="1040" w:type="dxa"/>
            <w:tcBorders>
              <w:top w:val="nil"/>
              <w:left w:val="nil"/>
              <w:bottom w:val="nil"/>
              <w:right w:val="nil"/>
            </w:tcBorders>
            <w:shd w:val="clear" w:color="auto" w:fill="auto"/>
            <w:noWrap/>
            <w:vAlign w:val="bottom"/>
            <w:hideMark/>
          </w:tcPr>
          <w:p w14:paraId="34D84592"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2 167 541</w:t>
            </w:r>
          </w:p>
        </w:tc>
        <w:tc>
          <w:tcPr>
            <w:tcW w:w="1040" w:type="dxa"/>
            <w:tcBorders>
              <w:top w:val="nil"/>
              <w:left w:val="nil"/>
              <w:bottom w:val="nil"/>
              <w:right w:val="nil"/>
            </w:tcBorders>
            <w:shd w:val="clear" w:color="000000" w:fill="BFBFBF"/>
            <w:noWrap/>
            <w:vAlign w:val="bottom"/>
            <w:hideMark/>
          </w:tcPr>
          <w:p w14:paraId="67F1B553"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2 135 266</w:t>
            </w:r>
          </w:p>
        </w:tc>
        <w:tc>
          <w:tcPr>
            <w:tcW w:w="1133" w:type="dxa"/>
            <w:tcBorders>
              <w:top w:val="nil"/>
              <w:left w:val="nil"/>
              <w:bottom w:val="nil"/>
              <w:right w:val="nil"/>
            </w:tcBorders>
            <w:shd w:val="clear" w:color="auto" w:fill="auto"/>
            <w:noWrap/>
            <w:vAlign w:val="center"/>
            <w:hideMark/>
          </w:tcPr>
          <w:p w14:paraId="3EC60F5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2 172 266</w:t>
            </w:r>
          </w:p>
        </w:tc>
        <w:tc>
          <w:tcPr>
            <w:tcW w:w="1040" w:type="dxa"/>
            <w:tcBorders>
              <w:top w:val="nil"/>
              <w:left w:val="nil"/>
              <w:bottom w:val="nil"/>
              <w:right w:val="nil"/>
            </w:tcBorders>
            <w:shd w:val="clear" w:color="auto" w:fill="auto"/>
            <w:noWrap/>
            <w:vAlign w:val="center"/>
            <w:hideMark/>
          </w:tcPr>
          <w:p w14:paraId="4F473C72"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-1,5</w:t>
            </w:r>
          </w:p>
        </w:tc>
      </w:tr>
      <w:tr w:rsidR="00500BD0" w:rsidRPr="007F1B39" w14:paraId="67FC3374" w14:textId="77777777" w:rsidTr="00500BD0">
        <w:trPr>
          <w:trHeight w:val="300"/>
        </w:trPr>
        <w:tc>
          <w:tcPr>
            <w:tcW w:w="3969" w:type="dxa"/>
            <w:tcBorders>
              <w:top w:val="nil"/>
              <w:left w:val="nil"/>
              <w:bottom w:val="nil"/>
              <w:right w:val="nil"/>
            </w:tcBorders>
            <w:shd w:val="clear" w:color="auto" w:fill="auto"/>
            <w:noWrap/>
            <w:vAlign w:val="center"/>
            <w:hideMark/>
          </w:tcPr>
          <w:p w14:paraId="7F460E51"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Medzispotreba</w:t>
            </w:r>
          </w:p>
        </w:tc>
        <w:tc>
          <w:tcPr>
            <w:tcW w:w="1040" w:type="dxa"/>
            <w:tcBorders>
              <w:top w:val="nil"/>
              <w:left w:val="nil"/>
              <w:bottom w:val="nil"/>
              <w:right w:val="nil"/>
            </w:tcBorders>
            <w:shd w:val="clear" w:color="auto" w:fill="auto"/>
            <w:noWrap/>
            <w:vAlign w:val="bottom"/>
            <w:hideMark/>
          </w:tcPr>
          <w:p w14:paraId="3DA0459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4 529 821</w:t>
            </w:r>
          </w:p>
        </w:tc>
        <w:tc>
          <w:tcPr>
            <w:tcW w:w="1040" w:type="dxa"/>
            <w:tcBorders>
              <w:top w:val="nil"/>
              <w:left w:val="nil"/>
              <w:bottom w:val="nil"/>
              <w:right w:val="nil"/>
            </w:tcBorders>
            <w:shd w:val="clear" w:color="auto" w:fill="auto"/>
            <w:noWrap/>
            <w:vAlign w:val="bottom"/>
            <w:hideMark/>
          </w:tcPr>
          <w:p w14:paraId="489B928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4 851 554</w:t>
            </w:r>
          </w:p>
        </w:tc>
        <w:tc>
          <w:tcPr>
            <w:tcW w:w="1040" w:type="dxa"/>
            <w:tcBorders>
              <w:top w:val="nil"/>
              <w:left w:val="nil"/>
              <w:bottom w:val="nil"/>
              <w:right w:val="nil"/>
            </w:tcBorders>
            <w:shd w:val="clear" w:color="000000" w:fill="BFBFBF"/>
            <w:noWrap/>
            <w:vAlign w:val="bottom"/>
            <w:hideMark/>
          </w:tcPr>
          <w:p w14:paraId="1351B7A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4 977 435</w:t>
            </w:r>
          </w:p>
        </w:tc>
        <w:tc>
          <w:tcPr>
            <w:tcW w:w="1133" w:type="dxa"/>
            <w:tcBorders>
              <w:top w:val="nil"/>
              <w:left w:val="nil"/>
              <w:bottom w:val="nil"/>
              <w:right w:val="nil"/>
            </w:tcBorders>
            <w:shd w:val="clear" w:color="auto" w:fill="auto"/>
            <w:noWrap/>
            <w:vAlign w:val="center"/>
            <w:hideMark/>
          </w:tcPr>
          <w:p w14:paraId="40FFAE14" w14:textId="77777777" w:rsidR="00500BD0" w:rsidRPr="00435D9F" w:rsidRDefault="00500BD0" w:rsidP="00500BD0">
            <w:pPr>
              <w:spacing w:after="0" w:line="240" w:lineRule="auto"/>
              <w:jc w:val="right"/>
              <w:rPr>
                <w:bCs/>
                <w:color w:val="000000"/>
                <w:sz w:val="18"/>
                <w:szCs w:val="18"/>
                <w:lang w:eastAsia="sk-SK"/>
              </w:rPr>
            </w:pPr>
            <w:r w:rsidRPr="00435D9F">
              <w:rPr>
                <w:bCs/>
                <w:color w:val="000000"/>
                <w:sz w:val="18"/>
                <w:szCs w:val="18"/>
                <w:lang w:eastAsia="sk-SK"/>
              </w:rPr>
              <w:t>4 887 969</w:t>
            </w:r>
          </w:p>
        </w:tc>
        <w:tc>
          <w:tcPr>
            <w:tcW w:w="1040" w:type="dxa"/>
            <w:tcBorders>
              <w:top w:val="nil"/>
              <w:left w:val="nil"/>
              <w:bottom w:val="nil"/>
              <w:right w:val="nil"/>
            </w:tcBorders>
            <w:shd w:val="clear" w:color="auto" w:fill="auto"/>
            <w:noWrap/>
            <w:vAlign w:val="center"/>
            <w:hideMark/>
          </w:tcPr>
          <w:p w14:paraId="2BC60D62"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2,6</w:t>
            </w:r>
          </w:p>
        </w:tc>
      </w:tr>
      <w:tr w:rsidR="00500BD0" w:rsidRPr="007F1B39" w14:paraId="55ACB0D1" w14:textId="77777777" w:rsidTr="00500BD0">
        <w:trPr>
          <w:trHeight w:val="300"/>
        </w:trPr>
        <w:tc>
          <w:tcPr>
            <w:tcW w:w="3969" w:type="dxa"/>
            <w:tcBorders>
              <w:top w:val="nil"/>
              <w:left w:val="nil"/>
              <w:bottom w:val="nil"/>
              <w:right w:val="nil"/>
            </w:tcBorders>
            <w:shd w:val="clear" w:color="auto" w:fill="auto"/>
            <w:noWrap/>
            <w:vAlign w:val="center"/>
            <w:hideMark/>
          </w:tcPr>
          <w:p w14:paraId="514ED496"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Dane</w:t>
            </w:r>
          </w:p>
        </w:tc>
        <w:tc>
          <w:tcPr>
            <w:tcW w:w="1040" w:type="dxa"/>
            <w:tcBorders>
              <w:top w:val="nil"/>
              <w:left w:val="nil"/>
              <w:bottom w:val="nil"/>
              <w:right w:val="nil"/>
            </w:tcBorders>
            <w:shd w:val="clear" w:color="auto" w:fill="auto"/>
            <w:noWrap/>
            <w:vAlign w:val="center"/>
            <w:hideMark/>
          </w:tcPr>
          <w:p w14:paraId="583E6A76"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129 871</w:t>
            </w:r>
          </w:p>
        </w:tc>
        <w:tc>
          <w:tcPr>
            <w:tcW w:w="1040" w:type="dxa"/>
            <w:tcBorders>
              <w:top w:val="nil"/>
              <w:left w:val="nil"/>
              <w:bottom w:val="nil"/>
              <w:right w:val="nil"/>
            </w:tcBorders>
            <w:shd w:val="clear" w:color="auto" w:fill="auto"/>
            <w:noWrap/>
            <w:vAlign w:val="center"/>
            <w:hideMark/>
          </w:tcPr>
          <w:p w14:paraId="6D872740" w14:textId="77777777" w:rsidR="00500BD0" w:rsidRPr="00416173" w:rsidRDefault="00500BD0" w:rsidP="00500BD0">
            <w:pPr>
              <w:spacing w:after="0" w:line="240" w:lineRule="auto"/>
              <w:jc w:val="right"/>
              <w:rPr>
                <w:b/>
                <w:bCs/>
                <w:sz w:val="18"/>
                <w:szCs w:val="18"/>
                <w:lang w:eastAsia="sk-SK"/>
              </w:rPr>
            </w:pPr>
            <w:r w:rsidRPr="00416173">
              <w:rPr>
                <w:b/>
                <w:bCs/>
                <w:sz w:val="18"/>
                <w:szCs w:val="18"/>
                <w:lang w:eastAsia="sk-SK"/>
              </w:rPr>
              <w:t>87 194</w:t>
            </w:r>
          </w:p>
        </w:tc>
        <w:tc>
          <w:tcPr>
            <w:tcW w:w="1040" w:type="dxa"/>
            <w:tcBorders>
              <w:top w:val="nil"/>
              <w:left w:val="nil"/>
              <w:bottom w:val="nil"/>
              <w:right w:val="nil"/>
            </w:tcBorders>
            <w:shd w:val="clear" w:color="000000" w:fill="BFBFBF"/>
            <w:noWrap/>
            <w:vAlign w:val="center"/>
            <w:hideMark/>
          </w:tcPr>
          <w:p w14:paraId="74F9C226" w14:textId="77777777" w:rsidR="00500BD0" w:rsidRPr="00416173" w:rsidRDefault="00500BD0" w:rsidP="00500BD0">
            <w:pPr>
              <w:spacing w:after="0" w:line="240" w:lineRule="auto"/>
              <w:jc w:val="right"/>
              <w:rPr>
                <w:b/>
                <w:bCs/>
                <w:sz w:val="18"/>
                <w:szCs w:val="18"/>
                <w:lang w:eastAsia="sk-SK"/>
              </w:rPr>
            </w:pPr>
            <w:r w:rsidRPr="00416173">
              <w:rPr>
                <w:b/>
                <w:bCs/>
                <w:sz w:val="18"/>
                <w:szCs w:val="18"/>
                <w:lang w:eastAsia="sk-SK"/>
              </w:rPr>
              <w:t>150 056</w:t>
            </w:r>
          </w:p>
        </w:tc>
        <w:tc>
          <w:tcPr>
            <w:tcW w:w="1133" w:type="dxa"/>
            <w:tcBorders>
              <w:top w:val="nil"/>
              <w:left w:val="nil"/>
              <w:bottom w:val="nil"/>
              <w:right w:val="nil"/>
            </w:tcBorders>
            <w:shd w:val="clear" w:color="auto" w:fill="auto"/>
            <w:noWrap/>
            <w:vAlign w:val="center"/>
            <w:hideMark/>
          </w:tcPr>
          <w:p w14:paraId="2C9A2E68"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90 834</w:t>
            </w:r>
          </w:p>
        </w:tc>
        <w:tc>
          <w:tcPr>
            <w:tcW w:w="1040" w:type="dxa"/>
            <w:tcBorders>
              <w:top w:val="nil"/>
              <w:left w:val="nil"/>
              <w:bottom w:val="nil"/>
              <w:right w:val="nil"/>
            </w:tcBorders>
            <w:shd w:val="clear" w:color="auto" w:fill="auto"/>
            <w:noWrap/>
            <w:vAlign w:val="center"/>
            <w:hideMark/>
          </w:tcPr>
          <w:p w14:paraId="31F31656"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72,1</w:t>
            </w:r>
          </w:p>
        </w:tc>
      </w:tr>
      <w:tr w:rsidR="00500BD0" w:rsidRPr="007F1B39" w14:paraId="6AF376A9" w14:textId="77777777" w:rsidTr="00500BD0">
        <w:trPr>
          <w:trHeight w:val="300"/>
        </w:trPr>
        <w:tc>
          <w:tcPr>
            <w:tcW w:w="3969" w:type="dxa"/>
            <w:tcBorders>
              <w:top w:val="nil"/>
              <w:left w:val="nil"/>
              <w:bottom w:val="nil"/>
              <w:right w:val="nil"/>
            </w:tcBorders>
            <w:shd w:val="clear" w:color="auto" w:fill="auto"/>
            <w:noWrap/>
            <w:vAlign w:val="center"/>
            <w:hideMark/>
          </w:tcPr>
          <w:p w14:paraId="5D081804"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Iné dane z produkcie</w:t>
            </w:r>
          </w:p>
        </w:tc>
        <w:tc>
          <w:tcPr>
            <w:tcW w:w="1040" w:type="dxa"/>
            <w:tcBorders>
              <w:top w:val="nil"/>
              <w:left w:val="nil"/>
              <w:bottom w:val="nil"/>
              <w:right w:val="nil"/>
            </w:tcBorders>
            <w:shd w:val="clear" w:color="auto" w:fill="auto"/>
            <w:noWrap/>
            <w:vAlign w:val="bottom"/>
            <w:hideMark/>
          </w:tcPr>
          <w:p w14:paraId="1A8E465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107 267</w:t>
            </w:r>
          </w:p>
        </w:tc>
        <w:tc>
          <w:tcPr>
            <w:tcW w:w="1040" w:type="dxa"/>
            <w:tcBorders>
              <w:top w:val="nil"/>
              <w:left w:val="nil"/>
              <w:bottom w:val="nil"/>
              <w:right w:val="nil"/>
            </w:tcBorders>
            <w:shd w:val="clear" w:color="auto" w:fill="auto"/>
            <w:noWrap/>
            <w:vAlign w:val="bottom"/>
            <w:hideMark/>
          </w:tcPr>
          <w:p w14:paraId="5F2D5F3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62 187</w:t>
            </w:r>
          </w:p>
        </w:tc>
        <w:tc>
          <w:tcPr>
            <w:tcW w:w="1040" w:type="dxa"/>
            <w:tcBorders>
              <w:top w:val="nil"/>
              <w:left w:val="nil"/>
              <w:bottom w:val="nil"/>
              <w:right w:val="nil"/>
            </w:tcBorders>
            <w:shd w:val="clear" w:color="000000" w:fill="BFBFBF"/>
            <w:noWrap/>
            <w:vAlign w:val="bottom"/>
            <w:hideMark/>
          </w:tcPr>
          <w:p w14:paraId="6AAB3C4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124 069</w:t>
            </w:r>
          </w:p>
        </w:tc>
        <w:tc>
          <w:tcPr>
            <w:tcW w:w="1133" w:type="dxa"/>
            <w:tcBorders>
              <w:top w:val="nil"/>
              <w:left w:val="nil"/>
              <w:bottom w:val="nil"/>
              <w:right w:val="nil"/>
            </w:tcBorders>
            <w:shd w:val="clear" w:color="auto" w:fill="auto"/>
            <w:noWrap/>
            <w:vAlign w:val="center"/>
            <w:hideMark/>
          </w:tcPr>
          <w:p w14:paraId="4634C54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90 834</w:t>
            </w:r>
          </w:p>
        </w:tc>
        <w:tc>
          <w:tcPr>
            <w:tcW w:w="1040" w:type="dxa"/>
            <w:tcBorders>
              <w:top w:val="nil"/>
              <w:left w:val="nil"/>
              <w:bottom w:val="nil"/>
              <w:right w:val="nil"/>
            </w:tcBorders>
            <w:shd w:val="clear" w:color="auto" w:fill="auto"/>
            <w:noWrap/>
            <w:vAlign w:val="center"/>
            <w:hideMark/>
          </w:tcPr>
          <w:p w14:paraId="71808822"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99,5</w:t>
            </w:r>
          </w:p>
        </w:tc>
      </w:tr>
      <w:tr w:rsidR="00500BD0" w:rsidRPr="007F1B39" w14:paraId="5AB4A073" w14:textId="77777777" w:rsidTr="00500BD0">
        <w:trPr>
          <w:trHeight w:val="300"/>
        </w:trPr>
        <w:tc>
          <w:tcPr>
            <w:tcW w:w="3969" w:type="dxa"/>
            <w:tcBorders>
              <w:top w:val="nil"/>
              <w:left w:val="nil"/>
              <w:bottom w:val="nil"/>
              <w:right w:val="nil"/>
            </w:tcBorders>
            <w:shd w:val="clear" w:color="auto" w:fill="auto"/>
            <w:noWrap/>
            <w:vAlign w:val="center"/>
            <w:hideMark/>
          </w:tcPr>
          <w:p w14:paraId="191C2A68"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Bežné dane z majetku, atď.</w:t>
            </w:r>
          </w:p>
        </w:tc>
        <w:tc>
          <w:tcPr>
            <w:tcW w:w="1040" w:type="dxa"/>
            <w:tcBorders>
              <w:top w:val="nil"/>
              <w:left w:val="nil"/>
              <w:bottom w:val="nil"/>
              <w:right w:val="nil"/>
            </w:tcBorders>
            <w:shd w:val="clear" w:color="auto" w:fill="auto"/>
            <w:noWrap/>
            <w:vAlign w:val="bottom"/>
            <w:hideMark/>
          </w:tcPr>
          <w:p w14:paraId="689398B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22 604</w:t>
            </w:r>
          </w:p>
        </w:tc>
        <w:tc>
          <w:tcPr>
            <w:tcW w:w="1040" w:type="dxa"/>
            <w:tcBorders>
              <w:top w:val="nil"/>
              <w:left w:val="nil"/>
              <w:bottom w:val="nil"/>
              <w:right w:val="nil"/>
            </w:tcBorders>
            <w:shd w:val="clear" w:color="auto" w:fill="auto"/>
            <w:noWrap/>
            <w:vAlign w:val="bottom"/>
            <w:hideMark/>
          </w:tcPr>
          <w:p w14:paraId="01579D6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25 007</w:t>
            </w:r>
          </w:p>
        </w:tc>
        <w:tc>
          <w:tcPr>
            <w:tcW w:w="1040" w:type="dxa"/>
            <w:tcBorders>
              <w:top w:val="nil"/>
              <w:left w:val="nil"/>
              <w:bottom w:val="nil"/>
              <w:right w:val="nil"/>
            </w:tcBorders>
            <w:shd w:val="clear" w:color="000000" w:fill="BFBFBF"/>
            <w:noWrap/>
            <w:vAlign w:val="bottom"/>
            <w:hideMark/>
          </w:tcPr>
          <w:p w14:paraId="193D1204"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25 987</w:t>
            </w:r>
          </w:p>
        </w:tc>
        <w:tc>
          <w:tcPr>
            <w:tcW w:w="1133" w:type="dxa"/>
            <w:tcBorders>
              <w:top w:val="nil"/>
              <w:left w:val="nil"/>
              <w:bottom w:val="nil"/>
              <w:right w:val="nil"/>
            </w:tcBorders>
            <w:shd w:val="clear" w:color="auto" w:fill="auto"/>
            <w:noWrap/>
            <w:vAlign w:val="center"/>
            <w:hideMark/>
          </w:tcPr>
          <w:p w14:paraId="56E8E86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0</w:t>
            </w:r>
          </w:p>
        </w:tc>
        <w:tc>
          <w:tcPr>
            <w:tcW w:w="1040" w:type="dxa"/>
            <w:tcBorders>
              <w:top w:val="nil"/>
              <w:left w:val="nil"/>
              <w:bottom w:val="nil"/>
              <w:right w:val="nil"/>
            </w:tcBorders>
            <w:shd w:val="clear" w:color="auto" w:fill="auto"/>
            <w:noWrap/>
            <w:vAlign w:val="center"/>
            <w:hideMark/>
          </w:tcPr>
          <w:p w14:paraId="40280780"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3,9</w:t>
            </w:r>
          </w:p>
        </w:tc>
      </w:tr>
      <w:tr w:rsidR="00500BD0" w:rsidRPr="007F1B39" w14:paraId="4AFC25DE" w14:textId="77777777" w:rsidTr="00500BD0">
        <w:trPr>
          <w:trHeight w:val="300"/>
        </w:trPr>
        <w:tc>
          <w:tcPr>
            <w:tcW w:w="3969" w:type="dxa"/>
            <w:tcBorders>
              <w:top w:val="nil"/>
              <w:left w:val="nil"/>
              <w:bottom w:val="nil"/>
              <w:right w:val="nil"/>
            </w:tcBorders>
            <w:shd w:val="clear" w:color="auto" w:fill="auto"/>
            <w:noWrap/>
            <w:vAlign w:val="center"/>
            <w:hideMark/>
          </w:tcPr>
          <w:p w14:paraId="5E7C4BA5"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Subvencie</w:t>
            </w:r>
          </w:p>
        </w:tc>
        <w:tc>
          <w:tcPr>
            <w:tcW w:w="1040" w:type="dxa"/>
            <w:tcBorders>
              <w:top w:val="nil"/>
              <w:left w:val="nil"/>
              <w:bottom w:val="nil"/>
              <w:right w:val="nil"/>
            </w:tcBorders>
            <w:shd w:val="clear" w:color="auto" w:fill="auto"/>
            <w:noWrap/>
            <w:vAlign w:val="center"/>
            <w:hideMark/>
          </w:tcPr>
          <w:p w14:paraId="616EDA0C"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881 043</w:t>
            </w:r>
          </w:p>
        </w:tc>
        <w:tc>
          <w:tcPr>
            <w:tcW w:w="1040" w:type="dxa"/>
            <w:tcBorders>
              <w:top w:val="nil"/>
              <w:left w:val="nil"/>
              <w:bottom w:val="nil"/>
              <w:right w:val="nil"/>
            </w:tcBorders>
            <w:shd w:val="clear" w:color="auto" w:fill="auto"/>
            <w:noWrap/>
            <w:vAlign w:val="center"/>
            <w:hideMark/>
          </w:tcPr>
          <w:p w14:paraId="74AFE7C8"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975 631</w:t>
            </w:r>
          </w:p>
        </w:tc>
        <w:tc>
          <w:tcPr>
            <w:tcW w:w="1040" w:type="dxa"/>
            <w:tcBorders>
              <w:top w:val="nil"/>
              <w:left w:val="nil"/>
              <w:bottom w:val="nil"/>
              <w:right w:val="nil"/>
            </w:tcBorders>
            <w:shd w:val="clear" w:color="000000" w:fill="BFBFBF"/>
            <w:noWrap/>
            <w:vAlign w:val="center"/>
            <w:hideMark/>
          </w:tcPr>
          <w:p w14:paraId="1B5BD34D"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1 048 040</w:t>
            </w:r>
          </w:p>
        </w:tc>
        <w:tc>
          <w:tcPr>
            <w:tcW w:w="1133" w:type="dxa"/>
            <w:tcBorders>
              <w:top w:val="nil"/>
              <w:left w:val="nil"/>
              <w:bottom w:val="nil"/>
              <w:right w:val="nil"/>
            </w:tcBorders>
            <w:shd w:val="clear" w:color="auto" w:fill="auto"/>
            <w:noWrap/>
            <w:vAlign w:val="center"/>
            <w:hideMark/>
          </w:tcPr>
          <w:p w14:paraId="2CC5FD53"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394 236</w:t>
            </w:r>
          </w:p>
        </w:tc>
        <w:tc>
          <w:tcPr>
            <w:tcW w:w="1040" w:type="dxa"/>
            <w:tcBorders>
              <w:top w:val="nil"/>
              <w:left w:val="nil"/>
              <w:bottom w:val="nil"/>
              <w:right w:val="nil"/>
            </w:tcBorders>
            <w:shd w:val="clear" w:color="auto" w:fill="auto"/>
            <w:noWrap/>
            <w:vAlign w:val="center"/>
            <w:hideMark/>
          </w:tcPr>
          <w:p w14:paraId="42943683"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7,4</w:t>
            </w:r>
          </w:p>
        </w:tc>
      </w:tr>
      <w:tr w:rsidR="00500BD0" w:rsidRPr="007F1B39" w14:paraId="57AC6F5E" w14:textId="77777777" w:rsidTr="00500BD0">
        <w:trPr>
          <w:trHeight w:val="300"/>
        </w:trPr>
        <w:tc>
          <w:tcPr>
            <w:tcW w:w="3969" w:type="dxa"/>
            <w:tcBorders>
              <w:top w:val="nil"/>
              <w:left w:val="nil"/>
              <w:bottom w:val="nil"/>
              <w:right w:val="nil"/>
            </w:tcBorders>
            <w:shd w:val="clear" w:color="auto" w:fill="auto"/>
            <w:noWrap/>
            <w:vAlign w:val="center"/>
            <w:hideMark/>
          </w:tcPr>
          <w:p w14:paraId="46458D2A" w14:textId="77777777" w:rsidR="00500BD0" w:rsidRPr="007F1B39" w:rsidRDefault="00500BD0" w:rsidP="00500BD0">
            <w:pPr>
              <w:spacing w:after="0" w:line="240" w:lineRule="auto"/>
              <w:ind w:firstLineChars="100" w:firstLine="180"/>
              <w:rPr>
                <w:i/>
                <w:iCs/>
                <w:color w:val="000000"/>
                <w:sz w:val="18"/>
                <w:szCs w:val="18"/>
                <w:lang w:eastAsia="sk-SK"/>
              </w:rPr>
            </w:pPr>
            <w:r w:rsidRPr="007F1B39">
              <w:rPr>
                <w:i/>
                <w:iCs/>
                <w:color w:val="000000"/>
                <w:sz w:val="18"/>
                <w:szCs w:val="18"/>
                <w:lang w:eastAsia="sk-SK"/>
              </w:rPr>
              <w:t xml:space="preserve"> - Dotácie do poľnohospodárstva</w:t>
            </w:r>
            <w:r w:rsidRPr="007F1B39">
              <w:rPr>
                <w:rStyle w:val="Odkaznapoznmkupodiarou"/>
                <w:i/>
                <w:color w:val="000000"/>
                <w:sz w:val="18"/>
                <w:szCs w:val="18"/>
                <w:lang w:eastAsia="sk-SK"/>
              </w:rPr>
              <w:footnoteReference w:id="13"/>
            </w:r>
          </w:p>
        </w:tc>
        <w:tc>
          <w:tcPr>
            <w:tcW w:w="1040" w:type="dxa"/>
            <w:tcBorders>
              <w:top w:val="nil"/>
              <w:left w:val="nil"/>
              <w:bottom w:val="nil"/>
              <w:right w:val="nil"/>
            </w:tcBorders>
            <w:shd w:val="clear" w:color="auto" w:fill="auto"/>
            <w:noWrap/>
            <w:vAlign w:val="bottom"/>
            <w:hideMark/>
          </w:tcPr>
          <w:p w14:paraId="75456417"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57 859</w:t>
            </w:r>
          </w:p>
        </w:tc>
        <w:tc>
          <w:tcPr>
            <w:tcW w:w="1040" w:type="dxa"/>
            <w:tcBorders>
              <w:top w:val="nil"/>
              <w:left w:val="nil"/>
              <w:bottom w:val="nil"/>
              <w:right w:val="nil"/>
            </w:tcBorders>
            <w:shd w:val="clear" w:color="auto" w:fill="auto"/>
            <w:noWrap/>
            <w:vAlign w:val="bottom"/>
            <w:hideMark/>
          </w:tcPr>
          <w:p w14:paraId="021DAC69"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92 942</w:t>
            </w:r>
          </w:p>
        </w:tc>
        <w:tc>
          <w:tcPr>
            <w:tcW w:w="1040" w:type="dxa"/>
            <w:tcBorders>
              <w:top w:val="nil"/>
              <w:left w:val="nil"/>
              <w:bottom w:val="nil"/>
              <w:right w:val="nil"/>
            </w:tcBorders>
            <w:shd w:val="clear" w:color="000000" w:fill="BFBFBF"/>
            <w:noWrap/>
            <w:vAlign w:val="bottom"/>
            <w:hideMark/>
          </w:tcPr>
          <w:p w14:paraId="476BFAE8"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89 744</w:t>
            </w:r>
          </w:p>
        </w:tc>
        <w:tc>
          <w:tcPr>
            <w:tcW w:w="1133" w:type="dxa"/>
            <w:tcBorders>
              <w:top w:val="nil"/>
              <w:left w:val="nil"/>
              <w:bottom w:val="nil"/>
              <w:right w:val="nil"/>
            </w:tcBorders>
            <w:shd w:val="clear" w:color="auto" w:fill="auto"/>
            <w:noWrap/>
            <w:vAlign w:val="center"/>
            <w:hideMark/>
          </w:tcPr>
          <w:p w14:paraId="14856A0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128 532</w:t>
            </w:r>
          </w:p>
        </w:tc>
        <w:tc>
          <w:tcPr>
            <w:tcW w:w="1040" w:type="dxa"/>
            <w:tcBorders>
              <w:top w:val="nil"/>
              <w:left w:val="nil"/>
              <w:bottom w:val="nil"/>
              <w:right w:val="nil"/>
            </w:tcBorders>
            <w:shd w:val="clear" w:color="auto" w:fill="auto"/>
            <w:noWrap/>
            <w:vAlign w:val="center"/>
            <w:hideMark/>
          </w:tcPr>
          <w:p w14:paraId="5D426869"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-3,4</w:t>
            </w:r>
          </w:p>
        </w:tc>
      </w:tr>
      <w:tr w:rsidR="00500BD0" w:rsidRPr="007F1B39" w14:paraId="0A92A701" w14:textId="77777777" w:rsidTr="00500BD0">
        <w:trPr>
          <w:trHeight w:val="300"/>
        </w:trPr>
        <w:tc>
          <w:tcPr>
            <w:tcW w:w="3969" w:type="dxa"/>
            <w:tcBorders>
              <w:top w:val="nil"/>
              <w:left w:val="nil"/>
              <w:bottom w:val="nil"/>
              <w:right w:val="nil"/>
            </w:tcBorders>
            <w:shd w:val="clear" w:color="auto" w:fill="auto"/>
            <w:noWrap/>
            <w:vAlign w:val="center"/>
            <w:hideMark/>
          </w:tcPr>
          <w:p w14:paraId="0D394038" w14:textId="77777777" w:rsidR="00500BD0" w:rsidRPr="007F1B39" w:rsidRDefault="00500BD0" w:rsidP="00500BD0">
            <w:pPr>
              <w:spacing w:after="0" w:line="240" w:lineRule="auto"/>
              <w:ind w:firstLineChars="100" w:firstLine="180"/>
              <w:rPr>
                <w:i/>
                <w:iCs/>
                <w:color w:val="000000"/>
                <w:sz w:val="18"/>
                <w:szCs w:val="18"/>
                <w:lang w:eastAsia="sk-SK"/>
              </w:rPr>
            </w:pPr>
            <w:r w:rsidRPr="007F1B39">
              <w:rPr>
                <w:i/>
                <w:iCs/>
                <w:color w:val="000000"/>
                <w:sz w:val="18"/>
                <w:szCs w:val="18"/>
                <w:lang w:eastAsia="sk-SK"/>
              </w:rPr>
              <w:t xml:space="preserve"> - Dotácie do dopravy</w:t>
            </w:r>
          </w:p>
        </w:tc>
        <w:tc>
          <w:tcPr>
            <w:tcW w:w="1040" w:type="dxa"/>
            <w:tcBorders>
              <w:top w:val="nil"/>
              <w:left w:val="nil"/>
              <w:bottom w:val="nil"/>
              <w:right w:val="nil"/>
            </w:tcBorders>
            <w:shd w:val="clear" w:color="auto" w:fill="auto"/>
            <w:noWrap/>
            <w:vAlign w:val="bottom"/>
            <w:hideMark/>
          </w:tcPr>
          <w:p w14:paraId="68615A5D"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242 321</w:t>
            </w:r>
          </w:p>
        </w:tc>
        <w:tc>
          <w:tcPr>
            <w:tcW w:w="1040" w:type="dxa"/>
            <w:tcBorders>
              <w:top w:val="nil"/>
              <w:left w:val="nil"/>
              <w:bottom w:val="nil"/>
              <w:right w:val="nil"/>
            </w:tcBorders>
            <w:shd w:val="clear" w:color="auto" w:fill="auto"/>
            <w:noWrap/>
            <w:vAlign w:val="bottom"/>
            <w:hideMark/>
          </w:tcPr>
          <w:p w14:paraId="79D4A09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164 510</w:t>
            </w:r>
          </w:p>
        </w:tc>
        <w:tc>
          <w:tcPr>
            <w:tcW w:w="1040" w:type="dxa"/>
            <w:tcBorders>
              <w:top w:val="nil"/>
              <w:left w:val="nil"/>
              <w:bottom w:val="nil"/>
              <w:right w:val="nil"/>
            </w:tcBorders>
            <w:shd w:val="clear" w:color="000000" w:fill="BFBFBF"/>
            <w:noWrap/>
            <w:vAlign w:val="bottom"/>
            <w:hideMark/>
          </w:tcPr>
          <w:p w14:paraId="6D209B09"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202 058</w:t>
            </w:r>
          </w:p>
        </w:tc>
        <w:tc>
          <w:tcPr>
            <w:tcW w:w="1133" w:type="dxa"/>
            <w:tcBorders>
              <w:top w:val="nil"/>
              <w:left w:val="nil"/>
              <w:bottom w:val="nil"/>
              <w:right w:val="nil"/>
            </w:tcBorders>
            <w:shd w:val="clear" w:color="auto" w:fill="auto"/>
            <w:noWrap/>
            <w:vAlign w:val="center"/>
            <w:hideMark/>
          </w:tcPr>
          <w:p w14:paraId="16E8A9A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167 921</w:t>
            </w:r>
          </w:p>
        </w:tc>
        <w:tc>
          <w:tcPr>
            <w:tcW w:w="1040" w:type="dxa"/>
            <w:tcBorders>
              <w:top w:val="nil"/>
              <w:left w:val="nil"/>
              <w:bottom w:val="nil"/>
              <w:right w:val="nil"/>
            </w:tcBorders>
            <w:shd w:val="clear" w:color="auto" w:fill="auto"/>
            <w:noWrap/>
            <w:vAlign w:val="center"/>
            <w:hideMark/>
          </w:tcPr>
          <w:p w14:paraId="76C1F9A2"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22,8</w:t>
            </w:r>
          </w:p>
        </w:tc>
      </w:tr>
      <w:tr w:rsidR="00500BD0" w:rsidRPr="007F1B39" w14:paraId="76308B9F" w14:textId="77777777" w:rsidTr="00500BD0">
        <w:trPr>
          <w:trHeight w:val="300"/>
        </w:trPr>
        <w:tc>
          <w:tcPr>
            <w:tcW w:w="3969" w:type="dxa"/>
            <w:tcBorders>
              <w:top w:val="nil"/>
              <w:left w:val="nil"/>
              <w:bottom w:val="nil"/>
              <w:right w:val="nil"/>
            </w:tcBorders>
            <w:shd w:val="clear" w:color="auto" w:fill="auto"/>
            <w:noWrap/>
            <w:vAlign w:val="bottom"/>
            <w:hideMark/>
          </w:tcPr>
          <w:p w14:paraId="371D7B40"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cestná doprava</w:t>
            </w:r>
          </w:p>
        </w:tc>
        <w:tc>
          <w:tcPr>
            <w:tcW w:w="1040" w:type="dxa"/>
            <w:tcBorders>
              <w:top w:val="nil"/>
              <w:left w:val="nil"/>
              <w:bottom w:val="nil"/>
              <w:right w:val="nil"/>
            </w:tcBorders>
            <w:shd w:val="clear" w:color="auto" w:fill="auto"/>
            <w:noWrap/>
            <w:vAlign w:val="bottom"/>
            <w:hideMark/>
          </w:tcPr>
          <w:p w14:paraId="010E0E5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228 690</w:t>
            </w:r>
          </w:p>
        </w:tc>
        <w:tc>
          <w:tcPr>
            <w:tcW w:w="1040" w:type="dxa"/>
            <w:tcBorders>
              <w:top w:val="nil"/>
              <w:left w:val="nil"/>
              <w:bottom w:val="nil"/>
              <w:right w:val="nil"/>
            </w:tcBorders>
            <w:shd w:val="clear" w:color="auto" w:fill="auto"/>
            <w:noWrap/>
            <w:vAlign w:val="bottom"/>
            <w:hideMark/>
          </w:tcPr>
          <w:p w14:paraId="1348A2A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718 179</w:t>
            </w:r>
          </w:p>
        </w:tc>
        <w:tc>
          <w:tcPr>
            <w:tcW w:w="1040" w:type="dxa"/>
            <w:tcBorders>
              <w:top w:val="nil"/>
              <w:left w:val="nil"/>
              <w:bottom w:val="nil"/>
              <w:right w:val="nil"/>
            </w:tcBorders>
            <w:shd w:val="clear" w:color="000000" w:fill="BFBFBF"/>
            <w:noWrap/>
            <w:vAlign w:val="bottom"/>
            <w:hideMark/>
          </w:tcPr>
          <w:p w14:paraId="6495B1D8"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756 238</w:t>
            </w:r>
          </w:p>
        </w:tc>
        <w:tc>
          <w:tcPr>
            <w:tcW w:w="1133" w:type="dxa"/>
            <w:tcBorders>
              <w:top w:val="nil"/>
              <w:left w:val="nil"/>
              <w:bottom w:val="nil"/>
              <w:right w:val="nil"/>
            </w:tcBorders>
            <w:shd w:val="clear" w:color="auto" w:fill="auto"/>
            <w:noWrap/>
            <w:vAlign w:val="center"/>
            <w:hideMark/>
          </w:tcPr>
          <w:p w14:paraId="5DD49F7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158 300</w:t>
            </w:r>
          </w:p>
        </w:tc>
        <w:tc>
          <w:tcPr>
            <w:tcW w:w="1040" w:type="dxa"/>
            <w:tcBorders>
              <w:top w:val="nil"/>
              <w:left w:val="nil"/>
              <w:bottom w:val="nil"/>
              <w:right w:val="nil"/>
            </w:tcBorders>
            <w:shd w:val="clear" w:color="auto" w:fill="auto"/>
            <w:noWrap/>
            <w:vAlign w:val="center"/>
            <w:hideMark/>
          </w:tcPr>
          <w:p w14:paraId="40F79C36"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5,3</w:t>
            </w:r>
          </w:p>
        </w:tc>
      </w:tr>
      <w:tr w:rsidR="00500BD0" w:rsidRPr="007F1B39" w14:paraId="3B716F4E" w14:textId="77777777" w:rsidTr="00500BD0">
        <w:trPr>
          <w:trHeight w:val="300"/>
        </w:trPr>
        <w:tc>
          <w:tcPr>
            <w:tcW w:w="3969" w:type="dxa"/>
            <w:tcBorders>
              <w:top w:val="nil"/>
              <w:left w:val="nil"/>
              <w:bottom w:val="nil"/>
              <w:right w:val="nil"/>
            </w:tcBorders>
            <w:shd w:val="clear" w:color="auto" w:fill="auto"/>
            <w:noWrap/>
            <w:vAlign w:val="bottom"/>
            <w:hideMark/>
          </w:tcPr>
          <w:p w14:paraId="3F6941F5"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železničná doprava</w:t>
            </w:r>
          </w:p>
        </w:tc>
        <w:tc>
          <w:tcPr>
            <w:tcW w:w="1040" w:type="dxa"/>
            <w:tcBorders>
              <w:top w:val="nil"/>
              <w:left w:val="nil"/>
              <w:bottom w:val="nil"/>
              <w:right w:val="nil"/>
            </w:tcBorders>
            <w:shd w:val="clear" w:color="auto" w:fill="auto"/>
            <w:noWrap/>
            <w:vAlign w:val="bottom"/>
            <w:hideMark/>
          </w:tcPr>
          <w:p w14:paraId="44141CC2"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9 633</w:t>
            </w:r>
          </w:p>
        </w:tc>
        <w:tc>
          <w:tcPr>
            <w:tcW w:w="1040" w:type="dxa"/>
            <w:tcBorders>
              <w:top w:val="nil"/>
              <w:left w:val="nil"/>
              <w:bottom w:val="nil"/>
              <w:right w:val="nil"/>
            </w:tcBorders>
            <w:shd w:val="clear" w:color="auto" w:fill="auto"/>
            <w:noWrap/>
            <w:vAlign w:val="bottom"/>
            <w:hideMark/>
          </w:tcPr>
          <w:p w14:paraId="52A026A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9 051</w:t>
            </w:r>
          </w:p>
        </w:tc>
        <w:tc>
          <w:tcPr>
            <w:tcW w:w="1040" w:type="dxa"/>
            <w:tcBorders>
              <w:top w:val="nil"/>
              <w:left w:val="nil"/>
              <w:bottom w:val="nil"/>
              <w:right w:val="nil"/>
            </w:tcBorders>
            <w:shd w:val="clear" w:color="000000" w:fill="BFBFBF"/>
            <w:noWrap/>
            <w:vAlign w:val="bottom"/>
            <w:hideMark/>
          </w:tcPr>
          <w:p w14:paraId="64F6B465"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9 015</w:t>
            </w:r>
          </w:p>
        </w:tc>
        <w:tc>
          <w:tcPr>
            <w:tcW w:w="1133" w:type="dxa"/>
            <w:tcBorders>
              <w:top w:val="nil"/>
              <w:left w:val="nil"/>
              <w:bottom w:val="nil"/>
              <w:right w:val="nil"/>
            </w:tcBorders>
            <w:shd w:val="clear" w:color="auto" w:fill="auto"/>
            <w:noWrap/>
            <w:vAlign w:val="center"/>
            <w:hideMark/>
          </w:tcPr>
          <w:p w14:paraId="6773729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8 621</w:t>
            </w:r>
          </w:p>
        </w:tc>
        <w:tc>
          <w:tcPr>
            <w:tcW w:w="1040" w:type="dxa"/>
            <w:tcBorders>
              <w:top w:val="nil"/>
              <w:left w:val="nil"/>
              <w:bottom w:val="nil"/>
              <w:right w:val="nil"/>
            </w:tcBorders>
            <w:shd w:val="clear" w:color="auto" w:fill="auto"/>
            <w:noWrap/>
            <w:vAlign w:val="center"/>
            <w:hideMark/>
          </w:tcPr>
          <w:p w14:paraId="52FFD3E9"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-0,4</w:t>
            </w:r>
          </w:p>
        </w:tc>
      </w:tr>
      <w:tr w:rsidR="00500BD0" w:rsidRPr="007F1B39" w14:paraId="4888B5A8" w14:textId="77777777" w:rsidTr="00500BD0">
        <w:trPr>
          <w:trHeight w:val="300"/>
        </w:trPr>
        <w:tc>
          <w:tcPr>
            <w:tcW w:w="3969" w:type="dxa"/>
            <w:tcBorders>
              <w:top w:val="nil"/>
              <w:left w:val="nil"/>
              <w:bottom w:val="nil"/>
              <w:right w:val="nil"/>
            </w:tcBorders>
            <w:shd w:val="clear" w:color="auto" w:fill="auto"/>
            <w:noWrap/>
            <w:vAlign w:val="center"/>
            <w:hideMark/>
          </w:tcPr>
          <w:p w14:paraId="09C7DF20"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Ostatné</w:t>
            </w:r>
          </w:p>
        </w:tc>
        <w:tc>
          <w:tcPr>
            <w:tcW w:w="1040" w:type="dxa"/>
            <w:tcBorders>
              <w:top w:val="nil"/>
              <w:left w:val="nil"/>
              <w:bottom w:val="nil"/>
              <w:right w:val="nil"/>
            </w:tcBorders>
            <w:shd w:val="clear" w:color="auto" w:fill="auto"/>
            <w:noWrap/>
            <w:vAlign w:val="bottom"/>
            <w:hideMark/>
          </w:tcPr>
          <w:p w14:paraId="53C795A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580 863</w:t>
            </w:r>
          </w:p>
        </w:tc>
        <w:tc>
          <w:tcPr>
            <w:tcW w:w="1040" w:type="dxa"/>
            <w:tcBorders>
              <w:top w:val="nil"/>
              <w:left w:val="nil"/>
              <w:bottom w:val="nil"/>
              <w:right w:val="nil"/>
            </w:tcBorders>
            <w:shd w:val="clear" w:color="auto" w:fill="auto"/>
            <w:noWrap/>
            <w:vAlign w:val="bottom"/>
            <w:hideMark/>
          </w:tcPr>
          <w:p w14:paraId="2AC52F5D"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718 179</w:t>
            </w:r>
          </w:p>
        </w:tc>
        <w:tc>
          <w:tcPr>
            <w:tcW w:w="1040" w:type="dxa"/>
            <w:tcBorders>
              <w:top w:val="nil"/>
              <w:left w:val="nil"/>
              <w:bottom w:val="nil"/>
              <w:right w:val="nil"/>
            </w:tcBorders>
            <w:shd w:val="clear" w:color="000000" w:fill="BFBFBF"/>
            <w:noWrap/>
            <w:vAlign w:val="bottom"/>
            <w:hideMark/>
          </w:tcPr>
          <w:p w14:paraId="69B6DAC0"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756 238</w:t>
            </w:r>
          </w:p>
        </w:tc>
        <w:tc>
          <w:tcPr>
            <w:tcW w:w="1133" w:type="dxa"/>
            <w:tcBorders>
              <w:top w:val="nil"/>
              <w:left w:val="nil"/>
              <w:bottom w:val="nil"/>
              <w:right w:val="nil"/>
            </w:tcBorders>
            <w:shd w:val="clear" w:color="auto" w:fill="auto"/>
            <w:noWrap/>
            <w:vAlign w:val="center"/>
            <w:hideMark/>
          </w:tcPr>
          <w:p w14:paraId="26F2DB0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97 783</w:t>
            </w:r>
          </w:p>
        </w:tc>
        <w:tc>
          <w:tcPr>
            <w:tcW w:w="1040" w:type="dxa"/>
            <w:tcBorders>
              <w:top w:val="nil"/>
              <w:left w:val="nil"/>
              <w:bottom w:val="nil"/>
              <w:right w:val="nil"/>
            </w:tcBorders>
            <w:shd w:val="clear" w:color="auto" w:fill="auto"/>
            <w:noWrap/>
            <w:vAlign w:val="center"/>
            <w:hideMark/>
          </w:tcPr>
          <w:p w14:paraId="4DC98F3B"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5,3</w:t>
            </w:r>
          </w:p>
        </w:tc>
      </w:tr>
      <w:tr w:rsidR="00500BD0" w:rsidRPr="007F1B39" w14:paraId="570BF74F" w14:textId="77777777" w:rsidTr="00500BD0">
        <w:trPr>
          <w:trHeight w:val="300"/>
        </w:trPr>
        <w:tc>
          <w:tcPr>
            <w:tcW w:w="3969" w:type="dxa"/>
            <w:tcBorders>
              <w:top w:val="nil"/>
              <w:left w:val="nil"/>
              <w:bottom w:val="nil"/>
              <w:right w:val="nil"/>
            </w:tcBorders>
            <w:shd w:val="clear" w:color="auto" w:fill="auto"/>
            <w:noWrap/>
            <w:vAlign w:val="center"/>
            <w:hideMark/>
          </w:tcPr>
          <w:p w14:paraId="3FADC519"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 xml:space="preserve">Dôchodky z majetku </w:t>
            </w:r>
            <w:r w:rsidRPr="007F1B39">
              <w:rPr>
                <w:color w:val="000000"/>
                <w:sz w:val="18"/>
                <w:szCs w:val="18"/>
                <w:lang w:eastAsia="sk-SK"/>
              </w:rPr>
              <w:t>(Úrokové náklady)</w:t>
            </w:r>
          </w:p>
        </w:tc>
        <w:tc>
          <w:tcPr>
            <w:tcW w:w="1040" w:type="dxa"/>
            <w:tcBorders>
              <w:top w:val="nil"/>
              <w:left w:val="nil"/>
              <w:bottom w:val="nil"/>
              <w:right w:val="nil"/>
            </w:tcBorders>
            <w:shd w:val="clear" w:color="auto" w:fill="auto"/>
            <w:noWrap/>
            <w:vAlign w:val="center"/>
            <w:hideMark/>
          </w:tcPr>
          <w:p w14:paraId="086F2C79"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1 372 964</w:t>
            </w:r>
          </w:p>
        </w:tc>
        <w:tc>
          <w:tcPr>
            <w:tcW w:w="1040" w:type="dxa"/>
            <w:tcBorders>
              <w:top w:val="nil"/>
              <w:left w:val="nil"/>
              <w:bottom w:val="nil"/>
              <w:right w:val="nil"/>
            </w:tcBorders>
            <w:shd w:val="clear" w:color="auto" w:fill="auto"/>
            <w:noWrap/>
            <w:vAlign w:val="center"/>
            <w:hideMark/>
          </w:tcPr>
          <w:p w14:paraId="2C09D003"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1 216 504</w:t>
            </w:r>
          </w:p>
        </w:tc>
        <w:tc>
          <w:tcPr>
            <w:tcW w:w="1040" w:type="dxa"/>
            <w:tcBorders>
              <w:top w:val="nil"/>
              <w:left w:val="nil"/>
              <w:bottom w:val="nil"/>
              <w:right w:val="nil"/>
            </w:tcBorders>
            <w:shd w:val="clear" w:color="000000" w:fill="BFBFBF"/>
            <w:noWrap/>
            <w:vAlign w:val="center"/>
            <w:hideMark/>
          </w:tcPr>
          <w:p w14:paraId="0F7DC375"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1 207 231</w:t>
            </w:r>
          </w:p>
        </w:tc>
        <w:tc>
          <w:tcPr>
            <w:tcW w:w="1133" w:type="dxa"/>
            <w:tcBorders>
              <w:top w:val="nil"/>
              <w:left w:val="nil"/>
              <w:bottom w:val="nil"/>
              <w:right w:val="nil"/>
            </w:tcBorders>
            <w:shd w:val="clear" w:color="auto" w:fill="auto"/>
            <w:noWrap/>
            <w:vAlign w:val="center"/>
            <w:hideMark/>
          </w:tcPr>
          <w:p w14:paraId="66C0141A"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1 135 847</w:t>
            </w:r>
          </w:p>
        </w:tc>
        <w:tc>
          <w:tcPr>
            <w:tcW w:w="1040" w:type="dxa"/>
            <w:tcBorders>
              <w:top w:val="nil"/>
              <w:left w:val="nil"/>
              <w:bottom w:val="nil"/>
              <w:right w:val="nil"/>
            </w:tcBorders>
            <w:shd w:val="clear" w:color="auto" w:fill="auto"/>
            <w:noWrap/>
            <w:vAlign w:val="center"/>
            <w:hideMark/>
          </w:tcPr>
          <w:p w14:paraId="71D016EA"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-0,8</w:t>
            </w:r>
          </w:p>
        </w:tc>
      </w:tr>
      <w:tr w:rsidR="00500BD0" w:rsidRPr="007F1B39" w14:paraId="72357E8B" w14:textId="77777777" w:rsidTr="00500BD0">
        <w:trPr>
          <w:trHeight w:val="300"/>
        </w:trPr>
        <w:tc>
          <w:tcPr>
            <w:tcW w:w="3969" w:type="dxa"/>
            <w:tcBorders>
              <w:top w:val="nil"/>
              <w:left w:val="nil"/>
              <w:bottom w:val="nil"/>
              <w:right w:val="nil"/>
            </w:tcBorders>
            <w:shd w:val="clear" w:color="auto" w:fill="auto"/>
            <w:noWrap/>
            <w:vAlign w:val="center"/>
            <w:hideMark/>
          </w:tcPr>
          <w:p w14:paraId="011B658C"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Celkové sociálne transfery</w:t>
            </w:r>
          </w:p>
        </w:tc>
        <w:tc>
          <w:tcPr>
            <w:tcW w:w="1040" w:type="dxa"/>
            <w:tcBorders>
              <w:top w:val="nil"/>
              <w:left w:val="nil"/>
              <w:bottom w:val="nil"/>
              <w:right w:val="nil"/>
            </w:tcBorders>
            <w:shd w:val="clear" w:color="auto" w:fill="auto"/>
            <w:noWrap/>
            <w:vAlign w:val="bottom"/>
            <w:hideMark/>
          </w:tcPr>
          <w:p w14:paraId="13136927"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15 519 976</w:t>
            </w:r>
          </w:p>
        </w:tc>
        <w:tc>
          <w:tcPr>
            <w:tcW w:w="1040" w:type="dxa"/>
            <w:tcBorders>
              <w:top w:val="nil"/>
              <w:left w:val="nil"/>
              <w:bottom w:val="nil"/>
              <w:right w:val="nil"/>
            </w:tcBorders>
            <w:shd w:val="clear" w:color="auto" w:fill="auto"/>
            <w:noWrap/>
            <w:vAlign w:val="bottom"/>
            <w:hideMark/>
          </w:tcPr>
          <w:p w14:paraId="6AB5C6F9"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15 715 280</w:t>
            </w:r>
          </w:p>
        </w:tc>
        <w:tc>
          <w:tcPr>
            <w:tcW w:w="1040" w:type="dxa"/>
            <w:tcBorders>
              <w:top w:val="nil"/>
              <w:left w:val="nil"/>
              <w:bottom w:val="nil"/>
              <w:right w:val="nil"/>
            </w:tcBorders>
            <w:shd w:val="clear" w:color="000000" w:fill="BFBFBF"/>
            <w:noWrap/>
            <w:vAlign w:val="bottom"/>
            <w:hideMark/>
          </w:tcPr>
          <w:p w14:paraId="5A9F2093"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16 331 614</w:t>
            </w:r>
          </w:p>
        </w:tc>
        <w:tc>
          <w:tcPr>
            <w:tcW w:w="1133" w:type="dxa"/>
            <w:tcBorders>
              <w:top w:val="nil"/>
              <w:left w:val="nil"/>
              <w:bottom w:val="nil"/>
              <w:right w:val="nil"/>
            </w:tcBorders>
            <w:shd w:val="clear" w:color="auto" w:fill="auto"/>
            <w:noWrap/>
            <w:vAlign w:val="center"/>
            <w:hideMark/>
          </w:tcPr>
          <w:p w14:paraId="25B18EF5"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16 402 778</w:t>
            </w:r>
          </w:p>
        </w:tc>
        <w:tc>
          <w:tcPr>
            <w:tcW w:w="1040" w:type="dxa"/>
            <w:tcBorders>
              <w:top w:val="nil"/>
              <w:left w:val="nil"/>
              <w:bottom w:val="nil"/>
              <w:right w:val="nil"/>
            </w:tcBorders>
            <w:shd w:val="clear" w:color="auto" w:fill="auto"/>
            <w:noWrap/>
            <w:vAlign w:val="center"/>
            <w:hideMark/>
          </w:tcPr>
          <w:p w14:paraId="27C60188"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3,9</w:t>
            </w:r>
          </w:p>
        </w:tc>
      </w:tr>
      <w:tr w:rsidR="00500BD0" w:rsidRPr="007F1B39" w14:paraId="1D7D17C0" w14:textId="77777777" w:rsidTr="00500BD0">
        <w:trPr>
          <w:trHeight w:val="300"/>
        </w:trPr>
        <w:tc>
          <w:tcPr>
            <w:tcW w:w="3969" w:type="dxa"/>
            <w:tcBorders>
              <w:top w:val="nil"/>
              <w:left w:val="nil"/>
              <w:bottom w:val="nil"/>
              <w:right w:val="nil"/>
            </w:tcBorders>
            <w:shd w:val="clear" w:color="auto" w:fill="auto"/>
            <w:noWrap/>
            <w:vAlign w:val="center"/>
            <w:hideMark/>
          </w:tcPr>
          <w:p w14:paraId="094486EC"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Sociálne dávky okrem naturálnych soc. transf.</w:t>
            </w:r>
          </w:p>
        </w:tc>
        <w:tc>
          <w:tcPr>
            <w:tcW w:w="1040" w:type="dxa"/>
            <w:tcBorders>
              <w:top w:val="nil"/>
              <w:left w:val="nil"/>
              <w:bottom w:val="nil"/>
              <w:right w:val="nil"/>
            </w:tcBorders>
            <w:shd w:val="clear" w:color="auto" w:fill="auto"/>
            <w:noWrap/>
            <w:vAlign w:val="bottom"/>
            <w:hideMark/>
          </w:tcPr>
          <w:p w14:paraId="24F8B8E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11 281 545</w:t>
            </w:r>
          </w:p>
        </w:tc>
        <w:tc>
          <w:tcPr>
            <w:tcW w:w="1040" w:type="dxa"/>
            <w:tcBorders>
              <w:top w:val="nil"/>
              <w:left w:val="nil"/>
              <w:bottom w:val="nil"/>
              <w:right w:val="nil"/>
            </w:tcBorders>
            <w:shd w:val="clear" w:color="auto" w:fill="auto"/>
            <w:noWrap/>
            <w:vAlign w:val="bottom"/>
            <w:hideMark/>
          </w:tcPr>
          <w:p w14:paraId="74DAD72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11 468 738</w:t>
            </w:r>
          </w:p>
        </w:tc>
        <w:tc>
          <w:tcPr>
            <w:tcW w:w="1040" w:type="dxa"/>
            <w:tcBorders>
              <w:top w:val="nil"/>
              <w:left w:val="nil"/>
              <w:bottom w:val="nil"/>
              <w:right w:val="nil"/>
            </w:tcBorders>
            <w:shd w:val="clear" w:color="000000" w:fill="BFBFBF"/>
            <w:noWrap/>
            <w:vAlign w:val="bottom"/>
            <w:hideMark/>
          </w:tcPr>
          <w:p w14:paraId="0A7CCD76"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11 856 326</w:t>
            </w:r>
          </w:p>
        </w:tc>
        <w:tc>
          <w:tcPr>
            <w:tcW w:w="1133" w:type="dxa"/>
            <w:tcBorders>
              <w:top w:val="nil"/>
              <w:left w:val="nil"/>
              <w:bottom w:val="nil"/>
              <w:right w:val="nil"/>
            </w:tcBorders>
            <w:shd w:val="clear" w:color="auto" w:fill="auto"/>
            <w:noWrap/>
            <w:vAlign w:val="center"/>
            <w:hideMark/>
          </w:tcPr>
          <w:p w14:paraId="70E2D6B2"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11 935 898</w:t>
            </w:r>
          </w:p>
        </w:tc>
        <w:tc>
          <w:tcPr>
            <w:tcW w:w="1040" w:type="dxa"/>
            <w:tcBorders>
              <w:top w:val="nil"/>
              <w:left w:val="nil"/>
              <w:bottom w:val="nil"/>
              <w:right w:val="nil"/>
            </w:tcBorders>
            <w:shd w:val="clear" w:color="auto" w:fill="auto"/>
            <w:noWrap/>
            <w:vAlign w:val="center"/>
            <w:hideMark/>
          </w:tcPr>
          <w:p w14:paraId="495358A9"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3,4</w:t>
            </w:r>
          </w:p>
        </w:tc>
      </w:tr>
      <w:tr w:rsidR="00500BD0" w:rsidRPr="007F1B39" w14:paraId="56AC292B" w14:textId="77777777" w:rsidTr="00500BD0">
        <w:trPr>
          <w:trHeight w:val="300"/>
        </w:trPr>
        <w:tc>
          <w:tcPr>
            <w:tcW w:w="3969" w:type="dxa"/>
            <w:tcBorders>
              <w:top w:val="nil"/>
              <w:left w:val="nil"/>
              <w:bottom w:val="nil"/>
              <w:right w:val="nil"/>
            </w:tcBorders>
            <w:shd w:val="clear" w:color="auto" w:fill="auto"/>
            <w:noWrap/>
            <w:vAlign w:val="center"/>
            <w:hideMark/>
          </w:tcPr>
          <w:p w14:paraId="6304D7BF"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Dôchodkové dávky zo starob. a inv. poistenia</w:t>
            </w:r>
          </w:p>
        </w:tc>
        <w:tc>
          <w:tcPr>
            <w:tcW w:w="1040" w:type="dxa"/>
            <w:tcBorders>
              <w:top w:val="nil"/>
              <w:left w:val="nil"/>
              <w:bottom w:val="nil"/>
              <w:right w:val="nil"/>
            </w:tcBorders>
            <w:shd w:val="clear" w:color="auto" w:fill="auto"/>
            <w:noWrap/>
            <w:vAlign w:val="bottom"/>
            <w:hideMark/>
          </w:tcPr>
          <w:p w14:paraId="4BD5A0A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6 829 807</w:t>
            </w:r>
          </w:p>
        </w:tc>
        <w:tc>
          <w:tcPr>
            <w:tcW w:w="1040" w:type="dxa"/>
            <w:tcBorders>
              <w:top w:val="nil"/>
              <w:left w:val="nil"/>
              <w:bottom w:val="nil"/>
              <w:right w:val="nil"/>
            </w:tcBorders>
            <w:shd w:val="clear" w:color="auto" w:fill="auto"/>
            <w:noWrap/>
            <w:vAlign w:val="bottom"/>
            <w:hideMark/>
          </w:tcPr>
          <w:p w14:paraId="5D81714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7 128 820</w:t>
            </w:r>
          </w:p>
        </w:tc>
        <w:tc>
          <w:tcPr>
            <w:tcW w:w="1040" w:type="dxa"/>
            <w:tcBorders>
              <w:top w:val="nil"/>
              <w:left w:val="nil"/>
              <w:bottom w:val="nil"/>
              <w:right w:val="nil"/>
            </w:tcBorders>
            <w:shd w:val="clear" w:color="000000" w:fill="BFBFBF"/>
            <w:noWrap/>
            <w:vAlign w:val="bottom"/>
            <w:hideMark/>
          </w:tcPr>
          <w:p w14:paraId="49E36A43"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7 422 996</w:t>
            </w:r>
          </w:p>
        </w:tc>
        <w:tc>
          <w:tcPr>
            <w:tcW w:w="1133" w:type="dxa"/>
            <w:tcBorders>
              <w:top w:val="nil"/>
              <w:left w:val="nil"/>
              <w:bottom w:val="nil"/>
              <w:right w:val="nil"/>
            </w:tcBorders>
            <w:shd w:val="clear" w:color="auto" w:fill="auto"/>
            <w:noWrap/>
            <w:vAlign w:val="center"/>
            <w:hideMark/>
          </w:tcPr>
          <w:p w14:paraId="3470726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7 432 846</w:t>
            </w:r>
          </w:p>
        </w:tc>
        <w:tc>
          <w:tcPr>
            <w:tcW w:w="1040" w:type="dxa"/>
            <w:tcBorders>
              <w:top w:val="nil"/>
              <w:left w:val="nil"/>
              <w:bottom w:val="nil"/>
              <w:right w:val="nil"/>
            </w:tcBorders>
            <w:shd w:val="clear" w:color="auto" w:fill="auto"/>
            <w:noWrap/>
            <w:vAlign w:val="center"/>
            <w:hideMark/>
          </w:tcPr>
          <w:p w14:paraId="58E14F4D"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4,1</w:t>
            </w:r>
          </w:p>
        </w:tc>
      </w:tr>
      <w:tr w:rsidR="00500BD0" w:rsidRPr="007F1B39" w14:paraId="1F18BAA2" w14:textId="77777777" w:rsidTr="00500BD0">
        <w:trPr>
          <w:trHeight w:val="300"/>
        </w:trPr>
        <w:tc>
          <w:tcPr>
            <w:tcW w:w="3969" w:type="dxa"/>
            <w:tcBorders>
              <w:top w:val="nil"/>
              <w:left w:val="nil"/>
              <w:bottom w:val="nil"/>
              <w:right w:val="nil"/>
            </w:tcBorders>
            <w:shd w:val="clear" w:color="auto" w:fill="auto"/>
            <w:noWrap/>
            <w:vAlign w:val="center"/>
            <w:hideMark/>
          </w:tcPr>
          <w:p w14:paraId="25B43B8D"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Štátne sociálne dávky a podpora</w:t>
            </w:r>
          </w:p>
        </w:tc>
        <w:tc>
          <w:tcPr>
            <w:tcW w:w="1040" w:type="dxa"/>
            <w:tcBorders>
              <w:top w:val="nil"/>
              <w:left w:val="nil"/>
              <w:bottom w:val="nil"/>
              <w:right w:val="nil"/>
            </w:tcBorders>
            <w:shd w:val="clear" w:color="auto" w:fill="auto"/>
            <w:noWrap/>
            <w:vAlign w:val="bottom"/>
            <w:hideMark/>
          </w:tcPr>
          <w:p w14:paraId="0E5D5D67"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1 320 384</w:t>
            </w:r>
          </w:p>
        </w:tc>
        <w:tc>
          <w:tcPr>
            <w:tcW w:w="1040" w:type="dxa"/>
            <w:tcBorders>
              <w:top w:val="nil"/>
              <w:left w:val="nil"/>
              <w:bottom w:val="nil"/>
              <w:right w:val="nil"/>
            </w:tcBorders>
            <w:shd w:val="clear" w:color="auto" w:fill="auto"/>
            <w:noWrap/>
            <w:vAlign w:val="bottom"/>
            <w:hideMark/>
          </w:tcPr>
          <w:p w14:paraId="2ED4EF57"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1 318 087</w:t>
            </w:r>
          </w:p>
        </w:tc>
        <w:tc>
          <w:tcPr>
            <w:tcW w:w="1040" w:type="dxa"/>
            <w:tcBorders>
              <w:top w:val="nil"/>
              <w:left w:val="nil"/>
              <w:bottom w:val="nil"/>
              <w:right w:val="nil"/>
            </w:tcBorders>
            <w:shd w:val="clear" w:color="000000" w:fill="BFBFBF"/>
            <w:noWrap/>
            <w:vAlign w:val="bottom"/>
            <w:hideMark/>
          </w:tcPr>
          <w:p w14:paraId="39EEBBE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1 346 088</w:t>
            </w:r>
          </w:p>
        </w:tc>
        <w:tc>
          <w:tcPr>
            <w:tcW w:w="1133" w:type="dxa"/>
            <w:tcBorders>
              <w:top w:val="nil"/>
              <w:left w:val="nil"/>
              <w:bottom w:val="nil"/>
              <w:right w:val="nil"/>
            </w:tcBorders>
            <w:shd w:val="clear" w:color="auto" w:fill="auto"/>
            <w:noWrap/>
            <w:vAlign w:val="center"/>
            <w:hideMark/>
          </w:tcPr>
          <w:p w14:paraId="16ABDBA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1 337 774</w:t>
            </w:r>
          </w:p>
        </w:tc>
        <w:tc>
          <w:tcPr>
            <w:tcW w:w="1040" w:type="dxa"/>
            <w:tcBorders>
              <w:top w:val="nil"/>
              <w:left w:val="nil"/>
              <w:bottom w:val="nil"/>
              <w:right w:val="nil"/>
            </w:tcBorders>
            <w:shd w:val="clear" w:color="auto" w:fill="auto"/>
            <w:noWrap/>
            <w:vAlign w:val="center"/>
            <w:hideMark/>
          </w:tcPr>
          <w:p w14:paraId="5A162866"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2,1</w:t>
            </w:r>
          </w:p>
        </w:tc>
      </w:tr>
      <w:tr w:rsidR="00500BD0" w:rsidRPr="007F1B39" w14:paraId="39812F7D" w14:textId="77777777" w:rsidTr="00500BD0">
        <w:trPr>
          <w:trHeight w:val="300"/>
        </w:trPr>
        <w:tc>
          <w:tcPr>
            <w:tcW w:w="3969" w:type="dxa"/>
            <w:tcBorders>
              <w:top w:val="nil"/>
              <w:left w:val="nil"/>
              <w:bottom w:val="nil"/>
              <w:right w:val="nil"/>
            </w:tcBorders>
            <w:shd w:val="clear" w:color="auto" w:fill="auto"/>
            <w:noWrap/>
            <w:vAlign w:val="center"/>
            <w:hideMark/>
          </w:tcPr>
          <w:p w14:paraId="12BC89B5"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na prídavok na dieťa</w:t>
            </w:r>
          </w:p>
        </w:tc>
        <w:tc>
          <w:tcPr>
            <w:tcW w:w="1040" w:type="dxa"/>
            <w:tcBorders>
              <w:top w:val="nil"/>
              <w:left w:val="nil"/>
              <w:bottom w:val="nil"/>
              <w:right w:val="nil"/>
            </w:tcBorders>
            <w:shd w:val="clear" w:color="auto" w:fill="auto"/>
            <w:noWrap/>
            <w:vAlign w:val="bottom"/>
            <w:hideMark/>
          </w:tcPr>
          <w:p w14:paraId="65FBA8B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312 838</w:t>
            </w:r>
          </w:p>
        </w:tc>
        <w:tc>
          <w:tcPr>
            <w:tcW w:w="1040" w:type="dxa"/>
            <w:tcBorders>
              <w:top w:val="nil"/>
              <w:left w:val="nil"/>
              <w:bottom w:val="nil"/>
              <w:right w:val="nil"/>
            </w:tcBorders>
            <w:shd w:val="clear" w:color="auto" w:fill="auto"/>
            <w:noWrap/>
            <w:vAlign w:val="bottom"/>
            <w:hideMark/>
          </w:tcPr>
          <w:p w14:paraId="028444A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311 062</w:t>
            </w:r>
          </w:p>
        </w:tc>
        <w:tc>
          <w:tcPr>
            <w:tcW w:w="1040" w:type="dxa"/>
            <w:tcBorders>
              <w:top w:val="nil"/>
              <w:left w:val="nil"/>
              <w:bottom w:val="nil"/>
              <w:right w:val="nil"/>
            </w:tcBorders>
            <w:shd w:val="clear" w:color="000000" w:fill="BFBFBF"/>
            <w:noWrap/>
            <w:vAlign w:val="bottom"/>
            <w:hideMark/>
          </w:tcPr>
          <w:p w14:paraId="274AA225"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312 721</w:t>
            </w:r>
          </w:p>
        </w:tc>
        <w:tc>
          <w:tcPr>
            <w:tcW w:w="1133" w:type="dxa"/>
            <w:tcBorders>
              <w:top w:val="nil"/>
              <w:left w:val="nil"/>
              <w:bottom w:val="nil"/>
              <w:right w:val="nil"/>
            </w:tcBorders>
            <w:shd w:val="clear" w:color="auto" w:fill="auto"/>
            <w:noWrap/>
            <w:vAlign w:val="center"/>
            <w:hideMark/>
          </w:tcPr>
          <w:p w14:paraId="753B395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314 658</w:t>
            </w:r>
          </w:p>
        </w:tc>
        <w:tc>
          <w:tcPr>
            <w:tcW w:w="1040" w:type="dxa"/>
            <w:tcBorders>
              <w:top w:val="nil"/>
              <w:left w:val="nil"/>
              <w:bottom w:val="nil"/>
              <w:right w:val="nil"/>
            </w:tcBorders>
            <w:shd w:val="clear" w:color="auto" w:fill="auto"/>
            <w:noWrap/>
            <w:vAlign w:val="center"/>
            <w:hideMark/>
          </w:tcPr>
          <w:p w14:paraId="7C14800B"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0,5</w:t>
            </w:r>
          </w:p>
        </w:tc>
      </w:tr>
      <w:tr w:rsidR="00482590" w:rsidRPr="007F1B39" w14:paraId="70510A0A" w14:textId="77777777" w:rsidTr="00C05F79">
        <w:trPr>
          <w:trHeight w:val="456"/>
        </w:trPr>
        <w:tc>
          <w:tcPr>
            <w:tcW w:w="3969" w:type="dxa"/>
            <w:tcBorders>
              <w:top w:val="single" w:sz="4" w:space="0" w:color="auto"/>
              <w:left w:val="nil"/>
              <w:bottom w:val="nil"/>
              <w:right w:val="nil"/>
            </w:tcBorders>
            <w:shd w:val="clear" w:color="000000" w:fill="BFBFBF"/>
            <w:noWrap/>
            <w:vAlign w:val="center"/>
            <w:hideMark/>
          </w:tcPr>
          <w:p w14:paraId="2828D236" w14:textId="77777777" w:rsidR="00482590" w:rsidRPr="007F1B39" w:rsidRDefault="00482590" w:rsidP="00C05F79">
            <w:pPr>
              <w:spacing w:after="0" w:line="240" w:lineRule="auto"/>
              <w:rPr>
                <w:b/>
                <w:bCs/>
                <w:sz w:val="18"/>
                <w:szCs w:val="18"/>
                <w:lang w:eastAsia="sk-SK"/>
              </w:rPr>
            </w:pPr>
            <w:r w:rsidRPr="007F1B39">
              <w:rPr>
                <w:b/>
                <w:bCs/>
                <w:sz w:val="18"/>
                <w:szCs w:val="18"/>
                <w:lang w:eastAsia="sk-SK"/>
              </w:rPr>
              <w:t> </w:t>
            </w:r>
          </w:p>
        </w:tc>
        <w:tc>
          <w:tcPr>
            <w:tcW w:w="1040" w:type="dxa"/>
            <w:tcBorders>
              <w:top w:val="single" w:sz="4" w:space="0" w:color="auto"/>
              <w:left w:val="nil"/>
              <w:bottom w:val="nil"/>
              <w:right w:val="nil"/>
            </w:tcBorders>
            <w:shd w:val="clear" w:color="000000" w:fill="BFBFBF"/>
            <w:vAlign w:val="center"/>
            <w:hideMark/>
          </w:tcPr>
          <w:p w14:paraId="41152BB9" w14:textId="77777777" w:rsidR="00482590" w:rsidRPr="007F1B39" w:rsidRDefault="00482590" w:rsidP="00C05F79">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2016</w:t>
            </w:r>
          </w:p>
        </w:tc>
        <w:tc>
          <w:tcPr>
            <w:tcW w:w="1040" w:type="dxa"/>
            <w:tcBorders>
              <w:top w:val="single" w:sz="4" w:space="0" w:color="auto"/>
              <w:left w:val="nil"/>
              <w:bottom w:val="nil"/>
              <w:right w:val="nil"/>
            </w:tcBorders>
            <w:shd w:val="clear" w:color="000000" w:fill="BFBFBF"/>
            <w:vAlign w:val="center"/>
            <w:hideMark/>
          </w:tcPr>
          <w:p w14:paraId="643B2455" w14:textId="77777777" w:rsidR="00482590" w:rsidRPr="007F1B39" w:rsidRDefault="00482590" w:rsidP="00C05F79">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2017</w:t>
            </w:r>
          </w:p>
        </w:tc>
        <w:tc>
          <w:tcPr>
            <w:tcW w:w="1040" w:type="dxa"/>
            <w:tcBorders>
              <w:top w:val="single" w:sz="4" w:space="0" w:color="auto"/>
              <w:left w:val="nil"/>
              <w:bottom w:val="nil"/>
              <w:right w:val="nil"/>
            </w:tcBorders>
            <w:shd w:val="clear" w:color="000000" w:fill="BFBFBF"/>
            <w:vAlign w:val="center"/>
            <w:hideMark/>
          </w:tcPr>
          <w:p w14:paraId="4BEDBFB3" w14:textId="77777777" w:rsidR="00482590" w:rsidRPr="007F1B39" w:rsidRDefault="00482590" w:rsidP="00C05F79">
            <w:pPr>
              <w:spacing w:after="0" w:line="240" w:lineRule="auto"/>
              <w:jc w:val="center"/>
              <w:rPr>
                <w:b/>
                <w:bCs/>
                <w:sz w:val="18"/>
                <w:szCs w:val="18"/>
                <w:lang w:eastAsia="sk-SK"/>
              </w:rPr>
            </w:pPr>
            <w:r w:rsidRPr="007F1B39">
              <w:rPr>
                <w:b/>
                <w:bCs/>
                <w:sz w:val="18"/>
                <w:szCs w:val="18"/>
                <w:lang w:eastAsia="sk-SK"/>
              </w:rPr>
              <w:t>Skutočnosť</w:t>
            </w:r>
            <w:r w:rsidRPr="007F1B39">
              <w:rPr>
                <w:b/>
                <w:bCs/>
                <w:sz w:val="18"/>
                <w:szCs w:val="18"/>
                <w:lang w:eastAsia="sk-SK"/>
              </w:rPr>
              <w:br/>
              <w:t>2018</w:t>
            </w:r>
          </w:p>
        </w:tc>
        <w:tc>
          <w:tcPr>
            <w:tcW w:w="1133" w:type="dxa"/>
            <w:tcBorders>
              <w:top w:val="single" w:sz="4" w:space="0" w:color="auto"/>
              <w:left w:val="nil"/>
              <w:bottom w:val="nil"/>
              <w:right w:val="nil"/>
            </w:tcBorders>
            <w:shd w:val="clear" w:color="000000" w:fill="BFBFBF"/>
            <w:vAlign w:val="center"/>
            <w:hideMark/>
          </w:tcPr>
          <w:p w14:paraId="7AE0024D" w14:textId="77777777" w:rsidR="00482590" w:rsidRPr="007F1B39" w:rsidRDefault="00482590" w:rsidP="00C05F79">
            <w:pPr>
              <w:spacing w:after="0" w:line="240" w:lineRule="auto"/>
              <w:jc w:val="center"/>
              <w:rPr>
                <w:b/>
                <w:bCs/>
                <w:sz w:val="18"/>
                <w:szCs w:val="18"/>
                <w:lang w:eastAsia="sk-SK"/>
              </w:rPr>
            </w:pPr>
            <w:r w:rsidRPr="007F1B39">
              <w:rPr>
                <w:b/>
                <w:bCs/>
                <w:sz w:val="18"/>
                <w:szCs w:val="18"/>
                <w:lang w:eastAsia="sk-SK"/>
              </w:rPr>
              <w:t xml:space="preserve">Rozpočet </w:t>
            </w:r>
            <w:r w:rsidRPr="007F1B39">
              <w:rPr>
                <w:b/>
                <w:bCs/>
                <w:sz w:val="18"/>
                <w:szCs w:val="18"/>
                <w:lang w:eastAsia="sk-SK"/>
              </w:rPr>
              <w:br/>
              <w:t>2018</w:t>
            </w:r>
          </w:p>
        </w:tc>
        <w:tc>
          <w:tcPr>
            <w:tcW w:w="1040" w:type="dxa"/>
            <w:tcBorders>
              <w:top w:val="single" w:sz="4" w:space="0" w:color="auto"/>
              <w:left w:val="nil"/>
              <w:bottom w:val="nil"/>
              <w:right w:val="nil"/>
            </w:tcBorders>
            <w:shd w:val="clear" w:color="000000" w:fill="BFBFBF"/>
            <w:vAlign w:val="center"/>
            <w:hideMark/>
          </w:tcPr>
          <w:p w14:paraId="7EC540BA" w14:textId="77777777" w:rsidR="00482590" w:rsidRPr="007F1B39" w:rsidRDefault="00482590" w:rsidP="00C05F79">
            <w:pPr>
              <w:spacing w:after="0" w:line="240" w:lineRule="auto"/>
              <w:jc w:val="center"/>
              <w:rPr>
                <w:b/>
                <w:bCs/>
                <w:sz w:val="18"/>
                <w:szCs w:val="18"/>
                <w:lang w:eastAsia="sk-SK"/>
              </w:rPr>
            </w:pPr>
            <w:r w:rsidRPr="007F1B39">
              <w:rPr>
                <w:b/>
                <w:bCs/>
                <w:sz w:val="18"/>
                <w:szCs w:val="18"/>
                <w:lang w:eastAsia="sk-SK"/>
              </w:rPr>
              <w:t>2018/2017</w:t>
            </w:r>
            <w:r w:rsidRPr="007F1B39">
              <w:rPr>
                <w:b/>
                <w:bCs/>
                <w:sz w:val="18"/>
                <w:szCs w:val="18"/>
                <w:lang w:eastAsia="sk-SK"/>
              </w:rPr>
              <w:br/>
              <w:t>v %</w:t>
            </w:r>
          </w:p>
        </w:tc>
      </w:tr>
      <w:tr w:rsidR="00500BD0" w:rsidRPr="007F1B39" w14:paraId="077E8F5D" w14:textId="77777777" w:rsidTr="00500BD0">
        <w:trPr>
          <w:trHeight w:val="300"/>
        </w:trPr>
        <w:tc>
          <w:tcPr>
            <w:tcW w:w="3969" w:type="dxa"/>
            <w:tcBorders>
              <w:top w:val="nil"/>
              <w:left w:val="nil"/>
              <w:bottom w:val="nil"/>
              <w:right w:val="nil"/>
            </w:tcBorders>
            <w:shd w:val="clear" w:color="auto" w:fill="auto"/>
            <w:noWrap/>
            <w:vAlign w:val="center"/>
            <w:hideMark/>
          </w:tcPr>
          <w:p w14:paraId="2C07B43D"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pri narodení dieťaťa a prísp. rodičom</w:t>
            </w:r>
          </w:p>
        </w:tc>
        <w:tc>
          <w:tcPr>
            <w:tcW w:w="1040" w:type="dxa"/>
            <w:tcBorders>
              <w:top w:val="nil"/>
              <w:left w:val="nil"/>
              <w:bottom w:val="nil"/>
              <w:right w:val="nil"/>
            </w:tcBorders>
            <w:shd w:val="clear" w:color="auto" w:fill="auto"/>
            <w:noWrap/>
            <w:vAlign w:val="bottom"/>
            <w:hideMark/>
          </w:tcPr>
          <w:p w14:paraId="3E9A5C3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43 890</w:t>
            </w:r>
          </w:p>
        </w:tc>
        <w:tc>
          <w:tcPr>
            <w:tcW w:w="1040" w:type="dxa"/>
            <w:tcBorders>
              <w:top w:val="nil"/>
              <w:left w:val="nil"/>
              <w:bottom w:val="nil"/>
              <w:right w:val="nil"/>
            </w:tcBorders>
            <w:shd w:val="clear" w:color="auto" w:fill="auto"/>
            <w:noWrap/>
            <w:vAlign w:val="bottom"/>
            <w:hideMark/>
          </w:tcPr>
          <w:p w14:paraId="42D115A1"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44 012</w:t>
            </w:r>
          </w:p>
        </w:tc>
        <w:tc>
          <w:tcPr>
            <w:tcW w:w="1040" w:type="dxa"/>
            <w:tcBorders>
              <w:top w:val="nil"/>
              <w:left w:val="nil"/>
              <w:bottom w:val="nil"/>
              <w:right w:val="nil"/>
            </w:tcBorders>
            <w:shd w:val="clear" w:color="000000" w:fill="BFBFBF"/>
            <w:noWrap/>
            <w:vAlign w:val="bottom"/>
            <w:hideMark/>
          </w:tcPr>
          <w:p w14:paraId="6A37A54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44 011</w:t>
            </w:r>
          </w:p>
        </w:tc>
        <w:tc>
          <w:tcPr>
            <w:tcW w:w="1133" w:type="dxa"/>
            <w:tcBorders>
              <w:top w:val="nil"/>
              <w:left w:val="nil"/>
              <w:bottom w:val="nil"/>
              <w:right w:val="nil"/>
            </w:tcBorders>
            <w:shd w:val="clear" w:color="auto" w:fill="auto"/>
            <w:noWrap/>
            <w:vAlign w:val="center"/>
            <w:hideMark/>
          </w:tcPr>
          <w:p w14:paraId="73CD05F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42 084</w:t>
            </w:r>
          </w:p>
        </w:tc>
        <w:tc>
          <w:tcPr>
            <w:tcW w:w="1040" w:type="dxa"/>
            <w:tcBorders>
              <w:top w:val="nil"/>
              <w:left w:val="nil"/>
              <w:bottom w:val="nil"/>
              <w:right w:val="nil"/>
            </w:tcBorders>
            <w:shd w:val="clear" w:color="auto" w:fill="auto"/>
            <w:noWrap/>
            <w:vAlign w:val="center"/>
            <w:hideMark/>
          </w:tcPr>
          <w:p w14:paraId="1B6B894A"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0,0</w:t>
            </w:r>
          </w:p>
        </w:tc>
      </w:tr>
      <w:tr w:rsidR="00500BD0" w:rsidRPr="007F1B39" w14:paraId="6F8F53F3" w14:textId="77777777" w:rsidTr="00500BD0">
        <w:trPr>
          <w:trHeight w:val="300"/>
        </w:trPr>
        <w:tc>
          <w:tcPr>
            <w:tcW w:w="3969" w:type="dxa"/>
            <w:tcBorders>
              <w:top w:val="nil"/>
              <w:left w:val="nil"/>
              <w:bottom w:val="nil"/>
              <w:right w:val="nil"/>
            </w:tcBorders>
            <w:shd w:val="clear" w:color="auto" w:fill="auto"/>
            <w:noWrap/>
            <w:vAlign w:val="center"/>
            <w:hideMark/>
          </w:tcPr>
          <w:p w14:paraId="1D4E8E19"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na rodičovský príspevok</w:t>
            </w:r>
          </w:p>
        </w:tc>
        <w:tc>
          <w:tcPr>
            <w:tcW w:w="1040" w:type="dxa"/>
            <w:tcBorders>
              <w:top w:val="nil"/>
              <w:left w:val="nil"/>
              <w:bottom w:val="nil"/>
              <w:right w:val="nil"/>
            </w:tcBorders>
            <w:shd w:val="clear" w:color="auto" w:fill="auto"/>
            <w:noWrap/>
            <w:vAlign w:val="bottom"/>
            <w:hideMark/>
          </w:tcPr>
          <w:p w14:paraId="69AE081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352 444</w:t>
            </w:r>
          </w:p>
        </w:tc>
        <w:tc>
          <w:tcPr>
            <w:tcW w:w="1040" w:type="dxa"/>
            <w:tcBorders>
              <w:top w:val="nil"/>
              <w:left w:val="nil"/>
              <w:bottom w:val="nil"/>
              <w:right w:val="nil"/>
            </w:tcBorders>
            <w:shd w:val="clear" w:color="auto" w:fill="auto"/>
            <w:noWrap/>
            <w:vAlign w:val="bottom"/>
            <w:hideMark/>
          </w:tcPr>
          <w:p w14:paraId="5479E86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361 299</w:t>
            </w:r>
          </w:p>
        </w:tc>
        <w:tc>
          <w:tcPr>
            <w:tcW w:w="1040" w:type="dxa"/>
            <w:tcBorders>
              <w:top w:val="nil"/>
              <w:left w:val="nil"/>
              <w:bottom w:val="nil"/>
              <w:right w:val="nil"/>
            </w:tcBorders>
            <w:shd w:val="clear" w:color="000000" w:fill="BFBFBF"/>
            <w:noWrap/>
            <w:vAlign w:val="bottom"/>
            <w:hideMark/>
          </w:tcPr>
          <w:p w14:paraId="63D55CCE"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368 688</w:t>
            </w:r>
          </w:p>
        </w:tc>
        <w:tc>
          <w:tcPr>
            <w:tcW w:w="1133" w:type="dxa"/>
            <w:tcBorders>
              <w:top w:val="nil"/>
              <w:left w:val="nil"/>
              <w:bottom w:val="nil"/>
              <w:right w:val="nil"/>
            </w:tcBorders>
            <w:shd w:val="clear" w:color="auto" w:fill="auto"/>
            <w:noWrap/>
            <w:vAlign w:val="center"/>
            <w:hideMark/>
          </w:tcPr>
          <w:p w14:paraId="0B563D2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372 917</w:t>
            </w:r>
          </w:p>
        </w:tc>
        <w:tc>
          <w:tcPr>
            <w:tcW w:w="1040" w:type="dxa"/>
            <w:tcBorders>
              <w:top w:val="nil"/>
              <w:left w:val="nil"/>
              <w:bottom w:val="nil"/>
              <w:right w:val="nil"/>
            </w:tcBorders>
            <w:shd w:val="clear" w:color="auto" w:fill="auto"/>
            <w:noWrap/>
            <w:vAlign w:val="center"/>
            <w:hideMark/>
          </w:tcPr>
          <w:p w14:paraId="0675C83C"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2,0</w:t>
            </w:r>
          </w:p>
        </w:tc>
      </w:tr>
      <w:tr w:rsidR="00500BD0" w:rsidRPr="007F1B39" w14:paraId="7B92D167" w14:textId="77777777" w:rsidTr="00500BD0">
        <w:trPr>
          <w:trHeight w:val="300"/>
        </w:trPr>
        <w:tc>
          <w:tcPr>
            <w:tcW w:w="3969" w:type="dxa"/>
            <w:tcBorders>
              <w:top w:val="nil"/>
              <w:left w:val="nil"/>
              <w:bottom w:val="nil"/>
              <w:right w:val="nil"/>
            </w:tcBorders>
            <w:shd w:val="clear" w:color="auto" w:fill="auto"/>
            <w:noWrap/>
            <w:vAlign w:val="center"/>
            <w:hideMark/>
          </w:tcPr>
          <w:p w14:paraId="68948D48"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na dávku v hmotnej núdzi</w:t>
            </w:r>
          </w:p>
        </w:tc>
        <w:tc>
          <w:tcPr>
            <w:tcW w:w="1040" w:type="dxa"/>
            <w:tcBorders>
              <w:top w:val="nil"/>
              <w:left w:val="nil"/>
              <w:bottom w:val="nil"/>
              <w:right w:val="nil"/>
            </w:tcBorders>
            <w:shd w:val="clear" w:color="auto" w:fill="auto"/>
            <w:noWrap/>
            <w:vAlign w:val="bottom"/>
            <w:hideMark/>
          </w:tcPr>
          <w:p w14:paraId="25FCF4AD"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182 686</w:t>
            </w:r>
          </w:p>
        </w:tc>
        <w:tc>
          <w:tcPr>
            <w:tcW w:w="1040" w:type="dxa"/>
            <w:tcBorders>
              <w:top w:val="nil"/>
              <w:left w:val="nil"/>
              <w:bottom w:val="nil"/>
              <w:right w:val="nil"/>
            </w:tcBorders>
            <w:shd w:val="clear" w:color="auto" w:fill="auto"/>
            <w:noWrap/>
            <w:vAlign w:val="bottom"/>
            <w:hideMark/>
          </w:tcPr>
          <w:p w14:paraId="74434B7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153 786</w:t>
            </w:r>
          </w:p>
        </w:tc>
        <w:tc>
          <w:tcPr>
            <w:tcW w:w="1040" w:type="dxa"/>
            <w:tcBorders>
              <w:top w:val="nil"/>
              <w:left w:val="nil"/>
              <w:bottom w:val="nil"/>
              <w:right w:val="nil"/>
            </w:tcBorders>
            <w:shd w:val="clear" w:color="000000" w:fill="BFBFBF"/>
            <w:noWrap/>
            <w:vAlign w:val="bottom"/>
            <w:hideMark/>
          </w:tcPr>
          <w:p w14:paraId="54B2098A"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124 999</w:t>
            </w:r>
          </w:p>
        </w:tc>
        <w:tc>
          <w:tcPr>
            <w:tcW w:w="1133" w:type="dxa"/>
            <w:tcBorders>
              <w:top w:val="nil"/>
              <w:left w:val="nil"/>
              <w:bottom w:val="nil"/>
              <w:right w:val="nil"/>
            </w:tcBorders>
            <w:shd w:val="clear" w:color="auto" w:fill="auto"/>
            <w:noWrap/>
            <w:vAlign w:val="center"/>
            <w:hideMark/>
          </w:tcPr>
          <w:p w14:paraId="4D24C4B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151 955</w:t>
            </w:r>
          </w:p>
        </w:tc>
        <w:tc>
          <w:tcPr>
            <w:tcW w:w="1040" w:type="dxa"/>
            <w:tcBorders>
              <w:top w:val="nil"/>
              <w:left w:val="nil"/>
              <w:bottom w:val="nil"/>
              <w:right w:val="nil"/>
            </w:tcBorders>
            <w:shd w:val="clear" w:color="auto" w:fill="auto"/>
            <w:noWrap/>
            <w:vAlign w:val="center"/>
            <w:hideMark/>
          </w:tcPr>
          <w:p w14:paraId="169C0C5C"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-18,7</w:t>
            </w:r>
          </w:p>
        </w:tc>
      </w:tr>
      <w:tr w:rsidR="00500BD0" w:rsidRPr="007F1B39" w14:paraId="5597EBC6" w14:textId="77777777" w:rsidTr="00500BD0">
        <w:trPr>
          <w:trHeight w:val="300"/>
        </w:trPr>
        <w:tc>
          <w:tcPr>
            <w:tcW w:w="3969" w:type="dxa"/>
            <w:tcBorders>
              <w:top w:val="nil"/>
              <w:left w:val="nil"/>
              <w:bottom w:val="nil"/>
              <w:right w:val="nil"/>
            </w:tcBorders>
            <w:shd w:val="clear" w:color="auto" w:fill="auto"/>
            <w:noWrap/>
            <w:vAlign w:val="center"/>
            <w:hideMark/>
          </w:tcPr>
          <w:p w14:paraId="4A784E29"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na peňažné príspevky na kompenzáciu</w:t>
            </w:r>
          </w:p>
        </w:tc>
        <w:tc>
          <w:tcPr>
            <w:tcW w:w="1040" w:type="dxa"/>
            <w:tcBorders>
              <w:top w:val="nil"/>
              <w:left w:val="nil"/>
              <w:bottom w:val="nil"/>
              <w:right w:val="nil"/>
            </w:tcBorders>
            <w:shd w:val="clear" w:color="auto" w:fill="auto"/>
            <w:noWrap/>
            <w:vAlign w:val="bottom"/>
            <w:hideMark/>
          </w:tcPr>
          <w:p w14:paraId="045B4A8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226 343</w:t>
            </w:r>
          </w:p>
        </w:tc>
        <w:tc>
          <w:tcPr>
            <w:tcW w:w="1040" w:type="dxa"/>
            <w:tcBorders>
              <w:top w:val="nil"/>
              <w:left w:val="nil"/>
              <w:bottom w:val="nil"/>
              <w:right w:val="nil"/>
            </w:tcBorders>
            <w:shd w:val="clear" w:color="auto" w:fill="auto"/>
            <w:noWrap/>
            <w:vAlign w:val="bottom"/>
            <w:hideMark/>
          </w:tcPr>
          <w:p w14:paraId="3D47938F"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243 811</w:t>
            </w:r>
          </w:p>
        </w:tc>
        <w:tc>
          <w:tcPr>
            <w:tcW w:w="1040" w:type="dxa"/>
            <w:tcBorders>
              <w:top w:val="nil"/>
              <w:left w:val="nil"/>
              <w:bottom w:val="nil"/>
              <w:right w:val="nil"/>
            </w:tcBorders>
            <w:shd w:val="clear" w:color="000000" w:fill="BFBFBF"/>
            <w:noWrap/>
            <w:vAlign w:val="bottom"/>
            <w:hideMark/>
          </w:tcPr>
          <w:p w14:paraId="7DF49F59"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292 862</w:t>
            </w:r>
          </w:p>
        </w:tc>
        <w:tc>
          <w:tcPr>
            <w:tcW w:w="1133" w:type="dxa"/>
            <w:tcBorders>
              <w:top w:val="nil"/>
              <w:left w:val="nil"/>
              <w:bottom w:val="nil"/>
              <w:right w:val="nil"/>
            </w:tcBorders>
            <w:shd w:val="clear" w:color="auto" w:fill="auto"/>
            <w:noWrap/>
            <w:vAlign w:val="center"/>
            <w:hideMark/>
          </w:tcPr>
          <w:p w14:paraId="2C9227B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282 085</w:t>
            </w:r>
          </w:p>
        </w:tc>
        <w:tc>
          <w:tcPr>
            <w:tcW w:w="1040" w:type="dxa"/>
            <w:tcBorders>
              <w:top w:val="nil"/>
              <w:left w:val="nil"/>
              <w:bottom w:val="nil"/>
              <w:right w:val="nil"/>
            </w:tcBorders>
            <w:shd w:val="clear" w:color="auto" w:fill="auto"/>
            <w:noWrap/>
            <w:vAlign w:val="center"/>
            <w:hideMark/>
          </w:tcPr>
          <w:p w14:paraId="7E09B5FF"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20,1</w:t>
            </w:r>
          </w:p>
        </w:tc>
      </w:tr>
      <w:tr w:rsidR="00500BD0" w:rsidRPr="007F1B39" w14:paraId="63FCEAEF" w14:textId="77777777" w:rsidTr="00500BD0">
        <w:trPr>
          <w:trHeight w:val="300"/>
        </w:trPr>
        <w:tc>
          <w:tcPr>
            <w:tcW w:w="3969" w:type="dxa"/>
            <w:tcBorders>
              <w:top w:val="nil"/>
              <w:left w:val="nil"/>
              <w:bottom w:val="nil"/>
              <w:right w:val="nil"/>
            </w:tcBorders>
            <w:shd w:val="clear" w:color="auto" w:fill="auto"/>
            <w:noWrap/>
            <w:vAlign w:val="center"/>
            <w:hideMark/>
          </w:tcPr>
          <w:p w14:paraId="403CF9C0"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ostatné</w:t>
            </w:r>
          </w:p>
        </w:tc>
        <w:tc>
          <w:tcPr>
            <w:tcW w:w="1040" w:type="dxa"/>
            <w:tcBorders>
              <w:top w:val="nil"/>
              <w:left w:val="nil"/>
              <w:bottom w:val="nil"/>
              <w:right w:val="nil"/>
            </w:tcBorders>
            <w:shd w:val="clear" w:color="auto" w:fill="auto"/>
            <w:noWrap/>
            <w:vAlign w:val="bottom"/>
            <w:hideMark/>
          </w:tcPr>
          <w:p w14:paraId="7E46070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202 183</w:t>
            </w:r>
          </w:p>
        </w:tc>
        <w:tc>
          <w:tcPr>
            <w:tcW w:w="1040" w:type="dxa"/>
            <w:tcBorders>
              <w:top w:val="nil"/>
              <w:left w:val="nil"/>
              <w:bottom w:val="nil"/>
              <w:right w:val="nil"/>
            </w:tcBorders>
            <w:shd w:val="clear" w:color="auto" w:fill="auto"/>
            <w:noWrap/>
            <w:vAlign w:val="bottom"/>
            <w:hideMark/>
          </w:tcPr>
          <w:p w14:paraId="5F886DEF"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204 117</w:t>
            </w:r>
          </w:p>
        </w:tc>
        <w:tc>
          <w:tcPr>
            <w:tcW w:w="1040" w:type="dxa"/>
            <w:tcBorders>
              <w:top w:val="nil"/>
              <w:left w:val="nil"/>
              <w:bottom w:val="nil"/>
              <w:right w:val="nil"/>
            </w:tcBorders>
            <w:shd w:val="clear" w:color="000000" w:fill="BFBFBF"/>
            <w:noWrap/>
            <w:vAlign w:val="bottom"/>
            <w:hideMark/>
          </w:tcPr>
          <w:p w14:paraId="0FEE544D"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202 807</w:t>
            </w:r>
          </w:p>
        </w:tc>
        <w:tc>
          <w:tcPr>
            <w:tcW w:w="1133" w:type="dxa"/>
            <w:tcBorders>
              <w:top w:val="nil"/>
              <w:left w:val="nil"/>
              <w:bottom w:val="nil"/>
              <w:right w:val="nil"/>
            </w:tcBorders>
            <w:shd w:val="clear" w:color="auto" w:fill="auto"/>
            <w:noWrap/>
            <w:vAlign w:val="center"/>
            <w:hideMark/>
          </w:tcPr>
          <w:p w14:paraId="4524C5B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174 075</w:t>
            </w:r>
          </w:p>
        </w:tc>
        <w:tc>
          <w:tcPr>
            <w:tcW w:w="1040" w:type="dxa"/>
            <w:tcBorders>
              <w:top w:val="nil"/>
              <w:left w:val="nil"/>
              <w:bottom w:val="nil"/>
              <w:right w:val="nil"/>
            </w:tcBorders>
            <w:shd w:val="clear" w:color="auto" w:fill="auto"/>
            <w:noWrap/>
            <w:vAlign w:val="center"/>
            <w:hideMark/>
          </w:tcPr>
          <w:p w14:paraId="2EC20314"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-0,6</w:t>
            </w:r>
          </w:p>
        </w:tc>
      </w:tr>
      <w:tr w:rsidR="00500BD0" w:rsidRPr="007F1B39" w14:paraId="410E98ED" w14:textId="77777777" w:rsidTr="00500BD0">
        <w:trPr>
          <w:trHeight w:val="300"/>
        </w:trPr>
        <w:tc>
          <w:tcPr>
            <w:tcW w:w="3969" w:type="dxa"/>
            <w:tcBorders>
              <w:top w:val="nil"/>
              <w:left w:val="nil"/>
              <w:bottom w:val="nil"/>
              <w:right w:val="nil"/>
            </w:tcBorders>
            <w:shd w:val="clear" w:color="auto" w:fill="auto"/>
            <w:noWrap/>
            <w:vAlign w:val="center"/>
            <w:hideMark/>
          </w:tcPr>
          <w:p w14:paraId="78CDB667"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Platené poistné za skupiny osôb ust. zákonom</w:t>
            </w:r>
          </w:p>
        </w:tc>
        <w:tc>
          <w:tcPr>
            <w:tcW w:w="1040" w:type="dxa"/>
            <w:tcBorders>
              <w:top w:val="nil"/>
              <w:left w:val="nil"/>
              <w:bottom w:val="nil"/>
              <w:right w:val="nil"/>
            </w:tcBorders>
            <w:shd w:val="clear" w:color="auto" w:fill="auto"/>
            <w:noWrap/>
            <w:vAlign w:val="bottom"/>
            <w:hideMark/>
          </w:tcPr>
          <w:p w14:paraId="06DB769F"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1 626 516</w:t>
            </w:r>
          </w:p>
        </w:tc>
        <w:tc>
          <w:tcPr>
            <w:tcW w:w="1040" w:type="dxa"/>
            <w:tcBorders>
              <w:top w:val="nil"/>
              <w:left w:val="nil"/>
              <w:bottom w:val="nil"/>
              <w:right w:val="nil"/>
            </w:tcBorders>
            <w:shd w:val="clear" w:color="auto" w:fill="auto"/>
            <w:noWrap/>
            <w:vAlign w:val="bottom"/>
            <w:hideMark/>
          </w:tcPr>
          <w:p w14:paraId="2C62662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1 546 139</w:t>
            </w:r>
          </w:p>
        </w:tc>
        <w:tc>
          <w:tcPr>
            <w:tcW w:w="1040" w:type="dxa"/>
            <w:tcBorders>
              <w:top w:val="nil"/>
              <w:left w:val="nil"/>
              <w:bottom w:val="nil"/>
              <w:right w:val="nil"/>
            </w:tcBorders>
            <w:shd w:val="clear" w:color="000000" w:fill="BFBFBF"/>
            <w:noWrap/>
            <w:vAlign w:val="bottom"/>
            <w:hideMark/>
          </w:tcPr>
          <w:p w14:paraId="55F52547"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1 484 358</w:t>
            </w:r>
          </w:p>
        </w:tc>
        <w:tc>
          <w:tcPr>
            <w:tcW w:w="1133" w:type="dxa"/>
            <w:tcBorders>
              <w:top w:val="nil"/>
              <w:left w:val="nil"/>
              <w:bottom w:val="nil"/>
              <w:right w:val="nil"/>
            </w:tcBorders>
            <w:shd w:val="clear" w:color="auto" w:fill="auto"/>
            <w:noWrap/>
            <w:vAlign w:val="center"/>
            <w:hideMark/>
          </w:tcPr>
          <w:p w14:paraId="38A4097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1 646 794</w:t>
            </w:r>
          </w:p>
        </w:tc>
        <w:tc>
          <w:tcPr>
            <w:tcW w:w="1040" w:type="dxa"/>
            <w:tcBorders>
              <w:top w:val="nil"/>
              <w:left w:val="nil"/>
              <w:bottom w:val="nil"/>
              <w:right w:val="nil"/>
            </w:tcBorders>
            <w:shd w:val="clear" w:color="auto" w:fill="auto"/>
            <w:noWrap/>
            <w:vAlign w:val="center"/>
            <w:hideMark/>
          </w:tcPr>
          <w:p w14:paraId="080BA03A"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-4,0</w:t>
            </w:r>
          </w:p>
        </w:tc>
      </w:tr>
      <w:tr w:rsidR="00500BD0" w:rsidRPr="007F1B39" w14:paraId="1DAFFBFA" w14:textId="77777777" w:rsidTr="00500BD0">
        <w:trPr>
          <w:trHeight w:val="300"/>
        </w:trPr>
        <w:tc>
          <w:tcPr>
            <w:tcW w:w="3969" w:type="dxa"/>
            <w:tcBorders>
              <w:top w:val="nil"/>
              <w:left w:val="nil"/>
              <w:bottom w:val="nil"/>
              <w:right w:val="nil"/>
            </w:tcBorders>
            <w:shd w:val="clear" w:color="auto" w:fill="auto"/>
            <w:noWrap/>
            <w:vAlign w:val="center"/>
            <w:hideMark/>
          </w:tcPr>
          <w:p w14:paraId="680D9D5A"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sociálne poistenie</w:t>
            </w:r>
          </w:p>
        </w:tc>
        <w:tc>
          <w:tcPr>
            <w:tcW w:w="1040" w:type="dxa"/>
            <w:tcBorders>
              <w:top w:val="nil"/>
              <w:left w:val="nil"/>
              <w:bottom w:val="nil"/>
              <w:right w:val="nil"/>
            </w:tcBorders>
            <w:shd w:val="clear" w:color="auto" w:fill="auto"/>
            <w:noWrap/>
            <w:vAlign w:val="bottom"/>
            <w:hideMark/>
          </w:tcPr>
          <w:p w14:paraId="6D5A7D0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231 496</w:t>
            </w:r>
          </w:p>
        </w:tc>
        <w:tc>
          <w:tcPr>
            <w:tcW w:w="1040" w:type="dxa"/>
            <w:tcBorders>
              <w:top w:val="nil"/>
              <w:left w:val="nil"/>
              <w:bottom w:val="nil"/>
              <w:right w:val="nil"/>
            </w:tcBorders>
            <w:shd w:val="clear" w:color="auto" w:fill="auto"/>
            <w:noWrap/>
            <w:vAlign w:val="bottom"/>
            <w:hideMark/>
          </w:tcPr>
          <w:p w14:paraId="437C697D"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242 915</w:t>
            </w:r>
          </w:p>
        </w:tc>
        <w:tc>
          <w:tcPr>
            <w:tcW w:w="1040" w:type="dxa"/>
            <w:tcBorders>
              <w:top w:val="nil"/>
              <w:left w:val="nil"/>
              <w:bottom w:val="nil"/>
              <w:right w:val="nil"/>
            </w:tcBorders>
            <w:shd w:val="clear" w:color="000000" w:fill="BFBFBF"/>
            <w:noWrap/>
            <w:vAlign w:val="bottom"/>
            <w:hideMark/>
          </w:tcPr>
          <w:p w14:paraId="16E7AD5D"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295 381</w:t>
            </w:r>
          </w:p>
        </w:tc>
        <w:tc>
          <w:tcPr>
            <w:tcW w:w="1133" w:type="dxa"/>
            <w:tcBorders>
              <w:top w:val="nil"/>
              <w:left w:val="nil"/>
              <w:bottom w:val="nil"/>
              <w:right w:val="nil"/>
            </w:tcBorders>
            <w:shd w:val="clear" w:color="auto" w:fill="auto"/>
            <w:noWrap/>
            <w:vAlign w:val="center"/>
            <w:hideMark/>
          </w:tcPr>
          <w:p w14:paraId="50F2912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304 381</w:t>
            </w:r>
          </w:p>
        </w:tc>
        <w:tc>
          <w:tcPr>
            <w:tcW w:w="1040" w:type="dxa"/>
            <w:tcBorders>
              <w:top w:val="nil"/>
              <w:left w:val="nil"/>
              <w:bottom w:val="nil"/>
              <w:right w:val="nil"/>
            </w:tcBorders>
            <w:shd w:val="clear" w:color="auto" w:fill="auto"/>
            <w:noWrap/>
            <w:vAlign w:val="center"/>
            <w:hideMark/>
          </w:tcPr>
          <w:p w14:paraId="04B7E3EF"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21,6</w:t>
            </w:r>
          </w:p>
        </w:tc>
      </w:tr>
      <w:tr w:rsidR="00500BD0" w:rsidRPr="007F1B39" w14:paraId="3A45F24F" w14:textId="77777777" w:rsidTr="00500BD0">
        <w:trPr>
          <w:trHeight w:val="300"/>
        </w:trPr>
        <w:tc>
          <w:tcPr>
            <w:tcW w:w="3969" w:type="dxa"/>
            <w:tcBorders>
              <w:top w:val="nil"/>
              <w:left w:val="nil"/>
              <w:bottom w:val="nil"/>
              <w:right w:val="nil"/>
            </w:tcBorders>
            <w:shd w:val="clear" w:color="auto" w:fill="auto"/>
            <w:noWrap/>
            <w:vAlign w:val="center"/>
            <w:hideMark/>
          </w:tcPr>
          <w:p w14:paraId="0362697C" w14:textId="77777777" w:rsidR="00500BD0" w:rsidRPr="007F1B39" w:rsidRDefault="00500BD0" w:rsidP="00500BD0">
            <w:pPr>
              <w:spacing w:after="0" w:line="240" w:lineRule="auto"/>
              <w:ind w:firstLineChars="300" w:firstLine="540"/>
              <w:rPr>
                <w:i/>
                <w:iCs/>
                <w:color w:val="000000"/>
                <w:sz w:val="18"/>
                <w:szCs w:val="18"/>
                <w:lang w:eastAsia="sk-SK"/>
              </w:rPr>
            </w:pPr>
            <w:r w:rsidRPr="007F1B39">
              <w:rPr>
                <w:i/>
                <w:iCs/>
                <w:color w:val="000000"/>
                <w:sz w:val="18"/>
                <w:szCs w:val="18"/>
                <w:lang w:eastAsia="sk-SK"/>
              </w:rPr>
              <w:t xml:space="preserve"> - zdravotné poistenie</w:t>
            </w:r>
          </w:p>
        </w:tc>
        <w:tc>
          <w:tcPr>
            <w:tcW w:w="1040" w:type="dxa"/>
            <w:tcBorders>
              <w:top w:val="nil"/>
              <w:left w:val="nil"/>
              <w:bottom w:val="nil"/>
              <w:right w:val="nil"/>
            </w:tcBorders>
            <w:shd w:val="clear" w:color="auto" w:fill="auto"/>
            <w:noWrap/>
            <w:vAlign w:val="bottom"/>
            <w:hideMark/>
          </w:tcPr>
          <w:p w14:paraId="71756E5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1 392 100</w:t>
            </w:r>
          </w:p>
        </w:tc>
        <w:tc>
          <w:tcPr>
            <w:tcW w:w="1040" w:type="dxa"/>
            <w:tcBorders>
              <w:top w:val="nil"/>
              <w:left w:val="nil"/>
              <w:bottom w:val="nil"/>
              <w:right w:val="nil"/>
            </w:tcBorders>
            <w:shd w:val="clear" w:color="auto" w:fill="auto"/>
            <w:noWrap/>
            <w:vAlign w:val="bottom"/>
            <w:hideMark/>
          </w:tcPr>
          <w:p w14:paraId="41171DE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1 300 135</w:t>
            </w:r>
          </w:p>
        </w:tc>
        <w:tc>
          <w:tcPr>
            <w:tcW w:w="1040" w:type="dxa"/>
            <w:tcBorders>
              <w:top w:val="nil"/>
              <w:left w:val="nil"/>
              <w:bottom w:val="nil"/>
              <w:right w:val="nil"/>
            </w:tcBorders>
            <w:shd w:val="clear" w:color="000000" w:fill="BFBFBF"/>
            <w:noWrap/>
            <w:vAlign w:val="bottom"/>
            <w:hideMark/>
          </w:tcPr>
          <w:p w14:paraId="2EE405F5"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1 188 977</w:t>
            </w:r>
          </w:p>
        </w:tc>
        <w:tc>
          <w:tcPr>
            <w:tcW w:w="1133" w:type="dxa"/>
            <w:tcBorders>
              <w:top w:val="nil"/>
              <w:left w:val="nil"/>
              <w:bottom w:val="nil"/>
              <w:right w:val="nil"/>
            </w:tcBorders>
            <w:shd w:val="clear" w:color="auto" w:fill="auto"/>
            <w:noWrap/>
            <w:vAlign w:val="center"/>
            <w:hideMark/>
          </w:tcPr>
          <w:p w14:paraId="7CC56151"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1 219 447</w:t>
            </w:r>
          </w:p>
        </w:tc>
        <w:tc>
          <w:tcPr>
            <w:tcW w:w="1040" w:type="dxa"/>
            <w:tcBorders>
              <w:top w:val="nil"/>
              <w:left w:val="nil"/>
              <w:bottom w:val="nil"/>
              <w:right w:val="nil"/>
            </w:tcBorders>
            <w:shd w:val="clear" w:color="auto" w:fill="auto"/>
            <w:noWrap/>
            <w:vAlign w:val="center"/>
            <w:hideMark/>
          </w:tcPr>
          <w:p w14:paraId="3B334E0C"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-8,5</w:t>
            </w:r>
          </w:p>
        </w:tc>
      </w:tr>
      <w:tr w:rsidR="00500BD0" w:rsidRPr="007F1B39" w14:paraId="4AEC70BD" w14:textId="77777777" w:rsidTr="00500BD0">
        <w:trPr>
          <w:trHeight w:val="300"/>
        </w:trPr>
        <w:tc>
          <w:tcPr>
            <w:tcW w:w="3969" w:type="dxa"/>
            <w:tcBorders>
              <w:top w:val="nil"/>
              <w:left w:val="nil"/>
              <w:bottom w:val="nil"/>
              <w:right w:val="nil"/>
            </w:tcBorders>
            <w:shd w:val="clear" w:color="auto" w:fill="auto"/>
            <w:noWrap/>
            <w:vAlign w:val="center"/>
            <w:hideMark/>
          </w:tcPr>
          <w:p w14:paraId="286D9346"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Nemocenské dávky</w:t>
            </w:r>
          </w:p>
        </w:tc>
        <w:tc>
          <w:tcPr>
            <w:tcW w:w="1040" w:type="dxa"/>
            <w:tcBorders>
              <w:top w:val="nil"/>
              <w:left w:val="nil"/>
              <w:bottom w:val="nil"/>
              <w:right w:val="nil"/>
            </w:tcBorders>
            <w:shd w:val="clear" w:color="auto" w:fill="auto"/>
            <w:noWrap/>
            <w:vAlign w:val="bottom"/>
            <w:hideMark/>
          </w:tcPr>
          <w:p w14:paraId="0EB79E5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479 094</w:t>
            </w:r>
          </w:p>
        </w:tc>
        <w:tc>
          <w:tcPr>
            <w:tcW w:w="1040" w:type="dxa"/>
            <w:tcBorders>
              <w:top w:val="nil"/>
              <w:left w:val="nil"/>
              <w:bottom w:val="nil"/>
              <w:right w:val="nil"/>
            </w:tcBorders>
            <w:shd w:val="clear" w:color="auto" w:fill="auto"/>
            <w:noWrap/>
            <w:vAlign w:val="bottom"/>
            <w:hideMark/>
          </w:tcPr>
          <w:p w14:paraId="3542A5D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570 719</w:t>
            </w:r>
          </w:p>
        </w:tc>
        <w:tc>
          <w:tcPr>
            <w:tcW w:w="1040" w:type="dxa"/>
            <w:tcBorders>
              <w:top w:val="nil"/>
              <w:left w:val="nil"/>
              <w:bottom w:val="nil"/>
              <w:right w:val="nil"/>
            </w:tcBorders>
            <w:shd w:val="clear" w:color="000000" w:fill="BFBFBF"/>
            <w:noWrap/>
            <w:vAlign w:val="bottom"/>
            <w:hideMark/>
          </w:tcPr>
          <w:p w14:paraId="58E0ACA0"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667 168</w:t>
            </w:r>
          </w:p>
        </w:tc>
        <w:tc>
          <w:tcPr>
            <w:tcW w:w="1133" w:type="dxa"/>
            <w:tcBorders>
              <w:top w:val="nil"/>
              <w:left w:val="nil"/>
              <w:bottom w:val="nil"/>
              <w:right w:val="nil"/>
            </w:tcBorders>
            <w:shd w:val="clear" w:color="auto" w:fill="auto"/>
            <w:noWrap/>
            <w:vAlign w:val="center"/>
            <w:hideMark/>
          </w:tcPr>
          <w:p w14:paraId="3E4B6492"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613 984</w:t>
            </w:r>
          </w:p>
        </w:tc>
        <w:tc>
          <w:tcPr>
            <w:tcW w:w="1040" w:type="dxa"/>
            <w:tcBorders>
              <w:top w:val="nil"/>
              <w:left w:val="nil"/>
              <w:bottom w:val="nil"/>
              <w:right w:val="nil"/>
            </w:tcBorders>
            <w:shd w:val="clear" w:color="auto" w:fill="auto"/>
            <w:noWrap/>
            <w:vAlign w:val="center"/>
            <w:hideMark/>
          </w:tcPr>
          <w:p w14:paraId="6D5E04D6"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16,9</w:t>
            </w:r>
          </w:p>
        </w:tc>
      </w:tr>
      <w:tr w:rsidR="00500BD0" w:rsidRPr="007F1B39" w14:paraId="4A9A5DC2" w14:textId="77777777" w:rsidTr="00500BD0">
        <w:trPr>
          <w:trHeight w:val="300"/>
        </w:trPr>
        <w:tc>
          <w:tcPr>
            <w:tcW w:w="3969" w:type="dxa"/>
            <w:tcBorders>
              <w:top w:val="nil"/>
              <w:left w:val="nil"/>
              <w:bottom w:val="nil"/>
              <w:right w:val="nil"/>
            </w:tcBorders>
            <w:shd w:val="clear" w:color="auto" w:fill="auto"/>
            <w:noWrap/>
            <w:vAlign w:val="center"/>
            <w:hideMark/>
          </w:tcPr>
          <w:p w14:paraId="6BADEB2F"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Dávky v nezamestnanosti</w:t>
            </w:r>
          </w:p>
        </w:tc>
        <w:tc>
          <w:tcPr>
            <w:tcW w:w="1040" w:type="dxa"/>
            <w:tcBorders>
              <w:top w:val="nil"/>
              <w:left w:val="nil"/>
              <w:bottom w:val="nil"/>
              <w:right w:val="nil"/>
            </w:tcBorders>
            <w:shd w:val="clear" w:color="auto" w:fill="auto"/>
            <w:noWrap/>
            <w:vAlign w:val="bottom"/>
            <w:hideMark/>
          </w:tcPr>
          <w:p w14:paraId="0A2452D4"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171 630</w:t>
            </w:r>
          </w:p>
        </w:tc>
        <w:tc>
          <w:tcPr>
            <w:tcW w:w="1040" w:type="dxa"/>
            <w:tcBorders>
              <w:top w:val="nil"/>
              <w:left w:val="nil"/>
              <w:bottom w:val="nil"/>
              <w:right w:val="nil"/>
            </w:tcBorders>
            <w:shd w:val="clear" w:color="auto" w:fill="auto"/>
            <w:noWrap/>
            <w:vAlign w:val="bottom"/>
            <w:hideMark/>
          </w:tcPr>
          <w:p w14:paraId="2E8A401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167 655</w:t>
            </w:r>
          </w:p>
        </w:tc>
        <w:tc>
          <w:tcPr>
            <w:tcW w:w="1040" w:type="dxa"/>
            <w:tcBorders>
              <w:top w:val="nil"/>
              <w:left w:val="nil"/>
              <w:bottom w:val="nil"/>
              <w:right w:val="nil"/>
            </w:tcBorders>
            <w:shd w:val="clear" w:color="000000" w:fill="BFBFBF"/>
            <w:noWrap/>
            <w:vAlign w:val="bottom"/>
            <w:hideMark/>
          </w:tcPr>
          <w:p w14:paraId="08C9B196"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183 745</w:t>
            </w:r>
          </w:p>
        </w:tc>
        <w:tc>
          <w:tcPr>
            <w:tcW w:w="1133" w:type="dxa"/>
            <w:tcBorders>
              <w:top w:val="nil"/>
              <w:left w:val="nil"/>
              <w:bottom w:val="nil"/>
              <w:right w:val="nil"/>
            </w:tcBorders>
            <w:shd w:val="clear" w:color="auto" w:fill="auto"/>
            <w:noWrap/>
            <w:vAlign w:val="center"/>
            <w:hideMark/>
          </w:tcPr>
          <w:p w14:paraId="3CAE8B4E"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162 901</w:t>
            </w:r>
          </w:p>
        </w:tc>
        <w:tc>
          <w:tcPr>
            <w:tcW w:w="1040" w:type="dxa"/>
            <w:tcBorders>
              <w:top w:val="nil"/>
              <w:left w:val="nil"/>
              <w:bottom w:val="nil"/>
              <w:right w:val="nil"/>
            </w:tcBorders>
            <w:shd w:val="clear" w:color="auto" w:fill="auto"/>
            <w:noWrap/>
            <w:vAlign w:val="center"/>
            <w:hideMark/>
          </w:tcPr>
          <w:p w14:paraId="0F22F193"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9,6</w:t>
            </w:r>
          </w:p>
        </w:tc>
      </w:tr>
      <w:tr w:rsidR="00500BD0" w:rsidRPr="007F1B39" w14:paraId="2C27BF69" w14:textId="77777777" w:rsidTr="00500BD0">
        <w:trPr>
          <w:trHeight w:val="300"/>
        </w:trPr>
        <w:tc>
          <w:tcPr>
            <w:tcW w:w="3969" w:type="dxa"/>
            <w:tcBorders>
              <w:top w:val="nil"/>
              <w:left w:val="nil"/>
              <w:bottom w:val="nil"/>
              <w:right w:val="nil"/>
            </w:tcBorders>
            <w:shd w:val="clear" w:color="auto" w:fill="auto"/>
            <w:noWrap/>
            <w:vAlign w:val="center"/>
            <w:hideMark/>
          </w:tcPr>
          <w:p w14:paraId="1F0BAEA6" w14:textId="77777777" w:rsidR="00500BD0" w:rsidRPr="007F1B39" w:rsidRDefault="00500BD0" w:rsidP="00500BD0">
            <w:pPr>
              <w:spacing w:after="0" w:line="240" w:lineRule="auto"/>
              <w:ind w:firstLineChars="200" w:firstLine="360"/>
              <w:rPr>
                <w:i/>
                <w:iCs/>
                <w:color w:val="000000"/>
                <w:sz w:val="18"/>
                <w:szCs w:val="18"/>
                <w:lang w:eastAsia="sk-SK"/>
              </w:rPr>
            </w:pPr>
            <w:r w:rsidRPr="007F1B39">
              <w:rPr>
                <w:i/>
                <w:iCs/>
                <w:color w:val="000000"/>
                <w:sz w:val="18"/>
                <w:szCs w:val="18"/>
                <w:lang w:eastAsia="sk-SK"/>
              </w:rPr>
              <w:t xml:space="preserve"> - Aktívne opatrenia trhu práce</w:t>
            </w:r>
          </w:p>
        </w:tc>
        <w:tc>
          <w:tcPr>
            <w:tcW w:w="1040" w:type="dxa"/>
            <w:tcBorders>
              <w:top w:val="nil"/>
              <w:left w:val="nil"/>
              <w:bottom w:val="nil"/>
              <w:right w:val="nil"/>
            </w:tcBorders>
            <w:shd w:val="clear" w:color="auto" w:fill="auto"/>
            <w:noWrap/>
            <w:vAlign w:val="bottom"/>
            <w:hideMark/>
          </w:tcPr>
          <w:p w14:paraId="1E37E19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69 276</w:t>
            </w:r>
          </w:p>
        </w:tc>
        <w:tc>
          <w:tcPr>
            <w:tcW w:w="1040" w:type="dxa"/>
            <w:tcBorders>
              <w:top w:val="nil"/>
              <w:left w:val="nil"/>
              <w:bottom w:val="nil"/>
              <w:right w:val="nil"/>
            </w:tcBorders>
            <w:shd w:val="clear" w:color="auto" w:fill="auto"/>
            <w:noWrap/>
            <w:vAlign w:val="bottom"/>
            <w:hideMark/>
          </w:tcPr>
          <w:p w14:paraId="60D6E63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53 323</w:t>
            </w:r>
          </w:p>
        </w:tc>
        <w:tc>
          <w:tcPr>
            <w:tcW w:w="1040" w:type="dxa"/>
            <w:tcBorders>
              <w:top w:val="nil"/>
              <w:left w:val="nil"/>
              <w:bottom w:val="nil"/>
              <w:right w:val="nil"/>
            </w:tcBorders>
            <w:shd w:val="clear" w:color="000000" w:fill="BFBFBF"/>
            <w:noWrap/>
            <w:vAlign w:val="bottom"/>
            <w:hideMark/>
          </w:tcPr>
          <w:p w14:paraId="2F4A2C23"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53 109</w:t>
            </w:r>
          </w:p>
        </w:tc>
        <w:tc>
          <w:tcPr>
            <w:tcW w:w="1133" w:type="dxa"/>
            <w:tcBorders>
              <w:top w:val="nil"/>
              <w:left w:val="nil"/>
              <w:bottom w:val="nil"/>
              <w:right w:val="nil"/>
            </w:tcBorders>
            <w:shd w:val="clear" w:color="auto" w:fill="auto"/>
            <w:noWrap/>
            <w:vAlign w:val="center"/>
            <w:hideMark/>
          </w:tcPr>
          <w:p w14:paraId="4B8C0CF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58 653</w:t>
            </w:r>
          </w:p>
        </w:tc>
        <w:tc>
          <w:tcPr>
            <w:tcW w:w="1040" w:type="dxa"/>
            <w:tcBorders>
              <w:top w:val="nil"/>
              <w:left w:val="nil"/>
              <w:bottom w:val="nil"/>
              <w:right w:val="nil"/>
            </w:tcBorders>
            <w:shd w:val="clear" w:color="auto" w:fill="auto"/>
            <w:noWrap/>
            <w:vAlign w:val="center"/>
            <w:hideMark/>
          </w:tcPr>
          <w:p w14:paraId="56DB0A52"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-0,4</w:t>
            </w:r>
          </w:p>
        </w:tc>
      </w:tr>
      <w:tr w:rsidR="00500BD0" w:rsidRPr="007F1B39" w14:paraId="029B0200" w14:textId="77777777" w:rsidTr="00500BD0">
        <w:trPr>
          <w:trHeight w:val="300"/>
        </w:trPr>
        <w:tc>
          <w:tcPr>
            <w:tcW w:w="3969" w:type="dxa"/>
            <w:tcBorders>
              <w:top w:val="nil"/>
              <w:left w:val="nil"/>
              <w:bottom w:val="nil"/>
              <w:right w:val="nil"/>
            </w:tcBorders>
            <w:shd w:val="clear" w:color="auto" w:fill="auto"/>
            <w:noWrap/>
            <w:vAlign w:val="center"/>
            <w:hideMark/>
          </w:tcPr>
          <w:p w14:paraId="0BE6EDE6"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Naturálne sociálne transfery (zdr. zariadenia)</w:t>
            </w:r>
          </w:p>
        </w:tc>
        <w:tc>
          <w:tcPr>
            <w:tcW w:w="1040" w:type="dxa"/>
            <w:tcBorders>
              <w:top w:val="nil"/>
              <w:left w:val="nil"/>
              <w:bottom w:val="nil"/>
              <w:right w:val="nil"/>
            </w:tcBorders>
            <w:shd w:val="clear" w:color="auto" w:fill="auto"/>
            <w:noWrap/>
            <w:vAlign w:val="bottom"/>
            <w:hideMark/>
          </w:tcPr>
          <w:p w14:paraId="3541405C"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4 238 431</w:t>
            </w:r>
          </w:p>
        </w:tc>
        <w:tc>
          <w:tcPr>
            <w:tcW w:w="1040" w:type="dxa"/>
            <w:tcBorders>
              <w:top w:val="nil"/>
              <w:left w:val="nil"/>
              <w:bottom w:val="nil"/>
              <w:right w:val="nil"/>
            </w:tcBorders>
            <w:shd w:val="clear" w:color="auto" w:fill="auto"/>
            <w:noWrap/>
            <w:vAlign w:val="bottom"/>
            <w:hideMark/>
          </w:tcPr>
          <w:p w14:paraId="234EDEE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4 246 542</w:t>
            </w:r>
          </w:p>
        </w:tc>
        <w:tc>
          <w:tcPr>
            <w:tcW w:w="1040" w:type="dxa"/>
            <w:tcBorders>
              <w:top w:val="nil"/>
              <w:left w:val="nil"/>
              <w:bottom w:val="nil"/>
              <w:right w:val="nil"/>
            </w:tcBorders>
            <w:shd w:val="clear" w:color="000000" w:fill="BFBFBF"/>
            <w:noWrap/>
            <w:vAlign w:val="bottom"/>
            <w:hideMark/>
          </w:tcPr>
          <w:p w14:paraId="23CA9A84"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4 475 288</w:t>
            </w:r>
          </w:p>
        </w:tc>
        <w:tc>
          <w:tcPr>
            <w:tcW w:w="1133" w:type="dxa"/>
            <w:tcBorders>
              <w:top w:val="nil"/>
              <w:left w:val="nil"/>
              <w:bottom w:val="nil"/>
              <w:right w:val="nil"/>
            </w:tcBorders>
            <w:shd w:val="clear" w:color="auto" w:fill="auto"/>
            <w:noWrap/>
            <w:vAlign w:val="center"/>
            <w:hideMark/>
          </w:tcPr>
          <w:p w14:paraId="2E9675D2"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4 466 880</w:t>
            </w:r>
          </w:p>
        </w:tc>
        <w:tc>
          <w:tcPr>
            <w:tcW w:w="1040" w:type="dxa"/>
            <w:tcBorders>
              <w:top w:val="nil"/>
              <w:left w:val="nil"/>
              <w:bottom w:val="nil"/>
              <w:right w:val="nil"/>
            </w:tcBorders>
            <w:shd w:val="clear" w:color="auto" w:fill="auto"/>
            <w:noWrap/>
            <w:vAlign w:val="center"/>
            <w:hideMark/>
          </w:tcPr>
          <w:p w14:paraId="5D32D826"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5,4</w:t>
            </w:r>
          </w:p>
        </w:tc>
      </w:tr>
      <w:tr w:rsidR="00500BD0" w:rsidRPr="007F1B39" w14:paraId="25D0CEEB" w14:textId="77777777" w:rsidTr="00500BD0">
        <w:trPr>
          <w:trHeight w:val="300"/>
        </w:trPr>
        <w:tc>
          <w:tcPr>
            <w:tcW w:w="3969" w:type="dxa"/>
            <w:tcBorders>
              <w:top w:val="nil"/>
              <w:left w:val="nil"/>
              <w:bottom w:val="nil"/>
              <w:right w:val="nil"/>
            </w:tcBorders>
            <w:shd w:val="clear" w:color="auto" w:fill="auto"/>
            <w:noWrap/>
            <w:vAlign w:val="center"/>
            <w:hideMark/>
          </w:tcPr>
          <w:p w14:paraId="0FA86576"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Ostatné bežné transfery</w:t>
            </w:r>
          </w:p>
        </w:tc>
        <w:tc>
          <w:tcPr>
            <w:tcW w:w="1040" w:type="dxa"/>
            <w:tcBorders>
              <w:top w:val="nil"/>
              <w:left w:val="nil"/>
              <w:bottom w:val="nil"/>
              <w:right w:val="nil"/>
            </w:tcBorders>
            <w:shd w:val="clear" w:color="auto" w:fill="auto"/>
            <w:noWrap/>
            <w:vAlign w:val="bottom"/>
            <w:hideMark/>
          </w:tcPr>
          <w:p w14:paraId="4A4920D5" w14:textId="77777777" w:rsidR="00500BD0" w:rsidRPr="00166DF3" w:rsidRDefault="00500BD0" w:rsidP="00500BD0">
            <w:pPr>
              <w:spacing w:after="0" w:line="240" w:lineRule="auto"/>
              <w:jc w:val="right"/>
              <w:rPr>
                <w:b/>
                <w:color w:val="000000"/>
                <w:sz w:val="18"/>
                <w:szCs w:val="18"/>
                <w:lang w:eastAsia="sk-SK"/>
              </w:rPr>
            </w:pPr>
            <w:r w:rsidRPr="00166DF3">
              <w:rPr>
                <w:b/>
                <w:color w:val="000000"/>
                <w:sz w:val="18"/>
                <w:szCs w:val="18"/>
                <w:lang w:eastAsia="sk-SK"/>
              </w:rPr>
              <w:t>1 254 365</w:t>
            </w:r>
          </w:p>
        </w:tc>
        <w:tc>
          <w:tcPr>
            <w:tcW w:w="1040" w:type="dxa"/>
            <w:tcBorders>
              <w:top w:val="nil"/>
              <w:left w:val="nil"/>
              <w:bottom w:val="nil"/>
              <w:right w:val="nil"/>
            </w:tcBorders>
            <w:shd w:val="clear" w:color="auto" w:fill="auto"/>
            <w:noWrap/>
            <w:vAlign w:val="bottom"/>
            <w:hideMark/>
          </w:tcPr>
          <w:p w14:paraId="727D685D" w14:textId="77777777" w:rsidR="00500BD0" w:rsidRPr="00166DF3" w:rsidRDefault="00500BD0" w:rsidP="00500BD0">
            <w:pPr>
              <w:spacing w:after="0" w:line="240" w:lineRule="auto"/>
              <w:jc w:val="right"/>
              <w:rPr>
                <w:b/>
                <w:color w:val="000000"/>
                <w:sz w:val="18"/>
                <w:szCs w:val="18"/>
                <w:lang w:eastAsia="sk-SK"/>
              </w:rPr>
            </w:pPr>
            <w:r w:rsidRPr="00166DF3">
              <w:rPr>
                <w:b/>
                <w:color w:val="000000"/>
                <w:sz w:val="18"/>
                <w:szCs w:val="18"/>
                <w:lang w:eastAsia="sk-SK"/>
              </w:rPr>
              <w:t>1 168 964</w:t>
            </w:r>
          </w:p>
        </w:tc>
        <w:tc>
          <w:tcPr>
            <w:tcW w:w="1040" w:type="dxa"/>
            <w:tcBorders>
              <w:top w:val="nil"/>
              <w:left w:val="nil"/>
              <w:bottom w:val="nil"/>
              <w:right w:val="nil"/>
            </w:tcBorders>
            <w:shd w:val="clear" w:color="000000" w:fill="BFBFBF"/>
            <w:noWrap/>
            <w:vAlign w:val="bottom"/>
            <w:hideMark/>
          </w:tcPr>
          <w:p w14:paraId="5019A195" w14:textId="77777777" w:rsidR="00500BD0" w:rsidRPr="00166DF3" w:rsidRDefault="00500BD0" w:rsidP="00500BD0">
            <w:pPr>
              <w:spacing w:after="0" w:line="240" w:lineRule="auto"/>
              <w:jc w:val="right"/>
              <w:rPr>
                <w:b/>
                <w:sz w:val="18"/>
                <w:szCs w:val="18"/>
                <w:lang w:eastAsia="sk-SK"/>
              </w:rPr>
            </w:pPr>
            <w:r w:rsidRPr="00166DF3">
              <w:rPr>
                <w:b/>
                <w:sz w:val="18"/>
                <w:szCs w:val="18"/>
                <w:lang w:eastAsia="sk-SK"/>
              </w:rPr>
              <w:t>1 727 228</w:t>
            </w:r>
          </w:p>
        </w:tc>
        <w:tc>
          <w:tcPr>
            <w:tcW w:w="1133" w:type="dxa"/>
            <w:tcBorders>
              <w:top w:val="nil"/>
              <w:left w:val="nil"/>
              <w:bottom w:val="nil"/>
              <w:right w:val="nil"/>
            </w:tcBorders>
            <w:shd w:val="clear" w:color="auto" w:fill="auto"/>
            <w:noWrap/>
            <w:vAlign w:val="center"/>
            <w:hideMark/>
          </w:tcPr>
          <w:p w14:paraId="0258BD41"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1 790 548</w:t>
            </w:r>
          </w:p>
        </w:tc>
        <w:tc>
          <w:tcPr>
            <w:tcW w:w="1040" w:type="dxa"/>
            <w:tcBorders>
              <w:top w:val="nil"/>
              <w:left w:val="nil"/>
              <w:bottom w:val="nil"/>
              <w:right w:val="nil"/>
            </w:tcBorders>
            <w:shd w:val="clear" w:color="auto" w:fill="auto"/>
            <w:noWrap/>
            <w:vAlign w:val="center"/>
            <w:hideMark/>
          </w:tcPr>
          <w:p w14:paraId="21611E36"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47,8</w:t>
            </w:r>
          </w:p>
        </w:tc>
      </w:tr>
      <w:tr w:rsidR="00500BD0" w:rsidRPr="007F1B39" w14:paraId="0AF66331" w14:textId="77777777" w:rsidTr="00500BD0">
        <w:trPr>
          <w:trHeight w:val="300"/>
        </w:trPr>
        <w:tc>
          <w:tcPr>
            <w:tcW w:w="3969" w:type="dxa"/>
            <w:tcBorders>
              <w:top w:val="nil"/>
              <w:left w:val="nil"/>
              <w:bottom w:val="nil"/>
              <w:right w:val="nil"/>
            </w:tcBorders>
            <w:shd w:val="clear" w:color="auto" w:fill="auto"/>
            <w:noWrap/>
            <w:vAlign w:val="center"/>
            <w:hideMark/>
          </w:tcPr>
          <w:p w14:paraId="569EDAEC" w14:textId="77777777" w:rsidR="00500BD0" w:rsidRPr="007F1B39" w:rsidRDefault="00500BD0" w:rsidP="00500BD0">
            <w:pPr>
              <w:spacing w:after="0" w:line="240" w:lineRule="auto"/>
              <w:ind w:firstLineChars="100" w:firstLine="180"/>
              <w:rPr>
                <w:i/>
                <w:iCs/>
                <w:color w:val="000000"/>
                <w:sz w:val="18"/>
                <w:szCs w:val="18"/>
                <w:lang w:eastAsia="sk-SK"/>
              </w:rPr>
            </w:pPr>
            <w:r w:rsidRPr="007F1B39">
              <w:rPr>
                <w:i/>
                <w:iCs/>
                <w:color w:val="000000"/>
                <w:sz w:val="18"/>
                <w:szCs w:val="18"/>
                <w:lang w:eastAsia="sk-SK"/>
              </w:rPr>
              <w:t>z toho: Odvody do rozpočtu EÚ</w:t>
            </w:r>
          </w:p>
        </w:tc>
        <w:tc>
          <w:tcPr>
            <w:tcW w:w="1040" w:type="dxa"/>
            <w:tcBorders>
              <w:top w:val="nil"/>
              <w:left w:val="nil"/>
              <w:bottom w:val="nil"/>
              <w:right w:val="nil"/>
            </w:tcBorders>
            <w:shd w:val="clear" w:color="auto" w:fill="auto"/>
            <w:noWrap/>
            <w:vAlign w:val="bottom"/>
            <w:hideMark/>
          </w:tcPr>
          <w:p w14:paraId="2741698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684 196</w:t>
            </w:r>
          </w:p>
        </w:tc>
        <w:tc>
          <w:tcPr>
            <w:tcW w:w="1040" w:type="dxa"/>
            <w:tcBorders>
              <w:top w:val="nil"/>
              <w:left w:val="nil"/>
              <w:bottom w:val="nil"/>
              <w:right w:val="nil"/>
            </w:tcBorders>
            <w:shd w:val="clear" w:color="auto" w:fill="auto"/>
            <w:noWrap/>
            <w:vAlign w:val="bottom"/>
            <w:hideMark/>
          </w:tcPr>
          <w:p w14:paraId="13791E3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601 959</w:t>
            </w:r>
          </w:p>
        </w:tc>
        <w:tc>
          <w:tcPr>
            <w:tcW w:w="1040" w:type="dxa"/>
            <w:tcBorders>
              <w:top w:val="nil"/>
              <w:left w:val="nil"/>
              <w:bottom w:val="nil"/>
              <w:right w:val="nil"/>
            </w:tcBorders>
            <w:shd w:val="clear" w:color="000000" w:fill="BFBFBF"/>
            <w:noWrap/>
            <w:vAlign w:val="bottom"/>
            <w:hideMark/>
          </w:tcPr>
          <w:p w14:paraId="28888E67"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763 637</w:t>
            </w:r>
          </w:p>
        </w:tc>
        <w:tc>
          <w:tcPr>
            <w:tcW w:w="1133" w:type="dxa"/>
            <w:tcBorders>
              <w:top w:val="nil"/>
              <w:left w:val="nil"/>
              <w:bottom w:val="nil"/>
              <w:right w:val="nil"/>
            </w:tcBorders>
            <w:shd w:val="clear" w:color="auto" w:fill="auto"/>
            <w:noWrap/>
            <w:vAlign w:val="center"/>
            <w:hideMark/>
          </w:tcPr>
          <w:p w14:paraId="19CBD34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768 122</w:t>
            </w:r>
          </w:p>
        </w:tc>
        <w:tc>
          <w:tcPr>
            <w:tcW w:w="1040" w:type="dxa"/>
            <w:tcBorders>
              <w:top w:val="nil"/>
              <w:left w:val="nil"/>
              <w:bottom w:val="nil"/>
              <w:right w:val="nil"/>
            </w:tcBorders>
            <w:shd w:val="clear" w:color="auto" w:fill="auto"/>
            <w:noWrap/>
            <w:vAlign w:val="center"/>
            <w:hideMark/>
          </w:tcPr>
          <w:p w14:paraId="3B74CD57"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26,9</w:t>
            </w:r>
          </w:p>
        </w:tc>
      </w:tr>
      <w:tr w:rsidR="00500BD0" w:rsidRPr="007F1B39" w14:paraId="252FBBD7" w14:textId="77777777" w:rsidTr="00500BD0">
        <w:trPr>
          <w:trHeight w:val="300"/>
        </w:trPr>
        <w:tc>
          <w:tcPr>
            <w:tcW w:w="3969" w:type="dxa"/>
            <w:tcBorders>
              <w:top w:val="nil"/>
              <w:left w:val="nil"/>
              <w:bottom w:val="nil"/>
              <w:right w:val="nil"/>
            </w:tcBorders>
            <w:shd w:val="clear" w:color="auto" w:fill="auto"/>
            <w:noWrap/>
            <w:vAlign w:val="center"/>
            <w:hideMark/>
          </w:tcPr>
          <w:p w14:paraId="29480773" w14:textId="77777777" w:rsidR="00500BD0" w:rsidRPr="007F1B39" w:rsidRDefault="00500BD0" w:rsidP="00500BD0">
            <w:pPr>
              <w:spacing w:after="0" w:line="240" w:lineRule="auto"/>
              <w:ind w:firstLineChars="100" w:firstLine="180"/>
              <w:rPr>
                <w:i/>
                <w:iCs/>
                <w:color w:val="000000"/>
                <w:sz w:val="18"/>
                <w:szCs w:val="18"/>
                <w:lang w:eastAsia="sk-SK"/>
              </w:rPr>
            </w:pPr>
            <w:r w:rsidRPr="007F1B39">
              <w:rPr>
                <w:i/>
                <w:iCs/>
                <w:color w:val="000000"/>
                <w:sz w:val="18"/>
                <w:szCs w:val="18"/>
                <w:lang w:eastAsia="sk-SK"/>
              </w:rPr>
              <w:t>z toho: 2% z daní na verejnoprospešný účel</w:t>
            </w:r>
          </w:p>
        </w:tc>
        <w:tc>
          <w:tcPr>
            <w:tcW w:w="1040" w:type="dxa"/>
            <w:tcBorders>
              <w:top w:val="nil"/>
              <w:left w:val="nil"/>
              <w:bottom w:val="nil"/>
              <w:right w:val="nil"/>
            </w:tcBorders>
            <w:shd w:val="clear" w:color="auto" w:fill="auto"/>
            <w:noWrap/>
            <w:vAlign w:val="bottom"/>
            <w:hideMark/>
          </w:tcPr>
          <w:p w14:paraId="4B52868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61 631</w:t>
            </w:r>
          </w:p>
        </w:tc>
        <w:tc>
          <w:tcPr>
            <w:tcW w:w="1040" w:type="dxa"/>
            <w:tcBorders>
              <w:top w:val="nil"/>
              <w:left w:val="nil"/>
              <w:bottom w:val="nil"/>
              <w:right w:val="nil"/>
            </w:tcBorders>
            <w:shd w:val="clear" w:color="auto" w:fill="auto"/>
            <w:noWrap/>
            <w:vAlign w:val="bottom"/>
            <w:hideMark/>
          </w:tcPr>
          <w:p w14:paraId="38004C14"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63 419</w:t>
            </w:r>
          </w:p>
        </w:tc>
        <w:tc>
          <w:tcPr>
            <w:tcW w:w="1040" w:type="dxa"/>
            <w:tcBorders>
              <w:top w:val="nil"/>
              <w:left w:val="nil"/>
              <w:bottom w:val="nil"/>
              <w:right w:val="nil"/>
            </w:tcBorders>
            <w:shd w:val="clear" w:color="000000" w:fill="BFBFBF"/>
            <w:noWrap/>
            <w:vAlign w:val="bottom"/>
            <w:hideMark/>
          </w:tcPr>
          <w:p w14:paraId="7E735CF9"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68 343</w:t>
            </w:r>
          </w:p>
        </w:tc>
        <w:tc>
          <w:tcPr>
            <w:tcW w:w="1133" w:type="dxa"/>
            <w:tcBorders>
              <w:top w:val="nil"/>
              <w:left w:val="nil"/>
              <w:bottom w:val="nil"/>
              <w:right w:val="nil"/>
            </w:tcBorders>
            <w:shd w:val="clear" w:color="auto" w:fill="auto"/>
            <w:noWrap/>
            <w:vAlign w:val="center"/>
            <w:hideMark/>
          </w:tcPr>
          <w:p w14:paraId="2AC2C82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64 585</w:t>
            </w:r>
          </w:p>
        </w:tc>
        <w:tc>
          <w:tcPr>
            <w:tcW w:w="1040" w:type="dxa"/>
            <w:tcBorders>
              <w:top w:val="nil"/>
              <w:left w:val="nil"/>
              <w:bottom w:val="nil"/>
              <w:right w:val="nil"/>
            </w:tcBorders>
            <w:shd w:val="clear" w:color="auto" w:fill="auto"/>
            <w:noWrap/>
            <w:vAlign w:val="center"/>
            <w:hideMark/>
          </w:tcPr>
          <w:p w14:paraId="0D843D48"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7,8</w:t>
            </w:r>
          </w:p>
        </w:tc>
      </w:tr>
      <w:tr w:rsidR="00500BD0" w:rsidRPr="007F1B39" w14:paraId="5898FFEF" w14:textId="77777777" w:rsidTr="00500BD0">
        <w:trPr>
          <w:trHeight w:val="300"/>
        </w:trPr>
        <w:tc>
          <w:tcPr>
            <w:tcW w:w="3969" w:type="dxa"/>
            <w:tcBorders>
              <w:top w:val="nil"/>
              <w:left w:val="nil"/>
              <w:bottom w:val="nil"/>
              <w:right w:val="nil"/>
            </w:tcBorders>
            <w:shd w:val="clear" w:color="auto" w:fill="auto"/>
            <w:noWrap/>
            <w:vAlign w:val="center"/>
            <w:hideMark/>
          </w:tcPr>
          <w:p w14:paraId="3345E1ED" w14:textId="77777777" w:rsidR="00500BD0" w:rsidRPr="007F1B39" w:rsidRDefault="00500BD0" w:rsidP="00500BD0">
            <w:pPr>
              <w:spacing w:after="0" w:line="240" w:lineRule="auto"/>
              <w:ind w:firstLineChars="100" w:firstLine="181"/>
              <w:rPr>
                <w:b/>
                <w:bCs/>
                <w:color w:val="000000"/>
                <w:sz w:val="18"/>
                <w:szCs w:val="18"/>
                <w:lang w:eastAsia="sk-SK"/>
              </w:rPr>
            </w:pPr>
            <w:r w:rsidRPr="007F1B39">
              <w:rPr>
                <w:b/>
                <w:bCs/>
                <w:color w:val="000000"/>
                <w:sz w:val="18"/>
                <w:szCs w:val="18"/>
                <w:lang w:eastAsia="sk-SK"/>
              </w:rPr>
              <w:t>Kapitálové výdavky</w:t>
            </w:r>
          </w:p>
        </w:tc>
        <w:tc>
          <w:tcPr>
            <w:tcW w:w="1040" w:type="dxa"/>
            <w:tcBorders>
              <w:top w:val="nil"/>
              <w:left w:val="nil"/>
              <w:bottom w:val="nil"/>
              <w:right w:val="nil"/>
            </w:tcBorders>
            <w:shd w:val="clear" w:color="auto" w:fill="auto"/>
            <w:noWrap/>
            <w:vAlign w:val="center"/>
            <w:hideMark/>
          </w:tcPr>
          <w:p w14:paraId="1AF90B21"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3 309 862</w:t>
            </w:r>
          </w:p>
        </w:tc>
        <w:tc>
          <w:tcPr>
            <w:tcW w:w="1040" w:type="dxa"/>
            <w:tcBorders>
              <w:top w:val="nil"/>
              <w:left w:val="nil"/>
              <w:bottom w:val="nil"/>
              <w:right w:val="nil"/>
            </w:tcBorders>
            <w:shd w:val="clear" w:color="auto" w:fill="auto"/>
            <w:noWrap/>
            <w:vAlign w:val="center"/>
            <w:hideMark/>
          </w:tcPr>
          <w:p w14:paraId="5F2CB625"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3 090 678</w:t>
            </w:r>
          </w:p>
        </w:tc>
        <w:tc>
          <w:tcPr>
            <w:tcW w:w="1040" w:type="dxa"/>
            <w:tcBorders>
              <w:top w:val="nil"/>
              <w:left w:val="nil"/>
              <w:bottom w:val="nil"/>
              <w:right w:val="nil"/>
            </w:tcBorders>
            <w:shd w:val="clear" w:color="000000" w:fill="BFBFBF"/>
            <w:noWrap/>
            <w:vAlign w:val="center"/>
            <w:hideMark/>
          </w:tcPr>
          <w:p w14:paraId="51549C61" w14:textId="77777777" w:rsidR="00500BD0" w:rsidRPr="007F1B39" w:rsidRDefault="00500BD0" w:rsidP="00500BD0">
            <w:pPr>
              <w:spacing w:after="0" w:line="240" w:lineRule="auto"/>
              <w:jc w:val="right"/>
              <w:rPr>
                <w:b/>
                <w:bCs/>
                <w:sz w:val="18"/>
                <w:szCs w:val="18"/>
                <w:lang w:eastAsia="sk-SK"/>
              </w:rPr>
            </w:pPr>
            <w:r w:rsidRPr="007F1B39">
              <w:rPr>
                <w:b/>
                <w:bCs/>
                <w:sz w:val="18"/>
                <w:szCs w:val="18"/>
                <w:lang w:eastAsia="sk-SK"/>
              </w:rPr>
              <w:t>3 719 696</w:t>
            </w:r>
          </w:p>
        </w:tc>
        <w:tc>
          <w:tcPr>
            <w:tcW w:w="1133" w:type="dxa"/>
            <w:tcBorders>
              <w:top w:val="nil"/>
              <w:left w:val="nil"/>
              <w:bottom w:val="nil"/>
              <w:right w:val="nil"/>
            </w:tcBorders>
            <w:shd w:val="clear" w:color="auto" w:fill="auto"/>
            <w:noWrap/>
            <w:vAlign w:val="center"/>
            <w:hideMark/>
          </w:tcPr>
          <w:p w14:paraId="36002781"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2 367 643</w:t>
            </w:r>
          </w:p>
        </w:tc>
        <w:tc>
          <w:tcPr>
            <w:tcW w:w="1040" w:type="dxa"/>
            <w:tcBorders>
              <w:top w:val="nil"/>
              <w:left w:val="nil"/>
              <w:bottom w:val="nil"/>
              <w:right w:val="nil"/>
            </w:tcBorders>
            <w:shd w:val="clear" w:color="auto" w:fill="auto"/>
            <w:noWrap/>
            <w:vAlign w:val="center"/>
            <w:hideMark/>
          </w:tcPr>
          <w:p w14:paraId="3EF859C7" w14:textId="77777777" w:rsidR="00500BD0" w:rsidRPr="007F1B39" w:rsidRDefault="00500BD0" w:rsidP="00500BD0">
            <w:pPr>
              <w:spacing w:after="0" w:line="240" w:lineRule="auto"/>
              <w:jc w:val="center"/>
              <w:rPr>
                <w:b/>
                <w:bCs/>
                <w:sz w:val="18"/>
                <w:szCs w:val="18"/>
                <w:lang w:eastAsia="sk-SK"/>
              </w:rPr>
            </w:pPr>
            <w:r w:rsidRPr="007F1B39">
              <w:rPr>
                <w:b/>
                <w:bCs/>
                <w:sz w:val="18"/>
                <w:szCs w:val="18"/>
                <w:lang w:eastAsia="sk-SK"/>
              </w:rPr>
              <w:t>20,4</w:t>
            </w:r>
          </w:p>
        </w:tc>
      </w:tr>
      <w:tr w:rsidR="00500BD0" w:rsidRPr="007F1B39" w14:paraId="120D7D6A" w14:textId="77777777" w:rsidTr="00500BD0">
        <w:trPr>
          <w:trHeight w:val="300"/>
        </w:trPr>
        <w:tc>
          <w:tcPr>
            <w:tcW w:w="3969" w:type="dxa"/>
            <w:tcBorders>
              <w:top w:val="nil"/>
              <w:left w:val="nil"/>
              <w:bottom w:val="nil"/>
              <w:right w:val="nil"/>
            </w:tcBorders>
            <w:shd w:val="clear" w:color="auto" w:fill="auto"/>
            <w:noWrap/>
            <w:vAlign w:val="center"/>
            <w:hideMark/>
          </w:tcPr>
          <w:p w14:paraId="009F4919"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Kapitálové investície</w:t>
            </w:r>
          </w:p>
        </w:tc>
        <w:tc>
          <w:tcPr>
            <w:tcW w:w="1040" w:type="dxa"/>
            <w:tcBorders>
              <w:top w:val="nil"/>
              <w:left w:val="nil"/>
              <w:bottom w:val="nil"/>
              <w:right w:val="nil"/>
            </w:tcBorders>
            <w:shd w:val="clear" w:color="auto" w:fill="auto"/>
            <w:noWrap/>
            <w:vAlign w:val="bottom"/>
            <w:hideMark/>
          </w:tcPr>
          <w:p w14:paraId="79C3EC51"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2 966 323</w:t>
            </w:r>
          </w:p>
        </w:tc>
        <w:tc>
          <w:tcPr>
            <w:tcW w:w="1040" w:type="dxa"/>
            <w:tcBorders>
              <w:top w:val="nil"/>
              <w:left w:val="nil"/>
              <w:bottom w:val="nil"/>
              <w:right w:val="nil"/>
            </w:tcBorders>
            <w:shd w:val="clear" w:color="auto" w:fill="auto"/>
            <w:noWrap/>
            <w:vAlign w:val="bottom"/>
            <w:hideMark/>
          </w:tcPr>
          <w:p w14:paraId="6C4DCE0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2 806 348</w:t>
            </w:r>
          </w:p>
        </w:tc>
        <w:tc>
          <w:tcPr>
            <w:tcW w:w="1040" w:type="dxa"/>
            <w:tcBorders>
              <w:top w:val="nil"/>
              <w:left w:val="nil"/>
              <w:bottom w:val="nil"/>
              <w:right w:val="nil"/>
            </w:tcBorders>
            <w:shd w:val="clear" w:color="000000" w:fill="BFBFBF"/>
            <w:noWrap/>
            <w:vAlign w:val="bottom"/>
            <w:hideMark/>
          </w:tcPr>
          <w:p w14:paraId="7FE57F16"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3 394 856</w:t>
            </w:r>
          </w:p>
        </w:tc>
        <w:tc>
          <w:tcPr>
            <w:tcW w:w="1133" w:type="dxa"/>
            <w:tcBorders>
              <w:top w:val="nil"/>
              <w:left w:val="nil"/>
              <w:bottom w:val="nil"/>
              <w:right w:val="nil"/>
            </w:tcBorders>
            <w:shd w:val="clear" w:color="auto" w:fill="auto"/>
            <w:noWrap/>
            <w:vAlign w:val="center"/>
            <w:hideMark/>
          </w:tcPr>
          <w:p w14:paraId="22497724"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2 138 678</w:t>
            </w:r>
          </w:p>
        </w:tc>
        <w:tc>
          <w:tcPr>
            <w:tcW w:w="1040" w:type="dxa"/>
            <w:tcBorders>
              <w:top w:val="nil"/>
              <w:left w:val="nil"/>
              <w:bottom w:val="nil"/>
              <w:right w:val="nil"/>
            </w:tcBorders>
            <w:shd w:val="clear" w:color="auto" w:fill="auto"/>
            <w:noWrap/>
            <w:vAlign w:val="center"/>
            <w:hideMark/>
          </w:tcPr>
          <w:p w14:paraId="776C5533"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21,0</w:t>
            </w:r>
          </w:p>
        </w:tc>
      </w:tr>
      <w:tr w:rsidR="00500BD0" w:rsidRPr="007F1B39" w14:paraId="4604E06E" w14:textId="77777777" w:rsidTr="00500BD0">
        <w:trPr>
          <w:trHeight w:val="300"/>
        </w:trPr>
        <w:tc>
          <w:tcPr>
            <w:tcW w:w="3969" w:type="dxa"/>
            <w:tcBorders>
              <w:top w:val="nil"/>
              <w:left w:val="nil"/>
              <w:bottom w:val="nil"/>
              <w:right w:val="nil"/>
            </w:tcBorders>
            <w:shd w:val="clear" w:color="auto" w:fill="auto"/>
            <w:noWrap/>
            <w:vAlign w:val="center"/>
            <w:hideMark/>
          </w:tcPr>
          <w:p w14:paraId="2A9116F6"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Tvorba hrubého fixného kapitálu</w:t>
            </w:r>
          </w:p>
        </w:tc>
        <w:tc>
          <w:tcPr>
            <w:tcW w:w="1040" w:type="dxa"/>
            <w:tcBorders>
              <w:top w:val="nil"/>
              <w:left w:val="nil"/>
              <w:bottom w:val="nil"/>
              <w:right w:val="nil"/>
            </w:tcBorders>
            <w:shd w:val="clear" w:color="auto" w:fill="auto"/>
            <w:noWrap/>
            <w:vAlign w:val="bottom"/>
            <w:hideMark/>
          </w:tcPr>
          <w:p w14:paraId="1B2AB1D6"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2 758 000</w:t>
            </w:r>
          </w:p>
        </w:tc>
        <w:tc>
          <w:tcPr>
            <w:tcW w:w="1040" w:type="dxa"/>
            <w:tcBorders>
              <w:top w:val="nil"/>
              <w:left w:val="nil"/>
              <w:bottom w:val="nil"/>
              <w:right w:val="nil"/>
            </w:tcBorders>
            <w:shd w:val="clear" w:color="auto" w:fill="auto"/>
            <w:noWrap/>
            <w:vAlign w:val="bottom"/>
            <w:hideMark/>
          </w:tcPr>
          <w:p w14:paraId="4FF529BF" w14:textId="77777777" w:rsidR="00500BD0" w:rsidRPr="00416173" w:rsidRDefault="00500BD0" w:rsidP="00500BD0">
            <w:pPr>
              <w:spacing w:after="0" w:line="240" w:lineRule="auto"/>
              <w:jc w:val="right"/>
              <w:rPr>
                <w:color w:val="000000"/>
                <w:sz w:val="18"/>
                <w:szCs w:val="18"/>
                <w:lang w:eastAsia="sk-SK"/>
              </w:rPr>
            </w:pPr>
            <w:r w:rsidRPr="00416173">
              <w:rPr>
                <w:color w:val="000000"/>
                <w:sz w:val="18"/>
                <w:szCs w:val="18"/>
                <w:lang w:eastAsia="sk-SK"/>
              </w:rPr>
              <w:t>2 851 306</w:t>
            </w:r>
          </w:p>
        </w:tc>
        <w:tc>
          <w:tcPr>
            <w:tcW w:w="1040" w:type="dxa"/>
            <w:tcBorders>
              <w:top w:val="nil"/>
              <w:left w:val="nil"/>
              <w:bottom w:val="nil"/>
              <w:right w:val="nil"/>
            </w:tcBorders>
            <w:shd w:val="clear" w:color="000000" w:fill="BFBFBF"/>
            <w:noWrap/>
            <w:vAlign w:val="bottom"/>
            <w:hideMark/>
          </w:tcPr>
          <w:p w14:paraId="0B4F5769" w14:textId="77777777" w:rsidR="00500BD0" w:rsidRPr="00416173" w:rsidRDefault="00500BD0" w:rsidP="00500BD0">
            <w:pPr>
              <w:spacing w:after="0" w:line="240" w:lineRule="auto"/>
              <w:jc w:val="right"/>
              <w:rPr>
                <w:sz w:val="18"/>
                <w:szCs w:val="18"/>
                <w:lang w:eastAsia="sk-SK"/>
              </w:rPr>
            </w:pPr>
            <w:r w:rsidRPr="00416173">
              <w:rPr>
                <w:sz w:val="18"/>
                <w:szCs w:val="18"/>
                <w:lang w:eastAsia="sk-SK"/>
              </w:rPr>
              <w:t>3 353 113</w:t>
            </w:r>
          </w:p>
        </w:tc>
        <w:tc>
          <w:tcPr>
            <w:tcW w:w="1133" w:type="dxa"/>
            <w:tcBorders>
              <w:top w:val="nil"/>
              <w:left w:val="nil"/>
              <w:bottom w:val="nil"/>
              <w:right w:val="nil"/>
            </w:tcBorders>
            <w:shd w:val="clear" w:color="auto" w:fill="auto"/>
            <w:noWrap/>
            <w:vAlign w:val="center"/>
            <w:hideMark/>
          </w:tcPr>
          <w:p w14:paraId="7DD91482"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2 163 277</w:t>
            </w:r>
          </w:p>
        </w:tc>
        <w:tc>
          <w:tcPr>
            <w:tcW w:w="1040" w:type="dxa"/>
            <w:tcBorders>
              <w:top w:val="nil"/>
              <w:left w:val="nil"/>
              <w:bottom w:val="nil"/>
              <w:right w:val="nil"/>
            </w:tcBorders>
            <w:shd w:val="clear" w:color="auto" w:fill="auto"/>
            <w:noWrap/>
            <w:vAlign w:val="center"/>
            <w:hideMark/>
          </w:tcPr>
          <w:p w14:paraId="0BF4B65E"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17,6</w:t>
            </w:r>
          </w:p>
        </w:tc>
      </w:tr>
      <w:tr w:rsidR="00500BD0" w:rsidRPr="007F1B39" w14:paraId="65F0B4E9" w14:textId="77777777" w:rsidTr="00500BD0">
        <w:trPr>
          <w:trHeight w:val="300"/>
        </w:trPr>
        <w:tc>
          <w:tcPr>
            <w:tcW w:w="3969" w:type="dxa"/>
            <w:tcBorders>
              <w:top w:val="nil"/>
              <w:left w:val="nil"/>
              <w:bottom w:val="nil"/>
              <w:right w:val="nil"/>
            </w:tcBorders>
            <w:shd w:val="clear" w:color="auto" w:fill="auto"/>
            <w:noWrap/>
            <w:vAlign w:val="center"/>
            <w:hideMark/>
          </w:tcPr>
          <w:p w14:paraId="4422C336"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Zmena st. zásob+Nadobudnutie - Úbytok </w:t>
            </w:r>
            <w:r>
              <w:rPr>
                <w:color w:val="000000"/>
                <w:sz w:val="18"/>
                <w:szCs w:val="18"/>
                <w:lang w:eastAsia="sk-SK"/>
              </w:rPr>
              <w:t xml:space="preserve"> </w:t>
            </w:r>
            <w:r>
              <w:rPr>
                <w:color w:val="000000"/>
                <w:sz w:val="18"/>
                <w:szCs w:val="18"/>
                <w:lang w:eastAsia="sk-SK"/>
              </w:rPr>
              <w:br/>
              <w:t xml:space="preserve">       </w:t>
            </w:r>
            <w:r w:rsidRPr="007F1B39">
              <w:rPr>
                <w:color w:val="000000"/>
                <w:sz w:val="18"/>
                <w:szCs w:val="18"/>
                <w:lang w:eastAsia="sk-SK"/>
              </w:rPr>
              <w:t>cenností</w:t>
            </w:r>
          </w:p>
        </w:tc>
        <w:tc>
          <w:tcPr>
            <w:tcW w:w="1040" w:type="dxa"/>
            <w:tcBorders>
              <w:top w:val="nil"/>
              <w:left w:val="nil"/>
              <w:bottom w:val="nil"/>
              <w:right w:val="nil"/>
            </w:tcBorders>
            <w:shd w:val="clear" w:color="auto" w:fill="auto"/>
            <w:noWrap/>
            <w:vAlign w:val="bottom"/>
            <w:hideMark/>
          </w:tcPr>
          <w:p w14:paraId="04A7D400"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21 319</w:t>
            </w:r>
          </w:p>
        </w:tc>
        <w:tc>
          <w:tcPr>
            <w:tcW w:w="1040" w:type="dxa"/>
            <w:tcBorders>
              <w:top w:val="nil"/>
              <w:left w:val="nil"/>
              <w:bottom w:val="nil"/>
              <w:right w:val="nil"/>
            </w:tcBorders>
            <w:shd w:val="clear" w:color="auto" w:fill="auto"/>
            <w:noWrap/>
            <w:vAlign w:val="bottom"/>
            <w:hideMark/>
          </w:tcPr>
          <w:p w14:paraId="357CAE43" w14:textId="77777777" w:rsidR="00500BD0" w:rsidRPr="00416173" w:rsidRDefault="00500BD0" w:rsidP="00500BD0">
            <w:pPr>
              <w:spacing w:after="0" w:line="240" w:lineRule="auto"/>
              <w:jc w:val="right"/>
              <w:rPr>
                <w:color w:val="000000"/>
                <w:sz w:val="18"/>
                <w:szCs w:val="18"/>
                <w:lang w:eastAsia="sk-SK"/>
              </w:rPr>
            </w:pPr>
            <w:r w:rsidRPr="00416173">
              <w:rPr>
                <w:color w:val="000000"/>
                <w:sz w:val="18"/>
                <w:szCs w:val="18"/>
                <w:lang w:eastAsia="sk-SK"/>
              </w:rPr>
              <w:t>-93 441</w:t>
            </w:r>
          </w:p>
        </w:tc>
        <w:tc>
          <w:tcPr>
            <w:tcW w:w="1040" w:type="dxa"/>
            <w:tcBorders>
              <w:top w:val="nil"/>
              <w:left w:val="nil"/>
              <w:bottom w:val="nil"/>
              <w:right w:val="nil"/>
            </w:tcBorders>
            <w:shd w:val="clear" w:color="000000" w:fill="BFBFBF"/>
            <w:noWrap/>
            <w:vAlign w:val="bottom"/>
            <w:hideMark/>
          </w:tcPr>
          <w:p w14:paraId="0B3604E7" w14:textId="77777777" w:rsidR="00500BD0" w:rsidRPr="00416173" w:rsidRDefault="00500BD0" w:rsidP="00500BD0">
            <w:pPr>
              <w:spacing w:after="0" w:line="240" w:lineRule="auto"/>
              <w:jc w:val="right"/>
              <w:rPr>
                <w:sz w:val="18"/>
                <w:szCs w:val="18"/>
                <w:lang w:eastAsia="sk-SK"/>
              </w:rPr>
            </w:pPr>
            <w:r w:rsidRPr="00416173">
              <w:rPr>
                <w:sz w:val="18"/>
                <w:szCs w:val="18"/>
                <w:lang w:eastAsia="sk-SK"/>
              </w:rPr>
              <w:t>21 207</w:t>
            </w:r>
          </w:p>
        </w:tc>
        <w:tc>
          <w:tcPr>
            <w:tcW w:w="1133" w:type="dxa"/>
            <w:tcBorders>
              <w:top w:val="nil"/>
              <w:left w:val="nil"/>
              <w:bottom w:val="nil"/>
              <w:right w:val="nil"/>
            </w:tcBorders>
            <w:shd w:val="clear" w:color="auto" w:fill="auto"/>
            <w:noWrap/>
            <w:vAlign w:val="bottom"/>
            <w:hideMark/>
          </w:tcPr>
          <w:p w14:paraId="3266CD1D"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13 822</w:t>
            </w:r>
          </w:p>
        </w:tc>
        <w:tc>
          <w:tcPr>
            <w:tcW w:w="1040" w:type="dxa"/>
            <w:tcBorders>
              <w:top w:val="nil"/>
              <w:left w:val="nil"/>
              <w:bottom w:val="nil"/>
              <w:right w:val="nil"/>
            </w:tcBorders>
            <w:shd w:val="clear" w:color="auto" w:fill="auto"/>
            <w:noWrap/>
            <w:vAlign w:val="bottom"/>
            <w:hideMark/>
          </w:tcPr>
          <w:p w14:paraId="2CD7980B"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122,7</w:t>
            </w:r>
          </w:p>
        </w:tc>
      </w:tr>
      <w:tr w:rsidR="00500BD0" w:rsidRPr="007F1B39" w14:paraId="4106F3F6" w14:textId="77777777" w:rsidTr="00500BD0">
        <w:trPr>
          <w:trHeight w:val="300"/>
        </w:trPr>
        <w:tc>
          <w:tcPr>
            <w:tcW w:w="3969" w:type="dxa"/>
            <w:tcBorders>
              <w:top w:val="nil"/>
              <w:left w:val="nil"/>
              <w:bottom w:val="nil"/>
              <w:right w:val="nil"/>
            </w:tcBorders>
            <w:shd w:val="clear" w:color="auto" w:fill="auto"/>
            <w:noWrap/>
            <w:vAlign w:val="center"/>
            <w:hideMark/>
          </w:tcPr>
          <w:p w14:paraId="5E594375"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 xml:space="preserve"> - Nadobud. mínus úbytok nef. neproduk. aktív</w:t>
            </w:r>
          </w:p>
        </w:tc>
        <w:tc>
          <w:tcPr>
            <w:tcW w:w="1040" w:type="dxa"/>
            <w:tcBorders>
              <w:top w:val="nil"/>
              <w:left w:val="nil"/>
              <w:bottom w:val="nil"/>
              <w:right w:val="nil"/>
            </w:tcBorders>
            <w:shd w:val="clear" w:color="auto" w:fill="auto"/>
            <w:noWrap/>
            <w:vAlign w:val="bottom"/>
            <w:hideMark/>
          </w:tcPr>
          <w:p w14:paraId="217DC02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187 004</w:t>
            </w:r>
          </w:p>
        </w:tc>
        <w:tc>
          <w:tcPr>
            <w:tcW w:w="1040" w:type="dxa"/>
            <w:tcBorders>
              <w:top w:val="nil"/>
              <w:left w:val="nil"/>
              <w:bottom w:val="nil"/>
              <w:right w:val="nil"/>
            </w:tcBorders>
            <w:shd w:val="clear" w:color="auto" w:fill="auto"/>
            <w:noWrap/>
            <w:vAlign w:val="bottom"/>
            <w:hideMark/>
          </w:tcPr>
          <w:p w14:paraId="7041CADF"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48 483</w:t>
            </w:r>
          </w:p>
        </w:tc>
        <w:tc>
          <w:tcPr>
            <w:tcW w:w="1040" w:type="dxa"/>
            <w:tcBorders>
              <w:top w:val="nil"/>
              <w:left w:val="nil"/>
              <w:bottom w:val="nil"/>
              <w:right w:val="nil"/>
            </w:tcBorders>
            <w:shd w:val="clear" w:color="000000" w:fill="BFBFBF"/>
            <w:noWrap/>
            <w:vAlign w:val="bottom"/>
            <w:hideMark/>
          </w:tcPr>
          <w:p w14:paraId="2710AF05"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20 536</w:t>
            </w:r>
          </w:p>
        </w:tc>
        <w:tc>
          <w:tcPr>
            <w:tcW w:w="1133" w:type="dxa"/>
            <w:tcBorders>
              <w:top w:val="nil"/>
              <w:left w:val="nil"/>
              <w:bottom w:val="nil"/>
              <w:right w:val="nil"/>
            </w:tcBorders>
            <w:shd w:val="clear" w:color="auto" w:fill="auto"/>
            <w:noWrap/>
            <w:vAlign w:val="center"/>
            <w:hideMark/>
          </w:tcPr>
          <w:p w14:paraId="46171CC5"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-38 421</w:t>
            </w:r>
          </w:p>
        </w:tc>
        <w:tc>
          <w:tcPr>
            <w:tcW w:w="1040" w:type="dxa"/>
            <w:tcBorders>
              <w:top w:val="nil"/>
              <w:left w:val="nil"/>
              <w:bottom w:val="nil"/>
              <w:right w:val="nil"/>
            </w:tcBorders>
            <w:shd w:val="clear" w:color="auto" w:fill="auto"/>
            <w:noWrap/>
            <w:vAlign w:val="center"/>
            <w:hideMark/>
          </w:tcPr>
          <w:p w14:paraId="7FB7961E"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-57,6</w:t>
            </w:r>
          </w:p>
        </w:tc>
      </w:tr>
      <w:tr w:rsidR="00500BD0" w:rsidRPr="007F1B39" w14:paraId="443A6514" w14:textId="77777777" w:rsidTr="00500BD0">
        <w:trPr>
          <w:trHeight w:val="300"/>
        </w:trPr>
        <w:tc>
          <w:tcPr>
            <w:tcW w:w="3969" w:type="dxa"/>
            <w:tcBorders>
              <w:top w:val="nil"/>
              <w:left w:val="nil"/>
              <w:bottom w:val="nil"/>
              <w:right w:val="nil"/>
            </w:tcBorders>
            <w:shd w:val="clear" w:color="auto" w:fill="auto"/>
            <w:noWrap/>
            <w:vAlign w:val="center"/>
            <w:hideMark/>
          </w:tcPr>
          <w:p w14:paraId="42C9EFF8" w14:textId="77777777" w:rsidR="00500BD0" w:rsidRPr="007F1B39" w:rsidRDefault="00500BD0" w:rsidP="00500BD0">
            <w:pPr>
              <w:spacing w:after="0" w:line="240" w:lineRule="auto"/>
              <w:ind w:firstLineChars="100" w:firstLine="180"/>
              <w:rPr>
                <w:color w:val="000000"/>
                <w:sz w:val="18"/>
                <w:szCs w:val="18"/>
                <w:lang w:eastAsia="sk-SK"/>
              </w:rPr>
            </w:pPr>
            <w:r w:rsidRPr="007F1B39">
              <w:rPr>
                <w:color w:val="000000"/>
                <w:sz w:val="18"/>
                <w:szCs w:val="18"/>
                <w:lang w:eastAsia="sk-SK"/>
              </w:rPr>
              <w:t>Kapitálové transfery</w:t>
            </w:r>
          </w:p>
        </w:tc>
        <w:tc>
          <w:tcPr>
            <w:tcW w:w="1040" w:type="dxa"/>
            <w:tcBorders>
              <w:top w:val="nil"/>
              <w:left w:val="nil"/>
              <w:bottom w:val="nil"/>
              <w:right w:val="nil"/>
            </w:tcBorders>
            <w:shd w:val="clear" w:color="auto" w:fill="auto"/>
            <w:noWrap/>
            <w:vAlign w:val="bottom"/>
            <w:hideMark/>
          </w:tcPr>
          <w:p w14:paraId="5807E17F"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343 539</w:t>
            </w:r>
          </w:p>
        </w:tc>
        <w:tc>
          <w:tcPr>
            <w:tcW w:w="1040" w:type="dxa"/>
            <w:tcBorders>
              <w:top w:val="nil"/>
              <w:left w:val="nil"/>
              <w:bottom w:val="nil"/>
              <w:right w:val="nil"/>
            </w:tcBorders>
            <w:shd w:val="clear" w:color="auto" w:fill="auto"/>
            <w:noWrap/>
            <w:vAlign w:val="bottom"/>
            <w:hideMark/>
          </w:tcPr>
          <w:p w14:paraId="4162AE43"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284 330</w:t>
            </w:r>
          </w:p>
        </w:tc>
        <w:tc>
          <w:tcPr>
            <w:tcW w:w="1040" w:type="dxa"/>
            <w:tcBorders>
              <w:top w:val="nil"/>
              <w:left w:val="nil"/>
              <w:bottom w:val="nil"/>
              <w:right w:val="nil"/>
            </w:tcBorders>
            <w:shd w:val="clear" w:color="000000" w:fill="BFBFBF"/>
            <w:noWrap/>
            <w:vAlign w:val="bottom"/>
            <w:hideMark/>
          </w:tcPr>
          <w:p w14:paraId="01C4141D"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324 840</w:t>
            </w:r>
          </w:p>
        </w:tc>
        <w:tc>
          <w:tcPr>
            <w:tcW w:w="1133" w:type="dxa"/>
            <w:tcBorders>
              <w:top w:val="nil"/>
              <w:left w:val="nil"/>
              <w:bottom w:val="nil"/>
              <w:right w:val="nil"/>
            </w:tcBorders>
            <w:shd w:val="clear" w:color="auto" w:fill="auto"/>
            <w:noWrap/>
            <w:vAlign w:val="center"/>
            <w:hideMark/>
          </w:tcPr>
          <w:p w14:paraId="5A4452DB"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228 965</w:t>
            </w:r>
          </w:p>
        </w:tc>
        <w:tc>
          <w:tcPr>
            <w:tcW w:w="1040" w:type="dxa"/>
            <w:tcBorders>
              <w:top w:val="nil"/>
              <w:left w:val="nil"/>
              <w:bottom w:val="nil"/>
              <w:right w:val="nil"/>
            </w:tcBorders>
            <w:shd w:val="clear" w:color="auto" w:fill="auto"/>
            <w:noWrap/>
            <w:vAlign w:val="center"/>
            <w:hideMark/>
          </w:tcPr>
          <w:p w14:paraId="0A2B8FDA"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14,2</w:t>
            </w:r>
          </w:p>
        </w:tc>
      </w:tr>
      <w:tr w:rsidR="00500BD0" w:rsidRPr="007F1B39" w14:paraId="2155BB62" w14:textId="77777777" w:rsidTr="00500BD0">
        <w:trPr>
          <w:trHeight w:val="300"/>
        </w:trPr>
        <w:tc>
          <w:tcPr>
            <w:tcW w:w="3969" w:type="dxa"/>
            <w:tcBorders>
              <w:top w:val="nil"/>
              <w:left w:val="nil"/>
              <w:bottom w:val="single" w:sz="4" w:space="0" w:color="auto"/>
              <w:right w:val="nil"/>
            </w:tcBorders>
            <w:shd w:val="clear" w:color="auto" w:fill="auto"/>
            <w:noWrap/>
            <w:vAlign w:val="center"/>
            <w:hideMark/>
          </w:tcPr>
          <w:p w14:paraId="0F4483AA" w14:textId="77777777" w:rsidR="00500BD0" w:rsidRPr="007F1B39" w:rsidRDefault="00500BD0" w:rsidP="00500BD0">
            <w:pPr>
              <w:spacing w:after="0" w:line="240" w:lineRule="auto"/>
              <w:ind w:firstLineChars="200" w:firstLine="360"/>
              <w:rPr>
                <w:color w:val="000000"/>
                <w:sz w:val="18"/>
                <w:szCs w:val="18"/>
                <w:lang w:eastAsia="sk-SK"/>
              </w:rPr>
            </w:pPr>
            <w:r w:rsidRPr="007F1B39">
              <w:rPr>
                <w:color w:val="000000"/>
                <w:sz w:val="18"/>
                <w:szCs w:val="18"/>
                <w:lang w:eastAsia="sk-SK"/>
              </w:rPr>
              <w:t xml:space="preserve"> - Investičné dotácie a ostatné kapit. transf.</w:t>
            </w:r>
          </w:p>
        </w:tc>
        <w:tc>
          <w:tcPr>
            <w:tcW w:w="1040" w:type="dxa"/>
            <w:tcBorders>
              <w:top w:val="nil"/>
              <w:left w:val="nil"/>
              <w:bottom w:val="nil"/>
              <w:right w:val="nil"/>
            </w:tcBorders>
            <w:shd w:val="clear" w:color="auto" w:fill="auto"/>
            <w:noWrap/>
            <w:vAlign w:val="bottom"/>
            <w:hideMark/>
          </w:tcPr>
          <w:p w14:paraId="527BCA9A"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343 539</w:t>
            </w:r>
          </w:p>
        </w:tc>
        <w:tc>
          <w:tcPr>
            <w:tcW w:w="1040" w:type="dxa"/>
            <w:tcBorders>
              <w:top w:val="nil"/>
              <w:left w:val="nil"/>
              <w:bottom w:val="nil"/>
              <w:right w:val="nil"/>
            </w:tcBorders>
            <w:shd w:val="clear" w:color="auto" w:fill="auto"/>
            <w:noWrap/>
            <w:vAlign w:val="bottom"/>
            <w:hideMark/>
          </w:tcPr>
          <w:p w14:paraId="72185879"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284 330</w:t>
            </w:r>
          </w:p>
        </w:tc>
        <w:tc>
          <w:tcPr>
            <w:tcW w:w="1040" w:type="dxa"/>
            <w:tcBorders>
              <w:top w:val="nil"/>
              <w:left w:val="nil"/>
              <w:bottom w:val="nil"/>
              <w:right w:val="nil"/>
            </w:tcBorders>
            <w:shd w:val="clear" w:color="000000" w:fill="BFBFBF"/>
            <w:noWrap/>
            <w:vAlign w:val="bottom"/>
            <w:hideMark/>
          </w:tcPr>
          <w:p w14:paraId="2B0714B1" w14:textId="77777777" w:rsidR="00500BD0" w:rsidRPr="007F1B39" w:rsidRDefault="00500BD0" w:rsidP="00500BD0">
            <w:pPr>
              <w:spacing w:after="0" w:line="240" w:lineRule="auto"/>
              <w:jc w:val="right"/>
              <w:rPr>
                <w:sz w:val="18"/>
                <w:szCs w:val="18"/>
                <w:lang w:eastAsia="sk-SK"/>
              </w:rPr>
            </w:pPr>
            <w:r w:rsidRPr="007F1B39">
              <w:rPr>
                <w:sz w:val="18"/>
                <w:szCs w:val="18"/>
                <w:lang w:eastAsia="sk-SK"/>
              </w:rPr>
              <w:t>324 840</w:t>
            </w:r>
          </w:p>
        </w:tc>
        <w:tc>
          <w:tcPr>
            <w:tcW w:w="1133" w:type="dxa"/>
            <w:tcBorders>
              <w:top w:val="nil"/>
              <w:left w:val="nil"/>
              <w:bottom w:val="single" w:sz="4" w:space="0" w:color="auto"/>
              <w:right w:val="nil"/>
            </w:tcBorders>
            <w:shd w:val="clear" w:color="auto" w:fill="auto"/>
            <w:noWrap/>
            <w:vAlign w:val="center"/>
            <w:hideMark/>
          </w:tcPr>
          <w:p w14:paraId="49B19228" w14:textId="77777777" w:rsidR="00500BD0" w:rsidRPr="007F1B39" w:rsidRDefault="00500BD0" w:rsidP="00500BD0">
            <w:pPr>
              <w:spacing w:after="0" w:line="240" w:lineRule="auto"/>
              <w:jc w:val="right"/>
              <w:rPr>
                <w:color w:val="000000"/>
                <w:sz w:val="18"/>
                <w:szCs w:val="18"/>
                <w:lang w:eastAsia="sk-SK"/>
              </w:rPr>
            </w:pPr>
            <w:r w:rsidRPr="007F1B39">
              <w:rPr>
                <w:color w:val="000000"/>
                <w:sz w:val="18"/>
                <w:szCs w:val="18"/>
                <w:lang w:eastAsia="sk-SK"/>
              </w:rPr>
              <w:t>228 965</w:t>
            </w:r>
          </w:p>
        </w:tc>
        <w:tc>
          <w:tcPr>
            <w:tcW w:w="1040" w:type="dxa"/>
            <w:tcBorders>
              <w:top w:val="nil"/>
              <w:left w:val="nil"/>
              <w:bottom w:val="nil"/>
              <w:right w:val="nil"/>
            </w:tcBorders>
            <w:shd w:val="clear" w:color="auto" w:fill="auto"/>
            <w:noWrap/>
            <w:vAlign w:val="center"/>
            <w:hideMark/>
          </w:tcPr>
          <w:p w14:paraId="3C40E9CA" w14:textId="77777777" w:rsidR="00500BD0" w:rsidRPr="007F1B39" w:rsidRDefault="00500BD0" w:rsidP="00500BD0">
            <w:pPr>
              <w:spacing w:after="0" w:line="240" w:lineRule="auto"/>
              <w:jc w:val="center"/>
              <w:rPr>
                <w:color w:val="000000"/>
                <w:sz w:val="18"/>
                <w:szCs w:val="18"/>
                <w:lang w:eastAsia="sk-SK"/>
              </w:rPr>
            </w:pPr>
            <w:r w:rsidRPr="007F1B39">
              <w:rPr>
                <w:color w:val="000000"/>
                <w:sz w:val="18"/>
                <w:szCs w:val="18"/>
                <w:lang w:eastAsia="sk-SK"/>
              </w:rPr>
              <w:t>14,2</w:t>
            </w:r>
          </w:p>
        </w:tc>
      </w:tr>
      <w:tr w:rsidR="00500BD0" w:rsidRPr="007F1B39" w14:paraId="76DEFBF4" w14:textId="77777777" w:rsidTr="00500BD0">
        <w:trPr>
          <w:trHeight w:val="300"/>
        </w:trPr>
        <w:tc>
          <w:tcPr>
            <w:tcW w:w="3969" w:type="dxa"/>
            <w:tcBorders>
              <w:top w:val="single" w:sz="4" w:space="0" w:color="auto"/>
              <w:left w:val="nil"/>
              <w:bottom w:val="nil"/>
              <w:right w:val="nil"/>
            </w:tcBorders>
            <w:shd w:val="clear" w:color="000000" w:fill="BFBFBF"/>
            <w:vAlign w:val="center"/>
            <w:hideMark/>
          </w:tcPr>
          <w:p w14:paraId="71025FA3" w14:textId="77777777" w:rsidR="00500BD0" w:rsidRPr="007F1B39" w:rsidRDefault="00500BD0" w:rsidP="00500BD0">
            <w:pPr>
              <w:spacing w:after="0" w:line="240" w:lineRule="auto"/>
              <w:jc w:val="both"/>
              <w:rPr>
                <w:b/>
                <w:bCs/>
                <w:sz w:val="18"/>
                <w:szCs w:val="18"/>
                <w:lang w:eastAsia="sk-SK"/>
              </w:rPr>
            </w:pPr>
            <w:r w:rsidRPr="007F1B39">
              <w:rPr>
                <w:b/>
                <w:bCs/>
                <w:sz w:val="18"/>
                <w:szCs w:val="18"/>
                <w:lang w:eastAsia="sk-SK"/>
              </w:rPr>
              <w:t>Výdavky spolu</w:t>
            </w:r>
          </w:p>
        </w:tc>
        <w:tc>
          <w:tcPr>
            <w:tcW w:w="1040" w:type="dxa"/>
            <w:tcBorders>
              <w:top w:val="single" w:sz="4" w:space="0" w:color="auto"/>
              <w:left w:val="nil"/>
              <w:bottom w:val="nil"/>
              <w:right w:val="nil"/>
            </w:tcBorders>
            <w:shd w:val="clear" w:color="000000" w:fill="BFBFBF"/>
            <w:noWrap/>
            <w:vAlign w:val="bottom"/>
            <w:hideMark/>
          </w:tcPr>
          <w:p w14:paraId="031BE389"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34 533 025</w:t>
            </w:r>
          </w:p>
        </w:tc>
        <w:tc>
          <w:tcPr>
            <w:tcW w:w="1040" w:type="dxa"/>
            <w:tcBorders>
              <w:top w:val="single" w:sz="4" w:space="0" w:color="auto"/>
              <w:left w:val="nil"/>
              <w:bottom w:val="nil"/>
              <w:right w:val="nil"/>
            </w:tcBorders>
            <w:shd w:val="clear" w:color="000000" w:fill="BFBFBF"/>
            <w:noWrap/>
            <w:vAlign w:val="bottom"/>
            <w:hideMark/>
          </w:tcPr>
          <w:p w14:paraId="5FF4A0DC"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35 025 886</w:t>
            </w:r>
          </w:p>
        </w:tc>
        <w:tc>
          <w:tcPr>
            <w:tcW w:w="1040" w:type="dxa"/>
            <w:tcBorders>
              <w:top w:val="single" w:sz="4" w:space="0" w:color="auto"/>
              <w:left w:val="nil"/>
              <w:bottom w:val="nil"/>
              <w:right w:val="nil"/>
            </w:tcBorders>
            <w:shd w:val="clear" w:color="000000" w:fill="BFBFBF"/>
            <w:noWrap/>
            <w:vAlign w:val="bottom"/>
            <w:hideMark/>
          </w:tcPr>
          <w:p w14:paraId="46CC0A90"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37 520 833</w:t>
            </w:r>
          </w:p>
        </w:tc>
        <w:tc>
          <w:tcPr>
            <w:tcW w:w="1133" w:type="dxa"/>
            <w:tcBorders>
              <w:top w:val="nil"/>
              <w:left w:val="nil"/>
              <w:bottom w:val="nil"/>
              <w:right w:val="nil"/>
            </w:tcBorders>
            <w:shd w:val="clear" w:color="000000" w:fill="BFBFBF"/>
            <w:noWrap/>
            <w:vAlign w:val="center"/>
            <w:hideMark/>
          </w:tcPr>
          <w:p w14:paraId="1CBE23B6"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35 175 083</w:t>
            </w:r>
          </w:p>
        </w:tc>
        <w:tc>
          <w:tcPr>
            <w:tcW w:w="1040" w:type="dxa"/>
            <w:tcBorders>
              <w:top w:val="single" w:sz="4" w:space="0" w:color="auto"/>
              <w:left w:val="nil"/>
              <w:bottom w:val="nil"/>
              <w:right w:val="nil"/>
            </w:tcBorders>
            <w:shd w:val="clear" w:color="000000" w:fill="BFBFBF"/>
            <w:noWrap/>
            <w:vAlign w:val="center"/>
            <w:hideMark/>
          </w:tcPr>
          <w:p w14:paraId="456CB816"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7,1</w:t>
            </w:r>
          </w:p>
        </w:tc>
      </w:tr>
      <w:tr w:rsidR="00500BD0" w:rsidRPr="007F1B39" w14:paraId="65EE1AB5" w14:textId="77777777" w:rsidTr="00500BD0">
        <w:trPr>
          <w:trHeight w:val="288"/>
        </w:trPr>
        <w:tc>
          <w:tcPr>
            <w:tcW w:w="3969" w:type="dxa"/>
            <w:tcBorders>
              <w:top w:val="nil"/>
              <w:left w:val="nil"/>
              <w:bottom w:val="single" w:sz="4" w:space="0" w:color="auto"/>
              <w:right w:val="nil"/>
            </w:tcBorders>
            <w:shd w:val="clear" w:color="000000" w:fill="BFBFBF"/>
            <w:noWrap/>
            <w:vAlign w:val="center"/>
            <w:hideMark/>
          </w:tcPr>
          <w:p w14:paraId="6374C948" w14:textId="77777777" w:rsidR="00500BD0" w:rsidRPr="007F1B39" w:rsidRDefault="00500BD0" w:rsidP="00500BD0">
            <w:pPr>
              <w:spacing w:after="0" w:line="240" w:lineRule="auto"/>
              <w:rPr>
                <w:b/>
                <w:bCs/>
                <w:sz w:val="18"/>
                <w:szCs w:val="18"/>
                <w:lang w:eastAsia="sk-SK"/>
              </w:rPr>
            </w:pPr>
            <w:r w:rsidRPr="007F1B39">
              <w:rPr>
                <w:b/>
                <w:bCs/>
                <w:sz w:val="18"/>
                <w:szCs w:val="18"/>
                <w:lang w:eastAsia="sk-SK"/>
              </w:rPr>
              <w:t xml:space="preserve">     % z HDP</w:t>
            </w:r>
          </w:p>
        </w:tc>
        <w:tc>
          <w:tcPr>
            <w:tcW w:w="1040" w:type="dxa"/>
            <w:tcBorders>
              <w:top w:val="nil"/>
              <w:left w:val="nil"/>
              <w:bottom w:val="single" w:sz="4" w:space="0" w:color="auto"/>
              <w:right w:val="nil"/>
            </w:tcBorders>
            <w:shd w:val="clear" w:color="000000" w:fill="BFBFBF"/>
            <w:noWrap/>
            <w:vAlign w:val="center"/>
            <w:hideMark/>
          </w:tcPr>
          <w:p w14:paraId="125AC2EC"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42,6</w:t>
            </w:r>
          </w:p>
        </w:tc>
        <w:tc>
          <w:tcPr>
            <w:tcW w:w="1040" w:type="dxa"/>
            <w:tcBorders>
              <w:top w:val="nil"/>
              <w:left w:val="nil"/>
              <w:bottom w:val="single" w:sz="4" w:space="0" w:color="auto"/>
              <w:right w:val="nil"/>
            </w:tcBorders>
            <w:shd w:val="clear" w:color="000000" w:fill="BFBFBF"/>
            <w:noWrap/>
            <w:vAlign w:val="center"/>
            <w:hideMark/>
          </w:tcPr>
          <w:p w14:paraId="3EF4A390"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41,4</w:t>
            </w:r>
          </w:p>
        </w:tc>
        <w:tc>
          <w:tcPr>
            <w:tcW w:w="1040" w:type="dxa"/>
            <w:tcBorders>
              <w:top w:val="nil"/>
              <w:left w:val="nil"/>
              <w:bottom w:val="single" w:sz="4" w:space="0" w:color="auto"/>
              <w:right w:val="nil"/>
            </w:tcBorders>
            <w:shd w:val="clear" w:color="000000" w:fill="BFBFBF"/>
            <w:noWrap/>
            <w:vAlign w:val="center"/>
            <w:hideMark/>
          </w:tcPr>
          <w:p w14:paraId="4A339E42"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41,8</w:t>
            </w:r>
          </w:p>
        </w:tc>
        <w:tc>
          <w:tcPr>
            <w:tcW w:w="1133" w:type="dxa"/>
            <w:tcBorders>
              <w:top w:val="nil"/>
              <w:left w:val="nil"/>
              <w:bottom w:val="single" w:sz="4" w:space="0" w:color="auto"/>
              <w:right w:val="nil"/>
            </w:tcBorders>
            <w:shd w:val="clear" w:color="000000" w:fill="BFBFBF"/>
            <w:noWrap/>
            <w:vAlign w:val="center"/>
            <w:hideMark/>
          </w:tcPr>
          <w:p w14:paraId="394B26BD" w14:textId="77777777" w:rsidR="00500BD0" w:rsidRPr="007F1B39" w:rsidRDefault="00500BD0" w:rsidP="00500BD0">
            <w:pPr>
              <w:spacing w:after="0" w:line="240" w:lineRule="auto"/>
              <w:jc w:val="right"/>
              <w:rPr>
                <w:b/>
                <w:bCs/>
                <w:color w:val="000000"/>
                <w:sz w:val="18"/>
                <w:szCs w:val="18"/>
                <w:lang w:eastAsia="sk-SK"/>
              </w:rPr>
            </w:pPr>
            <w:r w:rsidRPr="007F1B39">
              <w:rPr>
                <w:b/>
                <w:bCs/>
                <w:color w:val="000000"/>
                <w:sz w:val="18"/>
                <w:szCs w:val="18"/>
                <w:lang w:eastAsia="sk-SK"/>
              </w:rPr>
              <w:t>39,3</w:t>
            </w:r>
          </w:p>
        </w:tc>
        <w:tc>
          <w:tcPr>
            <w:tcW w:w="1040" w:type="dxa"/>
            <w:tcBorders>
              <w:top w:val="nil"/>
              <w:left w:val="nil"/>
              <w:bottom w:val="single" w:sz="4" w:space="0" w:color="auto"/>
              <w:right w:val="nil"/>
            </w:tcBorders>
            <w:shd w:val="clear" w:color="000000" w:fill="BFBFBF"/>
            <w:noWrap/>
            <w:vAlign w:val="center"/>
            <w:hideMark/>
          </w:tcPr>
          <w:p w14:paraId="1319F58F" w14:textId="77777777" w:rsidR="00500BD0" w:rsidRPr="007F1B39" w:rsidRDefault="00500BD0" w:rsidP="00500BD0">
            <w:pPr>
              <w:spacing w:after="0" w:line="240" w:lineRule="auto"/>
              <w:jc w:val="center"/>
              <w:rPr>
                <w:b/>
                <w:bCs/>
                <w:color w:val="000000"/>
                <w:sz w:val="18"/>
                <w:szCs w:val="18"/>
                <w:lang w:eastAsia="sk-SK"/>
              </w:rPr>
            </w:pPr>
            <w:r w:rsidRPr="007F1B39">
              <w:rPr>
                <w:b/>
                <w:bCs/>
                <w:color w:val="000000"/>
                <w:sz w:val="18"/>
                <w:szCs w:val="18"/>
                <w:lang w:eastAsia="sk-SK"/>
              </w:rPr>
              <w:t>0,4</w:t>
            </w:r>
          </w:p>
        </w:tc>
      </w:tr>
      <w:tr w:rsidR="00500BD0" w:rsidRPr="007F1B39" w14:paraId="5BED4563" w14:textId="77777777" w:rsidTr="00500BD0">
        <w:trPr>
          <w:trHeight w:val="288"/>
        </w:trPr>
        <w:tc>
          <w:tcPr>
            <w:tcW w:w="3969" w:type="dxa"/>
            <w:tcBorders>
              <w:top w:val="nil"/>
              <w:left w:val="nil"/>
              <w:bottom w:val="nil"/>
              <w:right w:val="nil"/>
            </w:tcBorders>
            <w:shd w:val="clear" w:color="auto" w:fill="auto"/>
            <w:noWrap/>
            <w:vAlign w:val="bottom"/>
            <w:hideMark/>
          </w:tcPr>
          <w:p w14:paraId="7A836E96" w14:textId="77777777" w:rsidR="00500BD0" w:rsidRDefault="00500BD0" w:rsidP="00500BD0">
            <w:pPr>
              <w:spacing w:after="120" w:line="336" w:lineRule="auto"/>
              <w:jc w:val="center"/>
              <w:rPr>
                <w:b/>
                <w:bCs/>
                <w:color w:val="000000"/>
                <w:sz w:val="18"/>
                <w:szCs w:val="18"/>
                <w:lang w:eastAsia="sk-SK"/>
              </w:rPr>
            </w:pPr>
          </w:p>
          <w:p w14:paraId="1F3672B8" w14:textId="77777777" w:rsidR="00500BD0" w:rsidRPr="007F1B39" w:rsidRDefault="00500BD0" w:rsidP="00500BD0">
            <w:pPr>
              <w:spacing w:after="120" w:line="336" w:lineRule="auto"/>
              <w:jc w:val="center"/>
              <w:rPr>
                <w:b/>
                <w:bCs/>
                <w:color w:val="000000"/>
                <w:sz w:val="18"/>
                <w:szCs w:val="18"/>
                <w:lang w:eastAsia="sk-SK"/>
              </w:rPr>
            </w:pPr>
          </w:p>
        </w:tc>
        <w:tc>
          <w:tcPr>
            <w:tcW w:w="1040" w:type="dxa"/>
            <w:tcBorders>
              <w:top w:val="nil"/>
              <w:left w:val="nil"/>
              <w:bottom w:val="nil"/>
              <w:right w:val="nil"/>
            </w:tcBorders>
            <w:shd w:val="clear" w:color="auto" w:fill="auto"/>
            <w:noWrap/>
            <w:vAlign w:val="bottom"/>
            <w:hideMark/>
          </w:tcPr>
          <w:p w14:paraId="06DBCAFF" w14:textId="77777777" w:rsidR="00500BD0" w:rsidRPr="007F1B39" w:rsidRDefault="00500BD0" w:rsidP="00500BD0">
            <w:pPr>
              <w:spacing w:after="120" w:line="336" w:lineRule="auto"/>
              <w:rPr>
                <w:sz w:val="20"/>
                <w:szCs w:val="20"/>
                <w:lang w:eastAsia="sk-SK"/>
              </w:rPr>
            </w:pPr>
          </w:p>
        </w:tc>
        <w:tc>
          <w:tcPr>
            <w:tcW w:w="1040" w:type="dxa"/>
            <w:tcBorders>
              <w:top w:val="nil"/>
              <w:left w:val="nil"/>
              <w:bottom w:val="nil"/>
              <w:right w:val="nil"/>
            </w:tcBorders>
            <w:shd w:val="clear" w:color="auto" w:fill="auto"/>
            <w:noWrap/>
            <w:vAlign w:val="bottom"/>
            <w:hideMark/>
          </w:tcPr>
          <w:p w14:paraId="39075D6C" w14:textId="77777777" w:rsidR="00500BD0" w:rsidRPr="007F1B39" w:rsidRDefault="00500BD0" w:rsidP="00500BD0">
            <w:pPr>
              <w:spacing w:after="120" w:line="336" w:lineRule="auto"/>
              <w:rPr>
                <w:sz w:val="20"/>
                <w:szCs w:val="20"/>
                <w:lang w:eastAsia="sk-SK"/>
              </w:rPr>
            </w:pPr>
          </w:p>
        </w:tc>
        <w:tc>
          <w:tcPr>
            <w:tcW w:w="3213" w:type="dxa"/>
            <w:gridSpan w:val="3"/>
            <w:tcBorders>
              <w:top w:val="single" w:sz="4" w:space="0" w:color="auto"/>
              <w:left w:val="nil"/>
              <w:bottom w:val="nil"/>
              <w:right w:val="nil"/>
            </w:tcBorders>
            <w:shd w:val="clear" w:color="auto" w:fill="auto"/>
            <w:noWrap/>
            <w:hideMark/>
          </w:tcPr>
          <w:p w14:paraId="6A97C855" w14:textId="0828B842" w:rsidR="00500BD0" w:rsidRPr="007F1B39" w:rsidRDefault="00500BD0" w:rsidP="00500BD0">
            <w:pPr>
              <w:spacing w:after="120" w:line="336" w:lineRule="auto"/>
              <w:jc w:val="right"/>
              <w:rPr>
                <w:sz w:val="18"/>
                <w:szCs w:val="18"/>
                <w:lang w:eastAsia="sk-SK"/>
              </w:rPr>
            </w:pPr>
            <w:r w:rsidRPr="007F1B39">
              <w:rPr>
                <w:sz w:val="18"/>
                <w:szCs w:val="18"/>
                <w:lang w:eastAsia="sk-SK"/>
              </w:rPr>
              <w:t>Zdroj: ŠÚ</w:t>
            </w:r>
            <w:r w:rsidR="00C90207">
              <w:rPr>
                <w:sz w:val="18"/>
                <w:szCs w:val="18"/>
                <w:lang w:eastAsia="sk-SK"/>
              </w:rPr>
              <w:t xml:space="preserve"> </w:t>
            </w:r>
            <w:r w:rsidRPr="007F1B39">
              <w:rPr>
                <w:sz w:val="18"/>
                <w:szCs w:val="18"/>
                <w:lang w:eastAsia="sk-SK"/>
              </w:rPr>
              <w:t>SR, MF SR</w:t>
            </w:r>
          </w:p>
        </w:tc>
      </w:tr>
    </w:tbl>
    <w:p w14:paraId="7EDBE89D" w14:textId="2FF42E7C" w:rsidR="0035366F" w:rsidRPr="0070636D" w:rsidRDefault="008D55DC" w:rsidP="00D13DF7">
      <w:pPr>
        <w:pStyle w:val="Nadpis2"/>
        <w:numPr>
          <w:ilvl w:val="1"/>
          <w:numId w:val="4"/>
        </w:numPr>
        <w:spacing w:before="120" w:after="0"/>
      </w:pPr>
      <w:bookmarkStart w:id="37" w:name="_Toc399324366"/>
      <w:bookmarkStart w:id="38" w:name="_Toc401920020"/>
      <w:bookmarkStart w:id="39" w:name="_Toc465255021"/>
      <w:bookmarkStart w:id="40" w:name="_Toc495990490"/>
      <w:bookmarkEnd w:id="5"/>
      <w:bookmarkEnd w:id="6"/>
      <w:bookmarkEnd w:id="17"/>
      <w:bookmarkEnd w:id="18"/>
      <w:r>
        <w:t xml:space="preserve">  </w:t>
      </w:r>
      <w:r w:rsidR="005F0AF6">
        <w:t xml:space="preserve"> </w:t>
      </w:r>
      <w:bookmarkStart w:id="41" w:name="_Toc23264800"/>
      <w:r w:rsidR="005F0AF6">
        <w:t>Š</w:t>
      </w:r>
      <w:r w:rsidR="005F0AF6" w:rsidRPr="0070636D">
        <w:t>trukturálne saldo</w:t>
      </w:r>
      <w:r w:rsidR="005F0AF6">
        <w:t>,</w:t>
      </w:r>
      <w:r w:rsidR="005F0AF6" w:rsidRPr="0070636D">
        <w:t xml:space="preserve"> </w:t>
      </w:r>
      <w:r w:rsidR="00EF3DE1" w:rsidRPr="0070636D">
        <w:t>cyklická zložka a</w:t>
      </w:r>
      <w:r w:rsidR="005F0AF6">
        <w:t xml:space="preserve"> jednorazové vplyvy</w:t>
      </w:r>
      <w:bookmarkEnd w:id="41"/>
      <w:r w:rsidR="00EF3DE1" w:rsidRPr="0070636D">
        <w:t xml:space="preserve"> </w:t>
      </w:r>
      <w:bookmarkEnd w:id="37"/>
      <w:bookmarkEnd w:id="38"/>
      <w:bookmarkEnd w:id="39"/>
      <w:bookmarkEnd w:id="40"/>
    </w:p>
    <w:p w14:paraId="1BF11652" w14:textId="77777777" w:rsidR="0070636D" w:rsidRDefault="0070636D" w:rsidP="0070636D">
      <w:pPr>
        <w:pStyle w:val="NormalList"/>
        <w:spacing w:before="120" w:line="336" w:lineRule="auto"/>
        <w:rPr>
          <w:rFonts w:cs="Times New Roman"/>
          <w:lang w:eastAsia="sk-SK"/>
        </w:rPr>
      </w:pPr>
      <w:r w:rsidRPr="008B059D">
        <w:rPr>
          <w:rFonts w:cs="Times New Roman"/>
          <w:b/>
          <w:lang w:eastAsia="sk-SK"/>
        </w:rPr>
        <w:t>Štrukturálne saldo predstavuje analytický ukazovateľ, ktorým sa hodnotí fiškálna politika krajiny.</w:t>
      </w:r>
      <w:r>
        <w:rPr>
          <w:rFonts w:cs="Times New Roman"/>
          <w:b/>
          <w:lang w:eastAsia="sk-SK"/>
        </w:rPr>
        <w:t xml:space="preserve"> </w:t>
      </w:r>
      <w:r w:rsidRPr="00FA78C8">
        <w:rPr>
          <w:rFonts w:cs="Times New Roman"/>
          <w:lang w:eastAsia="sk-SK"/>
        </w:rPr>
        <w:t>Štrukturálne saldo analyticky očisťuje nominálne saldo o vplyv ekonomického cyklu a jednorazové efekty</w:t>
      </w:r>
      <w:r w:rsidRPr="00EE2872">
        <w:rPr>
          <w:rFonts w:cs="Times New Roman"/>
          <w:lang w:eastAsia="sk-SK"/>
        </w:rPr>
        <w:t>. Vývoj štrukturálneho salda predstavuje jeden z kľúčových ukazovateľov pri</w:t>
      </w:r>
      <w:r>
        <w:rPr>
          <w:rFonts w:cs="Times New Roman"/>
          <w:lang w:eastAsia="sk-SK"/>
        </w:rPr>
        <w:t> </w:t>
      </w:r>
      <w:r w:rsidRPr="00EE2872">
        <w:rPr>
          <w:rFonts w:cs="Times New Roman"/>
          <w:lang w:eastAsia="sk-SK"/>
        </w:rPr>
        <w:t>hodnotení súladu s európskymi</w:t>
      </w:r>
      <w:r w:rsidRPr="008B059D">
        <w:rPr>
          <w:rFonts w:cs="Times New Roman"/>
          <w:lang w:eastAsia="sk-SK"/>
        </w:rPr>
        <w:t xml:space="preserve"> a národnými fiškálnymi pravidlami.</w:t>
      </w:r>
      <w:r w:rsidRPr="008B059D">
        <w:rPr>
          <w:rStyle w:val="Odkaznapoznmkupodiarou"/>
          <w:rFonts w:eastAsiaTheme="majorEastAsia"/>
        </w:rPr>
        <w:footnoteReference w:id="14"/>
      </w:r>
    </w:p>
    <w:p w14:paraId="0AF2102C" w14:textId="0011D000" w:rsidR="0070636D" w:rsidRDefault="0070636D" w:rsidP="0070636D">
      <w:pPr>
        <w:spacing w:before="120" w:after="120" w:line="336" w:lineRule="auto"/>
        <w:jc w:val="both"/>
      </w:pPr>
      <w:r>
        <w:rPr>
          <w:b/>
        </w:rPr>
        <w:t>Š</w:t>
      </w:r>
      <w:r w:rsidRPr="008B059D">
        <w:rPr>
          <w:b/>
        </w:rPr>
        <w:t xml:space="preserve">trukturálne saldo </w:t>
      </w:r>
      <w:r>
        <w:rPr>
          <w:b/>
        </w:rPr>
        <w:t xml:space="preserve">dosiahlo </w:t>
      </w:r>
      <w:r w:rsidRPr="008B059D">
        <w:rPr>
          <w:b/>
        </w:rPr>
        <w:t>v roku 201</w:t>
      </w:r>
      <w:r>
        <w:rPr>
          <w:b/>
        </w:rPr>
        <w:t>8</w:t>
      </w:r>
      <w:r w:rsidRPr="008B059D">
        <w:rPr>
          <w:b/>
        </w:rPr>
        <w:t xml:space="preserve"> </w:t>
      </w:r>
      <w:r>
        <w:rPr>
          <w:b/>
        </w:rPr>
        <w:t>hodnotu</w:t>
      </w:r>
      <w:r w:rsidRPr="008B059D">
        <w:rPr>
          <w:b/>
        </w:rPr>
        <w:t xml:space="preserve"> -</w:t>
      </w:r>
      <w:r>
        <w:rPr>
          <w:b/>
        </w:rPr>
        <w:t>1</w:t>
      </w:r>
      <w:r w:rsidRPr="008B059D">
        <w:rPr>
          <w:b/>
        </w:rPr>
        <w:t>,</w:t>
      </w:r>
      <w:r>
        <w:rPr>
          <w:b/>
        </w:rPr>
        <w:t>5 </w:t>
      </w:r>
      <w:r w:rsidRPr="008B059D">
        <w:rPr>
          <w:b/>
        </w:rPr>
        <w:t>% HDP</w:t>
      </w:r>
      <w:r>
        <w:rPr>
          <w:rStyle w:val="Odkaznapoznmkupodiarou"/>
          <w:rFonts w:eastAsiaTheme="majorEastAsia"/>
        </w:rPr>
        <w:footnoteReference w:id="15"/>
      </w:r>
      <w:r>
        <w:t>. M</w:t>
      </w:r>
      <w:r w:rsidRPr="006A77E3">
        <w:t>edziročná zmena</w:t>
      </w:r>
      <w:r>
        <w:t xml:space="preserve"> štrukturálneho salda</w:t>
      </w:r>
      <w:r w:rsidRPr="006A77E3">
        <w:t xml:space="preserve"> oproti úrovni z roku 2017 zodpovedá štrukturálnej expanzii na úrovni 0,5</w:t>
      </w:r>
      <w:r>
        <w:t> </w:t>
      </w:r>
      <w:r w:rsidRPr="006A77E3">
        <w:t>p</w:t>
      </w:r>
      <w:r w:rsidR="00E67CA0">
        <w:t>.</w:t>
      </w:r>
      <w:r>
        <w:t> </w:t>
      </w:r>
      <w:r w:rsidRPr="006A77E3">
        <w:t>b. HDP. To znamená, že konsolidačné úsilie na jednoročnom horizonte nenaplnilo požiadavky európskych fiškálnych pravidiel</w:t>
      </w:r>
      <w:r w:rsidRPr="006A77E3">
        <w:rPr>
          <w:rStyle w:val="Odkaznapoznmkupodiarou"/>
          <w:rFonts w:eastAsiaTheme="majorEastAsia"/>
        </w:rPr>
        <w:footnoteReference w:id="16"/>
      </w:r>
      <w:r w:rsidRPr="006A77E3">
        <w:t xml:space="preserve"> o 1,0 </w:t>
      </w:r>
      <w:r w:rsidRPr="006A77E3">
        <w:rPr>
          <w:lang w:val="en-US"/>
        </w:rPr>
        <w:t>p. b. HDP</w:t>
      </w:r>
      <w:r w:rsidRPr="006A77E3">
        <w:t xml:space="preserve">. Na dvojročnom horizonte </w:t>
      </w:r>
      <w:r>
        <w:t>je</w:t>
      </w:r>
      <w:r w:rsidRPr="006A77E3">
        <w:t xml:space="preserve"> </w:t>
      </w:r>
      <w:r>
        <w:t xml:space="preserve">kumulatívna </w:t>
      </w:r>
      <w:r w:rsidRPr="006A77E3">
        <w:t>konsolidácia na</w:t>
      </w:r>
      <w:r>
        <w:t> úrovni 0,8 </w:t>
      </w:r>
      <w:r w:rsidRPr="000A7BE3">
        <w:t>p.</w:t>
      </w:r>
      <w:r>
        <w:t> </w:t>
      </w:r>
      <w:r w:rsidRPr="000A7BE3">
        <w:t>b.</w:t>
      </w:r>
      <w:r>
        <w:t> </w:t>
      </w:r>
      <w:r w:rsidRPr="000A7BE3">
        <w:t>HDP, čo predstavuje mierne</w:t>
      </w:r>
      <w:r>
        <w:t xml:space="preserve"> (nevýrazné)</w:t>
      </w:r>
      <w:r w:rsidRPr="000A7BE3">
        <w:t xml:space="preserve"> odchýlenie </w:t>
      </w:r>
      <w:r>
        <w:t xml:space="preserve">o </w:t>
      </w:r>
      <w:r w:rsidRPr="000A7BE3">
        <w:t>0,</w:t>
      </w:r>
      <w:r>
        <w:t>1 </w:t>
      </w:r>
      <w:r w:rsidRPr="000A7BE3">
        <w:t>p.</w:t>
      </w:r>
      <w:r>
        <w:t> </w:t>
      </w:r>
      <w:r w:rsidRPr="000A7BE3">
        <w:t>b.</w:t>
      </w:r>
      <w:r>
        <w:t> </w:t>
      </w:r>
      <w:r w:rsidRPr="000A7BE3">
        <w:t>HDP.</w:t>
      </w:r>
      <w:r>
        <w:t xml:space="preserve"> </w:t>
      </w:r>
    </w:p>
    <w:p w14:paraId="12FB31FC" w14:textId="03632D4C" w:rsidR="00600414" w:rsidRDefault="0070636D" w:rsidP="0070636D">
      <w:pPr>
        <w:pStyle w:val="NormalList"/>
        <w:spacing w:before="120" w:line="336" w:lineRule="auto"/>
      </w:pPr>
      <w:r w:rsidRPr="003B5086">
        <w:t>Keďže úrokové náklady ostali medziročne približne na rov</w:t>
      </w:r>
      <w:r w:rsidRPr="00CD27A0">
        <w:t>nakej</w:t>
      </w:r>
      <w:r>
        <w:t xml:space="preserve"> úrovni, medziročný nárast štrukturálneho deficitu sa prejavuje približne v rovnakej miere do zhoršenia štrukturálneho primárneho salda. </w:t>
      </w:r>
      <w:r w:rsidRPr="003B5086">
        <w:t xml:space="preserve">Štrukturálny primárny prebytok </w:t>
      </w:r>
      <w:r w:rsidRPr="00191735">
        <w:t>dosiahnutý v roku 2017</w:t>
      </w:r>
      <w:r w:rsidRPr="003B5086">
        <w:t xml:space="preserve"> sa </w:t>
      </w:r>
      <w:r>
        <w:t xml:space="preserve">tak </w:t>
      </w:r>
      <w:r w:rsidRPr="003B5086">
        <w:t>v roku 2018 dostal do</w:t>
      </w:r>
      <w:r>
        <w:t> </w:t>
      </w:r>
      <w:r w:rsidRPr="003B5086">
        <w:t>deficitu 0,2</w:t>
      </w:r>
      <w:r>
        <w:t> </w:t>
      </w:r>
      <w:r w:rsidRPr="003B5086">
        <w:t>% HDP.</w:t>
      </w:r>
    </w:p>
    <w:tbl>
      <w:tblPr>
        <w:tblW w:w="9107" w:type="dxa"/>
        <w:tblLook w:val="04A0" w:firstRow="1" w:lastRow="0" w:firstColumn="1" w:lastColumn="0" w:noHBand="0" w:noVBand="1"/>
      </w:tblPr>
      <w:tblGrid>
        <w:gridCol w:w="5933"/>
        <w:gridCol w:w="236"/>
        <w:gridCol w:w="1049"/>
        <w:gridCol w:w="970"/>
        <w:gridCol w:w="919"/>
      </w:tblGrid>
      <w:tr w:rsidR="0070636D" w:rsidRPr="007C4A1D" w14:paraId="5FB0CA26" w14:textId="77777777" w:rsidTr="00482590">
        <w:trPr>
          <w:trHeight w:val="420"/>
        </w:trPr>
        <w:tc>
          <w:tcPr>
            <w:tcW w:w="9107" w:type="dxa"/>
            <w:gridSpan w:val="5"/>
            <w:tcBorders>
              <w:top w:val="nil"/>
              <w:left w:val="nil"/>
              <w:bottom w:val="nil"/>
              <w:right w:val="nil"/>
            </w:tcBorders>
            <w:shd w:val="clear" w:color="000000" w:fill="000000"/>
            <w:noWrap/>
            <w:vAlign w:val="center"/>
            <w:hideMark/>
          </w:tcPr>
          <w:p w14:paraId="7E640F6D" w14:textId="6B4D7D44" w:rsidR="0070636D" w:rsidRPr="007C4A1D" w:rsidRDefault="0070636D" w:rsidP="00E34EA1">
            <w:pPr>
              <w:spacing w:after="0" w:line="240" w:lineRule="auto"/>
              <w:rPr>
                <w:b/>
                <w:bCs/>
                <w:color w:val="FFFFFF"/>
                <w:sz w:val="20"/>
                <w:szCs w:val="20"/>
                <w:lang w:eastAsia="en-GB"/>
              </w:rPr>
            </w:pPr>
            <w:r w:rsidRPr="007C4A1D">
              <w:rPr>
                <w:b/>
                <w:bCs/>
                <w:color w:val="FFFFFF"/>
                <w:sz w:val="20"/>
                <w:szCs w:val="20"/>
                <w:lang w:eastAsia="en-GB"/>
              </w:rPr>
              <w:t>Výpočet štrukturálneho</w:t>
            </w:r>
            <w:r w:rsidR="00E34EA1" w:rsidRPr="007C4A1D">
              <w:rPr>
                <w:b/>
                <w:bCs/>
                <w:color w:val="FFFFFF"/>
                <w:sz w:val="20"/>
                <w:szCs w:val="20"/>
                <w:lang w:eastAsia="en-GB"/>
              </w:rPr>
              <w:t xml:space="preserve"> salda a konsolidačného úsilia (</w:t>
            </w:r>
            <w:r w:rsidRPr="007C4A1D">
              <w:rPr>
                <w:b/>
                <w:bCs/>
                <w:color w:val="FFFFFF"/>
                <w:sz w:val="20"/>
                <w:szCs w:val="20"/>
                <w:lang w:eastAsia="en-GB"/>
              </w:rPr>
              <w:t>ESA 2010)</w:t>
            </w:r>
          </w:p>
        </w:tc>
      </w:tr>
      <w:tr w:rsidR="0070636D" w:rsidRPr="007C4A1D" w14:paraId="132E2DE9" w14:textId="77777777" w:rsidTr="00BA7703">
        <w:trPr>
          <w:trHeight w:val="258"/>
        </w:trPr>
        <w:tc>
          <w:tcPr>
            <w:tcW w:w="5933" w:type="dxa"/>
            <w:vMerge w:val="restart"/>
            <w:tcBorders>
              <w:top w:val="nil"/>
              <w:left w:val="nil"/>
              <w:bottom w:val="nil"/>
              <w:right w:val="nil"/>
            </w:tcBorders>
            <w:shd w:val="clear" w:color="000000" w:fill="C0C0C0"/>
            <w:noWrap/>
            <w:vAlign w:val="center"/>
            <w:hideMark/>
          </w:tcPr>
          <w:p w14:paraId="1C47EFE5"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 </w:t>
            </w:r>
          </w:p>
        </w:tc>
        <w:tc>
          <w:tcPr>
            <w:tcW w:w="236" w:type="dxa"/>
            <w:tcBorders>
              <w:top w:val="nil"/>
              <w:left w:val="nil"/>
              <w:bottom w:val="nil"/>
              <w:right w:val="single" w:sz="8" w:space="0" w:color="auto"/>
            </w:tcBorders>
            <w:shd w:val="clear" w:color="000000" w:fill="C0C0C0"/>
            <w:vAlign w:val="center"/>
          </w:tcPr>
          <w:p w14:paraId="0ECAE0BD" w14:textId="77777777" w:rsidR="0070636D" w:rsidRPr="007C4A1D" w:rsidRDefault="0070636D" w:rsidP="00BA7703">
            <w:pPr>
              <w:spacing w:after="0" w:line="240" w:lineRule="auto"/>
              <w:jc w:val="center"/>
              <w:rPr>
                <w:b/>
                <w:bCs/>
                <w:color w:val="000000"/>
                <w:sz w:val="20"/>
                <w:szCs w:val="20"/>
                <w:lang w:eastAsia="en-GB"/>
              </w:rPr>
            </w:pPr>
          </w:p>
        </w:tc>
        <w:tc>
          <w:tcPr>
            <w:tcW w:w="2938" w:type="dxa"/>
            <w:gridSpan w:val="3"/>
            <w:tcBorders>
              <w:top w:val="nil"/>
              <w:left w:val="nil"/>
              <w:bottom w:val="nil"/>
              <w:right w:val="nil"/>
            </w:tcBorders>
            <w:shd w:val="clear" w:color="000000" w:fill="C0C0C0"/>
            <w:vAlign w:val="center"/>
            <w:hideMark/>
          </w:tcPr>
          <w:p w14:paraId="181C5D26"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 HDP</w:t>
            </w:r>
          </w:p>
        </w:tc>
      </w:tr>
      <w:tr w:rsidR="0070636D" w:rsidRPr="007C4A1D" w14:paraId="14F04C82" w14:textId="77777777" w:rsidTr="00BA7703">
        <w:trPr>
          <w:trHeight w:val="258"/>
        </w:trPr>
        <w:tc>
          <w:tcPr>
            <w:tcW w:w="5933" w:type="dxa"/>
            <w:vMerge/>
            <w:tcBorders>
              <w:top w:val="nil"/>
              <w:left w:val="nil"/>
              <w:bottom w:val="nil"/>
              <w:right w:val="nil"/>
            </w:tcBorders>
            <w:vAlign w:val="center"/>
            <w:hideMark/>
          </w:tcPr>
          <w:p w14:paraId="6DA3F279" w14:textId="77777777" w:rsidR="0070636D" w:rsidRPr="007C4A1D" w:rsidRDefault="0070636D" w:rsidP="00BA7703">
            <w:pPr>
              <w:spacing w:after="0" w:line="240" w:lineRule="auto"/>
              <w:rPr>
                <w:color w:val="000000"/>
                <w:sz w:val="20"/>
                <w:szCs w:val="20"/>
                <w:lang w:eastAsia="en-GB"/>
              </w:rPr>
            </w:pPr>
          </w:p>
        </w:tc>
        <w:tc>
          <w:tcPr>
            <w:tcW w:w="236" w:type="dxa"/>
            <w:tcBorders>
              <w:top w:val="nil"/>
              <w:left w:val="nil"/>
              <w:bottom w:val="nil"/>
              <w:right w:val="single" w:sz="8" w:space="0" w:color="auto"/>
            </w:tcBorders>
            <w:shd w:val="clear" w:color="000000" w:fill="C0C0C0"/>
            <w:vAlign w:val="center"/>
          </w:tcPr>
          <w:p w14:paraId="4599F9F4" w14:textId="77777777" w:rsidR="0070636D" w:rsidRPr="007C4A1D" w:rsidRDefault="0070636D" w:rsidP="00BA7703">
            <w:pPr>
              <w:spacing w:after="0" w:line="240" w:lineRule="auto"/>
              <w:jc w:val="center"/>
              <w:rPr>
                <w:b/>
                <w:bCs/>
                <w:color w:val="000000"/>
                <w:sz w:val="20"/>
                <w:szCs w:val="20"/>
                <w:lang w:eastAsia="en-GB"/>
              </w:rPr>
            </w:pPr>
          </w:p>
        </w:tc>
        <w:tc>
          <w:tcPr>
            <w:tcW w:w="1049" w:type="dxa"/>
            <w:tcBorders>
              <w:top w:val="nil"/>
              <w:left w:val="nil"/>
              <w:bottom w:val="nil"/>
              <w:right w:val="nil"/>
            </w:tcBorders>
            <w:shd w:val="clear" w:color="000000" w:fill="C0C0C0"/>
            <w:vAlign w:val="center"/>
            <w:hideMark/>
          </w:tcPr>
          <w:p w14:paraId="3F16D1FE"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2016</w:t>
            </w:r>
          </w:p>
        </w:tc>
        <w:tc>
          <w:tcPr>
            <w:tcW w:w="970" w:type="dxa"/>
            <w:tcBorders>
              <w:top w:val="nil"/>
              <w:left w:val="nil"/>
              <w:bottom w:val="nil"/>
              <w:right w:val="nil"/>
            </w:tcBorders>
            <w:shd w:val="clear" w:color="000000" w:fill="C0C0C0"/>
            <w:vAlign w:val="center"/>
            <w:hideMark/>
          </w:tcPr>
          <w:p w14:paraId="6982DAA2"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2017</w:t>
            </w:r>
          </w:p>
        </w:tc>
        <w:tc>
          <w:tcPr>
            <w:tcW w:w="919" w:type="dxa"/>
            <w:tcBorders>
              <w:top w:val="nil"/>
              <w:left w:val="nil"/>
              <w:bottom w:val="nil"/>
              <w:right w:val="nil"/>
            </w:tcBorders>
            <w:shd w:val="clear" w:color="000000" w:fill="C0C0C0"/>
            <w:vAlign w:val="center"/>
            <w:hideMark/>
          </w:tcPr>
          <w:p w14:paraId="5C0A5F21"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2018</w:t>
            </w:r>
          </w:p>
        </w:tc>
      </w:tr>
      <w:tr w:rsidR="0070636D" w:rsidRPr="007C4A1D" w14:paraId="5D6E852B" w14:textId="77777777" w:rsidTr="00BA7703">
        <w:trPr>
          <w:trHeight w:val="258"/>
        </w:trPr>
        <w:tc>
          <w:tcPr>
            <w:tcW w:w="6169" w:type="dxa"/>
            <w:gridSpan w:val="2"/>
            <w:tcBorders>
              <w:top w:val="nil"/>
              <w:left w:val="nil"/>
              <w:bottom w:val="nil"/>
              <w:right w:val="single" w:sz="8" w:space="0" w:color="auto"/>
            </w:tcBorders>
            <w:shd w:val="clear" w:color="auto" w:fill="auto"/>
            <w:noWrap/>
            <w:vAlign w:val="center"/>
            <w:hideMark/>
          </w:tcPr>
          <w:p w14:paraId="61B3D0B2" w14:textId="77777777" w:rsidR="0070636D" w:rsidRPr="007C4A1D" w:rsidRDefault="0070636D" w:rsidP="00BA7703">
            <w:pPr>
              <w:spacing w:after="0" w:line="240" w:lineRule="auto"/>
              <w:rPr>
                <w:b/>
                <w:color w:val="000000"/>
                <w:sz w:val="20"/>
                <w:szCs w:val="20"/>
                <w:lang w:eastAsia="en-GB"/>
              </w:rPr>
            </w:pPr>
            <w:r w:rsidRPr="007C4A1D">
              <w:rPr>
                <w:b/>
                <w:color w:val="000000"/>
                <w:sz w:val="20"/>
                <w:szCs w:val="20"/>
                <w:lang w:eastAsia="en-GB"/>
              </w:rPr>
              <w:t>1. Saldo verejnej správy podľa ESA 2010*</w:t>
            </w:r>
          </w:p>
        </w:tc>
        <w:tc>
          <w:tcPr>
            <w:tcW w:w="1049" w:type="dxa"/>
            <w:tcBorders>
              <w:top w:val="nil"/>
              <w:left w:val="nil"/>
              <w:bottom w:val="nil"/>
              <w:right w:val="nil"/>
            </w:tcBorders>
            <w:shd w:val="clear" w:color="auto" w:fill="auto"/>
            <w:noWrap/>
          </w:tcPr>
          <w:p w14:paraId="4A5A22B7"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-2,48</w:t>
            </w:r>
          </w:p>
        </w:tc>
        <w:tc>
          <w:tcPr>
            <w:tcW w:w="970" w:type="dxa"/>
            <w:tcBorders>
              <w:top w:val="nil"/>
              <w:left w:val="nil"/>
              <w:bottom w:val="nil"/>
              <w:right w:val="nil"/>
            </w:tcBorders>
            <w:shd w:val="clear" w:color="auto" w:fill="auto"/>
            <w:noWrap/>
          </w:tcPr>
          <w:p w14:paraId="7EF2AF74"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-0,95</w:t>
            </w:r>
          </w:p>
        </w:tc>
        <w:tc>
          <w:tcPr>
            <w:tcW w:w="919" w:type="dxa"/>
            <w:tcBorders>
              <w:top w:val="nil"/>
              <w:left w:val="nil"/>
              <w:bottom w:val="nil"/>
              <w:right w:val="nil"/>
            </w:tcBorders>
            <w:shd w:val="clear" w:color="auto" w:fill="auto"/>
            <w:noWrap/>
          </w:tcPr>
          <w:p w14:paraId="3F41E156"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-1,06</w:t>
            </w:r>
          </w:p>
        </w:tc>
      </w:tr>
      <w:tr w:rsidR="0070636D" w:rsidRPr="007C4A1D" w14:paraId="16F58A08" w14:textId="77777777" w:rsidTr="00BA7703">
        <w:trPr>
          <w:trHeight w:val="258"/>
        </w:trPr>
        <w:tc>
          <w:tcPr>
            <w:tcW w:w="6169" w:type="dxa"/>
            <w:gridSpan w:val="2"/>
            <w:tcBorders>
              <w:top w:val="nil"/>
              <w:left w:val="nil"/>
              <w:bottom w:val="nil"/>
              <w:right w:val="single" w:sz="8" w:space="0" w:color="auto"/>
            </w:tcBorders>
            <w:shd w:val="clear" w:color="auto" w:fill="auto"/>
            <w:noWrap/>
            <w:vAlign w:val="center"/>
            <w:hideMark/>
          </w:tcPr>
          <w:p w14:paraId="73F7B628" w14:textId="77777777" w:rsidR="0070636D" w:rsidRPr="007C4A1D" w:rsidRDefault="0070636D" w:rsidP="00BA7703">
            <w:pPr>
              <w:spacing w:after="0" w:line="240" w:lineRule="auto"/>
              <w:rPr>
                <w:color w:val="000000"/>
                <w:sz w:val="20"/>
                <w:szCs w:val="20"/>
                <w:lang w:eastAsia="en-GB"/>
              </w:rPr>
            </w:pPr>
            <w:r w:rsidRPr="007C4A1D">
              <w:rPr>
                <w:color w:val="000000"/>
                <w:sz w:val="20"/>
                <w:szCs w:val="20"/>
                <w:lang w:eastAsia="en-GB"/>
              </w:rPr>
              <w:t>2. Jednorazové vplyvy **</w:t>
            </w:r>
          </w:p>
        </w:tc>
        <w:tc>
          <w:tcPr>
            <w:tcW w:w="1049" w:type="dxa"/>
            <w:tcBorders>
              <w:top w:val="nil"/>
              <w:left w:val="nil"/>
              <w:bottom w:val="nil"/>
              <w:right w:val="nil"/>
            </w:tcBorders>
            <w:shd w:val="clear" w:color="auto" w:fill="auto"/>
          </w:tcPr>
          <w:p w14:paraId="0114202F"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w:t>
            </w:r>
          </w:p>
        </w:tc>
        <w:tc>
          <w:tcPr>
            <w:tcW w:w="970" w:type="dxa"/>
            <w:tcBorders>
              <w:top w:val="nil"/>
              <w:left w:val="nil"/>
              <w:bottom w:val="nil"/>
              <w:right w:val="nil"/>
            </w:tcBorders>
            <w:shd w:val="clear" w:color="auto" w:fill="auto"/>
          </w:tcPr>
          <w:p w14:paraId="7C236417"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w:t>
            </w:r>
          </w:p>
        </w:tc>
        <w:tc>
          <w:tcPr>
            <w:tcW w:w="919" w:type="dxa"/>
            <w:tcBorders>
              <w:top w:val="nil"/>
              <w:left w:val="nil"/>
              <w:bottom w:val="nil"/>
              <w:right w:val="nil"/>
            </w:tcBorders>
            <w:shd w:val="clear" w:color="auto" w:fill="auto"/>
          </w:tcPr>
          <w:p w14:paraId="74C3CF53"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w:t>
            </w:r>
          </w:p>
        </w:tc>
      </w:tr>
      <w:tr w:rsidR="0070636D" w:rsidRPr="007C4A1D" w14:paraId="1531853F" w14:textId="77777777" w:rsidTr="00BA7703">
        <w:trPr>
          <w:trHeight w:val="258"/>
        </w:trPr>
        <w:tc>
          <w:tcPr>
            <w:tcW w:w="6169" w:type="dxa"/>
            <w:gridSpan w:val="2"/>
            <w:tcBorders>
              <w:top w:val="nil"/>
              <w:left w:val="nil"/>
              <w:bottom w:val="nil"/>
              <w:right w:val="single" w:sz="8" w:space="0" w:color="auto"/>
            </w:tcBorders>
            <w:shd w:val="clear" w:color="auto" w:fill="auto"/>
            <w:noWrap/>
            <w:vAlign w:val="center"/>
            <w:hideMark/>
          </w:tcPr>
          <w:p w14:paraId="64BD1784" w14:textId="77777777" w:rsidR="0070636D" w:rsidRPr="007C4A1D" w:rsidRDefault="0070636D" w:rsidP="00BA7703">
            <w:pPr>
              <w:spacing w:after="0" w:line="240" w:lineRule="auto"/>
              <w:rPr>
                <w:color w:val="000000"/>
                <w:sz w:val="20"/>
                <w:szCs w:val="20"/>
                <w:lang w:eastAsia="en-GB"/>
              </w:rPr>
            </w:pPr>
            <w:r w:rsidRPr="007C4A1D">
              <w:rPr>
                <w:color w:val="000000"/>
                <w:sz w:val="20"/>
                <w:szCs w:val="20"/>
                <w:lang w:eastAsia="en-GB"/>
              </w:rPr>
              <w:t>3. Cyklická zložka**</w:t>
            </w:r>
          </w:p>
        </w:tc>
        <w:tc>
          <w:tcPr>
            <w:tcW w:w="1049" w:type="dxa"/>
            <w:tcBorders>
              <w:top w:val="nil"/>
              <w:left w:val="nil"/>
              <w:bottom w:val="nil"/>
              <w:right w:val="nil"/>
            </w:tcBorders>
            <w:shd w:val="clear" w:color="auto" w:fill="auto"/>
            <w:noWrap/>
          </w:tcPr>
          <w:p w14:paraId="453C0F26" w14:textId="77777777" w:rsidR="0070636D" w:rsidRPr="007C4A1D" w:rsidRDefault="0070636D" w:rsidP="00BA7703">
            <w:pPr>
              <w:spacing w:after="0" w:line="240" w:lineRule="auto"/>
              <w:jc w:val="center"/>
              <w:rPr>
                <w:color w:val="000000"/>
                <w:sz w:val="20"/>
                <w:szCs w:val="20"/>
                <w:lang w:eastAsia="en-GB"/>
              </w:rPr>
            </w:pPr>
            <w:r w:rsidRPr="007C4A1D">
              <w:rPr>
                <w:sz w:val="20"/>
                <w:szCs w:val="20"/>
              </w:rPr>
              <w:t>-0,1</w:t>
            </w:r>
          </w:p>
        </w:tc>
        <w:tc>
          <w:tcPr>
            <w:tcW w:w="970" w:type="dxa"/>
            <w:tcBorders>
              <w:top w:val="nil"/>
              <w:left w:val="nil"/>
              <w:bottom w:val="nil"/>
              <w:right w:val="nil"/>
            </w:tcBorders>
            <w:shd w:val="clear" w:color="auto" w:fill="auto"/>
            <w:noWrap/>
          </w:tcPr>
          <w:p w14:paraId="2C1E09BC" w14:textId="77777777" w:rsidR="0070636D" w:rsidRPr="007C4A1D" w:rsidRDefault="0070636D" w:rsidP="00BA7703">
            <w:pPr>
              <w:spacing w:after="0" w:line="240" w:lineRule="auto"/>
              <w:jc w:val="center"/>
              <w:rPr>
                <w:color w:val="000000"/>
                <w:sz w:val="20"/>
                <w:szCs w:val="20"/>
                <w:lang w:eastAsia="en-GB"/>
              </w:rPr>
            </w:pPr>
            <w:r w:rsidRPr="007C4A1D">
              <w:rPr>
                <w:sz w:val="20"/>
                <w:szCs w:val="20"/>
              </w:rPr>
              <w:t>0,1</w:t>
            </w:r>
          </w:p>
        </w:tc>
        <w:tc>
          <w:tcPr>
            <w:tcW w:w="919" w:type="dxa"/>
            <w:tcBorders>
              <w:top w:val="nil"/>
              <w:left w:val="nil"/>
              <w:bottom w:val="nil"/>
              <w:right w:val="nil"/>
            </w:tcBorders>
            <w:shd w:val="clear" w:color="auto" w:fill="auto"/>
            <w:noWrap/>
          </w:tcPr>
          <w:p w14:paraId="17683E7A" w14:textId="77777777" w:rsidR="0070636D" w:rsidRPr="007C4A1D" w:rsidRDefault="0070636D" w:rsidP="00BA7703">
            <w:pPr>
              <w:spacing w:after="0" w:line="240" w:lineRule="auto"/>
              <w:jc w:val="center"/>
              <w:rPr>
                <w:color w:val="000000"/>
                <w:sz w:val="20"/>
                <w:szCs w:val="20"/>
                <w:lang w:eastAsia="en-GB"/>
              </w:rPr>
            </w:pPr>
            <w:r w:rsidRPr="007C4A1D">
              <w:rPr>
                <w:sz w:val="20"/>
                <w:szCs w:val="20"/>
              </w:rPr>
              <w:t>0,5</w:t>
            </w:r>
          </w:p>
        </w:tc>
      </w:tr>
      <w:tr w:rsidR="0070636D" w:rsidRPr="007C4A1D" w14:paraId="5E8AF48F" w14:textId="77777777" w:rsidTr="00BA7703">
        <w:trPr>
          <w:trHeight w:val="258"/>
        </w:trPr>
        <w:tc>
          <w:tcPr>
            <w:tcW w:w="6169" w:type="dxa"/>
            <w:gridSpan w:val="2"/>
            <w:tcBorders>
              <w:top w:val="nil"/>
              <w:left w:val="nil"/>
              <w:right w:val="single" w:sz="8" w:space="0" w:color="auto"/>
            </w:tcBorders>
            <w:shd w:val="clear" w:color="auto" w:fill="auto"/>
            <w:noWrap/>
            <w:vAlign w:val="center"/>
            <w:hideMark/>
          </w:tcPr>
          <w:p w14:paraId="27D17AD6" w14:textId="77777777" w:rsidR="0070636D" w:rsidRPr="007C4A1D" w:rsidRDefault="0070636D" w:rsidP="00BA7703">
            <w:pPr>
              <w:spacing w:after="0" w:line="240" w:lineRule="auto"/>
              <w:rPr>
                <w:b/>
                <w:color w:val="000000"/>
                <w:sz w:val="20"/>
                <w:szCs w:val="20"/>
                <w:lang w:eastAsia="en-GB"/>
              </w:rPr>
            </w:pPr>
            <w:r w:rsidRPr="007C4A1D">
              <w:rPr>
                <w:b/>
                <w:bCs/>
                <w:color w:val="000000"/>
                <w:sz w:val="20"/>
                <w:szCs w:val="20"/>
                <w:lang w:eastAsia="en-GB"/>
              </w:rPr>
              <w:t>4. Štrukturálne saldo verejnej správy (1-2-3)**</w:t>
            </w:r>
          </w:p>
        </w:tc>
        <w:tc>
          <w:tcPr>
            <w:tcW w:w="1049" w:type="dxa"/>
            <w:tcBorders>
              <w:top w:val="nil"/>
              <w:left w:val="nil"/>
              <w:right w:val="nil"/>
            </w:tcBorders>
            <w:shd w:val="clear" w:color="auto" w:fill="auto"/>
            <w:noWrap/>
            <w:hideMark/>
          </w:tcPr>
          <w:p w14:paraId="2A621905"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-2,4</w:t>
            </w:r>
          </w:p>
        </w:tc>
        <w:tc>
          <w:tcPr>
            <w:tcW w:w="970" w:type="dxa"/>
            <w:tcBorders>
              <w:top w:val="nil"/>
              <w:left w:val="nil"/>
              <w:right w:val="nil"/>
            </w:tcBorders>
            <w:shd w:val="clear" w:color="auto" w:fill="auto"/>
            <w:noWrap/>
          </w:tcPr>
          <w:p w14:paraId="10668DEA"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-1,1</w:t>
            </w:r>
          </w:p>
        </w:tc>
        <w:tc>
          <w:tcPr>
            <w:tcW w:w="919" w:type="dxa"/>
            <w:tcBorders>
              <w:top w:val="nil"/>
              <w:left w:val="nil"/>
              <w:right w:val="nil"/>
            </w:tcBorders>
            <w:shd w:val="clear" w:color="auto" w:fill="auto"/>
            <w:noWrap/>
          </w:tcPr>
          <w:p w14:paraId="495F0D38" w14:textId="77777777" w:rsidR="0070636D" w:rsidRPr="007C4A1D" w:rsidRDefault="0070636D" w:rsidP="00BA7703">
            <w:pPr>
              <w:spacing w:after="0" w:line="240" w:lineRule="auto"/>
              <w:jc w:val="center"/>
              <w:rPr>
                <w:b/>
                <w:color w:val="000000"/>
                <w:sz w:val="20"/>
                <w:szCs w:val="20"/>
                <w:lang w:eastAsia="en-GB"/>
              </w:rPr>
            </w:pPr>
            <w:r w:rsidRPr="007C4A1D">
              <w:rPr>
                <w:b/>
                <w:sz w:val="20"/>
                <w:szCs w:val="20"/>
              </w:rPr>
              <w:t>-1,5</w:t>
            </w:r>
          </w:p>
        </w:tc>
      </w:tr>
      <w:tr w:rsidR="0070636D" w:rsidRPr="007C4A1D" w14:paraId="4A168052" w14:textId="77777777" w:rsidTr="00BA7703">
        <w:trPr>
          <w:trHeight w:val="270"/>
        </w:trPr>
        <w:tc>
          <w:tcPr>
            <w:tcW w:w="5933" w:type="dxa"/>
            <w:tcBorders>
              <w:top w:val="nil"/>
              <w:left w:val="nil"/>
              <w:bottom w:val="single" w:sz="4" w:space="0" w:color="auto"/>
              <w:right w:val="nil"/>
            </w:tcBorders>
            <w:shd w:val="clear" w:color="auto" w:fill="auto"/>
            <w:noWrap/>
            <w:vAlign w:val="center"/>
            <w:hideMark/>
          </w:tcPr>
          <w:p w14:paraId="13D4FC47" w14:textId="77777777" w:rsidR="0070636D" w:rsidRPr="007C4A1D" w:rsidRDefault="0070636D" w:rsidP="00BA7703">
            <w:pPr>
              <w:spacing w:after="0" w:line="240" w:lineRule="auto"/>
              <w:rPr>
                <w:bCs/>
                <w:color w:val="000000"/>
                <w:sz w:val="20"/>
                <w:szCs w:val="20"/>
                <w:lang w:eastAsia="en-GB"/>
              </w:rPr>
            </w:pPr>
            <w:r w:rsidRPr="007C4A1D">
              <w:rPr>
                <w:bCs/>
                <w:color w:val="000000"/>
                <w:sz w:val="20"/>
                <w:szCs w:val="20"/>
                <w:lang w:eastAsia="en-GB"/>
              </w:rPr>
              <w:t>5. Konsolidačné úsilie (medziročná zmena 4)**</w:t>
            </w:r>
          </w:p>
        </w:tc>
        <w:tc>
          <w:tcPr>
            <w:tcW w:w="236" w:type="dxa"/>
            <w:tcBorders>
              <w:top w:val="nil"/>
              <w:left w:val="nil"/>
              <w:bottom w:val="single" w:sz="4" w:space="0" w:color="auto"/>
              <w:right w:val="single" w:sz="8" w:space="0" w:color="auto"/>
            </w:tcBorders>
            <w:shd w:val="clear" w:color="auto" w:fill="auto"/>
            <w:noWrap/>
          </w:tcPr>
          <w:p w14:paraId="6CDED99A" w14:textId="77777777" w:rsidR="0070636D" w:rsidRPr="007C4A1D" w:rsidRDefault="0070636D" w:rsidP="00BA7703">
            <w:pPr>
              <w:spacing w:after="0" w:line="240" w:lineRule="auto"/>
              <w:rPr>
                <w:bCs/>
                <w:color w:val="000000"/>
                <w:sz w:val="20"/>
                <w:szCs w:val="20"/>
                <w:lang w:eastAsia="en-GB"/>
              </w:rPr>
            </w:pPr>
          </w:p>
        </w:tc>
        <w:tc>
          <w:tcPr>
            <w:tcW w:w="1049" w:type="dxa"/>
            <w:tcBorders>
              <w:top w:val="nil"/>
              <w:left w:val="nil"/>
              <w:bottom w:val="single" w:sz="4" w:space="0" w:color="auto"/>
              <w:right w:val="nil"/>
            </w:tcBorders>
            <w:shd w:val="clear" w:color="auto" w:fill="auto"/>
            <w:noWrap/>
            <w:hideMark/>
          </w:tcPr>
          <w:p w14:paraId="3C4ED06C" w14:textId="77777777" w:rsidR="0070636D" w:rsidRPr="007C4A1D" w:rsidRDefault="0070636D" w:rsidP="00BA7703">
            <w:pPr>
              <w:spacing w:after="0" w:line="240" w:lineRule="auto"/>
              <w:jc w:val="center"/>
              <w:rPr>
                <w:bCs/>
                <w:color w:val="000000"/>
                <w:sz w:val="20"/>
                <w:szCs w:val="20"/>
                <w:lang w:eastAsia="en-GB"/>
              </w:rPr>
            </w:pPr>
            <w:r w:rsidRPr="007C4A1D">
              <w:rPr>
                <w:sz w:val="20"/>
                <w:szCs w:val="20"/>
              </w:rPr>
              <w:t>0,2</w:t>
            </w:r>
          </w:p>
        </w:tc>
        <w:tc>
          <w:tcPr>
            <w:tcW w:w="970" w:type="dxa"/>
            <w:tcBorders>
              <w:top w:val="nil"/>
              <w:left w:val="nil"/>
              <w:bottom w:val="single" w:sz="4" w:space="0" w:color="auto"/>
              <w:right w:val="nil"/>
            </w:tcBorders>
            <w:shd w:val="clear" w:color="auto" w:fill="auto"/>
            <w:noWrap/>
          </w:tcPr>
          <w:p w14:paraId="369E933B" w14:textId="77777777" w:rsidR="0070636D" w:rsidRPr="007C4A1D" w:rsidRDefault="0070636D" w:rsidP="00BA7703">
            <w:pPr>
              <w:spacing w:after="0" w:line="240" w:lineRule="auto"/>
              <w:jc w:val="center"/>
              <w:rPr>
                <w:bCs/>
                <w:color w:val="000000"/>
                <w:sz w:val="20"/>
                <w:szCs w:val="20"/>
                <w:lang w:eastAsia="en-GB"/>
              </w:rPr>
            </w:pPr>
            <w:r w:rsidRPr="007C4A1D">
              <w:rPr>
                <w:sz w:val="20"/>
                <w:szCs w:val="20"/>
              </w:rPr>
              <w:t>1,3</w:t>
            </w:r>
          </w:p>
        </w:tc>
        <w:tc>
          <w:tcPr>
            <w:tcW w:w="919" w:type="dxa"/>
            <w:tcBorders>
              <w:top w:val="nil"/>
              <w:left w:val="nil"/>
              <w:bottom w:val="single" w:sz="4" w:space="0" w:color="auto"/>
              <w:right w:val="nil"/>
            </w:tcBorders>
            <w:shd w:val="clear" w:color="auto" w:fill="auto"/>
            <w:noWrap/>
            <w:vAlign w:val="center"/>
          </w:tcPr>
          <w:p w14:paraId="7C8309A9" w14:textId="77777777" w:rsidR="0070636D" w:rsidRPr="007C4A1D" w:rsidRDefault="0070636D" w:rsidP="00BA7703">
            <w:pPr>
              <w:spacing w:after="0" w:line="240" w:lineRule="auto"/>
              <w:jc w:val="center"/>
              <w:rPr>
                <w:bCs/>
                <w:color w:val="000000"/>
                <w:sz w:val="20"/>
                <w:szCs w:val="20"/>
                <w:lang w:eastAsia="en-GB"/>
              </w:rPr>
            </w:pPr>
            <w:r w:rsidRPr="007C4A1D">
              <w:rPr>
                <w:bCs/>
                <w:color w:val="000000"/>
                <w:sz w:val="20"/>
                <w:szCs w:val="20"/>
                <w:lang w:eastAsia="en-GB"/>
              </w:rPr>
              <w:t>-0,5</w:t>
            </w:r>
          </w:p>
        </w:tc>
      </w:tr>
      <w:tr w:rsidR="0070636D" w:rsidRPr="007C4A1D" w14:paraId="67EAB9F0" w14:textId="77777777" w:rsidTr="001226BB">
        <w:trPr>
          <w:trHeight w:val="270"/>
        </w:trPr>
        <w:tc>
          <w:tcPr>
            <w:tcW w:w="5933" w:type="dxa"/>
            <w:tcBorders>
              <w:top w:val="single" w:sz="4" w:space="0" w:color="auto"/>
              <w:left w:val="nil"/>
              <w:bottom w:val="single" w:sz="8" w:space="0" w:color="auto"/>
              <w:right w:val="nil"/>
            </w:tcBorders>
            <w:shd w:val="clear" w:color="auto" w:fill="BFBFBF" w:themeFill="background1" w:themeFillShade="BF"/>
            <w:noWrap/>
            <w:vAlign w:val="center"/>
          </w:tcPr>
          <w:p w14:paraId="5C45A13B" w14:textId="77777777" w:rsidR="0070636D" w:rsidRPr="007C4A1D" w:rsidRDefault="0070636D" w:rsidP="00BA7703">
            <w:pPr>
              <w:spacing w:after="0" w:line="240" w:lineRule="auto"/>
              <w:rPr>
                <w:bCs/>
                <w:color w:val="000000"/>
                <w:sz w:val="20"/>
                <w:szCs w:val="20"/>
                <w:lang w:eastAsia="en-GB"/>
              </w:rPr>
            </w:pPr>
            <w:r w:rsidRPr="007C4A1D">
              <w:rPr>
                <w:bCs/>
                <w:color w:val="000000"/>
                <w:sz w:val="20"/>
                <w:szCs w:val="20"/>
                <w:lang w:eastAsia="en-GB"/>
              </w:rPr>
              <w:t>p. m. primárne štrukturálne saldo (štrukturálne saldo po odpočítaní nákladov na obsluhu dlhu)</w:t>
            </w:r>
          </w:p>
        </w:tc>
        <w:tc>
          <w:tcPr>
            <w:tcW w:w="236" w:type="dxa"/>
            <w:tcBorders>
              <w:top w:val="single" w:sz="4" w:space="0" w:color="auto"/>
              <w:left w:val="nil"/>
              <w:bottom w:val="single" w:sz="8" w:space="0" w:color="auto"/>
              <w:right w:val="single" w:sz="8" w:space="0" w:color="auto"/>
            </w:tcBorders>
            <w:shd w:val="clear" w:color="auto" w:fill="BFBFBF" w:themeFill="background1" w:themeFillShade="BF"/>
            <w:noWrap/>
          </w:tcPr>
          <w:p w14:paraId="76472D4C" w14:textId="77777777" w:rsidR="0070636D" w:rsidRPr="007C4A1D" w:rsidRDefault="0070636D" w:rsidP="00BA7703">
            <w:pPr>
              <w:spacing w:after="0" w:line="240" w:lineRule="auto"/>
              <w:rPr>
                <w:bCs/>
                <w:color w:val="000000"/>
                <w:sz w:val="20"/>
                <w:szCs w:val="20"/>
                <w:lang w:eastAsia="en-GB"/>
              </w:rPr>
            </w:pPr>
          </w:p>
        </w:tc>
        <w:tc>
          <w:tcPr>
            <w:tcW w:w="1049" w:type="dxa"/>
            <w:tcBorders>
              <w:top w:val="single" w:sz="4" w:space="0" w:color="auto"/>
              <w:left w:val="nil"/>
              <w:bottom w:val="single" w:sz="8" w:space="0" w:color="auto"/>
              <w:right w:val="nil"/>
            </w:tcBorders>
            <w:shd w:val="clear" w:color="auto" w:fill="BFBFBF" w:themeFill="background1" w:themeFillShade="BF"/>
            <w:noWrap/>
          </w:tcPr>
          <w:p w14:paraId="23A1A6C9" w14:textId="77777777" w:rsidR="0070636D" w:rsidRPr="007C4A1D" w:rsidRDefault="0070636D" w:rsidP="00BA7703">
            <w:pPr>
              <w:spacing w:after="0" w:line="240" w:lineRule="auto"/>
              <w:jc w:val="center"/>
              <w:rPr>
                <w:sz w:val="20"/>
                <w:szCs w:val="20"/>
              </w:rPr>
            </w:pPr>
            <w:r w:rsidRPr="007C4A1D">
              <w:rPr>
                <w:sz w:val="20"/>
                <w:szCs w:val="20"/>
              </w:rPr>
              <w:t>-0,7</w:t>
            </w:r>
          </w:p>
        </w:tc>
        <w:tc>
          <w:tcPr>
            <w:tcW w:w="970" w:type="dxa"/>
            <w:tcBorders>
              <w:top w:val="single" w:sz="4" w:space="0" w:color="auto"/>
              <w:left w:val="nil"/>
              <w:bottom w:val="single" w:sz="8" w:space="0" w:color="auto"/>
              <w:right w:val="nil"/>
            </w:tcBorders>
            <w:shd w:val="clear" w:color="auto" w:fill="BFBFBF" w:themeFill="background1" w:themeFillShade="BF"/>
            <w:noWrap/>
          </w:tcPr>
          <w:p w14:paraId="0B882F56" w14:textId="77777777" w:rsidR="0070636D" w:rsidRPr="007C4A1D" w:rsidRDefault="0070636D" w:rsidP="00BA7703">
            <w:pPr>
              <w:spacing w:after="0" w:line="240" w:lineRule="auto"/>
              <w:jc w:val="center"/>
              <w:rPr>
                <w:sz w:val="20"/>
                <w:szCs w:val="20"/>
              </w:rPr>
            </w:pPr>
            <w:r w:rsidRPr="007C4A1D">
              <w:rPr>
                <w:sz w:val="20"/>
                <w:szCs w:val="20"/>
              </w:rPr>
              <w:t>0,4</w:t>
            </w:r>
          </w:p>
        </w:tc>
        <w:tc>
          <w:tcPr>
            <w:tcW w:w="919" w:type="dxa"/>
            <w:tcBorders>
              <w:top w:val="single" w:sz="4" w:space="0" w:color="auto"/>
              <w:left w:val="nil"/>
              <w:bottom w:val="single" w:sz="8" w:space="0" w:color="auto"/>
              <w:right w:val="nil"/>
            </w:tcBorders>
            <w:shd w:val="clear" w:color="auto" w:fill="BFBFBF" w:themeFill="background1" w:themeFillShade="BF"/>
            <w:noWrap/>
          </w:tcPr>
          <w:p w14:paraId="028CA035" w14:textId="77777777" w:rsidR="0070636D" w:rsidRPr="007C4A1D" w:rsidRDefault="0070636D" w:rsidP="00BA7703">
            <w:pPr>
              <w:spacing w:after="0" w:line="240" w:lineRule="auto"/>
              <w:jc w:val="center"/>
              <w:rPr>
                <w:bCs/>
                <w:color w:val="000000"/>
                <w:sz w:val="20"/>
                <w:szCs w:val="20"/>
                <w:lang w:eastAsia="en-GB"/>
              </w:rPr>
            </w:pPr>
            <w:r w:rsidRPr="007C4A1D">
              <w:rPr>
                <w:bCs/>
                <w:color w:val="000000"/>
                <w:sz w:val="20"/>
                <w:szCs w:val="20"/>
                <w:lang w:eastAsia="en-GB"/>
              </w:rPr>
              <w:t>-0,2</w:t>
            </w:r>
          </w:p>
        </w:tc>
      </w:tr>
    </w:tbl>
    <w:p w14:paraId="32EC1E3B" w14:textId="6A5EA44A" w:rsidR="0070636D" w:rsidRPr="00E8345C" w:rsidRDefault="0070636D" w:rsidP="0070636D">
      <w:pPr>
        <w:pStyle w:val="NormalList"/>
        <w:spacing w:line="276" w:lineRule="auto"/>
        <w:jc w:val="left"/>
        <w:rPr>
          <w:rFonts w:cs="Times New Roman"/>
          <w:color w:val="000000"/>
          <w:sz w:val="16"/>
          <w:szCs w:val="16"/>
          <w:lang w:eastAsia="en-GB"/>
        </w:rPr>
      </w:pPr>
      <w:r w:rsidRPr="00E8345C">
        <w:rPr>
          <w:rFonts w:cs="Times New Roman"/>
          <w:color w:val="000000"/>
          <w:sz w:val="16"/>
          <w:szCs w:val="16"/>
          <w:lang w:eastAsia="en-GB"/>
        </w:rPr>
        <w:t>* V súlade s údajmi pre jesennú notifikáciu Eurostatu za rok 2018.</w:t>
      </w:r>
      <w:r w:rsidR="000C5E1C" w:rsidRPr="00E8345C">
        <w:rPr>
          <w:rFonts w:cs="Times New Roman"/>
          <w:color w:val="000000"/>
          <w:sz w:val="16"/>
          <w:szCs w:val="16"/>
          <w:lang w:eastAsia="en-GB"/>
        </w:rPr>
        <w:t xml:space="preserve">                                                                                               Zdroj: MF SR</w:t>
      </w:r>
    </w:p>
    <w:p w14:paraId="27509973" w14:textId="77777777" w:rsidR="0070636D" w:rsidRPr="00E8345C" w:rsidRDefault="0070636D" w:rsidP="0070636D">
      <w:pPr>
        <w:pStyle w:val="NormalList"/>
        <w:spacing w:line="276" w:lineRule="auto"/>
        <w:jc w:val="left"/>
        <w:rPr>
          <w:rFonts w:cs="Times New Roman"/>
          <w:color w:val="000000"/>
          <w:sz w:val="16"/>
          <w:szCs w:val="16"/>
          <w:lang w:eastAsia="en-GB"/>
        </w:rPr>
      </w:pPr>
      <w:r w:rsidRPr="00E8345C">
        <w:rPr>
          <w:rFonts w:cs="Times New Roman"/>
          <w:color w:val="000000"/>
          <w:sz w:val="16"/>
          <w:szCs w:val="16"/>
          <w:lang w:eastAsia="en-GB"/>
        </w:rPr>
        <w:t>** zaokrúhlené na jedno desatinné miesto</w:t>
      </w:r>
    </w:p>
    <w:p w14:paraId="6745F5D8" w14:textId="77777777" w:rsidR="0070636D" w:rsidRPr="008B059D" w:rsidRDefault="0070636D" w:rsidP="00635F0C">
      <w:pPr>
        <w:spacing w:before="240" w:line="336" w:lineRule="auto"/>
        <w:jc w:val="both"/>
        <w:rPr>
          <w:szCs w:val="22"/>
        </w:rPr>
      </w:pPr>
      <w:r w:rsidRPr="008B059D">
        <w:rPr>
          <w:b/>
          <w:szCs w:val="22"/>
        </w:rPr>
        <w:t>Výpočet štrukturálneho salda predpokladá očistenie nominálneho salda o dva základn</w:t>
      </w:r>
      <w:r>
        <w:rPr>
          <w:b/>
          <w:szCs w:val="22"/>
        </w:rPr>
        <w:t>é</w:t>
      </w:r>
      <w:r w:rsidRPr="008B059D">
        <w:rPr>
          <w:b/>
          <w:szCs w:val="22"/>
        </w:rPr>
        <w:t xml:space="preserve"> komponenty. </w:t>
      </w:r>
      <w:r w:rsidRPr="000F6083">
        <w:rPr>
          <w:b/>
          <w:szCs w:val="22"/>
        </w:rPr>
        <w:t>Vplyv ekonomického cyklu je vyjadrený prostredníctvom cyklickej zložky.</w:t>
      </w:r>
      <w:r w:rsidRPr="00FA78C8">
        <w:rPr>
          <w:szCs w:val="22"/>
        </w:rPr>
        <w:t xml:space="preserve"> Cieľom tejto úpravy je vyjadriť reakciu príjmov a výdavkov verejných financií na zmeny v produkčnej medzere</w:t>
      </w:r>
      <w:r w:rsidRPr="00EE2872">
        <w:rPr>
          <w:szCs w:val="22"/>
        </w:rPr>
        <w:t>. Veľkosť cyklickej zložky závisí od veľkosti produkčnej medzery a od elasticít vybraných príjmových a výdavkových kategórií, ktoré reagujú na výkyvy v ekonomickej aktivite</w:t>
      </w:r>
      <w:r w:rsidRPr="008B059D">
        <w:rPr>
          <w:szCs w:val="22"/>
        </w:rPr>
        <w:t>.</w:t>
      </w:r>
      <w:r w:rsidRPr="008B059D">
        <w:rPr>
          <w:b/>
          <w:szCs w:val="22"/>
        </w:rPr>
        <w:t xml:space="preserve"> </w:t>
      </w:r>
      <w:r w:rsidRPr="008B059D">
        <w:rPr>
          <w:szCs w:val="22"/>
        </w:rPr>
        <w:t xml:space="preserve">Prípadné prehrievanie alebo podchladenie ekonomiky tak môže zásadne vplývať na výsledné </w:t>
      </w:r>
      <w:r>
        <w:rPr>
          <w:szCs w:val="22"/>
        </w:rPr>
        <w:t xml:space="preserve">nominálne </w:t>
      </w:r>
      <w:r w:rsidRPr="008B059D">
        <w:rPr>
          <w:szCs w:val="22"/>
        </w:rPr>
        <w:t>saldo verejnej správy.</w:t>
      </w:r>
      <w:r w:rsidRPr="008B059D">
        <w:rPr>
          <w:b/>
          <w:szCs w:val="22"/>
        </w:rPr>
        <w:t xml:space="preserve"> </w:t>
      </w:r>
      <w:r w:rsidRPr="008B059D">
        <w:rPr>
          <w:szCs w:val="22"/>
        </w:rPr>
        <w:t>V</w:t>
      </w:r>
      <w:r>
        <w:rPr>
          <w:szCs w:val="22"/>
        </w:rPr>
        <w:t> </w:t>
      </w:r>
      <w:r w:rsidRPr="008B059D">
        <w:rPr>
          <w:szCs w:val="22"/>
        </w:rPr>
        <w:t>roku 201</w:t>
      </w:r>
      <w:r>
        <w:rPr>
          <w:szCs w:val="22"/>
        </w:rPr>
        <w:t>8</w:t>
      </w:r>
      <w:r w:rsidRPr="008B059D">
        <w:rPr>
          <w:szCs w:val="22"/>
        </w:rPr>
        <w:t xml:space="preserve"> sa </w:t>
      </w:r>
      <w:r>
        <w:rPr>
          <w:szCs w:val="22"/>
        </w:rPr>
        <w:t>prehrievanie ekonomiky prehĺbilo, čo znamená, že sa slovenská ekonomika nachádzala vyššie nad ú</w:t>
      </w:r>
      <w:r w:rsidRPr="008B059D">
        <w:rPr>
          <w:szCs w:val="22"/>
        </w:rPr>
        <w:t xml:space="preserve">rovňou svojho potenciálneho výkonu. </w:t>
      </w:r>
      <w:r w:rsidRPr="009E67FF">
        <w:rPr>
          <w:szCs w:val="22"/>
        </w:rPr>
        <w:t>Cyklický vývoj tak v roku 201</w:t>
      </w:r>
      <w:r>
        <w:rPr>
          <w:szCs w:val="22"/>
        </w:rPr>
        <w:t>8</w:t>
      </w:r>
      <w:r w:rsidRPr="009E67FF">
        <w:rPr>
          <w:szCs w:val="22"/>
        </w:rPr>
        <w:t xml:space="preserve"> </w:t>
      </w:r>
      <w:r>
        <w:rPr>
          <w:szCs w:val="22"/>
        </w:rPr>
        <w:t>priniesol pozitívny vplyv na nominálne saldo VS vo výške 0,5 </w:t>
      </w:r>
      <w:r w:rsidRPr="009E67FF">
        <w:rPr>
          <w:szCs w:val="22"/>
        </w:rPr>
        <w:t>%</w:t>
      </w:r>
      <w:r>
        <w:rPr>
          <w:szCs w:val="22"/>
        </w:rPr>
        <w:t> </w:t>
      </w:r>
      <w:r w:rsidRPr="009E67FF">
        <w:rPr>
          <w:szCs w:val="22"/>
        </w:rPr>
        <w:t>HDP.</w:t>
      </w:r>
    </w:p>
    <w:p w14:paraId="51798A4D" w14:textId="7A964BA9" w:rsidR="00482590" w:rsidRDefault="0070636D" w:rsidP="0010281C">
      <w:pPr>
        <w:pStyle w:val="NormalList"/>
        <w:spacing w:after="120" w:line="336" w:lineRule="auto"/>
        <w:rPr>
          <w:b/>
        </w:rPr>
      </w:pPr>
      <w:r w:rsidRPr="008B059D">
        <w:rPr>
          <w:rFonts w:cs="Times New Roman"/>
          <w:b/>
        </w:rPr>
        <w:t xml:space="preserve">Druhým komponentom vstupujúcim do výpočtu sú jednorazové vplyvy, </w:t>
      </w:r>
      <w:r>
        <w:rPr>
          <w:rFonts w:cs="Times New Roman"/>
          <w:b/>
        </w:rPr>
        <w:t xml:space="preserve">teda </w:t>
      </w:r>
      <w:r w:rsidRPr="008B059D">
        <w:rPr>
          <w:rFonts w:cs="Times New Roman"/>
          <w:b/>
        </w:rPr>
        <w:t xml:space="preserve">príjem alebo výdavok verejnej správy bez trvalého alebo opakujúceho sa charakteru. </w:t>
      </w:r>
      <w:r w:rsidRPr="00FA78C8">
        <w:rPr>
          <w:rFonts w:cs="Times New Roman"/>
        </w:rPr>
        <w:t>Sledujú sa vzniknuté okolnosti s časovo obmedzeným vplyvom na saldo verejnej správy</w:t>
      </w:r>
      <w:r w:rsidRPr="00EE2872">
        <w:rPr>
          <w:rFonts w:cs="Times New Roman"/>
        </w:rPr>
        <w:t>. Slovenská legislatíva nepozná presnú definíciu jednorazových vplyvov</w:t>
      </w:r>
      <w:r w:rsidRPr="00EE2872">
        <w:rPr>
          <w:rStyle w:val="Odkaznapoznmkupodiarou"/>
          <w:rFonts w:eastAsiaTheme="majorEastAsia"/>
        </w:rPr>
        <w:footnoteReference w:id="17"/>
      </w:r>
      <w:r w:rsidRPr="00EE2872">
        <w:rPr>
          <w:rFonts w:cs="Times New Roman"/>
        </w:rPr>
        <w:t xml:space="preserve"> a pre účely Súhrnnej výročnej správy preberá Ministerstvo financií SR</w:t>
      </w:r>
      <w:r w:rsidRPr="008B059D">
        <w:rPr>
          <w:rFonts w:cs="Times New Roman"/>
        </w:rPr>
        <w:t xml:space="preserve"> princípy aplikované v metodike Európskej </w:t>
      </w:r>
      <w:r>
        <w:rPr>
          <w:rFonts w:cs="Times New Roman"/>
        </w:rPr>
        <w:t>K</w:t>
      </w:r>
      <w:r w:rsidRPr="008B059D">
        <w:rPr>
          <w:rFonts w:cs="Times New Roman"/>
        </w:rPr>
        <w:t>omisie pre identifikáciu jednorazových opatrení</w:t>
      </w:r>
      <w:r w:rsidRPr="008B059D">
        <w:rPr>
          <w:rStyle w:val="Odkaznapoznmkupodiarou"/>
          <w:rFonts w:eastAsiaTheme="majorEastAsia"/>
        </w:rPr>
        <w:footnoteReference w:id="18"/>
      </w:r>
      <w:r w:rsidRPr="008B059D">
        <w:rPr>
          <w:rFonts w:cs="Times New Roman"/>
        </w:rPr>
        <w:t>. V nasledujúcej tabuľke sú uvedené jednorazové vplyvy identifikované v rokoch 201</w:t>
      </w:r>
      <w:r>
        <w:rPr>
          <w:rFonts w:cs="Times New Roman"/>
        </w:rPr>
        <w:t>6</w:t>
      </w:r>
      <w:r w:rsidRPr="008B059D">
        <w:rPr>
          <w:rFonts w:cs="Times New Roman"/>
        </w:rPr>
        <w:t xml:space="preserve"> až 201</w:t>
      </w:r>
      <w:r>
        <w:rPr>
          <w:rFonts w:cs="Times New Roman"/>
        </w:rPr>
        <w:t>8</w:t>
      </w:r>
      <w:r w:rsidRPr="008B059D">
        <w:rPr>
          <w:rFonts w:cs="Times New Roman"/>
        </w:rPr>
        <w:t xml:space="preserve">. </w:t>
      </w:r>
      <w:r w:rsidRPr="008B059D">
        <w:rPr>
          <w:rFonts w:cs="Times New Roman"/>
          <w:b/>
        </w:rPr>
        <w:t>V roku 201</w:t>
      </w:r>
      <w:r>
        <w:rPr>
          <w:rFonts w:cs="Times New Roman"/>
          <w:b/>
        </w:rPr>
        <w:t>8</w:t>
      </w:r>
      <w:r w:rsidRPr="008B059D">
        <w:rPr>
          <w:rFonts w:cs="Times New Roman"/>
          <w:b/>
        </w:rPr>
        <w:t xml:space="preserve"> </w:t>
      </w:r>
      <w:r>
        <w:rPr>
          <w:rFonts w:cs="Times New Roman"/>
          <w:b/>
        </w:rPr>
        <w:t>neb</w:t>
      </w:r>
      <w:r w:rsidRPr="008B059D">
        <w:rPr>
          <w:rFonts w:cs="Times New Roman"/>
          <w:b/>
        </w:rPr>
        <w:t xml:space="preserve">oli identifikované </w:t>
      </w:r>
      <w:r>
        <w:rPr>
          <w:rFonts w:cs="Times New Roman"/>
          <w:b/>
        </w:rPr>
        <w:t xml:space="preserve">žiadne </w:t>
      </w:r>
      <w:r w:rsidRPr="008B059D">
        <w:rPr>
          <w:rFonts w:cs="Times New Roman"/>
          <w:b/>
        </w:rPr>
        <w:t>jednorazové opatrenia.</w:t>
      </w:r>
      <w:r w:rsidR="00482590">
        <w:rPr>
          <w:rFonts w:cs="Times New Roman"/>
          <w:b/>
        </w:rPr>
        <w:br w:type="page"/>
      </w:r>
    </w:p>
    <w:tbl>
      <w:tblPr>
        <w:tblW w:w="9058" w:type="dxa"/>
        <w:tblLook w:val="04A0" w:firstRow="1" w:lastRow="0" w:firstColumn="1" w:lastColumn="0" w:noHBand="0" w:noVBand="1"/>
      </w:tblPr>
      <w:tblGrid>
        <w:gridCol w:w="4763"/>
        <w:gridCol w:w="511"/>
        <w:gridCol w:w="616"/>
        <w:gridCol w:w="616"/>
        <w:gridCol w:w="616"/>
        <w:gridCol w:w="660"/>
        <w:gridCol w:w="660"/>
        <w:gridCol w:w="616"/>
      </w:tblGrid>
      <w:tr w:rsidR="00923EAB" w:rsidRPr="007C4A1D" w14:paraId="20FD6C6D" w14:textId="77777777" w:rsidTr="00BC2CBD">
        <w:trPr>
          <w:trHeight w:val="420"/>
        </w:trPr>
        <w:tc>
          <w:tcPr>
            <w:tcW w:w="9058" w:type="dxa"/>
            <w:gridSpan w:val="8"/>
            <w:tcBorders>
              <w:top w:val="nil"/>
              <w:left w:val="nil"/>
              <w:bottom w:val="nil"/>
              <w:right w:val="nil"/>
            </w:tcBorders>
            <w:shd w:val="clear" w:color="000000" w:fill="000000"/>
            <w:noWrap/>
            <w:vAlign w:val="center"/>
            <w:hideMark/>
          </w:tcPr>
          <w:p w14:paraId="466EBAB4" w14:textId="54ED8A47" w:rsidR="007C4A1D" w:rsidRPr="007C4A1D" w:rsidRDefault="00923EAB" w:rsidP="00923EAB">
            <w:pPr>
              <w:spacing w:before="120" w:after="120" w:line="240" w:lineRule="auto"/>
              <w:rPr>
                <w:b/>
                <w:bCs/>
                <w:color w:val="FFFFFF"/>
                <w:sz w:val="20"/>
                <w:szCs w:val="20"/>
                <w:lang w:eastAsia="en-GB"/>
              </w:rPr>
            </w:pPr>
            <w:r w:rsidRPr="007C4A1D">
              <w:rPr>
                <w:b/>
                <w:bCs/>
                <w:color w:val="FFFFFF"/>
                <w:sz w:val="20"/>
                <w:szCs w:val="20"/>
                <w:lang w:eastAsia="en-GB"/>
              </w:rPr>
              <w:t xml:space="preserve">Jednorazové vplyvy </w:t>
            </w:r>
            <w:r w:rsidRPr="007C4A1D">
              <w:rPr>
                <w:b/>
                <w:color w:val="FFFFFF"/>
                <w:sz w:val="20"/>
                <w:szCs w:val="20"/>
                <w:lang w:eastAsia="en-GB"/>
              </w:rPr>
              <w:t>(ESA 2010, vplyv na saldo VS)</w:t>
            </w:r>
            <w:r w:rsidRPr="007C4A1D">
              <w:rPr>
                <w:b/>
                <w:bCs/>
                <w:color w:val="FFFFFF"/>
                <w:sz w:val="20"/>
                <w:szCs w:val="20"/>
                <w:lang w:eastAsia="en-GB"/>
              </w:rPr>
              <w:t> </w:t>
            </w:r>
          </w:p>
        </w:tc>
      </w:tr>
      <w:tr w:rsidR="0070636D" w:rsidRPr="007C4A1D" w14:paraId="6DBD17A4" w14:textId="77777777" w:rsidTr="00BA7703">
        <w:trPr>
          <w:trHeight w:val="113"/>
        </w:trPr>
        <w:tc>
          <w:tcPr>
            <w:tcW w:w="4763" w:type="dxa"/>
            <w:tcBorders>
              <w:top w:val="nil"/>
              <w:left w:val="nil"/>
              <w:bottom w:val="nil"/>
              <w:right w:val="nil"/>
            </w:tcBorders>
            <w:shd w:val="clear" w:color="000000" w:fill="C0C0C0"/>
            <w:noWrap/>
            <w:vAlign w:val="center"/>
            <w:hideMark/>
          </w:tcPr>
          <w:p w14:paraId="35354DB1"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 </w:t>
            </w:r>
          </w:p>
        </w:tc>
        <w:tc>
          <w:tcPr>
            <w:tcW w:w="511" w:type="dxa"/>
            <w:tcBorders>
              <w:top w:val="nil"/>
              <w:left w:val="nil"/>
              <w:bottom w:val="nil"/>
              <w:right w:val="nil"/>
            </w:tcBorders>
            <w:shd w:val="clear" w:color="000000" w:fill="C0C0C0"/>
            <w:vAlign w:val="center"/>
            <w:hideMark/>
          </w:tcPr>
          <w:p w14:paraId="58F24CB3"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 </w:t>
            </w:r>
          </w:p>
        </w:tc>
        <w:tc>
          <w:tcPr>
            <w:tcW w:w="1848" w:type="dxa"/>
            <w:gridSpan w:val="3"/>
            <w:tcBorders>
              <w:top w:val="nil"/>
              <w:left w:val="nil"/>
              <w:bottom w:val="nil"/>
              <w:right w:val="single" w:sz="8" w:space="0" w:color="000000"/>
            </w:tcBorders>
            <w:shd w:val="clear" w:color="000000" w:fill="C0C0C0"/>
            <w:vAlign w:val="center"/>
            <w:hideMark/>
          </w:tcPr>
          <w:p w14:paraId="62756137"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mil. eur</w:t>
            </w:r>
          </w:p>
        </w:tc>
        <w:tc>
          <w:tcPr>
            <w:tcW w:w="1936" w:type="dxa"/>
            <w:gridSpan w:val="3"/>
            <w:tcBorders>
              <w:top w:val="nil"/>
              <w:left w:val="nil"/>
              <w:bottom w:val="nil"/>
              <w:right w:val="nil"/>
            </w:tcBorders>
            <w:shd w:val="clear" w:color="000000" w:fill="C0C0C0"/>
            <w:vAlign w:val="center"/>
            <w:hideMark/>
          </w:tcPr>
          <w:p w14:paraId="4C1F744A"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 HDP</w:t>
            </w:r>
          </w:p>
        </w:tc>
      </w:tr>
      <w:tr w:rsidR="0070636D" w:rsidRPr="007C4A1D" w14:paraId="6FA1D5B6" w14:textId="77777777" w:rsidTr="00BA7703">
        <w:trPr>
          <w:trHeight w:val="364"/>
        </w:trPr>
        <w:tc>
          <w:tcPr>
            <w:tcW w:w="4763" w:type="dxa"/>
            <w:tcBorders>
              <w:top w:val="nil"/>
              <w:left w:val="nil"/>
              <w:bottom w:val="nil"/>
              <w:right w:val="nil"/>
            </w:tcBorders>
            <w:shd w:val="clear" w:color="000000" w:fill="C0C0C0"/>
            <w:noWrap/>
            <w:vAlign w:val="center"/>
            <w:hideMark/>
          </w:tcPr>
          <w:p w14:paraId="0A40E9D7"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 </w:t>
            </w:r>
          </w:p>
        </w:tc>
        <w:tc>
          <w:tcPr>
            <w:tcW w:w="511" w:type="dxa"/>
            <w:tcBorders>
              <w:top w:val="nil"/>
              <w:left w:val="nil"/>
              <w:bottom w:val="nil"/>
              <w:right w:val="nil"/>
            </w:tcBorders>
            <w:shd w:val="clear" w:color="000000" w:fill="C0C0C0"/>
            <w:vAlign w:val="center"/>
            <w:hideMark/>
          </w:tcPr>
          <w:p w14:paraId="775788EF"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kat.</w:t>
            </w:r>
          </w:p>
        </w:tc>
        <w:tc>
          <w:tcPr>
            <w:tcW w:w="616" w:type="dxa"/>
            <w:tcBorders>
              <w:top w:val="nil"/>
              <w:left w:val="nil"/>
              <w:bottom w:val="nil"/>
              <w:right w:val="nil"/>
            </w:tcBorders>
            <w:shd w:val="clear" w:color="000000" w:fill="C0C0C0"/>
            <w:vAlign w:val="center"/>
            <w:hideMark/>
          </w:tcPr>
          <w:p w14:paraId="742D42FD"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2016</w:t>
            </w:r>
          </w:p>
        </w:tc>
        <w:tc>
          <w:tcPr>
            <w:tcW w:w="616" w:type="dxa"/>
            <w:tcBorders>
              <w:top w:val="nil"/>
              <w:left w:val="nil"/>
              <w:bottom w:val="nil"/>
              <w:right w:val="nil"/>
            </w:tcBorders>
            <w:shd w:val="clear" w:color="000000" w:fill="C0C0C0"/>
            <w:vAlign w:val="center"/>
            <w:hideMark/>
          </w:tcPr>
          <w:p w14:paraId="076FE205"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2017</w:t>
            </w:r>
          </w:p>
        </w:tc>
        <w:tc>
          <w:tcPr>
            <w:tcW w:w="616" w:type="dxa"/>
            <w:tcBorders>
              <w:top w:val="nil"/>
              <w:left w:val="nil"/>
              <w:bottom w:val="nil"/>
              <w:right w:val="single" w:sz="8" w:space="0" w:color="auto"/>
            </w:tcBorders>
            <w:shd w:val="clear" w:color="000000" w:fill="C0C0C0"/>
            <w:vAlign w:val="center"/>
            <w:hideMark/>
          </w:tcPr>
          <w:p w14:paraId="6A3E81E7"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2018</w:t>
            </w:r>
          </w:p>
        </w:tc>
        <w:tc>
          <w:tcPr>
            <w:tcW w:w="660" w:type="dxa"/>
            <w:tcBorders>
              <w:top w:val="nil"/>
              <w:left w:val="nil"/>
              <w:bottom w:val="nil"/>
              <w:right w:val="nil"/>
            </w:tcBorders>
            <w:shd w:val="clear" w:color="000000" w:fill="C0C0C0"/>
            <w:vAlign w:val="center"/>
            <w:hideMark/>
          </w:tcPr>
          <w:p w14:paraId="7B0A5B92"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2016</w:t>
            </w:r>
          </w:p>
        </w:tc>
        <w:tc>
          <w:tcPr>
            <w:tcW w:w="660" w:type="dxa"/>
            <w:tcBorders>
              <w:top w:val="nil"/>
              <w:left w:val="nil"/>
              <w:bottom w:val="nil"/>
              <w:right w:val="nil"/>
            </w:tcBorders>
            <w:shd w:val="clear" w:color="000000" w:fill="C0C0C0"/>
            <w:vAlign w:val="center"/>
            <w:hideMark/>
          </w:tcPr>
          <w:p w14:paraId="5767FC61"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2017</w:t>
            </w:r>
          </w:p>
        </w:tc>
        <w:tc>
          <w:tcPr>
            <w:tcW w:w="616" w:type="dxa"/>
            <w:tcBorders>
              <w:top w:val="nil"/>
              <w:left w:val="nil"/>
              <w:bottom w:val="nil"/>
              <w:right w:val="nil"/>
            </w:tcBorders>
            <w:shd w:val="clear" w:color="000000" w:fill="C0C0C0"/>
            <w:vAlign w:val="center"/>
            <w:hideMark/>
          </w:tcPr>
          <w:p w14:paraId="4B49F752" w14:textId="77777777" w:rsidR="0070636D" w:rsidRPr="007C4A1D" w:rsidRDefault="0070636D" w:rsidP="00BA7703">
            <w:pPr>
              <w:spacing w:after="0" w:line="240" w:lineRule="auto"/>
              <w:jc w:val="center"/>
              <w:rPr>
                <w:b/>
                <w:bCs/>
                <w:color w:val="000000"/>
                <w:sz w:val="20"/>
                <w:szCs w:val="20"/>
                <w:lang w:eastAsia="en-GB"/>
              </w:rPr>
            </w:pPr>
            <w:r w:rsidRPr="007C4A1D">
              <w:rPr>
                <w:b/>
                <w:bCs/>
                <w:color w:val="000000"/>
                <w:sz w:val="20"/>
                <w:szCs w:val="20"/>
                <w:lang w:eastAsia="en-GB"/>
              </w:rPr>
              <w:t>2018</w:t>
            </w:r>
          </w:p>
        </w:tc>
      </w:tr>
      <w:tr w:rsidR="0070636D" w:rsidRPr="007C4A1D" w14:paraId="699FEF05" w14:textId="77777777" w:rsidTr="00BA7703">
        <w:trPr>
          <w:trHeight w:val="113"/>
        </w:trPr>
        <w:tc>
          <w:tcPr>
            <w:tcW w:w="4763" w:type="dxa"/>
            <w:tcBorders>
              <w:top w:val="nil"/>
              <w:left w:val="nil"/>
              <w:bottom w:val="nil"/>
              <w:right w:val="nil"/>
            </w:tcBorders>
            <w:shd w:val="clear" w:color="auto" w:fill="auto"/>
            <w:noWrap/>
            <w:vAlign w:val="center"/>
            <w:hideMark/>
          </w:tcPr>
          <w:p w14:paraId="2E90878D" w14:textId="77777777" w:rsidR="0070636D" w:rsidRPr="007C4A1D" w:rsidRDefault="0070636D" w:rsidP="00BA7703">
            <w:pPr>
              <w:spacing w:after="0" w:line="240" w:lineRule="auto"/>
              <w:rPr>
                <w:b/>
                <w:bCs/>
                <w:color w:val="000000"/>
                <w:sz w:val="20"/>
                <w:szCs w:val="20"/>
                <w:lang w:eastAsia="en-GB"/>
              </w:rPr>
            </w:pPr>
            <w:r w:rsidRPr="007C4A1D">
              <w:rPr>
                <w:b/>
                <w:bCs/>
                <w:color w:val="000000"/>
                <w:sz w:val="20"/>
                <w:szCs w:val="20"/>
                <w:lang w:eastAsia="en-GB"/>
              </w:rPr>
              <w:t>Jednorazové vplyvy spolu</w:t>
            </w:r>
          </w:p>
        </w:tc>
        <w:tc>
          <w:tcPr>
            <w:tcW w:w="511" w:type="dxa"/>
            <w:tcBorders>
              <w:top w:val="nil"/>
              <w:left w:val="nil"/>
              <w:bottom w:val="nil"/>
              <w:right w:val="nil"/>
            </w:tcBorders>
            <w:shd w:val="clear" w:color="auto" w:fill="auto"/>
            <w:noWrap/>
            <w:vAlign w:val="center"/>
            <w:hideMark/>
          </w:tcPr>
          <w:p w14:paraId="79ACFD5E" w14:textId="77777777" w:rsidR="0070636D" w:rsidRPr="007C4A1D" w:rsidRDefault="0070636D" w:rsidP="00BA7703">
            <w:pPr>
              <w:spacing w:after="0" w:line="240" w:lineRule="auto"/>
              <w:rPr>
                <w:b/>
                <w:bCs/>
                <w:color w:val="000000"/>
                <w:sz w:val="20"/>
                <w:szCs w:val="20"/>
                <w:lang w:eastAsia="en-GB"/>
              </w:rPr>
            </w:pPr>
          </w:p>
        </w:tc>
        <w:tc>
          <w:tcPr>
            <w:tcW w:w="616" w:type="dxa"/>
            <w:tcBorders>
              <w:top w:val="nil"/>
              <w:left w:val="nil"/>
              <w:bottom w:val="nil"/>
              <w:right w:val="nil"/>
            </w:tcBorders>
            <w:shd w:val="clear" w:color="auto" w:fill="auto"/>
            <w:noWrap/>
            <w:vAlign w:val="center"/>
            <w:hideMark/>
          </w:tcPr>
          <w:p w14:paraId="7C80F47C" w14:textId="77777777" w:rsidR="0070636D" w:rsidRPr="007C4A1D" w:rsidRDefault="0070636D" w:rsidP="00BA7703">
            <w:pPr>
              <w:spacing w:after="0" w:line="240" w:lineRule="auto"/>
              <w:jc w:val="center"/>
              <w:rPr>
                <w:b/>
                <w:bCs/>
                <w:color w:val="000000"/>
                <w:sz w:val="20"/>
                <w:szCs w:val="20"/>
                <w:lang w:eastAsia="en-GB"/>
              </w:rPr>
            </w:pPr>
            <w:r w:rsidRPr="007C4A1D">
              <w:rPr>
                <w:color w:val="000000"/>
                <w:sz w:val="20"/>
                <w:szCs w:val="20"/>
                <w:lang w:eastAsia="en-GB"/>
              </w:rPr>
              <w:t>-35</w:t>
            </w:r>
          </w:p>
        </w:tc>
        <w:tc>
          <w:tcPr>
            <w:tcW w:w="616" w:type="dxa"/>
            <w:tcBorders>
              <w:top w:val="nil"/>
              <w:left w:val="nil"/>
              <w:bottom w:val="nil"/>
              <w:right w:val="nil"/>
            </w:tcBorders>
            <w:shd w:val="clear" w:color="auto" w:fill="auto"/>
            <w:noWrap/>
            <w:vAlign w:val="center"/>
            <w:hideMark/>
          </w:tcPr>
          <w:p w14:paraId="7A302444"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w:t>
            </w:r>
          </w:p>
        </w:tc>
        <w:tc>
          <w:tcPr>
            <w:tcW w:w="616" w:type="dxa"/>
            <w:tcBorders>
              <w:top w:val="nil"/>
              <w:left w:val="nil"/>
              <w:bottom w:val="nil"/>
              <w:right w:val="single" w:sz="8" w:space="0" w:color="auto"/>
            </w:tcBorders>
            <w:shd w:val="clear" w:color="auto" w:fill="auto"/>
            <w:noWrap/>
            <w:vAlign w:val="center"/>
            <w:hideMark/>
          </w:tcPr>
          <w:p w14:paraId="23EC4236"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w:t>
            </w:r>
          </w:p>
        </w:tc>
        <w:tc>
          <w:tcPr>
            <w:tcW w:w="660" w:type="dxa"/>
            <w:tcBorders>
              <w:top w:val="nil"/>
              <w:left w:val="nil"/>
              <w:bottom w:val="nil"/>
              <w:right w:val="nil"/>
            </w:tcBorders>
            <w:shd w:val="clear" w:color="auto" w:fill="auto"/>
            <w:noWrap/>
            <w:vAlign w:val="center"/>
            <w:hideMark/>
          </w:tcPr>
          <w:p w14:paraId="39B4CEAF" w14:textId="77777777" w:rsidR="0070636D" w:rsidRPr="007C4A1D" w:rsidRDefault="0070636D" w:rsidP="00BA7703">
            <w:pPr>
              <w:spacing w:after="0" w:line="240" w:lineRule="auto"/>
              <w:jc w:val="center"/>
              <w:rPr>
                <w:bCs/>
                <w:color w:val="000000"/>
                <w:sz w:val="20"/>
                <w:szCs w:val="20"/>
                <w:lang w:eastAsia="en-GB"/>
              </w:rPr>
            </w:pPr>
            <w:r w:rsidRPr="007C4A1D">
              <w:rPr>
                <w:color w:val="000000"/>
                <w:sz w:val="20"/>
                <w:szCs w:val="20"/>
                <w:lang w:eastAsia="en-GB"/>
              </w:rPr>
              <w:t>-0,04</w:t>
            </w:r>
          </w:p>
        </w:tc>
        <w:tc>
          <w:tcPr>
            <w:tcW w:w="660" w:type="dxa"/>
            <w:tcBorders>
              <w:top w:val="nil"/>
              <w:left w:val="nil"/>
              <w:bottom w:val="nil"/>
              <w:right w:val="nil"/>
            </w:tcBorders>
            <w:shd w:val="clear" w:color="auto" w:fill="auto"/>
            <w:noWrap/>
            <w:vAlign w:val="center"/>
            <w:hideMark/>
          </w:tcPr>
          <w:p w14:paraId="6869EAD6"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0,00</w:t>
            </w:r>
          </w:p>
        </w:tc>
        <w:tc>
          <w:tcPr>
            <w:tcW w:w="616" w:type="dxa"/>
            <w:tcBorders>
              <w:top w:val="nil"/>
              <w:left w:val="nil"/>
              <w:bottom w:val="nil"/>
              <w:right w:val="nil"/>
            </w:tcBorders>
            <w:shd w:val="clear" w:color="auto" w:fill="auto"/>
            <w:noWrap/>
            <w:vAlign w:val="center"/>
            <w:hideMark/>
          </w:tcPr>
          <w:p w14:paraId="4262F6B9"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0,00</w:t>
            </w:r>
          </w:p>
        </w:tc>
      </w:tr>
      <w:tr w:rsidR="0070636D" w:rsidRPr="007C4A1D" w14:paraId="40AB96B3" w14:textId="77777777" w:rsidTr="00BA7703">
        <w:trPr>
          <w:trHeight w:val="113"/>
        </w:trPr>
        <w:tc>
          <w:tcPr>
            <w:tcW w:w="4763" w:type="dxa"/>
            <w:tcBorders>
              <w:top w:val="nil"/>
              <w:left w:val="nil"/>
              <w:right w:val="nil"/>
            </w:tcBorders>
            <w:shd w:val="clear" w:color="auto" w:fill="auto"/>
            <w:noWrap/>
            <w:vAlign w:val="center"/>
          </w:tcPr>
          <w:p w14:paraId="37A18E86" w14:textId="77777777" w:rsidR="0070636D" w:rsidRPr="007C4A1D" w:rsidRDefault="0070636D" w:rsidP="00BA7703">
            <w:pPr>
              <w:spacing w:after="0" w:line="240" w:lineRule="auto"/>
              <w:rPr>
                <w:color w:val="000000"/>
                <w:sz w:val="20"/>
                <w:szCs w:val="20"/>
                <w:lang w:eastAsia="en-GB"/>
              </w:rPr>
            </w:pPr>
          </w:p>
        </w:tc>
        <w:tc>
          <w:tcPr>
            <w:tcW w:w="511" w:type="dxa"/>
            <w:tcBorders>
              <w:top w:val="nil"/>
              <w:left w:val="nil"/>
              <w:right w:val="nil"/>
            </w:tcBorders>
            <w:shd w:val="clear" w:color="auto" w:fill="auto"/>
            <w:noWrap/>
            <w:vAlign w:val="bottom"/>
          </w:tcPr>
          <w:p w14:paraId="4BE5803F" w14:textId="77777777" w:rsidR="0070636D" w:rsidRPr="007C4A1D" w:rsidRDefault="0070636D" w:rsidP="00BA7703">
            <w:pPr>
              <w:spacing w:after="0" w:line="240" w:lineRule="auto"/>
              <w:rPr>
                <w:color w:val="000000"/>
                <w:sz w:val="20"/>
                <w:szCs w:val="20"/>
                <w:lang w:eastAsia="en-GB"/>
              </w:rPr>
            </w:pPr>
          </w:p>
        </w:tc>
        <w:tc>
          <w:tcPr>
            <w:tcW w:w="616" w:type="dxa"/>
            <w:tcBorders>
              <w:top w:val="nil"/>
              <w:left w:val="nil"/>
              <w:right w:val="nil"/>
            </w:tcBorders>
            <w:shd w:val="clear" w:color="auto" w:fill="auto"/>
            <w:noWrap/>
            <w:vAlign w:val="center"/>
          </w:tcPr>
          <w:p w14:paraId="3E75DB5C" w14:textId="77777777" w:rsidR="0070636D" w:rsidRPr="007C4A1D" w:rsidRDefault="0070636D" w:rsidP="00BA7703">
            <w:pPr>
              <w:spacing w:after="0" w:line="240" w:lineRule="auto"/>
              <w:jc w:val="center"/>
              <w:rPr>
                <w:color w:val="000000"/>
                <w:sz w:val="20"/>
                <w:szCs w:val="20"/>
                <w:lang w:eastAsia="en-GB"/>
              </w:rPr>
            </w:pPr>
          </w:p>
        </w:tc>
        <w:tc>
          <w:tcPr>
            <w:tcW w:w="616" w:type="dxa"/>
            <w:tcBorders>
              <w:top w:val="nil"/>
              <w:left w:val="nil"/>
              <w:right w:val="nil"/>
            </w:tcBorders>
            <w:shd w:val="clear" w:color="auto" w:fill="auto"/>
            <w:noWrap/>
            <w:vAlign w:val="center"/>
          </w:tcPr>
          <w:p w14:paraId="4A6D3688" w14:textId="77777777" w:rsidR="0070636D" w:rsidRPr="007C4A1D" w:rsidRDefault="0070636D" w:rsidP="00BA7703">
            <w:pPr>
              <w:spacing w:after="0" w:line="240" w:lineRule="auto"/>
              <w:jc w:val="center"/>
              <w:rPr>
                <w:color w:val="000000"/>
                <w:sz w:val="20"/>
                <w:szCs w:val="20"/>
                <w:lang w:eastAsia="en-GB"/>
              </w:rPr>
            </w:pPr>
          </w:p>
        </w:tc>
        <w:tc>
          <w:tcPr>
            <w:tcW w:w="616" w:type="dxa"/>
            <w:tcBorders>
              <w:top w:val="nil"/>
              <w:left w:val="nil"/>
              <w:right w:val="single" w:sz="8" w:space="0" w:color="auto"/>
            </w:tcBorders>
            <w:shd w:val="clear" w:color="auto" w:fill="auto"/>
            <w:noWrap/>
            <w:vAlign w:val="center"/>
          </w:tcPr>
          <w:p w14:paraId="5AD1DEA4" w14:textId="77777777" w:rsidR="0070636D" w:rsidRPr="007C4A1D" w:rsidRDefault="0070636D" w:rsidP="00BA7703">
            <w:pPr>
              <w:spacing w:after="0" w:line="240" w:lineRule="auto"/>
              <w:jc w:val="center"/>
              <w:rPr>
                <w:color w:val="000000"/>
                <w:sz w:val="20"/>
                <w:szCs w:val="20"/>
                <w:lang w:eastAsia="en-GB"/>
              </w:rPr>
            </w:pPr>
          </w:p>
        </w:tc>
        <w:tc>
          <w:tcPr>
            <w:tcW w:w="660" w:type="dxa"/>
            <w:tcBorders>
              <w:top w:val="nil"/>
              <w:left w:val="nil"/>
              <w:right w:val="nil"/>
            </w:tcBorders>
            <w:shd w:val="clear" w:color="auto" w:fill="auto"/>
            <w:noWrap/>
            <w:vAlign w:val="center"/>
          </w:tcPr>
          <w:p w14:paraId="40570E3F" w14:textId="77777777" w:rsidR="0070636D" w:rsidRPr="007C4A1D" w:rsidRDefault="0070636D" w:rsidP="00BA7703">
            <w:pPr>
              <w:spacing w:after="0" w:line="240" w:lineRule="auto"/>
              <w:jc w:val="center"/>
              <w:rPr>
                <w:bCs/>
                <w:color w:val="000000"/>
                <w:sz w:val="20"/>
                <w:szCs w:val="20"/>
                <w:lang w:eastAsia="en-GB"/>
              </w:rPr>
            </w:pPr>
          </w:p>
        </w:tc>
        <w:tc>
          <w:tcPr>
            <w:tcW w:w="660" w:type="dxa"/>
            <w:tcBorders>
              <w:top w:val="nil"/>
              <w:left w:val="nil"/>
              <w:right w:val="nil"/>
            </w:tcBorders>
            <w:shd w:val="clear" w:color="auto" w:fill="auto"/>
            <w:noWrap/>
            <w:vAlign w:val="center"/>
          </w:tcPr>
          <w:p w14:paraId="66CA6A77" w14:textId="77777777" w:rsidR="0070636D" w:rsidRPr="007C4A1D" w:rsidRDefault="0070636D" w:rsidP="00BA7703">
            <w:pPr>
              <w:spacing w:after="0" w:line="240" w:lineRule="auto"/>
              <w:jc w:val="center"/>
              <w:rPr>
                <w:color w:val="000000"/>
                <w:sz w:val="20"/>
                <w:szCs w:val="20"/>
                <w:lang w:eastAsia="en-GB"/>
              </w:rPr>
            </w:pPr>
          </w:p>
        </w:tc>
        <w:tc>
          <w:tcPr>
            <w:tcW w:w="616" w:type="dxa"/>
            <w:tcBorders>
              <w:top w:val="nil"/>
              <w:left w:val="nil"/>
              <w:right w:val="nil"/>
            </w:tcBorders>
            <w:shd w:val="clear" w:color="auto" w:fill="auto"/>
            <w:noWrap/>
            <w:vAlign w:val="center"/>
          </w:tcPr>
          <w:p w14:paraId="7E63406D" w14:textId="77777777" w:rsidR="0070636D" w:rsidRPr="007C4A1D" w:rsidRDefault="0070636D" w:rsidP="00BA7703">
            <w:pPr>
              <w:spacing w:after="0" w:line="240" w:lineRule="auto"/>
              <w:jc w:val="center"/>
              <w:rPr>
                <w:color w:val="000000"/>
                <w:sz w:val="20"/>
                <w:szCs w:val="20"/>
                <w:lang w:eastAsia="en-GB"/>
              </w:rPr>
            </w:pPr>
          </w:p>
        </w:tc>
      </w:tr>
      <w:tr w:rsidR="0070636D" w:rsidRPr="007C4A1D" w14:paraId="5811AD46" w14:textId="77777777" w:rsidTr="00BA7703">
        <w:trPr>
          <w:trHeight w:val="113"/>
        </w:trPr>
        <w:tc>
          <w:tcPr>
            <w:tcW w:w="4763" w:type="dxa"/>
            <w:tcBorders>
              <w:top w:val="nil"/>
              <w:left w:val="nil"/>
              <w:bottom w:val="single" w:sz="4" w:space="0" w:color="auto"/>
              <w:right w:val="nil"/>
            </w:tcBorders>
            <w:shd w:val="clear" w:color="auto" w:fill="auto"/>
            <w:noWrap/>
            <w:vAlign w:val="center"/>
            <w:hideMark/>
          </w:tcPr>
          <w:p w14:paraId="11C129AC" w14:textId="77777777" w:rsidR="0070636D" w:rsidRPr="007C4A1D" w:rsidRDefault="0070636D" w:rsidP="00BA7703">
            <w:pPr>
              <w:spacing w:after="0" w:line="240" w:lineRule="auto"/>
              <w:rPr>
                <w:color w:val="000000"/>
                <w:sz w:val="20"/>
                <w:szCs w:val="20"/>
                <w:lang w:eastAsia="en-GB"/>
              </w:rPr>
            </w:pPr>
            <w:r w:rsidRPr="007C4A1D">
              <w:rPr>
                <w:color w:val="000000"/>
                <w:sz w:val="20"/>
                <w:szCs w:val="20"/>
                <w:lang w:eastAsia="en-GB"/>
              </w:rPr>
              <w:t xml:space="preserve"> - korekcia odvodu do EÚ rozpočtu</w:t>
            </w:r>
          </w:p>
        </w:tc>
        <w:tc>
          <w:tcPr>
            <w:tcW w:w="511" w:type="dxa"/>
            <w:tcBorders>
              <w:top w:val="nil"/>
              <w:left w:val="nil"/>
              <w:bottom w:val="single" w:sz="4" w:space="0" w:color="auto"/>
              <w:right w:val="nil"/>
            </w:tcBorders>
            <w:shd w:val="clear" w:color="auto" w:fill="auto"/>
            <w:noWrap/>
            <w:vAlign w:val="bottom"/>
            <w:hideMark/>
          </w:tcPr>
          <w:p w14:paraId="3A685A64" w14:textId="77777777" w:rsidR="0070636D" w:rsidRPr="007C4A1D" w:rsidRDefault="0070636D" w:rsidP="00BA7703">
            <w:pPr>
              <w:spacing w:after="0" w:line="240" w:lineRule="auto"/>
              <w:rPr>
                <w:color w:val="000000"/>
                <w:sz w:val="20"/>
                <w:szCs w:val="20"/>
                <w:lang w:eastAsia="en-GB"/>
              </w:rPr>
            </w:pPr>
            <w:r w:rsidRPr="007C4A1D">
              <w:rPr>
                <w:color w:val="000000"/>
                <w:sz w:val="20"/>
                <w:szCs w:val="20"/>
                <w:lang w:eastAsia="en-GB"/>
              </w:rPr>
              <w:t>V*</w:t>
            </w:r>
          </w:p>
        </w:tc>
        <w:tc>
          <w:tcPr>
            <w:tcW w:w="616" w:type="dxa"/>
            <w:tcBorders>
              <w:top w:val="nil"/>
              <w:left w:val="nil"/>
              <w:bottom w:val="single" w:sz="4" w:space="0" w:color="auto"/>
              <w:right w:val="nil"/>
            </w:tcBorders>
            <w:shd w:val="clear" w:color="auto" w:fill="auto"/>
            <w:noWrap/>
            <w:vAlign w:val="center"/>
            <w:hideMark/>
          </w:tcPr>
          <w:p w14:paraId="50607CED"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-35</w:t>
            </w:r>
          </w:p>
        </w:tc>
        <w:tc>
          <w:tcPr>
            <w:tcW w:w="616" w:type="dxa"/>
            <w:tcBorders>
              <w:top w:val="nil"/>
              <w:left w:val="nil"/>
              <w:bottom w:val="single" w:sz="4" w:space="0" w:color="auto"/>
              <w:right w:val="nil"/>
            </w:tcBorders>
            <w:shd w:val="clear" w:color="auto" w:fill="auto"/>
            <w:noWrap/>
            <w:vAlign w:val="center"/>
            <w:hideMark/>
          </w:tcPr>
          <w:p w14:paraId="20A57EB2"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w:t>
            </w:r>
          </w:p>
        </w:tc>
        <w:tc>
          <w:tcPr>
            <w:tcW w:w="616" w:type="dxa"/>
            <w:tcBorders>
              <w:top w:val="nil"/>
              <w:left w:val="nil"/>
              <w:bottom w:val="single" w:sz="4" w:space="0" w:color="auto"/>
              <w:right w:val="single" w:sz="8" w:space="0" w:color="auto"/>
            </w:tcBorders>
            <w:shd w:val="clear" w:color="auto" w:fill="auto"/>
            <w:noWrap/>
            <w:vAlign w:val="center"/>
            <w:hideMark/>
          </w:tcPr>
          <w:p w14:paraId="07FA2A0A"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w:t>
            </w:r>
          </w:p>
        </w:tc>
        <w:tc>
          <w:tcPr>
            <w:tcW w:w="660" w:type="dxa"/>
            <w:tcBorders>
              <w:top w:val="nil"/>
              <w:left w:val="nil"/>
              <w:bottom w:val="single" w:sz="4" w:space="0" w:color="auto"/>
              <w:right w:val="nil"/>
            </w:tcBorders>
            <w:shd w:val="clear" w:color="auto" w:fill="auto"/>
            <w:noWrap/>
            <w:vAlign w:val="center"/>
            <w:hideMark/>
          </w:tcPr>
          <w:p w14:paraId="232B7E07" w14:textId="77777777" w:rsidR="0070636D" w:rsidRPr="007C4A1D" w:rsidRDefault="0070636D" w:rsidP="00BA7703">
            <w:pPr>
              <w:spacing w:after="0" w:line="240" w:lineRule="auto"/>
              <w:jc w:val="center"/>
              <w:rPr>
                <w:bCs/>
                <w:color w:val="000000"/>
                <w:sz w:val="20"/>
                <w:szCs w:val="20"/>
                <w:lang w:eastAsia="en-GB"/>
              </w:rPr>
            </w:pPr>
            <w:r w:rsidRPr="007C4A1D">
              <w:rPr>
                <w:color w:val="000000"/>
                <w:sz w:val="20"/>
                <w:szCs w:val="20"/>
                <w:lang w:eastAsia="en-GB"/>
              </w:rPr>
              <w:t>-0,04</w:t>
            </w:r>
          </w:p>
        </w:tc>
        <w:tc>
          <w:tcPr>
            <w:tcW w:w="660" w:type="dxa"/>
            <w:tcBorders>
              <w:top w:val="nil"/>
              <w:left w:val="nil"/>
              <w:bottom w:val="single" w:sz="4" w:space="0" w:color="auto"/>
              <w:right w:val="nil"/>
            </w:tcBorders>
            <w:shd w:val="clear" w:color="auto" w:fill="auto"/>
            <w:noWrap/>
            <w:vAlign w:val="center"/>
            <w:hideMark/>
          </w:tcPr>
          <w:p w14:paraId="568E9574"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0,00</w:t>
            </w:r>
          </w:p>
        </w:tc>
        <w:tc>
          <w:tcPr>
            <w:tcW w:w="616" w:type="dxa"/>
            <w:tcBorders>
              <w:top w:val="nil"/>
              <w:left w:val="nil"/>
              <w:bottom w:val="single" w:sz="4" w:space="0" w:color="auto"/>
              <w:right w:val="nil"/>
            </w:tcBorders>
            <w:shd w:val="clear" w:color="auto" w:fill="auto"/>
            <w:noWrap/>
            <w:vAlign w:val="center"/>
            <w:hideMark/>
          </w:tcPr>
          <w:p w14:paraId="370864D9" w14:textId="77777777" w:rsidR="0070636D" w:rsidRPr="007C4A1D" w:rsidRDefault="0070636D" w:rsidP="00BA7703">
            <w:pPr>
              <w:spacing w:after="0" w:line="240" w:lineRule="auto"/>
              <w:jc w:val="center"/>
              <w:rPr>
                <w:color w:val="000000"/>
                <w:sz w:val="20"/>
                <w:szCs w:val="20"/>
                <w:lang w:eastAsia="en-GB"/>
              </w:rPr>
            </w:pPr>
            <w:r w:rsidRPr="007C4A1D">
              <w:rPr>
                <w:color w:val="000000"/>
                <w:sz w:val="20"/>
                <w:szCs w:val="20"/>
                <w:lang w:eastAsia="en-GB"/>
              </w:rPr>
              <w:t>0,00</w:t>
            </w:r>
          </w:p>
        </w:tc>
      </w:tr>
      <w:tr w:rsidR="0070636D" w:rsidRPr="007C4A1D" w14:paraId="48698A5C" w14:textId="77777777" w:rsidTr="00BA7703">
        <w:trPr>
          <w:trHeight w:val="113"/>
        </w:trPr>
        <w:tc>
          <w:tcPr>
            <w:tcW w:w="7782" w:type="dxa"/>
            <w:gridSpan w:val="6"/>
            <w:tcBorders>
              <w:top w:val="single" w:sz="4" w:space="0" w:color="auto"/>
              <w:left w:val="nil"/>
              <w:bottom w:val="nil"/>
              <w:right w:val="nil"/>
            </w:tcBorders>
            <w:shd w:val="clear" w:color="auto" w:fill="auto"/>
            <w:noWrap/>
            <w:vAlign w:val="center"/>
            <w:hideMark/>
          </w:tcPr>
          <w:p w14:paraId="39314B78" w14:textId="13BA0D21" w:rsidR="0070636D" w:rsidRPr="007C4A1D" w:rsidRDefault="0070636D" w:rsidP="00BA7703">
            <w:pPr>
              <w:spacing w:after="0" w:line="240" w:lineRule="auto"/>
              <w:rPr>
                <w:sz w:val="18"/>
                <w:szCs w:val="18"/>
                <w:lang w:eastAsia="en-GB"/>
              </w:rPr>
            </w:pPr>
            <w:r w:rsidRPr="007C4A1D">
              <w:rPr>
                <w:color w:val="000000"/>
                <w:sz w:val="18"/>
                <w:szCs w:val="18"/>
                <w:lang w:eastAsia="en-GB"/>
              </w:rPr>
              <w:t xml:space="preserve">  P - príjmová položka, V - výdavková položka; ** (+) reštrikcia (-) expanzia</w:t>
            </w:r>
          </w:p>
        </w:tc>
        <w:tc>
          <w:tcPr>
            <w:tcW w:w="1276" w:type="dxa"/>
            <w:gridSpan w:val="2"/>
            <w:tcBorders>
              <w:top w:val="single" w:sz="4" w:space="0" w:color="auto"/>
              <w:left w:val="nil"/>
              <w:bottom w:val="nil"/>
              <w:right w:val="nil"/>
            </w:tcBorders>
            <w:shd w:val="clear" w:color="auto" w:fill="auto"/>
            <w:noWrap/>
            <w:vAlign w:val="center"/>
            <w:hideMark/>
          </w:tcPr>
          <w:p w14:paraId="332909CB" w14:textId="77777777" w:rsidR="0070636D" w:rsidRPr="007C4A1D" w:rsidRDefault="0070636D" w:rsidP="00BA7703">
            <w:pPr>
              <w:spacing w:after="0" w:line="240" w:lineRule="auto"/>
              <w:jc w:val="right"/>
              <w:rPr>
                <w:color w:val="000000"/>
                <w:sz w:val="18"/>
                <w:szCs w:val="18"/>
                <w:lang w:eastAsia="en-GB"/>
              </w:rPr>
            </w:pPr>
            <w:r w:rsidRPr="007C4A1D">
              <w:rPr>
                <w:color w:val="000000"/>
                <w:sz w:val="18"/>
                <w:szCs w:val="18"/>
                <w:lang w:eastAsia="en-GB"/>
              </w:rPr>
              <w:t>Zdroj: MF SR</w:t>
            </w:r>
          </w:p>
        </w:tc>
      </w:tr>
    </w:tbl>
    <w:p w14:paraId="681CA13B" w14:textId="63965792" w:rsidR="00462C2F" w:rsidRDefault="00462C2F">
      <w:pPr>
        <w:rPr>
          <w:b/>
          <w:bCs/>
          <w:sz w:val="24"/>
          <w:szCs w:val="24"/>
        </w:rPr>
      </w:pPr>
      <w:bookmarkStart w:id="42" w:name="_Toc399324369"/>
    </w:p>
    <w:p w14:paraId="0134562E" w14:textId="7F032E8F" w:rsidR="00215BC5" w:rsidRPr="0070636D" w:rsidRDefault="00215BC5" w:rsidP="007924C7">
      <w:pPr>
        <w:pStyle w:val="Nadpis2"/>
        <w:numPr>
          <w:ilvl w:val="1"/>
          <w:numId w:val="4"/>
        </w:numPr>
        <w:spacing w:before="120" w:after="0"/>
      </w:pPr>
      <w:bookmarkStart w:id="43" w:name="_Toc23264801"/>
      <w:r w:rsidRPr="0070636D">
        <w:t>Vyhodnotenie plnenia cieľov stratégie riadenia štátneho dlhu</w:t>
      </w:r>
      <w:bookmarkEnd w:id="43"/>
    </w:p>
    <w:p w14:paraId="4661D3FF" w14:textId="709BF3B7" w:rsidR="0070636D" w:rsidRDefault="0070636D" w:rsidP="0070636D">
      <w:pPr>
        <w:spacing w:before="120" w:after="0" w:line="336" w:lineRule="auto"/>
        <w:jc w:val="both"/>
        <w:rPr>
          <w:szCs w:val="22"/>
        </w:rPr>
      </w:pPr>
      <w:r w:rsidRPr="00083A15">
        <w:rPr>
          <w:szCs w:val="22"/>
        </w:rPr>
        <w:t>Finančné trhy pokračovali v klesajúcom trende celý druhý polrok 2018. Na akciovom trhu prebiehali</w:t>
      </w:r>
      <w:r w:rsidRPr="003F3A3C">
        <w:rPr>
          <w:szCs w:val="22"/>
        </w:rPr>
        <w:t xml:space="preserve"> výpredaje globáln</w:t>
      </w:r>
      <w:r>
        <w:rPr>
          <w:szCs w:val="22"/>
        </w:rPr>
        <w:t>e vo všetkých regiónoch. Obavy sa sústreďovali</w:t>
      </w:r>
      <w:r w:rsidRPr="003F3A3C">
        <w:rPr>
          <w:szCs w:val="22"/>
        </w:rPr>
        <w:t xml:space="preserve"> najmä na nepriaznivý vývoj v</w:t>
      </w:r>
      <w:r>
        <w:rPr>
          <w:szCs w:val="22"/>
        </w:rPr>
        <w:t> </w:t>
      </w:r>
      <w:r w:rsidRPr="003F3A3C">
        <w:rPr>
          <w:szCs w:val="22"/>
        </w:rPr>
        <w:t>Číne, kde k stratám mohli prispieť aj obchodné spory s USA. Dlhodobé úrokové sadzby reagov</w:t>
      </w:r>
      <w:r>
        <w:rPr>
          <w:szCs w:val="22"/>
        </w:rPr>
        <w:t>ali takisto všeobecným poklesom</w:t>
      </w:r>
      <w:r w:rsidRPr="003F3A3C">
        <w:rPr>
          <w:szCs w:val="22"/>
        </w:rPr>
        <w:t>. Po štyroch zvýšeniach krátkej referenčnej sadzby americke</w:t>
      </w:r>
      <w:r>
        <w:rPr>
          <w:szCs w:val="22"/>
        </w:rPr>
        <w:t>j centrálnej banky v roku 2018 bola</w:t>
      </w:r>
      <w:r w:rsidRPr="003F3A3C">
        <w:rPr>
          <w:szCs w:val="22"/>
        </w:rPr>
        <w:t xml:space="preserve"> americká výnosová krivka na krátkom horizonte prevrátená. ECB v decembri 2018 ukončila svoj prog</w:t>
      </w:r>
      <w:r>
        <w:rPr>
          <w:szCs w:val="22"/>
        </w:rPr>
        <w:t xml:space="preserve">ram kvantitatívneho uvoľňovania. </w:t>
      </w:r>
      <w:r w:rsidRPr="003F3A3C">
        <w:rPr>
          <w:szCs w:val="22"/>
        </w:rPr>
        <w:t>Kurz eurodolára sa pohyboval v relatívne úzkom pásme okolo úrovne 1,14 EUR/USD.</w:t>
      </w:r>
      <w:r>
        <w:rPr>
          <w:szCs w:val="22"/>
        </w:rPr>
        <w:t xml:space="preserve"> </w:t>
      </w:r>
      <w:r w:rsidRPr="003F3A3C">
        <w:rPr>
          <w:szCs w:val="22"/>
        </w:rPr>
        <w:t>Spolu s finančným t</w:t>
      </w:r>
      <w:r w:rsidR="0054794D">
        <w:rPr>
          <w:szCs w:val="22"/>
        </w:rPr>
        <w:t>rhom prudko klesla aj cena ropy</w:t>
      </w:r>
      <w:r w:rsidRPr="003F3A3C">
        <w:rPr>
          <w:szCs w:val="22"/>
        </w:rPr>
        <w:t>. Dôvodom bolo nielen spomalenie niektorých regiónov globálnej ekonomiky, ale aj zvýšenie produkcie zo strany Saudskej Arábie o</w:t>
      </w:r>
      <w:r>
        <w:rPr>
          <w:szCs w:val="22"/>
        </w:rPr>
        <w:t> </w:t>
      </w:r>
      <w:r w:rsidRPr="003F3A3C">
        <w:rPr>
          <w:szCs w:val="22"/>
        </w:rPr>
        <w:t>1</w:t>
      </w:r>
      <w:r>
        <w:rPr>
          <w:szCs w:val="22"/>
        </w:rPr>
        <w:t> </w:t>
      </w:r>
      <w:r w:rsidRPr="003F3A3C">
        <w:rPr>
          <w:szCs w:val="22"/>
        </w:rPr>
        <w:t>mil</w:t>
      </w:r>
      <w:r>
        <w:rPr>
          <w:szCs w:val="22"/>
        </w:rPr>
        <w:t xml:space="preserve">. </w:t>
      </w:r>
      <w:r w:rsidRPr="003F3A3C">
        <w:rPr>
          <w:szCs w:val="22"/>
        </w:rPr>
        <w:t>barelov denne.</w:t>
      </w:r>
    </w:p>
    <w:p w14:paraId="320EBD06" w14:textId="77777777" w:rsidR="0070636D" w:rsidRPr="00B506E7" w:rsidRDefault="0070636D" w:rsidP="0070636D">
      <w:pPr>
        <w:spacing w:before="120" w:after="0" w:line="336" w:lineRule="auto"/>
        <w:jc w:val="both"/>
        <w:rPr>
          <w:sz w:val="18"/>
          <w:szCs w:val="18"/>
          <w:highlight w:val="yellow"/>
        </w:rPr>
      </w:pPr>
      <w:r w:rsidRPr="003F3A3C">
        <w:rPr>
          <w:szCs w:val="22"/>
        </w:rPr>
        <w:t>Financovanie slovenského štátneho dlhu v roku 2018 zabezpečovala Agentúra pre riadenie dlhu</w:t>
      </w:r>
      <w:r>
        <w:rPr>
          <w:szCs w:val="22"/>
        </w:rPr>
        <w:t xml:space="preserve"> </w:t>
      </w:r>
      <w:r w:rsidRPr="003F3A3C">
        <w:rPr>
          <w:szCs w:val="22"/>
        </w:rPr>
        <w:t>a</w:t>
      </w:r>
      <w:r>
        <w:rPr>
          <w:szCs w:val="22"/>
        </w:rPr>
        <w:t> </w:t>
      </w:r>
      <w:r w:rsidRPr="003F3A3C">
        <w:rPr>
          <w:szCs w:val="22"/>
        </w:rPr>
        <w:t xml:space="preserve">likvidity v mene MF SR v stabilných podmienkach bez nutnosti použitia menej tradičných foriem financovania. Úrokové sadzby sa aj v roku 2018 držali na rekordne nízkych úrovniach, čo umožnilo zlepšovať rizikové parametre portfólia štátneho dlhu pri súčasnom poklese úrokových nákladov aj napriek rastu nominálneho dlhu. Priemerná splatnosť portfólia stúpla na 8,5 roka a priemerná durácia na 7,5 roka. Vývoj rizikových parametrov je v súlade s celkovým trendom v eurozóne a približne </w:t>
      </w:r>
      <w:r w:rsidRPr="00B506E7">
        <w:rPr>
          <w:sz w:val="18"/>
          <w:szCs w:val="18"/>
        </w:rPr>
        <w:t>na úrovni krajín OECD.</w:t>
      </w:r>
    </w:p>
    <w:tbl>
      <w:tblPr>
        <w:tblpPr w:leftFromText="141" w:rightFromText="141" w:vertAnchor="text" w:horzAnchor="margin" w:tblpY="113"/>
        <w:tblW w:w="9142" w:type="dxa"/>
        <w:tblCellMar>
          <w:left w:w="70" w:type="dxa"/>
          <w:right w:w="70" w:type="dxa"/>
        </w:tblCellMar>
        <w:tblLook w:val="04A0" w:firstRow="1" w:lastRow="0" w:firstColumn="1" w:lastColumn="0" w:noHBand="0" w:noVBand="1"/>
      </w:tblPr>
      <w:tblGrid>
        <w:gridCol w:w="9142"/>
      </w:tblGrid>
      <w:tr w:rsidR="0070636D" w:rsidRPr="00B506E7" w14:paraId="356B5010" w14:textId="77777777" w:rsidTr="00B506E7">
        <w:trPr>
          <w:trHeight w:val="567"/>
        </w:trPr>
        <w:tc>
          <w:tcPr>
            <w:tcW w:w="9142" w:type="dxa"/>
            <w:tcBorders>
              <w:top w:val="nil"/>
              <w:left w:val="nil"/>
              <w:right w:val="nil"/>
            </w:tcBorders>
            <w:shd w:val="clear" w:color="000000" w:fill="000000"/>
            <w:noWrap/>
            <w:vAlign w:val="center"/>
            <w:hideMark/>
          </w:tcPr>
          <w:p w14:paraId="7A764B6B" w14:textId="77777777" w:rsidR="0070636D" w:rsidRPr="00B506E7" w:rsidRDefault="0070636D" w:rsidP="00BA7703">
            <w:pPr>
              <w:spacing w:after="0" w:line="240" w:lineRule="auto"/>
              <w:rPr>
                <w:b/>
                <w:sz w:val="18"/>
                <w:szCs w:val="18"/>
              </w:rPr>
            </w:pPr>
            <w:r w:rsidRPr="00B506E7">
              <w:rPr>
                <w:b/>
                <w:sz w:val="18"/>
                <w:szCs w:val="18"/>
              </w:rPr>
              <w:t xml:space="preserve">Výnosy vybraných slovenských vládnych dlhopisov a riziková prirážka voči nemeckým </w:t>
            </w:r>
          </w:p>
          <w:p w14:paraId="27384993" w14:textId="77777777" w:rsidR="0070636D" w:rsidRPr="00B506E7" w:rsidRDefault="0070636D" w:rsidP="00BA7703">
            <w:pPr>
              <w:spacing w:after="0" w:line="240" w:lineRule="auto"/>
              <w:rPr>
                <w:b/>
                <w:sz w:val="18"/>
                <w:szCs w:val="18"/>
              </w:rPr>
            </w:pPr>
            <w:r w:rsidRPr="00B506E7">
              <w:rPr>
                <w:b/>
                <w:sz w:val="18"/>
                <w:szCs w:val="18"/>
              </w:rPr>
              <w:t>10-ročným štátnym dlhopisom (v % a p.b.)</w:t>
            </w:r>
          </w:p>
        </w:tc>
      </w:tr>
      <w:tr w:rsidR="0070636D" w:rsidRPr="00962CAD" w14:paraId="2603EEDE" w14:textId="77777777" w:rsidTr="00BA7703">
        <w:trPr>
          <w:trHeight w:val="490"/>
        </w:trPr>
        <w:tc>
          <w:tcPr>
            <w:tcW w:w="9142" w:type="dxa"/>
            <w:vMerge w:val="restart"/>
            <w:tcBorders>
              <w:top w:val="nil"/>
              <w:left w:val="nil"/>
              <w:bottom w:val="single" w:sz="4" w:space="0" w:color="auto"/>
              <w:right w:val="nil"/>
            </w:tcBorders>
            <w:shd w:val="clear" w:color="auto" w:fill="auto"/>
            <w:noWrap/>
            <w:vAlign w:val="bottom"/>
            <w:hideMark/>
          </w:tcPr>
          <w:p w14:paraId="70EB5079" w14:textId="77777777" w:rsidR="0070636D" w:rsidRPr="00962CAD" w:rsidRDefault="0070636D" w:rsidP="00BA7703">
            <w:pPr>
              <w:spacing w:after="0" w:line="240" w:lineRule="auto"/>
              <w:jc w:val="center"/>
              <w:rPr>
                <w:color w:val="FF0000"/>
                <w:sz w:val="20"/>
                <w:szCs w:val="20"/>
                <w:lang w:eastAsia="sk-SK"/>
              </w:rPr>
            </w:pPr>
            <w:r w:rsidRPr="00962CAD">
              <w:rPr>
                <w:noProof/>
                <w:sz w:val="20"/>
                <w:szCs w:val="20"/>
                <w:lang w:eastAsia="sk-SK"/>
              </w:rPr>
              <w:drawing>
                <wp:inline distT="0" distB="0" distL="0" distR="0" wp14:anchorId="4DD5D186" wp14:editId="1ED3F06D">
                  <wp:extent cx="4648835" cy="173355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7B29EC" w14:textId="77777777" w:rsidR="0070636D" w:rsidRPr="00962CAD" w:rsidRDefault="0070636D" w:rsidP="00BA7703">
            <w:pPr>
              <w:spacing w:after="0" w:line="240" w:lineRule="auto"/>
              <w:jc w:val="center"/>
              <w:rPr>
                <w:color w:val="FF0000"/>
                <w:sz w:val="20"/>
                <w:szCs w:val="20"/>
                <w:lang w:eastAsia="sk-SK"/>
              </w:rPr>
            </w:pPr>
          </w:p>
        </w:tc>
      </w:tr>
      <w:tr w:rsidR="0070636D" w:rsidRPr="00962CAD" w14:paraId="250C31FD" w14:textId="77777777" w:rsidTr="00BA7703">
        <w:trPr>
          <w:trHeight w:val="491"/>
        </w:trPr>
        <w:tc>
          <w:tcPr>
            <w:tcW w:w="9142" w:type="dxa"/>
            <w:vMerge/>
            <w:tcBorders>
              <w:top w:val="nil"/>
              <w:left w:val="nil"/>
              <w:bottom w:val="single" w:sz="4" w:space="0" w:color="auto"/>
              <w:right w:val="nil"/>
            </w:tcBorders>
            <w:vAlign w:val="center"/>
            <w:hideMark/>
          </w:tcPr>
          <w:p w14:paraId="7FEF93F6" w14:textId="77777777" w:rsidR="0070636D" w:rsidRPr="00962CAD" w:rsidRDefault="0070636D" w:rsidP="00BA7703">
            <w:pPr>
              <w:spacing w:after="0" w:line="240" w:lineRule="auto"/>
              <w:rPr>
                <w:color w:val="000000"/>
                <w:sz w:val="20"/>
                <w:szCs w:val="20"/>
                <w:lang w:eastAsia="sk-SK"/>
              </w:rPr>
            </w:pPr>
          </w:p>
        </w:tc>
      </w:tr>
      <w:tr w:rsidR="0070636D" w:rsidRPr="00962CAD" w14:paraId="29D0787F" w14:textId="77777777" w:rsidTr="00BA7703">
        <w:trPr>
          <w:trHeight w:val="491"/>
        </w:trPr>
        <w:tc>
          <w:tcPr>
            <w:tcW w:w="9142" w:type="dxa"/>
            <w:vMerge/>
            <w:tcBorders>
              <w:top w:val="nil"/>
              <w:left w:val="nil"/>
              <w:bottom w:val="single" w:sz="4" w:space="0" w:color="auto"/>
              <w:right w:val="nil"/>
            </w:tcBorders>
            <w:vAlign w:val="center"/>
            <w:hideMark/>
          </w:tcPr>
          <w:p w14:paraId="5FE686DB" w14:textId="77777777" w:rsidR="0070636D" w:rsidRPr="00962CAD" w:rsidRDefault="0070636D" w:rsidP="00BA7703">
            <w:pPr>
              <w:spacing w:after="0" w:line="240" w:lineRule="auto"/>
              <w:rPr>
                <w:color w:val="000000"/>
                <w:sz w:val="20"/>
                <w:szCs w:val="20"/>
                <w:lang w:eastAsia="sk-SK"/>
              </w:rPr>
            </w:pPr>
          </w:p>
        </w:tc>
      </w:tr>
      <w:tr w:rsidR="0070636D" w:rsidRPr="00962CAD" w14:paraId="71AAB495" w14:textId="77777777" w:rsidTr="00BA7703">
        <w:trPr>
          <w:trHeight w:val="491"/>
        </w:trPr>
        <w:tc>
          <w:tcPr>
            <w:tcW w:w="9142" w:type="dxa"/>
            <w:vMerge/>
            <w:tcBorders>
              <w:top w:val="nil"/>
              <w:left w:val="nil"/>
              <w:bottom w:val="single" w:sz="4" w:space="0" w:color="auto"/>
              <w:right w:val="nil"/>
            </w:tcBorders>
            <w:vAlign w:val="center"/>
            <w:hideMark/>
          </w:tcPr>
          <w:p w14:paraId="3DAB5A0F" w14:textId="77777777" w:rsidR="0070636D" w:rsidRPr="00962CAD" w:rsidRDefault="0070636D" w:rsidP="00BA7703">
            <w:pPr>
              <w:spacing w:after="0" w:line="240" w:lineRule="auto"/>
              <w:rPr>
                <w:color w:val="000000"/>
                <w:sz w:val="20"/>
                <w:szCs w:val="20"/>
                <w:lang w:eastAsia="sk-SK"/>
              </w:rPr>
            </w:pPr>
          </w:p>
        </w:tc>
      </w:tr>
      <w:tr w:rsidR="0070636D" w:rsidRPr="00962CAD" w14:paraId="45E2772E" w14:textId="77777777" w:rsidTr="00BA7703">
        <w:trPr>
          <w:trHeight w:val="491"/>
        </w:trPr>
        <w:tc>
          <w:tcPr>
            <w:tcW w:w="9142" w:type="dxa"/>
            <w:vMerge/>
            <w:tcBorders>
              <w:top w:val="nil"/>
              <w:left w:val="nil"/>
              <w:bottom w:val="single" w:sz="4" w:space="0" w:color="auto"/>
              <w:right w:val="nil"/>
            </w:tcBorders>
            <w:vAlign w:val="center"/>
            <w:hideMark/>
          </w:tcPr>
          <w:p w14:paraId="3CDEAEBE" w14:textId="77777777" w:rsidR="0070636D" w:rsidRPr="00962CAD" w:rsidRDefault="0070636D" w:rsidP="00BA7703">
            <w:pPr>
              <w:spacing w:after="0" w:line="240" w:lineRule="auto"/>
              <w:rPr>
                <w:color w:val="000000"/>
                <w:sz w:val="20"/>
                <w:szCs w:val="20"/>
                <w:lang w:eastAsia="sk-SK"/>
              </w:rPr>
            </w:pPr>
          </w:p>
        </w:tc>
      </w:tr>
      <w:tr w:rsidR="0070636D" w:rsidRPr="00962CAD" w14:paraId="38B68D33" w14:textId="77777777" w:rsidTr="00BA7703">
        <w:trPr>
          <w:trHeight w:val="491"/>
        </w:trPr>
        <w:tc>
          <w:tcPr>
            <w:tcW w:w="9142" w:type="dxa"/>
            <w:vMerge/>
            <w:tcBorders>
              <w:top w:val="nil"/>
              <w:left w:val="nil"/>
              <w:bottom w:val="single" w:sz="4" w:space="0" w:color="auto"/>
              <w:right w:val="nil"/>
            </w:tcBorders>
            <w:vAlign w:val="center"/>
            <w:hideMark/>
          </w:tcPr>
          <w:p w14:paraId="1C02F67B" w14:textId="77777777" w:rsidR="0070636D" w:rsidRPr="00962CAD" w:rsidRDefault="0070636D" w:rsidP="00BA7703">
            <w:pPr>
              <w:spacing w:after="0" w:line="240" w:lineRule="auto"/>
              <w:rPr>
                <w:color w:val="000000"/>
                <w:sz w:val="20"/>
                <w:szCs w:val="20"/>
                <w:lang w:eastAsia="sk-SK"/>
              </w:rPr>
            </w:pPr>
          </w:p>
        </w:tc>
      </w:tr>
      <w:tr w:rsidR="0070636D" w:rsidRPr="00962CAD" w14:paraId="79306B0A" w14:textId="77777777" w:rsidTr="00BA7703">
        <w:trPr>
          <w:trHeight w:val="491"/>
        </w:trPr>
        <w:tc>
          <w:tcPr>
            <w:tcW w:w="9142" w:type="dxa"/>
            <w:vMerge/>
            <w:tcBorders>
              <w:top w:val="nil"/>
              <w:left w:val="nil"/>
              <w:bottom w:val="single" w:sz="4" w:space="0" w:color="auto"/>
              <w:right w:val="nil"/>
            </w:tcBorders>
            <w:vAlign w:val="center"/>
            <w:hideMark/>
          </w:tcPr>
          <w:p w14:paraId="4E53A010" w14:textId="77777777" w:rsidR="0070636D" w:rsidRPr="00962CAD" w:rsidRDefault="0070636D" w:rsidP="00BA7703">
            <w:pPr>
              <w:spacing w:after="0" w:line="240" w:lineRule="auto"/>
              <w:rPr>
                <w:color w:val="000000"/>
                <w:sz w:val="20"/>
                <w:szCs w:val="20"/>
                <w:lang w:eastAsia="sk-SK"/>
              </w:rPr>
            </w:pPr>
          </w:p>
        </w:tc>
      </w:tr>
    </w:tbl>
    <w:p w14:paraId="518747AE" w14:textId="77777777" w:rsidR="0070636D" w:rsidRDefault="0070636D" w:rsidP="0070636D">
      <w:pPr>
        <w:autoSpaceDE w:val="0"/>
        <w:autoSpaceDN w:val="0"/>
        <w:adjustRightInd w:val="0"/>
        <w:spacing w:after="0" w:line="240" w:lineRule="auto"/>
        <w:ind w:left="5664"/>
        <w:jc w:val="right"/>
        <w:rPr>
          <w:sz w:val="18"/>
          <w:szCs w:val="18"/>
        </w:rPr>
      </w:pPr>
      <w:r w:rsidRPr="00962CAD">
        <w:rPr>
          <w:sz w:val="18"/>
          <w:szCs w:val="18"/>
        </w:rPr>
        <w:t>Zdroj: Bloomberg, MF SR</w:t>
      </w:r>
    </w:p>
    <w:p w14:paraId="77FD718F" w14:textId="7B870443" w:rsidR="00DB1131" w:rsidRPr="00700A8C" w:rsidRDefault="00DB1131">
      <w:pPr>
        <w:rPr>
          <w:szCs w:val="22"/>
          <w:highlight w:val="yellow"/>
        </w:rPr>
      </w:pPr>
      <w:r w:rsidRPr="00700A8C">
        <w:rPr>
          <w:szCs w:val="22"/>
          <w:highlight w:val="yellow"/>
        </w:rPr>
        <w:br w:type="page"/>
      </w:r>
    </w:p>
    <w:p w14:paraId="2745F61F" w14:textId="2AB430BA" w:rsidR="00AD6AC1" w:rsidRPr="0070636D" w:rsidRDefault="00AD6AC1" w:rsidP="00D13DF7">
      <w:pPr>
        <w:pStyle w:val="Nadpis3"/>
        <w:numPr>
          <w:ilvl w:val="2"/>
          <w:numId w:val="39"/>
        </w:numPr>
        <w:spacing w:before="120"/>
      </w:pPr>
      <w:bookmarkStart w:id="44" w:name="_Toc23264802"/>
      <w:r w:rsidRPr="0070636D">
        <w:t>Vyhodnotenie plnenia cieľov stratégie riadenia štátneho dlhu</w:t>
      </w:r>
      <w:bookmarkEnd w:id="44"/>
    </w:p>
    <w:p w14:paraId="3B35095E" w14:textId="77777777" w:rsidR="0070636D" w:rsidRPr="009F2365" w:rsidRDefault="0070636D" w:rsidP="0070636D">
      <w:pPr>
        <w:spacing w:after="120" w:line="336" w:lineRule="auto"/>
        <w:jc w:val="both"/>
        <w:rPr>
          <w:szCs w:val="22"/>
        </w:rPr>
      </w:pPr>
      <w:r w:rsidRPr="009F2365">
        <w:rPr>
          <w:szCs w:val="22"/>
        </w:rPr>
        <w:t>V rámci stratégie</w:t>
      </w:r>
      <w:r>
        <w:rPr>
          <w:rStyle w:val="Odkaznapoznmkupodiarou"/>
          <w:szCs w:val="22"/>
        </w:rPr>
        <w:footnoteReference w:id="19"/>
      </w:r>
      <w:r>
        <w:t xml:space="preserve"> </w:t>
      </w:r>
      <w:r w:rsidRPr="009F2365">
        <w:rPr>
          <w:szCs w:val="22"/>
        </w:rPr>
        <w:t xml:space="preserve">riadenia štátneho dlhu </w:t>
      </w:r>
      <w:r>
        <w:rPr>
          <w:szCs w:val="22"/>
        </w:rPr>
        <w:t>boli</w:t>
      </w:r>
      <w:r w:rsidRPr="009F2365">
        <w:rPr>
          <w:szCs w:val="22"/>
        </w:rPr>
        <w:t xml:space="preserve"> stanovené kvantitatívne limity pre refinančné a</w:t>
      </w:r>
      <w:r>
        <w:rPr>
          <w:szCs w:val="22"/>
        </w:rPr>
        <w:t> </w:t>
      </w:r>
      <w:r w:rsidRPr="009F2365">
        <w:rPr>
          <w:szCs w:val="22"/>
        </w:rPr>
        <w:t xml:space="preserve">úrokové riziko. Cieľom riadenia dlhu je dosiahnutie tesného priblíženia </w:t>
      </w:r>
      <w:r>
        <w:rPr>
          <w:szCs w:val="22"/>
        </w:rPr>
        <w:t>sa k stanoveným hodnotám, resp. </w:t>
      </w:r>
      <w:r w:rsidRPr="009F2365">
        <w:rPr>
          <w:szCs w:val="22"/>
        </w:rPr>
        <w:t>udržanie parametrov dlhu čo najbližšie k stanoveným hodnotám.</w:t>
      </w:r>
    </w:p>
    <w:p w14:paraId="7CB52207" w14:textId="77777777" w:rsidR="0070636D" w:rsidRPr="003418D2" w:rsidRDefault="0070636D" w:rsidP="0070636D">
      <w:pPr>
        <w:pStyle w:val="Odsekzoznamu"/>
        <w:numPr>
          <w:ilvl w:val="0"/>
          <w:numId w:val="2"/>
        </w:numPr>
        <w:spacing w:after="120" w:line="336" w:lineRule="auto"/>
        <w:ind w:left="360"/>
        <w:jc w:val="both"/>
        <w:rPr>
          <w:rFonts w:cs="Times New Roman"/>
        </w:rPr>
      </w:pPr>
      <w:r w:rsidRPr="003418D2">
        <w:rPr>
          <w:rFonts w:cs="Times New Roman"/>
        </w:rPr>
        <w:t xml:space="preserve">Hodnota </w:t>
      </w:r>
      <w:r w:rsidRPr="00997879">
        <w:rPr>
          <w:rFonts w:cs="Times New Roman"/>
          <w:b/>
        </w:rPr>
        <w:t>refinančného rizika</w:t>
      </w:r>
      <w:r w:rsidRPr="003418D2">
        <w:rPr>
          <w:rFonts w:cs="Times New Roman"/>
        </w:rPr>
        <w:t xml:space="preserve"> kumulatívnej splatnosti </w:t>
      </w:r>
      <w:r>
        <w:rPr>
          <w:rFonts w:cs="Times New Roman"/>
        </w:rPr>
        <w:t xml:space="preserve">aktív a pasív </w:t>
      </w:r>
      <w:r w:rsidRPr="003418D2">
        <w:rPr>
          <w:rFonts w:cs="Times New Roman"/>
        </w:rPr>
        <w:t xml:space="preserve">do jedného roka bola stanovená na úrovni 20 % </w:t>
      </w:r>
      <w:r>
        <w:rPr>
          <w:rFonts w:cs="Times New Roman"/>
        </w:rPr>
        <w:t xml:space="preserve">kumulatívnej splatnosti aktív a pasív </w:t>
      </w:r>
      <w:r w:rsidRPr="003418D2">
        <w:rPr>
          <w:rFonts w:cs="Times New Roman"/>
        </w:rPr>
        <w:t xml:space="preserve">splatných </w:t>
      </w:r>
      <w:r w:rsidRPr="00BC07EB">
        <w:rPr>
          <w:rFonts w:cs="Times New Roman"/>
          <w:b/>
        </w:rPr>
        <w:t>do jedného roka</w:t>
      </w:r>
      <w:r w:rsidRPr="003418D2">
        <w:rPr>
          <w:rFonts w:cs="Times New Roman"/>
        </w:rPr>
        <w:t xml:space="preserve"> k</w:t>
      </w:r>
      <w:r>
        <w:rPr>
          <w:rFonts w:cs="Times New Roman"/>
        </w:rPr>
        <w:t>u</w:t>
      </w:r>
      <w:r w:rsidRPr="003418D2">
        <w:rPr>
          <w:rFonts w:cs="Times New Roman"/>
        </w:rPr>
        <w:t xml:space="preserve"> </w:t>
      </w:r>
      <w:r>
        <w:rPr>
          <w:rFonts w:cs="Times New Roman"/>
        </w:rPr>
        <w:t>celkovému kumulatívnemu saldu aktív a pasív</w:t>
      </w:r>
      <w:r w:rsidRPr="003418D2">
        <w:rPr>
          <w:rFonts w:cs="Times New Roman"/>
        </w:rPr>
        <w:t>. Hodnota tohto kritéria ku koncu roka 201</w:t>
      </w:r>
      <w:r>
        <w:rPr>
          <w:rFonts w:cs="Times New Roman"/>
        </w:rPr>
        <w:t>8</w:t>
      </w:r>
      <w:r w:rsidRPr="003418D2">
        <w:rPr>
          <w:rFonts w:cs="Times New Roman"/>
        </w:rPr>
        <w:t xml:space="preserve"> medziročne </w:t>
      </w:r>
      <w:r>
        <w:rPr>
          <w:rFonts w:cs="Times New Roman"/>
        </w:rPr>
        <w:t>poklesla o asi 1 percento z hodnoty</w:t>
      </w:r>
      <w:r w:rsidRPr="003418D2">
        <w:rPr>
          <w:rFonts w:cs="Times New Roman"/>
        </w:rPr>
        <w:t xml:space="preserve"> </w:t>
      </w:r>
      <w:r>
        <w:rPr>
          <w:rFonts w:cs="Times New Roman"/>
        </w:rPr>
        <w:t>15,8</w:t>
      </w:r>
      <w:r w:rsidRPr="003418D2">
        <w:rPr>
          <w:rFonts w:cs="Times New Roman"/>
        </w:rPr>
        <w:t xml:space="preserve"> % vykázanej ku koncu roka 201</w:t>
      </w:r>
      <w:r>
        <w:rPr>
          <w:rFonts w:cs="Times New Roman"/>
        </w:rPr>
        <w:t>7</w:t>
      </w:r>
      <w:r w:rsidRPr="003418D2">
        <w:rPr>
          <w:rFonts w:cs="Times New Roman"/>
        </w:rPr>
        <w:t xml:space="preserve"> na úroveň </w:t>
      </w:r>
      <w:r>
        <w:rPr>
          <w:rFonts w:cs="Times New Roman"/>
        </w:rPr>
        <w:t>14,8</w:t>
      </w:r>
      <w:r w:rsidRPr="003418D2">
        <w:rPr>
          <w:rFonts w:cs="Times New Roman"/>
        </w:rPr>
        <w:t xml:space="preserve"> %. Hodnota refinančného rizika kumulatívnej splatnosti </w:t>
      </w:r>
      <w:r>
        <w:rPr>
          <w:rFonts w:cs="Times New Roman"/>
        </w:rPr>
        <w:t xml:space="preserve">aktív a pasív </w:t>
      </w:r>
      <w:r w:rsidRPr="00997879">
        <w:rPr>
          <w:rFonts w:cs="Times New Roman"/>
          <w:b/>
        </w:rPr>
        <w:t>do piatich rokov</w:t>
      </w:r>
      <w:r w:rsidRPr="003418D2">
        <w:rPr>
          <w:rFonts w:cs="Times New Roman"/>
        </w:rPr>
        <w:t xml:space="preserve"> bola stanovená na úrovni 55 % </w:t>
      </w:r>
      <w:r>
        <w:rPr>
          <w:rFonts w:cs="Times New Roman"/>
        </w:rPr>
        <w:t xml:space="preserve">kumulatívnej splatnosti aktív a pasív </w:t>
      </w:r>
      <w:r w:rsidRPr="003418D2">
        <w:rPr>
          <w:rFonts w:cs="Times New Roman"/>
        </w:rPr>
        <w:t>splatných do piatich rokov k</w:t>
      </w:r>
      <w:r>
        <w:rPr>
          <w:rFonts w:cs="Times New Roman"/>
        </w:rPr>
        <w:t>u</w:t>
      </w:r>
      <w:r w:rsidRPr="003418D2">
        <w:rPr>
          <w:rFonts w:cs="Times New Roman"/>
        </w:rPr>
        <w:t xml:space="preserve"> </w:t>
      </w:r>
      <w:r>
        <w:rPr>
          <w:rFonts w:cs="Times New Roman"/>
        </w:rPr>
        <w:t>celkovému kumulatívnemu saldu aktív a pasív</w:t>
      </w:r>
      <w:r w:rsidRPr="003418D2">
        <w:rPr>
          <w:rFonts w:cs="Times New Roman"/>
        </w:rPr>
        <w:t xml:space="preserve">. Hodnota tohto kritéria </w:t>
      </w:r>
      <w:r>
        <w:rPr>
          <w:rFonts w:cs="Times New Roman"/>
        </w:rPr>
        <w:t>dosiahla úroveň 38</w:t>
      </w:r>
      <w:r w:rsidRPr="003418D2">
        <w:rPr>
          <w:rFonts w:cs="Times New Roman"/>
        </w:rPr>
        <w:t>,</w:t>
      </w:r>
      <w:r>
        <w:rPr>
          <w:rFonts w:cs="Times New Roman"/>
        </w:rPr>
        <w:t>9</w:t>
      </w:r>
      <w:r w:rsidRPr="003418D2">
        <w:rPr>
          <w:rFonts w:cs="Times New Roman"/>
        </w:rPr>
        <w:t xml:space="preserve"> % na konci roka 201</w:t>
      </w:r>
      <w:r>
        <w:rPr>
          <w:rFonts w:cs="Times New Roman"/>
        </w:rPr>
        <w:t>8</w:t>
      </w:r>
      <w:r w:rsidRPr="003418D2">
        <w:rPr>
          <w:rFonts w:cs="Times New Roman"/>
        </w:rPr>
        <w:t>. V</w:t>
      </w:r>
      <w:r>
        <w:rPr>
          <w:rFonts w:cs="Times New Roman"/>
        </w:rPr>
        <w:t> </w:t>
      </w:r>
      <w:r w:rsidRPr="003418D2">
        <w:rPr>
          <w:rFonts w:cs="Times New Roman"/>
        </w:rPr>
        <w:t>porovnaní s rovnakým obdobím minulého roka došlo k</w:t>
      </w:r>
      <w:r>
        <w:rPr>
          <w:rFonts w:cs="Times New Roman"/>
        </w:rPr>
        <w:t xml:space="preserve"> nárastu o viac ako 5 percent </w:t>
      </w:r>
      <w:r w:rsidRPr="003418D2">
        <w:rPr>
          <w:rFonts w:cs="Times New Roman"/>
        </w:rPr>
        <w:t xml:space="preserve">z hodnoty </w:t>
      </w:r>
      <w:r>
        <w:rPr>
          <w:rFonts w:cs="Times New Roman"/>
        </w:rPr>
        <w:t>33</w:t>
      </w:r>
      <w:r w:rsidRPr="003418D2">
        <w:rPr>
          <w:rFonts w:cs="Times New Roman"/>
        </w:rPr>
        <w:t>,</w:t>
      </w:r>
      <w:r>
        <w:rPr>
          <w:rFonts w:cs="Times New Roman"/>
        </w:rPr>
        <w:t>8</w:t>
      </w:r>
      <w:r w:rsidRPr="003418D2">
        <w:rPr>
          <w:rFonts w:cs="Times New Roman"/>
        </w:rPr>
        <w:t xml:space="preserve"> %. </w:t>
      </w:r>
      <w:r>
        <w:rPr>
          <w:rFonts w:cs="Times New Roman"/>
        </w:rPr>
        <w:t>Nárast bol spôsobeným najmä presunom medzi časovými rozpätiami a novými emisiami v roku 2018.</w:t>
      </w:r>
    </w:p>
    <w:p w14:paraId="4BE7604D" w14:textId="77777777" w:rsidR="0070636D" w:rsidRPr="00354CB5" w:rsidRDefault="0070636D" w:rsidP="0070636D">
      <w:pPr>
        <w:pStyle w:val="Odsekzoznamu"/>
        <w:numPr>
          <w:ilvl w:val="0"/>
          <w:numId w:val="2"/>
        </w:numPr>
        <w:spacing w:after="120" w:line="336" w:lineRule="auto"/>
        <w:ind w:left="360"/>
        <w:jc w:val="both"/>
        <w:rPr>
          <w:rFonts w:cs="Times New Roman"/>
        </w:rPr>
      </w:pPr>
      <w:r w:rsidRPr="00354CB5">
        <w:rPr>
          <w:rFonts w:cs="Times New Roman"/>
        </w:rPr>
        <w:t xml:space="preserve">Hodnota </w:t>
      </w:r>
      <w:r w:rsidRPr="00997879">
        <w:rPr>
          <w:rFonts w:cs="Times New Roman"/>
          <w:b/>
        </w:rPr>
        <w:t>úrokového rizika</w:t>
      </w:r>
      <w:r w:rsidRPr="00354CB5">
        <w:rPr>
          <w:rFonts w:cs="Times New Roman"/>
        </w:rPr>
        <w:t xml:space="preserve"> kumulatívnej refixácie </w:t>
      </w:r>
      <w:r>
        <w:rPr>
          <w:rFonts w:cs="Times New Roman"/>
        </w:rPr>
        <w:t xml:space="preserve">aktív a pasív </w:t>
      </w:r>
      <w:r w:rsidRPr="00997879">
        <w:rPr>
          <w:rFonts w:cs="Times New Roman"/>
          <w:b/>
        </w:rPr>
        <w:t>do jedného roka</w:t>
      </w:r>
      <w:r w:rsidRPr="00354CB5">
        <w:rPr>
          <w:rFonts w:cs="Times New Roman"/>
        </w:rPr>
        <w:t xml:space="preserve"> bola stanovená na úrovni 25 % </w:t>
      </w:r>
      <w:r>
        <w:rPr>
          <w:rFonts w:cs="Times New Roman"/>
        </w:rPr>
        <w:t xml:space="preserve">kumulatívnej splatnosti aktív a pasív </w:t>
      </w:r>
      <w:r w:rsidRPr="00354CB5">
        <w:rPr>
          <w:rFonts w:cs="Times New Roman"/>
        </w:rPr>
        <w:t xml:space="preserve">refixovaných do jedného roka </w:t>
      </w:r>
      <w:r w:rsidRPr="003418D2">
        <w:rPr>
          <w:rFonts w:cs="Times New Roman"/>
        </w:rPr>
        <w:t>k</w:t>
      </w:r>
      <w:r>
        <w:rPr>
          <w:rFonts w:cs="Times New Roman"/>
        </w:rPr>
        <w:t>u</w:t>
      </w:r>
      <w:r w:rsidRPr="003418D2">
        <w:rPr>
          <w:rFonts w:cs="Times New Roman"/>
        </w:rPr>
        <w:t xml:space="preserve"> </w:t>
      </w:r>
      <w:r>
        <w:rPr>
          <w:rFonts w:cs="Times New Roman"/>
        </w:rPr>
        <w:t>celkovému kumulatívnemu saldu aktív a pasív</w:t>
      </w:r>
      <w:r w:rsidRPr="00354CB5">
        <w:rPr>
          <w:rFonts w:cs="Times New Roman"/>
        </w:rPr>
        <w:t xml:space="preserve">. Hodnota tohto kritéria bola na úrovni </w:t>
      </w:r>
      <w:r>
        <w:rPr>
          <w:rFonts w:cs="Times New Roman"/>
        </w:rPr>
        <w:t>14,9</w:t>
      </w:r>
      <w:r w:rsidRPr="00354CB5">
        <w:rPr>
          <w:rFonts w:cs="Times New Roman"/>
        </w:rPr>
        <w:t> % ku koncu roka 201</w:t>
      </w:r>
      <w:r>
        <w:rPr>
          <w:rFonts w:cs="Times New Roman"/>
        </w:rPr>
        <w:t>8</w:t>
      </w:r>
      <w:r w:rsidRPr="00354CB5">
        <w:rPr>
          <w:rFonts w:cs="Times New Roman"/>
        </w:rPr>
        <w:t xml:space="preserve"> (</w:t>
      </w:r>
      <w:r>
        <w:rPr>
          <w:rFonts w:cs="Times New Roman"/>
        </w:rPr>
        <w:t>15,9</w:t>
      </w:r>
      <w:r w:rsidRPr="00354CB5">
        <w:rPr>
          <w:rFonts w:cs="Times New Roman"/>
        </w:rPr>
        <w:t xml:space="preserve"> % ku koncu roka 201</w:t>
      </w:r>
      <w:r>
        <w:rPr>
          <w:rFonts w:cs="Times New Roman"/>
        </w:rPr>
        <w:t>7</w:t>
      </w:r>
      <w:r w:rsidRPr="00354CB5">
        <w:rPr>
          <w:rFonts w:cs="Times New Roman"/>
        </w:rPr>
        <w:t xml:space="preserve">). Hodnota úrokového rizika kumulatívnej refixácie </w:t>
      </w:r>
      <w:r>
        <w:rPr>
          <w:rFonts w:cs="Times New Roman"/>
        </w:rPr>
        <w:t>aktív a pasív</w:t>
      </w:r>
      <w:r w:rsidRPr="00354CB5">
        <w:rPr>
          <w:rFonts w:cs="Times New Roman"/>
        </w:rPr>
        <w:t xml:space="preserve"> </w:t>
      </w:r>
      <w:r w:rsidRPr="00997879">
        <w:rPr>
          <w:rFonts w:cs="Times New Roman"/>
          <w:b/>
        </w:rPr>
        <w:t>do piatich rokov</w:t>
      </w:r>
      <w:r w:rsidRPr="00354CB5">
        <w:rPr>
          <w:rFonts w:cs="Times New Roman"/>
        </w:rPr>
        <w:t xml:space="preserve"> bola stanovená na úrovni 55 % </w:t>
      </w:r>
      <w:r>
        <w:rPr>
          <w:rFonts w:cs="Times New Roman"/>
        </w:rPr>
        <w:t>kumulatívnej splatnosti aktív a pasív</w:t>
      </w:r>
      <w:r w:rsidRPr="00354CB5">
        <w:rPr>
          <w:rFonts w:cs="Times New Roman"/>
        </w:rPr>
        <w:t xml:space="preserve"> refixovaných do piatich rokov </w:t>
      </w:r>
      <w:r w:rsidRPr="003418D2">
        <w:rPr>
          <w:rFonts w:cs="Times New Roman"/>
        </w:rPr>
        <w:t>k</w:t>
      </w:r>
      <w:r>
        <w:rPr>
          <w:rFonts w:cs="Times New Roman"/>
        </w:rPr>
        <w:t>u</w:t>
      </w:r>
      <w:r w:rsidRPr="003418D2">
        <w:rPr>
          <w:rFonts w:cs="Times New Roman"/>
        </w:rPr>
        <w:t xml:space="preserve"> </w:t>
      </w:r>
      <w:r>
        <w:rPr>
          <w:rFonts w:cs="Times New Roman"/>
        </w:rPr>
        <w:t>celkovému kumulatívnemu saldu aktív a pasív</w:t>
      </w:r>
      <w:r w:rsidRPr="00354CB5">
        <w:rPr>
          <w:rFonts w:cs="Times New Roman"/>
        </w:rPr>
        <w:t>. Hodnota</w:t>
      </w:r>
      <w:r>
        <w:rPr>
          <w:rFonts w:cs="Times New Roman"/>
        </w:rPr>
        <w:t xml:space="preserve"> tohto kritéria bola na úrovni </w:t>
      </w:r>
      <w:r w:rsidRPr="00354CB5">
        <w:rPr>
          <w:rFonts w:cs="Times New Roman"/>
        </w:rPr>
        <w:t>3</w:t>
      </w:r>
      <w:r>
        <w:rPr>
          <w:rFonts w:cs="Times New Roman"/>
        </w:rPr>
        <w:t>9,1</w:t>
      </w:r>
      <w:r w:rsidRPr="00354CB5">
        <w:rPr>
          <w:rFonts w:cs="Times New Roman"/>
        </w:rPr>
        <w:t> % ku koncu roka 201</w:t>
      </w:r>
      <w:r>
        <w:rPr>
          <w:rFonts w:cs="Times New Roman"/>
        </w:rPr>
        <w:t>8</w:t>
      </w:r>
      <w:r w:rsidRPr="00354CB5">
        <w:rPr>
          <w:rFonts w:cs="Times New Roman"/>
        </w:rPr>
        <w:t xml:space="preserve"> (</w:t>
      </w:r>
      <w:r>
        <w:rPr>
          <w:rFonts w:cs="Times New Roman"/>
        </w:rPr>
        <w:t>34</w:t>
      </w:r>
      <w:r w:rsidRPr="00354CB5">
        <w:rPr>
          <w:rFonts w:cs="Times New Roman"/>
        </w:rPr>
        <w:t> % ku koncu roka 201</w:t>
      </w:r>
      <w:r>
        <w:rPr>
          <w:rFonts w:cs="Times New Roman"/>
        </w:rPr>
        <w:t>7</w:t>
      </w:r>
      <w:r w:rsidRPr="00354CB5">
        <w:rPr>
          <w:rFonts w:cs="Times New Roman"/>
        </w:rPr>
        <w:t xml:space="preserve">). </w:t>
      </w:r>
      <w:r>
        <w:rPr>
          <w:rFonts w:cs="Times New Roman"/>
        </w:rPr>
        <w:t>Nárast bol spôsobeným najmä presunom medzi časovými rozpätiami a novými emisiami v roku 2018.</w:t>
      </w:r>
    </w:p>
    <w:p w14:paraId="06664A42" w14:textId="46655070" w:rsidR="0070636D" w:rsidRDefault="0070636D" w:rsidP="0070636D">
      <w:pPr>
        <w:pStyle w:val="Odsekzoznamu"/>
        <w:numPr>
          <w:ilvl w:val="0"/>
          <w:numId w:val="2"/>
        </w:numPr>
        <w:spacing w:after="120" w:line="336" w:lineRule="auto"/>
        <w:ind w:left="360"/>
        <w:contextualSpacing w:val="0"/>
        <w:jc w:val="both"/>
        <w:rPr>
          <w:rFonts w:cs="Times New Roman"/>
        </w:rPr>
      </w:pPr>
      <w:r w:rsidRPr="00AC37C0">
        <w:rPr>
          <w:rFonts w:cs="Times New Roman"/>
        </w:rPr>
        <w:t>V roku 201</w:t>
      </w:r>
      <w:r>
        <w:rPr>
          <w:rFonts w:cs="Times New Roman"/>
        </w:rPr>
        <w:t>8</w:t>
      </w:r>
      <w:r w:rsidRPr="009F2365">
        <w:rPr>
          <w:rFonts w:cs="Times New Roman"/>
        </w:rPr>
        <w:t xml:space="preserve"> bol</w:t>
      </w:r>
      <w:r>
        <w:rPr>
          <w:rFonts w:cs="Times New Roman"/>
        </w:rPr>
        <w:t>i</w:t>
      </w:r>
      <w:r w:rsidRPr="009F2365">
        <w:rPr>
          <w:rFonts w:cs="Times New Roman"/>
        </w:rPr>
        <w:t xml:space="preserve"> otvoren</w:t>
      </w:r>
      <w:r>
        <w:rPr>
          <w:rFonts w:cs="Times New Roman"/>
        </w:rPr>
        <w:t>é</w:t>
      </w:r>
      <w:r w:rsidRPr="009F2365">
        <w:rPr>
          <w:rFonts w:cs="Times New Roman"/>
        </w:rPr>
        <w:t xml:space="preserve"> </w:t>
      </w:r>
      <w:r>
        <w:rPr>
          <w:rFonts w:cs="Times New Roman"/>
        </w:rPr>
        <w:t xml:space="preserve">2 nové </w:t>
      </w:r>
      <w:r w:rsidRPr="009F2365">
        <w:rPr>
          <w:rFonts w:cs="Times New Roman"/>
        </w:rPr>
        <w:t>líni</w:t>
      </w:r>
      <w:r>
        <w:rPr>
          <w:rFonts w:cs="Times New Roman"/>
        </w:rPr>
        <w:t>e</w:t>
      </w:r>
      <w:r w:rsidRPr="009F2365">
        <w:rPr>
          <w:rFonts w:cs="Times New Roman"/>
        </w:rPr>
        <w:t xml:space="preserve"> dlhopis</w:t>
      </w:r>
      <w:r>
        <w:rPr>
          <w:rFonts w:cs="Times New Roman"/>
        </w:rPr>
        <w:t xml:space="preserve">ov so splatnosťou 10 a 50 rokov. 10-ročný dlhopis so splatnosťou v roku 2028 bol predaný prostredníctvom syndikátu vybraných primárnych dealerov s kupónovým výnosom 1% v menovitej hodnote 1 mld. euro a tiež bol predávaný formou aukčného predaja. 50-ročný dlhopis so splatnosťou v roku 2068 bol predaný prostredníctvom syndikátu vybraných primárnych dealerov s kupónovým výnosom 2,25 % v menovitej hodnote 0,5 mld. euro. </w:t>
      </w:r>
    </w:p>
    <w:p w14:paraId="3A8C80C6" w14:textId="447D1E88" w:rsidR="0070636D" w:rsidRDefault="0070636D" w:rsidP="0070636D">
      <w:pPr>
        <w:spacing w:before="120" w:after="0" w:line="336" w:lineRule="auto"/>
        <w:jc w:val="both"/>
        <w:rPr>
          <w:szCs w:val="22"/>
          <w:highlight w:val="yellow"/>
        </w:rPr>
      </w:pPr>
      <w:r w:rsidRPr="00850426">
        <w:t xml:space="preserve">V uvedenom roku boli splatené tri emisie, z </w:t>
      </w:r>
      <w:r w:rsidR="00376711">
        <w:t xml:space="preserve">toho jedna emisia registrovaná </w:t>
      </w:r>
      <w:r>
        <w:t>na Slovensku denominovaná v</w:t>
      </w:r>
      <w:r w:rsidR="004801C2">
        <w:t> mene EUR</w:t>
      </w:r>
      <w:r w:rsidRPr="00850426">
        <w:t xml:space="preserve">, </w:t>
      </w:r>
      <w:r>
        <w:t>dve</w:t>
      </w:r>
      <w:r w:rsidRPr="00850426">
        <w:t xml:space="preserve"> emisi</w:t>
      </w:r>
      <w:r>
        <w:t>e</w:t>
      </w:r>
      <w:r w:rsidRPr="00850426">
        <w:t xml:space="preserve"> registrovan</w:t>
      </w:r>
      <w:r>
        <w:t>é</w:t>
      </w:r>
      <w:r w:rsidRPr="00850426">
        <w:t xml:space="preserve"> </w:t>
      </w:r>
      <w:r>
        <w:t>v zahraničí.</w:t>
      </w:r>
      <w:r w:rsidRPr="00850426">
        <w:t xml:space="preserve"> K 31.12.201</w:t>
      </w:r>
      <w:r>
        <w:t>8</w:t>
      </w:r>
      <w:r w:rsidRPr="00850426">
        <w:t xml:space="preserve"> malo MF SR „živých“ celkovo 2</w:t>
      </w:r>
      <w:r>
        <w:t>6 emisií (z</w:t>
      </w:r>
      <w:r w:rsidR="00376711">
        <w:t> </w:t>
      </w:r>
      <w:r>
        <w:t>toho 8</w:t>
      </w:r>
      <w:r w:rsidRPr="00850426">
        <w:t xml:space="preserve"> emisií registrovaných v zahraničí). </w:t>
      </w:r>
      <w:r w:rsidR="00376711">
        <w:t>Okrem meny EUR boli ku koncu</w:t>
      </w:r>
      <w:r>
        <w:t xml:space="preserve"> roka 2018 emitované slovenské štátne dlhopisy aj v menách USD, CHF a NOK. </w:t>
      </w:r>
      <w:r w:rsidRPr="00850426">
        <w:t>Aj v roku 201</w:t>
      </w:r>
      <w:r>
        <w:t>8</w:t>
      </w:r>
      <w:r w:rsidRPr="00850426">
        <w:t xml:space="preserve"> ARDAL realizovala spätné nákupy štátnych cenných papierov s cieľom efektívnejšieho riadenia dlhu a likvidity. Spätné nákupy dlhopisov uľahčujú nárazové splácanie veľkých emisií, mierne znižujú náklady na správu hotovostnej rezervy </w:t>
      </w:r>
      <w:r>
        <w:t xml:space="preserve">a </w:t>
      </w:r>
      <w:r w:rsidRPr="00850426">
        <w:t>umožňujú znížiť veľkosť dlhu ku koncu roka.</w:t>
      </w:r>
    </w:p>
    <w:p w14:paraId="1B3A001A" w14:textId="77777777" w:rsidR="0070636D" w:rsidRDefault="0070636D" w:rsidP="000B1899">
      <w:pPr>
        <w:pStyle w:val="Nadpis3"/>
        <w:numPr>
          <w:ilvl w:val="0"/>
          <w:numId w:val="0"/>
        </w:numPr>
        <w:spacing w:before="120" w:after="0"/>
        <w:ind w:left="1800" w:hanging="666"/>
        <w:rPr>
          <w:highlight w:val="yellow"/>
        </w:rPr>
      </w:pPr>
    </w:p>
    <w:p w14:paraId="1B22B53F" w14:textId="77777777" w:rsidR="0070636D" w:rsidRDefault="0070636D" w:rsidP="0070636D">
      <w:pPr>
        <w:rPr>
          <w:highlight w:val="yellow"/>
        </w:rPr>
      </w:pPr>
    </w:p>
    <w:p w14:paraId="1D8FF686" w14:textId="77777777" w:rsidR="0070636D" w:rsidRPr="0070636D" w:rsidRDefault="0070636D" w:rsidP="0070636D">
      <w:pPr>
        <w:rPr>
          <w:highlight w:val="yellow"/>
        </w:rPr>
      </w:pPr>
    </w:p>
    <w:p w14:paraId="2C1A3291" w14:textId="3DD81E9B" w:rsidR="007A47DD" w:rsidRPr="0070636D" w:rsidRDefault="007A47DD" w:rsidP="00DF0415">
      <w:pPr>
        <w:pStyle w:val="Nadpis3"/>
        <w:numPr>
          <w:ilvl w:val="2"/>
          <w:numId w:val="39"/>
        </w:numPr>
        <w:spacing w:before="120"/>
      </w:pPr>
      <w:bookmarkStart w:id="45" w:name="_Toc23264803"/>
      <w:r w:rsidRPr="0070636D">
        <w:t>Riadenie štátneho dlhu v roku 201</w:t>
      </w:r>
      <w:r w:rsidR="00254DF2" w:rsidRPr="0070636D">
        <w:t>8</w:t>
      </w:r>
      <w:bookmarkEnd w:id="45"/>
    </w:p>
    <w:p w14:paraId="479E913F" w14:textId="77777777" w:rsidR="0070636D" w:rsidRDefault="0070636D" w:rsidP="0070636D">
      <w:pPr>
        <w:spacing w:after="120" w:line="336" w:lineRule="auto"/>
        <w:jc w:val="both"/>
      </w:pPr>
      <w:r w:rsidRPr="002D54E0">
        <w:t xml:space="preserve">Nasledujúca tabuľka </w:t>
      </w:r>
      <w:r>
        <w:t>prezentuje</w:t>
      </w:r>
      <w:r w:rsidRPr="002D54E0">
        <w:t xml:space="preserve"> základné kvantitatívne parametre riadenia štátneho dlhu v</w:t>
      </w:r>
      <w:r>
        <w:t> roku </w:t>
      </w:r>
      <w:r w:rsidRPr="002D54E0">
        <w:t>201</w:t>
      </w:r>
      <w:r>
        <w:t>8</w:t>
      </w:r>
      <w:r w:rsidRPr="002D54E0">
        <w:t xml:space="preserve">. </w:t>
      </w:r>
      <w:r>
        <w:t>Štruktúra t</w:t>
      </w:r>
      <w:r w:rsidRPr="002D54E0">
        <w:t>abuľk</w:t>
      </w:r>
      <w:r>
        <w:t>y</w:t>
      </w:r>
      <w:r w:rsidRPr="002D54E0">
        <w:t xml:space="preserve"> </w:t>
      </w:r>
      <w:r>
        <w:t>obsahuje</w:t>
      </w:r>
      <w:r w:rsidRPr="002D54E0">
        <w:t xml:space="preserve"> priemernú úrokovú sadzbu a splatnosť pri novom vydanom (emitovanom) dlhu. </w:t>
      </w:r>
    </w:p>
    <w:p w14:paraId="293705E4" w14:textId="1DA4064A" w:rsidR="0070636D" w:rsidRPr="00F673A0" w:rsidRDefault="0070636D" w:rsidP="0070636D">
      <w:pPr>
        <w:spacing w:after="120" w:line="336" w:lineRule="auto"/>
        <w:jc w:val="both"/>
        <w:rPr>
          <w:highlight w:val="yellow"/>
        </w:rPr>
      </w:pPr>
      <w:r w:rsidRPr="002D54E0">
        <w:t>Agentúra pre riaden</w:t>
      </w:r>
      <w:r>
        <w:t>i</w:t>
      </w:r>
      <w:r w:rsidRPr="002D54E0">
        <w:t>e dlhu a likvidity emitovala v mene MF SR v roku 201</w:t>
      </w:r>
      <w:r>
        <w:t>8</w:t>
      </w:r>
      <w:r w:rsidRPr="002D54E0">
        <w:t xml:space="preserve"> cenné papiere v</w:t>
      </w:r>
      <w:r>
        <w:t> </w:t>
      </w:r>
      <w:r w:rsidRPr="002D54E0">
        <w:t xml:space="preserve">celkovej hodnote </w:t>
      </w:r>
      <w:r>
        <w:t>3 100 500</w:t>
      </w:r>
      <w:r w:rsidRPr="002D54E0">
        <w:t xml:space="preserve"> tis. eur</w:t>
      </w:r>
      <w:r>
        <w:t>, pričom</w:t>
      </w:r>
      <w:r w:rsidRPr="002D54E0">
        <w:t xml:space="preserve"> vydala dlhopisy denominované len v mene </w:t>
      </w:r>
      <w:r>
        <w:t>EUR</w:t>
      </w:r>
      <w:r w:rsidRPr="002D54E0">
        <w:t xml:space="preserve"> s fixnou úrokovou sadzbou</w:t>
      </w:r>
      <w:r>
        <w:t xml:space="preserve"> s priemernou </w:t>
      </w:r>
      <w:r w:rsidR="00A55D2C">
        <w:t xml:space="preserve">váženou </w:t>
      </w:r>
      <w:r>
        <w:t xml:space="preserve">splatnosťou </w:t>
      </w:r>
      <w:r>
        <w:rPr>
          <w:b/>
        </w:rPr>
        <w:t>necelých 19</w:t>
      </w:r>
      <w:r w:rsidRPr="006B7806">
        <w:rPr>
          <w:b/>
        </w:rPr>
        <w:t xml:space="preserve"> rokov</w:t>
      </w:r>
      <w:r>
        <w:t xml:space="preserve">. </w:t>
      </w:r>
      <w:r w:rsidRPr="002D54E0">
        <w:t>V roku 201</w:t>
      </w:r>
      <w:r>
        <w:t>8</w:t>
      </w:r>
      <w:r w:rsidRPr="002D54E0">
        <w:t xml:space="preserve"> boli vydané štátne pokladničné poukážky v objeme </w:t>
      </w:r>
      <w:r>
        <w:t>80</w:t>
      </w:r>
      <w:r w:rsidRPr="002D54E0">
        <w:t>0</w:t>
      </w:r>
      <w:r>
        <w:t> </w:t>
      </w:r>
      <w:r w:rsidRPr="002D54E0">
        <w:t>000</w:t>
      </w:r>
      <w:r>
        <w:t> </w:t>
      </w:r>
      <w:r w:rsidRPr="002D54E0">
        <w:t>tis.</w:t>
      </w:r>
      <w:r>
        <w:t> </w:t>
      </w:r>
      <w:r w:rsidRPr="002D54E0">
        <w:t>eur. Okrem cenných papierov boli na krytie dlhu prijaté úvery v</w:t>
      </w:r>
      <w:r>
        <w:t> </w:t>
      </w:r>
      <w:r w:rsidRPr="002D54E0">
        <w:t xml:space="preserve">nominálnej hodnote </w:t>
      </w:r>
      <w:r>
        <w:t>301 000</w:t>
      </w:r>
      <w:r w:rsidRPr="002D54E0">
        <w:t xml:space="preserve"> tis.</w:t>
      </w:r>
      <w:r>
        <w:t> </w:t>
      </w:r>
      <w:r w:rsidRPr="002D54E0">
        <w:t>eur s priem</w:t>
      </w:r>
      <w:r>
        <w:t>ernou váženou úrokovou sadzbou 0</w:t>
      </w:r>
      <w:r w:rsidRPr="002D54E0">
        <w:t>,</w:t>
      </w:r>
      <w:r>
        <w:t>37 </w:t>
      </w:r>
      <w:r w:rsidRPr="002D54E0">
        <w:t>% a</w:t>
      </w:r>
      <w:r>
        <w:t> </w:t>
      </w:r>
      <w:r w:rsidRPr="002D54E0">
        <w:t>s</w:t>
      </w:r>
      <w:r>
        <w:t> </w:t>
      </w:r>
      <w:r w:rsidRPr="002D54E0">
        <w:t xml:space="preserve">priemernou váženou splatnosťou </w:t>
      </w:r>
      <w:r>
        <w:t>11,5 </w:t>
      </w:r>
      <w:r w:rsidRPr="002D54E0">
        <w:t>rok</w:t>
      </w:r>
      <w:r>
        <w:t>a</w:t>
      </w:r>
      <w:r w:rsidRPr="002D54E0">
        <w:t>.</w:t>
      </w:r>
    </w:p>
    <w:tbl>
      <w:tblPr>
        <w:tblW w:w="9142" w:type="dxa"/>
        <w:tblCellMar>
          <w:left w:w="70" w:type="dxa"/>
          <w:right w:w="70" w:type="dxa"/>
        </w:tblCellMar>
        <w:tblLook w:val="04A0" w:firstRow="1" w:lastRow="0" w:firstColumn="1" w:lastColumn="0" w:noHBand="0" w:noVBand="1"/>
      </w:tblPr>
      <w:tblGrid>
        <w:gridCol w:w="2553"/>
        <w:gridCol w:w="1450"/>
        <w:gridCol w:w="2048"/>
        <w:gridCol w:w="1602"/>
        <w:gridCol w:w="1489"/>
      </w:tblGrid>
      <w:tr w:rsidR="0070636D" w:rsidRPr="001A356F" w14:paraId="0CDF644B" w14:textId="77777777" w:rsidTr="00CA60A4">
        <w:trPr>
          <w:trHeight w:val="420"/>
        </w:trPr>
        <w:tc>
          <w:tcPr>
            <w:tcW w:w="0" w:type="auto"/>
            <w:gridSpan w:val="3"/>
            <w:tcBorders>
              <w:top w:val="nil"/>
              <w:left w:val="nil"/>
              <w:bottom w:val="nil"/>
              <w:right w:val="nil"/>
            </w:tcBorders>
            <w:shd w:val="clear" w:color="000000" w:fill="000000"/>
            <w:noWrap/>
            <w:vAlign w:val="center"/>
            <w:hideMark/>
          </w:tcPr>
          <w:p w14:paraId="3EE9B3CD" w14:textId="77777777" w:rsidR="0070636D" w:rsidRPr="001A356F" w:rsidRDefault="0070636D" w:rsidP="00BA7703">
            <w:pPr>
              <w:spacing w:after="0" w:line="240" w:lineRule="auto"/>
              <w:rPr>
                <w:b/>
                <w:bCs/>
                <w:color w:val="FFFFFF"/>
                <w:sz w:val="20"/>
                <w:szCs w:val="20"/>
                <w:lang w:eastAsia="sk-SK"/>
              </w:rPr>
            </w:pPr>
            <w:r w:rsidRPr="001A356F">
              <w:rPr>
                <w:b/>
                <w:bCs/>
                <w:color w:val="FFFFFF"/>
                <w:sz w:val="20"/>
                <w:szCs w:val="20"/>
                <w:lang w:eastAsia="sk-SK"/>
              </w:rPr>
              <w:t>Štátny dlh realizovaný v roku 2018 (tis. eur)</w:t>
            </w:r>
          </w:p>
        </w:tc>
        <w:tc>
          <w:tcPr>
            <w:tcW w:w="0" w:type="auto"/>
            <w:tcBorders>
              <w:top w:val="nil"/>
              <w:left w:val="nil"/>
              <w:bottom w:val="nil"/>
              <w:right w:val="nil"/>
            </w:tcBorders>
            <w:shd w:val="clear" w:color="000000" w:fill="000000"/>
            <w:noWrap/>
            <w:vAlign w:val="center"/>
            <w:hideMark/>
          </w:tcPr>
          <w:p w14:paraId="26A38D40" w14:textId="77777777" w:rsidR="0070636D" w:rsidRPr="001A356F" w:rsidRDefault="0070636D" w:rsidP="00BA7703">
            <w:pPr>
              <w:spacing w:after="0" w:line="240" w:lineRule="auto"/>
              <w:rPr>
                <w:b/>
                <w:bCs/>
                <w:color w:val="FFFFFF"/>
                <w:sz w:val="20"/>
                <w:szCs w:val="20"/>
                <w:lang w:eastAsia="sk-SK"/>
              </w:rPr>
            </w:pPr>
            <w:r w:rsidRPr="001A356F">
              <w:rPr>
                <w:b/>
                <w:bCs/>
                <w:color w:val="FFFFFF"/>
                <w:sz w:val="20"/>
                <w:szCs w:val="20"/>
                <w:lang w:eastAsia="sk-SK"/>
              </w:rPr>
              <w:t> </w:t>
            </w:r>
          </w:p>
        </w:tc>
        <w:tc>
          <w:tcPr>
            <w:tcW w:w="0" w:type="auto"/>
            <w:tcBorders>
              <w:top w:val="nil"/>
              <w:left w:val="nil"/>
              <w:bottom w:val="nil"/>
              <w:right w:val="nil"/>
            </w:tcBorders>
            <w:shd w:val="clear" w:color="000000" w:fill="000000"/>
            <w:noWrap/>
            <w:vAlign w:val="center"/>
            <w:hideMark/>
          </w:tcPr>
          <w:p w14:paraId="6B6E988E" w14:textId="77777777" w:rsidR="0070636D" w:rsidRPr="001A356F" w:rsidRDefault="0070636D" w:rsidP="00BA7703">
            <w:pPr>
              <w:spacing w:after="0" w:line="240" w:lineRule="auto"/>
              <w:rPr>
                <w:b/>
                <w:bCs/>
                <w:color w:val="FFFFFF"/>
                <w:sz w:val="20"/>
                <w:szCs w:val="20"/>
                <w:lang w:eastAsia="sk-SK"/>
              </w:rPr>
            </w:pPr>
            <w:r w:rsidRPr="001A356F">
              <w:rPr>
                <w:b/>
                <w:bCs/>
                <w:color w:val="FFFFFF"/>
                <w:sz w:val="20"/>
                <w:szCs w:val="20"/>
                <w:lang w:eastAsia="sk-SK"/>
              </w:rPr>
              <w:t> </w:t>
            </w:r>
          </w:p>
        </w:tc>
      </w:tr>
      <w:tr w:rsidR="0070636D" w:rsidRPr="001A356F" w14:paraId="7545CAB0" w14:textId="77777777" w:rsidTr="00BA7703">
        <w:trPr>
          <w:trHeight w:val="765"/>
        </w:trPr>
        <w:tc>
          <w:tcPr>
            <w:tcW w:w="2553" w:type="dxa"/>
            <w:tcBorders>
              <w:top w:val="nil"/>
              <w:left w:val="nil"/>
              <w:bottom w:val="nil"/>
              <w:right w:val="nil"/>
            </w:tcBorders>
            <w:shd w:val="clear" w:color="000000" w:fill="BFBFBF"/>
            <w:vAlign w:val="center"/>
            <w:hideMark/>
          </w:tcPr>
          <w:p w14:paraId="71174984"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Typ cenného papiera</w:t>
            </w:r>
          </w:p>
        </w:tc>
        <w:tc>
          <w:tcPr>
            <w:tcW w:w="0" w:type="auto"/>
            <w:tcBorders>
              <w:top w:val="nil"/>
              <w:left w:val="nil"/>
              <w:bottom w:val="nil"/>
              <w:right w:val="nil"/>
            </w:tcBorders>
            <w:shd w:val="clear" w:color="000000" w:fill="BFBFBF"/>
            <w:vAlign w:val="center"/>
            <w:hideMark/>
          </w:tcPr>
          <w:p w14:paraId="256C369B"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Nominálna hodnota</w:t>
            </w:r>
          </w:p>
        </w:tc>
        <w:tc>
          <w:tcPr>
            <w:tcW w:w="0" w:type="auto"/>
            <w:tcBorders>
              <w:top w:val="nil"/>
              <w:left w:val="nil"/>
              <w:bottom w:val="nil"/>
              <w:right w:val="nil"/>
            </w:tcBorders>
            <w:shd w:val="clear" w:color="000000" w:fill="BFBFBF"/>
            <w:vAlign w:val="center"/>
            <w:hideMark/>
          </w:tcPr>
          <w:p w14:paraId="43779048"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Priemerný úrok / prirážka (ŠD float)</w:t>
            </w:r>
          </w:p>
        </w:tc>
        <w:tc>
          <w:tcPr>
            <w:tcW w:w="0" w:type="auto"/>
            <w:tcBorders>
              <w:top w:val="nil"/>
              <w:left w:val="nil"/>
              <w:bottom w:val="nil"/>
              <w:right w:val="nil"/>
            </w:tcBorders>
            <w:shd w:val="clear" w:color="000000" w:fill="BFBFBF"/>
            <w:vAlign w:val="center"/>
            <w:hideMark/>
          </w:tcPr>
          <w:p w14:paraId="5CE6E7EE"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Priemerná splatnosť (rok)</w:t>
            </w:r>
          </w:p>
        </w:tc>
        <w:tc>
          <w:tcPr>
            <w:tcW w:w="0" w:type="auto"/>
            <w:tcBorders>
              <w:top w:val="nil"/>
              <w:left w:val="nil"/>
              <w:bottom w:val="nil"/>
              <w:right w:val="nil"/>
            </w:tcBorders>
            <w:shd w:val="clear" w:color="000000" w:fill="BFBFBF"/>
            <w:vAlign w:val="center"/>
            <w:hideMark/>
          </w:tcPr>
          <w:p w14:paraId="215C8422"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Typ kupónovej sadzby</w:t>
            </w:r>
          </w:p>
        </w:tc>
      </w:tr>
      <w:tr w:rsidR="0070636D" w:rsidRPr="001A356F" w14:paraId="2204B1B7" w14:textId="77777777" w:rsidTr="00BA7703">
        <w:trPr>
          <w:trHeight w:val="20"/>
        </w:trPr>
        <w:tc>
          <w:tcPr>
            <w:tcW w:w="2553" w:type="dxa"/>
            <w:tcBorders>
              <w:top w:val="single" w:sz="4" w:space="0" w:color="auto"/>
              <w:left w:val="nil"/>
              <w:bottom w:val="nil"/>
              <w:right w:val="nil"/>
            </w:tcBorders>
            <w:shd w:val="clear" w:color="auto" w:fill="auto"/>
            <w:noWrap/>
            <w:vAlign w:val="bottom"/>
            <w:hideMark/>
          </w:tcPr>
          <w:p w14:paraId="117DC6F0"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ŠD fix</w:t>
            </w:r>
          </w:p>
        </w:tc>
        <w:tc>
          <w:tcPr>
            <w:tcW w:w="0" w:type="auto"/>
            <w:tcBorders>
              <w:top w:val="single" w:sz="4" w:space="0" w:color="auto"/>
              <w:left w:val="nil"/>
              <w:bottom w:val="nil"/>
              <w:right w:val="nil"/>
            </w:tcBorders>
            <w:shd w:val="clear" w:color="auto" w:fill="auto"/>
            <w:noWrap/>
            <w:hideMark/>
          </w:tcPr>
          <w:p w14:paraId="2145A88D" w14:textId="77777777" w:rsidR="0070636D" w:rsidRPr="001A356F" w:rsidRDefault="0070636D" w:rsidP="00BA7703">
            <w:pPr>
              <w:spacing w:after="0" w:line="240" w:lineRule="auto"/>
              <w:jc w:val="right"/>
              <w:rPr>
                <w:color w:val="000000"/>
                <w:sz w:val="20"/>
                <w:szCs w:val="20"/>
              </w:rPr>
            </w:pPr>
            <w:r w:rsidRPr="001A356F">
              <w:rPr>
                <w:color w:val="000000"/>
                <w:sz w:val="20"/>
                <w:szCs w:val="20"/>
              </w:rPr>
              <w:t>3 100 500</w:t>
            </w:r>
          </w:p>
        </w:tc>
        <w:tc>
          <w:tcPr>
            <w:tcW w:w="0" w:type="auto"/>
            <w:tcBorders>
              <w:top w:val="single" w:sz="4" w:space="0" w:color="auto"/>
              <w:left w:val="nil"/>
              <w:bottom w:val="nil"/>
              <w:right w:val="nil"/>
            </w:tcBorders>
            <w:shd w:val="clear" w:color="auto" w:fill="auto"/>
            <w:noWrap/>
            <w:vAlign w:val="center"/>
            <w:hideMark/>
          </w:tcPr>
          <w:p w14:paraId="085FE804"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1,29%</w:t>
            </w:r>
          </w:p>
        </w:tc>
        <w:tc>
          <w:tcPr>
            <w:tcW w:w="0" w:type="auto"/>
            <w:tcBorders>
              <w:top w:val="single" w:sz="4" w:space="0" w:color="auto"/>
              <w:left w:val="nil"/>
              <w:bottom w:val="nil"/>
              <w:right w:val="nil"/>
            </w:tcBorders>
            <w:shd w:val="clear" w:color="auto" w:fill="auto"/>
            <w:noWrap/>
            <w:vAlign w:val="center"/>
            <w:hideMark/>
          </w:tcPr>
          <w:p w14:paraId="62549D2B"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18,8</w:t>
            </w:r>
          </w:p>
        </w:tc>
        <w:tc>
          <w:tcPr>
            <w:tcW w:w="0" w:type="auto"/>
            <w:tcBorders>
              <w:top w:val="single" w:sz="4" w:space="0" w:color="auto"/>
              <w:left w:val="nil"/>
              <w:bottom w:val="nil"/>
              <w:right w:val="nil"/>
            </w:tcBorders>
            <w:shd w:val="clear" w:color="auto" w:fill="auto"/>
            <w:noWrap/>
            <w:vAlign w:val="center"/>
            <w:hideMark/>
          </w:tcPr>
          <w:p w14:paraId="631E71E8" w14:textId="77777777" w:rsidR="0070636D" w:rsidRPr="001A356F" w:rsidRDefault="0070636D" w:rsidP="00BA7703">
            <w:pPr>
              <w:spacing w:after="0" w:line="240" w:lineRule="auto"/>
              <w:jc w:val="center"/>
              <w:rPr>
                <w:color w:val="000000"/>
                <w:sz w:val="20"/>
                <w:szCs w:val="20"/>
                <w:lang w:eastAsia="sk-SK"/>
              </w:rPr>
            </w:pPr>
            <w:r w:rsidRPr="001A356F">
              <w:rPr>
                <w:color w:val="000000"/>
                <w:sz w:val="20"/>
                <w:szCs w:val="20"/>
                <w:lang w:eastAsia="sk-SK"/>
              </w:rPr>
              <w:t>fixná</w:t>
            </w:r>
          </w:p>
        </w:tc>
      </w:tr>
      <w:tr w:rsidR="0070636D" w:rsidRPr="001A356F" w14:paraId="338DFBDE" w14:textId="77777777" w:rsidTr="00BA7703">
        <w:trPr>
          <w:trHeight w:val="20"/>
        </w:trPr>
        <w:tc>
          <w:tcPr>
            <w:tcW w:w="2553" w:type="dxa"/>
            <w:tcBorders>
              <w:top w:val="nil"/>
              <w:left w:val="nil"/>
              <w:bottom w:val="nil"/>
              <w:right w:val="nil"/>
            </w:tcBorders>
            <w:shd w:val="clear" w:color="auto" w:fill="auto"/>
            <w:noWrap/>
            <w:vAlign w:val="bottom"/>
            <w:hideMark/>
          </w:tcPr>
          <w:p w14:paraId="29228A8E"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ŠD float</w:t>
            </w:r>
          </w:p>
        </w:tc>
        <w:tc>
          <w:tcPr>
            <w:tcW w:w="0" w:type="auto"/>
            <w:tcBorders>
              <w:top w:val="nil"/>
              <w:left w:val="nil"/>
              <w:bottom w:val="nil"/>
              <w:right w:val="nil"/>
            </w:tcBorders>
            <w:shd w:val="clear" w:color="auto" w:fill="auto"/>
            <w:noWrap/>
            <w:hideMark/>
          </w:tcPr>
          <w:p w14:paraId="2D2A3198" w14:textId="77777777" w:rsidR="0070636D" w:rsidRPr="001A356F" w:rsidRDefault="0070636D" w:rsidP="00BA7703">
            <w:pPr>
              <w:spacing w:after="0" w:line="240" w:lineRule="auto"/>
              <w:jc w:val="right"/>
              <w:rPr>
                <w:color w:val="000000"/>
                <w:sz w:val="20"/>
                <w:szCs w:val="20"/>
              </w:rPr>
            </w:pPr>
            <w:r w:rsidRPr="001A356F">
              <w:rPr>
                <w:color w:val="000000"/>
                <w:sz w:val="20"/>
                <w:szCs w:val="20"/>
              </w:rPr>
              <w:t>0</w:t>
            </w:r>
          </w:p>
        </w:tc>
        <w:tc>
          <w:tcPr>
            <w:tcW w:w="0" w:type="auto"/>
            <w:tcBorders>
              <w:top w:val="nil"/>
              <w:left w:val="nil"/>
              <w:bottom w:val="nil"/>
              <w:right w:val="nil"/>
            </w:tcBorders>
            <w:shd w:val="clear" w:color="auto" w:fill="auto"/>
            <w:noWrap/>
            <w:vAlign w:val="center"/>
            <w:hideMark/>
          </w:tcPr>
          <w:p w14:paraId="46BD5D0D"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c>
          <w:tcPr>
            <w:tcW w:w="0" w:type="auto"/>
            <w:tcBorders>
              <w:top w:val="nil"/>
              <w:left w:val="nil"/>
              <w:bottom w:val="nil"/>
              <w:right w:val="nil"/>
            </w:tcBorders>
            <w:shd w:val="clear" w:color="auto" w:fill="auto"/>
            <w:noWrap/>
            <w:vAlign w:val="center"/>
            <w:hideMark/>
          </w:tcPr>
          <w:p w14:paraId="69A7847A"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c>
          <w:tcPr>
            <w:tcW w:w="0" w:type="auto"/>
            <w:tcBorders>
              <w:top w:val="nil"/>
              <w:left w:val="nil"/>
              <w:bottom w:val="nil"/>
              <w:right w:val="nil"/>
            </w:tcBorders>
            <w:shd w:val="clear" w:color="auto" w:fill="auto"/>
            <w:noWrap/>
            <w:vAlign w:val="center"/>
            <w:hideMark/>
          </w:tcPr>
          <w:p w14:paraId="5A922478"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r>
      <w:tr w:rsidR="0070636D" w:rsidRPr="001A356F" w14:paraId="02F78A08" w14:textId="77777777" w:rsidTr="00BA7703">
        <w:trPr>
          <w:trHeight w:val="20"/>
        </w:trPr>
        <w:tc>
          <w:tcPr>
            <w:tcW w:w="2553" w:type="dxa"/>
            <w:tcBorders>
              <w:top w:val="nil"/>
              <w:left w:val="nil"/>
              <w:bottom w:val="nil"/>
              <w:right w:val="nil"/>
            </w:tcBorders>
            <w:shd w:val="clear" w:color="auto" w:fill="auto"/>
            <w:noWrap/>
            <w:vAlign w:val="bottom"/>
            <w:hideMark/>
          </w:tcPr>
          <w:p w14:paraId="6904392E"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ŠPP</w:t>
            </w:r>
          </w:p>
        </w:tc>
        <w:tc>
          <w:tcPr>
            <w:tcW w:w="0" w:type="auto"/>
            <w:tcBorders>
              <w:top w:val="nil"/>
              <w:left w:val="nil"/>
              <w:bottom w:val="nil"/>
              <w:right w:val="nil"/>
            </w:tcBorders>
            <w:shd w:val="clear" w:color="auto" w:fill="auto"/>
            <w:noWrap/>
            <w:hideMark/>
          </w:tcPr>
          <w:p w14:paraId="62128921" w14:textId="77777777" w:rsidR="0070636D" w:rsidRPr="001A356F" w:rsidRDefault="0070636D" w:rsidP="00BA7703">
            <w:pPr>
              <w:spacing w:after="0" w:line="240" w:lineRule="auto"/>
              <w:jc w:val="right"/>
              <w:rPr>
                <w:color w:val="000000"/>
                <w:sz w:val="20"/>
                <w:szCs w:val="20"/>
              </w:rPr>
            </w:pPr>
            <w:r w:rsidRPr="001A356F">
              <w:rPr>
                <w:color w:val="000000"/>
                <w:sz w:val="20"/>
                <w:szCs w:val="20"/>
              </w:rPr>
              <w:t>800 000</w:t>
            </w:r>
          </w:p>
        </w:tc>
        <w:tc>
          <w:tcPr>
            <w:tcW w:w="0" w:type="auto"/>
            <w:tcBorders>
              <w:top w:val="nil"/>
              <w:left w:val="nil"/>
              <w:bottom w:val="nil"/>
              <w:right w:val="nil"/>
            </w:tcBorders>
            <w:shd w:val="clear" w:color="auto" w:fill="auto"/>
            <w:noWrap/>
            <w:vAlign w:val="center"/>
            <w:hideMark/>
          </w:tcPr>
          <w:p w14:paraId="7C2394A5" w14:textId="77777777" w:rsidR="0070636D" w:rsidRPr="001A356F" w:rsidRDefault="0070636D" w:rsidP="00BA7703">
            <w:pPr>
              <w:spacing w:after="0" w:line="240" w:lineRule="auto"/>
              <w:jc w:val="center"/>
              <w:rPr>
                <w:color w:val="000000"/>
                <w:sz w:val="20"/>
                <w:szCs w:val="20"/>
              </w:rPr>
            </w:pPr>
            <w:r w:rsidRPr="001A356F">
              <w:rPr>
                <w:color w:val="000000"/>
                <w:sz w:val="20"/>
                <w:szCs w:val="20"/>
              </w:rPr>
              <w:t>-0,33%</w:t>
            </w:r>
          </w:p>
        </w:tc>
        <w:tc>
          <w:tcPr>
            <w:tcW w:w="0" w:type="auto"/>
            <w:tcBorders>
              <w:top w:val="nil"/>
              <w:left w:val="nil"/>
              <w:bottom w:val="nil"/>
              <w:right w:val="nil"/>
            </w:tcBorders>
            <w:shd w:val="clear" w:color="auto" w:fill="auto"/>
            <w:noWrap/>
            <w:vAlign w:val="center"/>
            <w:hideMark/>
          </w:tcPr>
          <w:p w14:paraId="7C0A8017" w14:textId="77777777" w:rsidR="0070636D" w:rsidRPr="001A356F" w:rsidRDefault="0070636D" w:rsidP="00BA7703">
            <w:pPr>
              <w:spacing w:after="0" w:line="240" w:lineRule="auto"/>
              <w:jc w:val="center"/>
              <w:rPr>
                <w:color w:val="000000"/>
                <w:sz w:val="20"/>
                <w:szCs w:val="20"/>
              </w:rPr>
            </w:pPr>
            <w:r w:rsidRPr="001A356F">
              <w:rPr>
                <w:color w:val="000000"/>
                <w:sz w:val="20"/>
                <w:szCs w:val="20"/>
              </w:rPr>
              <w:t>0,7</w:t>
            </w:r>
          </w:p>
        </w:tc>
        <w:tc>
          <w:tcPr>
            <w:tcW w:w="0" w:type="auto"/>
            <w:tcBorders>
              <w:top w:val="nil"/>
              <w:left w:val="nil"/>
              <w:bottom w:val="nil"/>
              <w:right w:val="nil"/>
            </w:tcBorders>
            <w:shd w:val="clear" w:color="auto" w:fill="auto"/>
            <w:noWrap/>
            <w:vAlign w:val="center"/>
            <w:hideMark/>
          </w:tcPr>
          <w:p w14:paraId="39E0DFD4" w14:textId="77777777" w:rsidR="0070636D" w:rsidRPr="001A356F" w:rsidRDefault="0070636D" w:rsidP="00BA7703">
            <w:pPr>
              <w:spacing w:after="0" w:line="240" w:lineRule="auto"/>
              <w:jc w:val="center"/>
              <w:rPr>
                <w:color w:val="000000"/>
                <w:sz w:val="20"/>
                <w:szCs w:val="20"/>
              </w:rPr>
            </w:pPr>
            <w:r w:rsidRPr="001A356F">
              <w:rPr>
                <w:color w:val="000000"/>
                <w:sz w:val="20"/>
                <w:szCs w:val="20"/>
              </w:rPr>
              <w:t>nulová</w:t>
            </w:r>
          </w:p>
        </w:tc>
      </w:tr>
      <w:tr w:rsidR="0070636D" w:rsidRPr="001A356F" w14:paraId="550843C3" w14:textId="77777777" w:rsidTr="00BA7703">
        <w:trPr>
          <w:trHeight w:val="20"/>
        </w:trPr>
        <w:tc>
          <w:tcPr>
            <w:tcW w:w="2553" w:type="dxa"/>
            <w:tcBorders>
              <w:top w:val="nil"/>
              <w:left w:val="nil"/>
              <w:bottom w:val="nil"/>
              <w:right w:val="nil"/>
            </w:tcBorders>
            <w:shd w:val="clear" w:color="auto" w:fill="auto"/>
            <w:noWrap/>
            <w:vAlign w:val="bottom"/>
            <w:hideMark/>
          </w:tcPr>
          <w:p w14:paraId="6D77095B"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 xml:space="preserve">Úvery </w:t>
            </w:r>
          </w:p>
        </w:tc>
        <w:tc>
          <w:tcPr>
            <w:tcW w:w="0" w:type="auto"/>
            <w:tcBorders>
              <w:top w:val="nil"/>
              <w:left w:val="nil"/>
              <w:bottom w:val="nil"/>
              <w:right w:val="nil"/>
            </w:tcBorders>
            <w:shd w:val="clear" w:color="auto" w:fill="auto"/>
            <w:noWrap/>
            <w:hideMark/>
          </w:tcPr>
          <w:p w14:paraId="0AAEC799" w14:textId="77777777" w:rsidR="0070636D" w:rsidRPr="001A356F" w:rsidRDefault="0070636D" w:rsidP="00BA7703">
            <w:pPr>
              <w:spacing w:after="0" w:line="240" w:lineRule="auto"/>
              <w:jc w:val="right"/>
              <w:rPr>
                <w:color w:val="000000"/>
                <w:sz w:val="20"/>
                <w:szCs w:val="20"/>
              </w:rPr>
            </w:pPr>
            <w:r w:rsidRPr="001A356F">
              <w:rPr>
                <w:color w:val="000000"/>
                <w:sz w:val="20"/>
                <w:szCs w:val="20"/>
              </w:rPr>
              <w:t>301 000</w:t>
            </w:r>
          </w:p>
        </w:tc>
        <w:tc>
          <w:tcPr>
            <w:tcW w:w="0" w:type="auto"/>
            <w:tcBorders>
              <w:top w:val="nil"/>
              <w:left w:val="nil"/>
              <w:bottom w:val="nil"/>
              <w:right w:val="nil"/>
            </w:tcBorders>
            <w:shd w:val="clear" w:color="auto" w:fill="auto"/>
            <w:noWrap/>
            <w:vAlign w:val="center"/>
            <w:hideMark/>
          </w:tcPr>
          <w:p w14:paraId="6E2BF366" w14:textId="77777777" w:rsidR="0070636D" w:rsidRPr="001A356F" w:rsidRDefault="0070636D" w:rsidP="00BA7703">
            <w:pPr>
              <w:spacing w:after="0" w:line="240" w:lineRule="auto"/>
              <w:jc w:val="center"/>
              <w:rPr>
                <w:color w:val="000000"/>
                <w:sz w:val="20"/>
                <w:szCs w:val="20"/>
              </w:rPr>
            </w:pPr>
            <w:r w:rsidRPr="001A356F">
              <w:rPr>
                <w:color w:val="000000"/>
                <w:sz w:val="20"/>
                <w:szCs w:val="20"/>
              </w:rPr>
              <w:t>0,37%</w:t>
            </w:r>
          </w:p>
        </w:tc>
        <w:tc>
          <w:tcPr>
            <w:tcW w:w="0" w:type="auto"/>
            <w:tcBorders>
              <w:top w:val="nil"/>
              <w:left w:val="nil"/>
              <w:bottom w:val="nil"/>
              <w:right w:val="nil"/>
            </w:tcBorders>
            <w:shd w:val="clear" w:color="auto" w:fill="auto"/>
            <w:noWrap/>
            <w:vAlign w:val="center"/>
            <w:hideMark/>
          </w:tcPr>
          <w:p w14:paraId="27258073" w14:textId="77777777" w:rsidR="0070636D" w:rsidRPr="001A356F" w:rsidRDefault="0070636D" w:rsidP="00BA7703">
            <w:pPr>
              <w:spacing w:after="0" w:line="240" w:lineRule="auto"/>
              <w:jc w:val="center"/>
              <w:rPr>
                <w:color w:val="000000"/>
                <w:sz w:val="20"/>
                <w:szCs w:val="20"/>
              </w:rPr>
            </w:pPr>
            <w:r w:rsidRPr="001A356F">
              <w:rPr>
                <w:color w:val="000000"/>
                <w:sz w:val="20"/>
                <w:szCs w:val="20"/>
              </w:rPr>
              <w:t>11,5</w:t>
            </w:r>
          </w:p>
        </w:tc>
        <w:tc>
          <w:tcPr>
            <w:tcW w:w="0" w:type="auto"/>
            <w:tcBorders>
              <w:top w:val="nil"/>
              <w:left w:val="nil"/>
              <w:bottom w:val="nil"/>
              <w:right w:val="nil"/>
            </w:tcBorders>
            <w:shd w:val="clear" w:color="auto" w:fill="auto"/>
            <w:noWrap/>
            <w:vAlign w:val="center"/>
            <w:hideMark/>
          </w:tcPr>
          <w:p w14:paraId="64BD80EF" w14:textId="77777777" w:rsidR="0070636D" w:rsidRPr="001A356F" w:rsidRDefault="0070636D" w:rsidP="00BA7703">
            <w:pPr>
              <w:spacing w:after="0" w:line="240" w:lineRule="auto"/>
              <w:jc w:val="center"/>
              <w:rPr>
                <w:color w:val="000000"/>
                <w:sz w:val="20"/>
                <w:szCs w:val="20"/>
              </w:rPr>
            </w:pPr>
            <w:r w:rsidRPr="001A356F">
              <w:rPr>
                <w:color w:val="000000"/>
                <w:sz w:val="20"/>
                <w:szCs w:val="20"/>
              </w:rPr>
              <w:t>fixná</w:t>
            </w:r>
          </w:p>
        </w:tc>
      </w:tr>
      <w:tr w:rsidR="0070636D" w:rsidRPr="001A356F" w14:paraId="4EC2C697" w14:textId="77777777" w:rsidTr="00BA7703">
        <w:trPr>
          <w:trHeight w:val="20"/>
        </w:trPr>
        <w:tc>
          <w:tcPr>
            <w:tcW w:w="2553" w:type="dxa"/>
            <w:tcBorders>
              <w:top w:val="nil"/>
              <w:left w:val="nil"/>
              <w:bottom w:val="nil"/>
              <w:right w:val="nil"/>
            </w:tcBorders>
            <w:shd w:val="clear" w:color="auto" w:fill="auto"/>
            <w:noWrap/>
            <w:vAlign w:val="bottom"/>
            <w:hideMark/>
          </w:tcPr>
          <w:p w14:paraId="391C821B" w14:textId="77777777" w:rsidR="0070636D" w:rsidRPr="001A356F" w:rsidRDefault="0070636D" w:rsidP="00BA7703">
            <w:pPr>
              <w:spacing w:after="0" w:line="240" w:lineRule="auto"/>
              <w:ind w:firstLineChars="100" w:firstLine="201"/>
              <w:rPr>
                <w:b/>
                <w:color w:val="000000"/>
                <w:sz w:val="20"/>
                <w:szCs w:val="20"/>
              </w:rPr>
            </w:pPr>
            <w:r w:rsidRPr="001A356F">
              <w:rPr>
                <w:b/>
                <w:color w:val="000000"/>
                <w:sz w:val="20"/>
                <w:szCs w:val="20"/>
              </w:rPr>
              <w:t>Hrubý dlh</w:t>
            </w:r>
          </w:p>
        </w:tc>
        <w:tc>
          <w:tcPr>
            <w:tcW w:w="0" w:type="auto"/>
            <w:tcBorders>
              <w:top w:val="nil"/>
              <w:left w:val="nil"/>
              <w:bottom w:val="nil"/>
              <w:right w:val="nil"/>
            </w:tcBorders>
            <w:shd w:val="clear" w:color="auto" w:fill="auto"/>
            <w:noWrap/>
            <w:hideMark/>
          </w:tcPr>
          <w:p w14:paraId="15B81FBA" w14:textId="77777777" w:rsidR="0070636D" w:rsidRPr="001A356F" w:rsidRDefault="0070636D" w:rsidP="00BA7703">
            <w:pPr>
              <w:spacing w:after="0" w:line="240" w:lineRule="auto"/>
              <w:ind w:firstLine="220"/>
              <w:jc w:val="right"/>
              <w:rPr>
                <w:b/>
                <w:color w:val="000000"/>
                <w:sz w:val="20"/>
                <w:szCs w:val="20"/>
              </w:rPr>
            </w:pPr>
            <w:r w:rsidRPr="001A356F">
              <w:rPr>
                <w:b/>
                <w:color w:val="000000"/>
                <w:sz w:val="20"/>
                <w:szCs w:val="20"/>
              </w:rPr>
              <w:t>4 201 500</w:t>
            </w:r>
          </w:p>
        </w:tc>
        <w:tc>
          <w:tcPr>
            <w:tcW w:w="0" w:type="auto"/>
            <w:tcBorders>
              <w:top w:val="nil"/>
              <w:left w:val="nil"/>
              <w:bottom w:val="nil"/>
              <w:right w:val="nil"/>
            </w:tcBorders>
            <w:shd w:val="clear" w:color="auto" w:fill="auto"/>
            <w:noWrap/>
            <w:vAlign w:val="center"/>
            <w:hideMark/>
          </w:tcPr>
          <w:p w14:paraId="53A5D4D9" w14:textId="77777777" w:rsidR="0070636D" w:rsidRPr="001A356F" w:rsidRDefault="0070636D" w:rsidP="00BA7703">
            <w:pPr>
              <w:spacing w:after="0" w:line="240" w:lineRule="auto"/>
              <w:jc w:val="center"/>
              <w:rPr>
                <w:color w:val="000000"/>
                <w:sz w:val="20"/>
                <w:szCs w:val="20"/>
              </w:rPr>
            </w:pPr>
            <w:r w:rsidRPr="001A356F">
              <w:rPr>
                <w:color w:val="000000"/>
                <w:sz w:val="20"/>
                <w:szCs w:val="20"/>
              </w:rPr>
              <w:t xml:space="preserve"> - </w:t>
            </w:r>
          </w:p>
        </w:tc>
        <w:tc>
          <w:tcPr>
            <w:tcW w:w="0" w:type="auto"/>
            <w:tcBorders>
              <w:top w:val="nil"/>
              <w:left w:val="nil"/>
              <w:bottom w:val="nil"/>
              <w:right w:val="nil"/>
            </w:tcBorders>
            <w:shd w:val="clear" w:color="auto" w:fill="auto"/>
            <w:noWrap/>
            <w:vAlign w:val="center"/>
            <w:hideMark/>
          </w:tcPr>
          <w:p w14:paraId="1BE35E1A" w14:textId="77777777" w:rsidR="0070636D" w:rsidRPr="001A356F" w:rsidRDefault="0070636D" w:rsidP="00BA7703">
            <w:pPr>
              <w:spacing w:after="0" w:line="240" w:lineRule="auto"/>
              <w:jc w:val="center"/>
              <w:rPr>
                <w:color w:val="000000"/>
                <w:sz w:val="20"/>
                <w:szCs w:val="20"/>
              </w:rPr>
            </w:pPr>
            <w:r w:rsidRPr="001A356F">
              <w:rPr>
                <w:color w:val="000000"/>
                <w:sz w:val="20"/>
                <w:szCs w:val="20"/>
              </w:rPr>
              <w:t xml:space="preserve"> -  </w:t>
            </w:r>
          </w:p>
        </w:tc>
        <w:tc>
          <w:tcPr>
            <w:tcW w:w="0" w:type="auto"/>
            <w:tcBorders>
              <w:top w:val="nil"/>
              <w:left w:val="nil"/>
              <w:bottom w:val="nil"/>
              <w:right w:val="nil"/>
            </w:tcBorders>
            <w:shd w:val="clear" w:color="auto" w:fill="auto"/>
            <w:noWrap/>
            <w:vAlign w:val="center"/>
            <w:hideMark/>
          </w:tcPr>
          <w:p w14:paraId="7C9DDA0B" w14:textId="77777777" w:rsidR="0070636D" w:rsidRPr="001A356F" w:rsidRDefault="0070636D" w:rsidP="00BA7703">
            <w:pPr>
              <w:spacing w:after="0" w:line="240" w:lineRule="auto"/>
              <w:ind w:firstLine="220"/>
              <w:jc w:val="center"/>
              <w:rPr>
                <w:color w:val="000000"/>
                <w:sz w:val="20"/>
                <w:szCs w:val="20"/>
              </w:rPr>
            </w:pPr>
            <w:r w:rsidRPr="001A356F">
              <w:rPr>
                <w:color w:val="000000"/>
                <w:sz w:val="20"/>
                <w:szCs w:val="20"/>
              </w:rPr>
              <w:t xml:space="preserve"> - </w:t>
            </w:r>
          </w:p>
        </w:tc>
      </w:tr>
      <w:tr w:rsidR="0070636D" w:rsidRPr="001A356F" w14:paraId="26F630EE" w14:textId="77777777" w:rsidTr="00BA7703">
        <w:trPr>
          <w:trHeight w:val="20"/>
        </w:trPr>
        <w:tc>
          <w:tcPr>
            <w:tcW w:w="2553" w:type="dxa"/>
            <w:tcBorders>
              <w:top w:val="nil"/>
              <w:left w:val="nil"/>
              <w:bottom w:val="nil"/>
              <w:right w:val="nil"/>
            </w:tcBorders>
            <w:shd w:val="clear" w:color="auto" w:fill="auto"/>
            <w:noWrap/>
            <w:vAlign w:val="bottom"/>
            <w:hideMark/>
          </w:tcPr>
          <w:p w14:paraId="21496C98"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ŠD spätný odkup (2019)</w:t>
            </w:r>
          </w:p>
        </w:tc>
        <w:tc>
          <w:tcPr>
            <w:tcW w:w="0" w:type="auto"/>
            <w:tcBorders>
              <w:top w:val="nil"/>
              <w:left w:val="nil"/>
              <w:bottom w:val="nil"/>
              <w:right w:val="nil"/>
            </w:tcBorders>
            <w:shd w:val="clear" w:color="auto" w:fill="auto"/>
            <w:noWrap/>
            <w:hideMark/>
          </w:tcPr>
          <w:p w14:paraId="18D7BF9D" w14:textId="77777777" w:rsidR="0070636D" w:rsidRPr="001A356F" w:rsidRDefault="0070636D" w:rsidP="00BA7703">
            <w:pPr>
              <w:spacing w:after="0" w:line="240" w:lineRule="auto"/>
              <w:jc w:val="right"/>
              <w:rPr>
                <w:color w:val="000000"/>
                <w:sz w:val="20"/>
                <w:szCs w:val="20"/>
              </w:rPr>
            </w:pPr>
            <w:r w:rsidRPr="001A356F">
              <w:rPr>
                <w:color w:val="000000"/>
                <w:sz w:val="20"/>
                <w:szCs w:val="20"/>
              </w:rPr>
              <w:t>0</w:t>
            </w:r>
          </w:p>
        </w:tc>
        <w:tc>
          <w:tcPr>
            <w:tcW w:w="0" w:type="auto"/>
            <w:tcBorders>
              <w:top w:val="nil"/>
              <w:left w:val="nil"/>
              <w:bottom w:val="nil"/>
              <w:right w:val="nil"/>
            </w:tcBorders>
            <w:shd w:val="clear" w:color="auto" w:fill="auto"/>
            <w:noWrap/>
            <w:vAlign w:val="center"/>
            <w:hideMark/>
          </w:tcPr>
          <w:p w14:paraId="27DEACF3"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c>
          <w:tcPr>
            <w:tcW w:w="0" w:type="auto"/>
            <w:tcBorders>
              <w:top w:val="nil"/>
              <w:left w:val="nil"/>
              <w:bottom w:val="nil"/>
              <w:right w:val="nil"/>
            </w:tcBorders>
            <w:shd w:val="clear" w:color="auto" w:fill="auto"/>
            <w:noWrap/>
            <w:vAlign w:val="center"/>
            <w:hideMark/>
          </w:tcPr>
          <w:p w14:paraId="249DA19F"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c>
          <w:tcPr>
            <w:tcW w:w="0" w:type="auto"/>
            <w:tcBorders>
              <w:top w:val="nil"/>
              <w:left w:val="nil"/>
              <w:bottom w:val="nil"/>
              <w:right w:val="nil"/>
            </w:tcBorders>
            <w:shd w:val="clear" w:color="auto" w:fill="auto"/>
            <w:noWrap/>
            <w:vAlign w:val="center"/>
            <w:hideMark/>
          </w:tcPr>
          <w:p w14:paraId="4E4E2535" w14:textId="77777777" w:rsidR="0070636D" w:rsidRPr="001A356F" w:rsidRDefault="0070636D" w:rsidP="00BA7703">
            <w:pPr>
              <w:spacing w:after="0" w:line="240" w:lineRule="auto"/>
              <w:jc w:val="center"/>
              <w:rPr>
                <w:color w:val="000000"/>
                <w:sz w:val="20"/>
                <w:szCs w:val="20"/>
              </w:rPr>
            </w:pPr>
            <w:r w:rsidRPr="001A356F">
              <w:rPr>
                <w:color w:val="000000"/>
                <w:sz w:val="20"/>
                <w:szCs w:val="20"/>
              </w:rPr>
              <w:t>-</w:t>
            </w:r>
          </w:p>
        </w:tc>
      </w:tr>
      <w:tr w:rsidR="0070636D" w:rsidRPr="001A356F" w14:paraId="40168FA7" w14:textId="77777777" w:rsidTr="001226BB">
        <w:trPr>
          <w:trHeight w:val="20"/>
        </w:trPr>
        <w:tc>
          <w:tcPr>
            <w:tcW w:w="2553" w:type="dxa"/>
            <w:tcBorders>
              <w:top w:val="nil"/>
              <w:left w:val="nil"/>
              <w:bottom w:val="single" w:sz="4" w:space="0" w:color="auto"/>
              <w:right w:val="nil"/>
            </w:tcBorders>
            <w:shd w:val="clear" w:color="auto" w:fill="auto"/>
            <w:noWrap/>
            <w:vAlign w:val="bottom"/>
            <w:hideMark/>
          </w:tcPr>
          <w:p w14:paraId="4DBFE9A9" w14:textId="77777777" w:rsidR="0070636D" w:rsidRPr="001A356F" w:rsidRDefault="0070636D" w:rsidP="00BA7703">
            <w:pPr>
              <w:spacing w:after="0" w:line="240" w:lineRule="auto"/>
              <w:ind w:firstLineChars="100" w:firstLine="200"/>
              <w:rPr>
                <w:color w:val="000000"/>
                <w:sz w:val="20"/>
                <w:szCs w:val="20"/>
              </w:rPr>
            </w:pPr>
            <w:r w:rsidRPr="001A356F">
              <w:rPr>
                <w:color w:val="000000"/>
                <w:sz w:val="20"/>
                <w:szCs w:val="20"/>
              </w:rPr>
              <w:t>ŠD spätný odkup (2018)</w:t>
            </w:r>
          </w:p>
        </w:tc>
        <w:tc>
          <w:tcPr>
            <w:tcW w:w="0" w:type="auto"/>
            <w:tcBorders>
              <w:top w:val="nil"/>
              <w:left w:val="nil"/>
              <w:bottom w:val="single" w:sz="4" w:space="0" w:color="auto"/>
              <w:right w:val="nil"/>
            </w:tcBorders>
            <w:shd w:val="clear" w:color="auto" w:fill="auto"/>
            <w:noWrap/>
            <w:hideMark/>
          </w:tcPr>
          <w:p w14:paraId="5673D202" w14:textId="77777777" w:rsidR="0070636D" w:rsidRPr="001A356F" w:rsidRDefault="0070636D" w:rsidP="00BA7703">
            <w:pPr>
              <w:spacing w:after="0" w:line="240" w:lineRule="auto"/>
              <w:jc w:val="right"/>
              <w:rPr>
                <w:color w:val="000000"/>
                <w:sz w:val="20"/>
                <w:szCs w:val="20"/>
              </w:rPr>
            </w:pPr>
            <w:r w:rsidRPr="001A356F">
              <w:rPr>
                <w:color w:val="000000"/>
                <w:sz w:val="20"/>
                <w:szCs w:val="20"/>
              </w:rPr>
              <w:t>-188 509</w:t>
            </w:r>
          </w:p>
        </w:tc>
        <w:tc>
          <w:tcPr>
            <w:tcW w:w="0" w:type="auto"/>
            <w:tcBorders>
              <w:top w:val="nil"/>
              <w:left w:val="nil"/>
              <w:bottom w:val="single" w:sz="4" w:space="0" w:color="auto"/>
              <w:right w:val="nil"/>
            </w:tcBorders>
            <w:shd w:val="clear" w:color="auto" w:fill="auto"/>
            <w:noWrap/>
            <w:vAlign w:val="center"/>
            <w:hideMark/>
          </w:tcPr>
          <w:p w14:paraId="344C79DC" w14:textId="77777777" w:rsidR="0070636D" w:rsidRPr="001A356F" w:rsidRDefault="0070636D" w:rsidP="00BA7703">
            <w:pPr>
              <w:spacing w:after="0" w:line="240" w:lineRule="auto"/>
              <w:jc w:val="center"/>
              <w:rPr>
                <w:color w:val="000000"/>
                <w:sz w:val="20"/>
                <w:szCs w:val="20"/>
              </w:rPr>
            </w:pPr>
            <w:r w:rsidRPr="001A356F">
              <w:rPr>
                <w:color w:val="000000"/>
                <w:sz w:val="20"/>
                <w:szCs w:val="20"/>
              </w:rPr>
              <w:t>-0,31%</w:t>
            </w:r>
          </w:p>
        </w:tc>
        <w:tc>
          <w:tcPr>
            <w:tcW w:w="0" w:type="auto"/>
            <w:tcBorders>
              <w:top w:val="nil"/>
              <w:left w:val="nil"/>
              <w:bottom w:val="single" w:sz="4" w:space="0" w:color="auto"/>
              <w:right w:val="nil"/>
            </w:tcBorders>
            <w:shd w:val="clear" w:color="auto" w:fill="auto"/>
            <w:noWrap/>
            <w:vAlign w:val="center"/>
            <w:hideMark/>
          </w:tcPr>
          <w:p w14:paraId="74EBAC4F" w14:textId="77777777" w:rsidR="0070636D" w:rsidRPr="001A356F" w:rsidRDefault="0070636D" w:rsidP="00BA7703">
            <w:pPr>
              <w:spacing w:after="0" w:line="240" w:lineRule="auto"/>
              <w:jc w:val="center"/>
              <w:rPr>
                <w:color w:val="000000"/>
                <w:sz w:val="20"/>
                <w:szCs w:val="20"/>
              </w:rPr>
            </w:pPr>
            <w:r w:rsidRPr="001A356F">
              <w:rPr>
                <w:color w:val="000000"/>
                <w:sz w:val="20"/>
                <w:szCs w:val="20"/>
              </w:rPr>
              <w:t>0,6</w:t>
            </w:r>
          </w:p>
        </w:tc>
        <w:tc>
          <w:tcPr>
            <w:tcW w:w="0" w:type="auto"/>
            <w:tcBorders>
              <w:top w:val="nil"/>
              <w:left w:val="nil"/>
              <w:bottom w:val="single" w:sz="4" w:space="0" w:color="auto"/>
              <w:right w:val="nil"/>
            </w:tcBorders>
            <w:shd w:val="clear" w:color="auto" w:fill="auto"/>
            <w:noWrap/>
            <w:vAlign w:val="center"/>
            <w:hideMark/>
          </w:tcPr>
          <w:p w14:paraId="103E462B" w14:textId="77777777" w:rsidR="0070636D" w:rsidRPr="001A356F" w:rsidRDefault="0070636D" w:rsidP="00BA7703">
            <w:pPr>
              <w:spacing w:after="0" w:line="240" w:lineRule="auto"/>
              <w:jc w:val="center"/>
              <w:rPr>
                <w:color w:val="000000"/>
                <w:sz w:val="20"/>
                <w:szCs w:val="20"/>
              </w:rPr>
            </w:pPr>
            <w:r w:rsidRPr="001A356F">
              <w:rPr>
                <w:color w:val="000000"/>
                <w:sz w:val="20"/>
                <w:szCs w:val="20"/>
              </w:rPr>
              <w:t>fixná</w:t>
            </w:r>
          </w:p>
        </w:tc>
      </w:tr>
      <w:tr w:rsidR="0070636D" w:rsidRPr="001A356F" w14:paraId="7FCE2E94" w14:textId="77777777" w:rsidTr="001226BB">
        <w:trPr>
          <w:trHeight w:val="20"/>
        </w:trPr>
        <w:tc>
          <w:tcPr>
            <w:tcW w:w="2553" w:type="dxa"/>
            <w:tcBorders>
              <w:top w:val="single" w:sz="4" w:space="0" w:color="auto"/>
              <w:left w:val="nil"/>
              <w:bottom w:val="single" w:sz="4" w:space="0" w:color="auto"/>
              <w:right w:val="nil"/>
            </w:tcBorders>
            <w:shd w:val="clear" w:color="auto" w:fill="BFBFBF" w:themeFill="background1" w:themeFillShade="BF"/>
            <w:noWrap/>
            <w:vAlign w:val="bottom"/>
            <w:hideMark/>
          </w:tcPr>
          <w:p w14:paraId="3C91BDB4" w14:textId="77777777" w:rsidR="0070636D" w:rsidRPr="001A356F" w:rsidRDefault="0070636D" w:rsidP="00BA7703">
            <w:pPr>
              <w:spacing w:after="0" w:line="240" w:lineRule="auto"/>
              <w:ind w:firstLineChars="100" w:firstLine="201"/>
              <w:rPr>
                <w:b/>
                <w:color w:val="000000"/>
                <w:sz w:val="20"/>
                <w:szCs w:val="20"/>
              </w:rPr>
            </w:pPr>
            <w:r w:rsidRPr="001A356F">
              <w:rPr>
                <w:b/>
                <w:color w:val="000000"/>
                <w:sz w:val="20"/>
                <w:szCs w:val="20"/>
              </w:rPr>
              <w:t>Čistý dlh</w:t>
            </w:r>
          </w:p>
        </w:tc>
        <w:tc>
          <w:tcPr>
            <w:tcW w:w="0" w:type="auto"/>
            <w:tcBorders>
              <w:top w:val="single" w:sz="4" w:space="0" w:color="auto"/>
              <w:left w:val="nil"/>
              <w:bottom w:val="single" w:sz="4" w:space="0" w:color="auto"/>
              <w:right w:val="nil"/>
            </w:tcBorders>
            <w:shd w:val="clear" w:color="auto" w:fill="BFBFBF" w:themeFill="background1" w:themeFillShade="BF"/>
            <w:noWrap/>
            <w:hideMark/>
          </w:tcPr>
          <w:p w14:paraId="3E277988" w14:textId="77777777" w:rsidR="0070636D" w:rsidRPr="001A356F" w:rsidRDefault="0070636D" w:rsidP="00BA7703">
            <w:pPr>
              <w:spacing w:after="0" w:line="240" w:lineRule="auto"/>
              <w:ind w:firstLine="220"/>
              <w:jc w:val="right"/>
              <w:rPr>
                <w:b/>
                <w:color w:val="000000"/>
                <w:sz w:val="20"/>
                <w:szCs w:val="20"/>
              </w:rPr>
            </w:pPr>
            <w:r w:rsidRPr="001A356F">
              <w:rPr>
                <w:b/>
                <w:color w:val="000000"/>
                <w:sz w:val="20"/>
                <w:szCs w:val="20"/>
              </w:rPr>
              <w:t>4 201 500</w:t>
            </w:r>
          </w:p>
        </w:tc>
        <w:tc>
          <w:tcPr>
            <w:tcW w:w="0" w:type="auto"/>
            <w:tcBorders>
              <w:top w:val="single" w:sz="4" w:space="0" w:color="auto"/>
              <w:left w:val="nil"/>
              <w:bottom w:val="single" w:sz="4" w:space="0" w:color="auto"/>
              <w:right w:val="nil"/>
            </w:tcBorders>
            <w:shd w:val="clear" w:color="auto" w:fill="BFBFBF" w:themeFill="background1" w:themeFillShade="BF"/>
            <w:noWrap/>
            <w:vAlign w:val="center"/>
            <w:hideMark/>
          </w:tcPr>
          <w:p w14:paraId="0B6E39C4" w14:textId="77777777" w:rsidR="0070636D" w:rsidRPr="001A356F" w:rsidRDefault="0070636D" w:rsidP="00BA7703">
            <w:pPr>
              <w:spacing w:after="0" w:line="240" w:lineRule="auto"/>
              <w:ind w:firstLine="220"/>
              <w:jc w:val="center"/>
              <w:rPr>
                <w:color w:val="000000"/>
                <w:sz w:val="20"/>
                <w:szCs w:val="20"/>
              </w:rPr>
            </w:pPr>
            <w:r w:rsidRPr="001A356F">
              <w:rPr>
                <w:color w:val="000000"/>
                <w:sz w:val="20"/>
                <w:szCs w:val="20"/>
              </w:rPr>
              <w:t>-</w:t>
            </w:r>
          </w:p>
        </w:tc>
        <w:tc>
          <w:tcPr>
            <w:tcW w:w="0" w:type="auto"/>
            <w:tcBorders>
              <w:top w:val="single" w:sz="4" w:space="0" w:color="auto"/>
              <w:left w:val="nil"/>
              <w:bottom w:val="single" w:sz="4" w:space="0" w:color="auto"/>
              <w:right w:val="nil"/>
            </w:tcBorders>
            <w:shd w:val="clear" w:color="auto" w:fill="BFBFBF" w:themeFill="background1" w:themeFillShade="BF"/>
            <w:noWrap/>
            <w:vAlign w:val="center"/>
            <w:hideMark/>
          </w:tcPr>
          <w:p w14:paraId="1EAAC223" w14:textId="77777777" w:rsidR="0070636D" w:rsidRPr="001A356F" w:rsidRDefault="0070636D" w:rsidP="00BA7703">
            <w:pPr>
              <w:spacing w:after="0" w:line="240" w:lineRule="auto"/>
              <w:ind w:firstLine="220"/>
              <w:jc w:val="center"/>
              <w:rPr>
                <w:color w:val="000000"/>
                <w:sz w:val="20"/>
                <w:szCs w:val="20"/>
              </w:rPr>
            </w:pPr>
            <w:r w:rsidRPr="001A356F">
              <w:rPr>
                <w:color w:val="000000"/>
                <w:sz w:val="20"/>
                <w:szCs w:val="20"/>
              </w:rPr>
              <w:t>-</w:t>
            </w:r>
          </w:p>
        </w:tc>
        <w:tc>
          <w:tcPr>
            <w:tcW w:w="0" w:type="auto"/>
            <w:tcBorders>
              <w:top w:val="single" w:sz="4" w:space="0" w:color="auto"/>
              <w:left w:val="nil"/>
              <w:bottom w:val="single" w:sz="4" w:space="0" w:color="auto"/>
              <w:right w:val="nil"/>
            </w:tcBorders>
            <w:shd w:val="clear" w:color="auto" w:fill="BFBFBF" w:themeFill="background1" w:themeFillShade="BF"/>
            <w:noWrap/>
            <w:vAlign w:val="center"/>
            <w:hideMark/>
          </w:tcPr>
          <w:p w14:paraId="17E67975" w14:textId="77777777" w:rsidR="0070636D" w:rsidRPr="001A356F" w:rsidRDefault="0070636D" w:rsidP="00BA7703">
            <w:pPr>
              <w:spacing w:after="0" w:line="240" w:lineRule="auto"/>
              <w:ind w:firstLine="220"/>
              <w:jc w:val="center"/>
              <w:rPr>
                <w:color w:val="000000"/>
                <w:sz w:val="20"/>
                <w:szCs w:val="20"/>
              </w:rPr>
            </w:pPr>
            <w:r w:rsidRPr="001A356F">
              <w:rPr>
                <w:color w:val="000000"/>
                <w:sz w:val="20"/>
                <w:szCs w:val="20"/>
              </w:rPr>
              <w:t>-</w:t>
            </w:r>
          </w:p>
        </w:tc>
      </w:tr>
    </w:tbl>
    <w:p w14:paraId="7C556C02" w14:textId="07E54769" w:rsidR="0047355A" w:rsidRPr="0047355A" w:rsidRDefault="0047355A" w:rsidP="0047355A">
      <w:pPr>
        <w:spacing w:after="120" w:line="336" w:lineRule="auto"/>
        <w:jc w:val="right"/>
        <w:rPr>
          <w:sz w:val="20"/>
          <w:szCs w:val="20"/>
        </w:rPr>
      </w:pPr>
      <w:r w:rsidRPr="0047355A">
        <w:rPr>
          <w:sz w:val="20"/>
          <w:szCs w:val="20"/>
        </w:rPr>
        <w:t>Zdroj: MF SR</w:t>
      </w:r>
    </w:p>
    <w:p w14:paraId="23DDE2FF" w14:textId="77777777" w:rsidR="0070636D" w:rsidRDefault="0070636D" w:rsidP="0070636D">
      <w:pPr>
        <w:spacing w:before="240" w:after="120" w:line="336" w:lineRule="auto"/>
        <w:jc w:val="both"/>
      </w:pPr>
      <w:r w:rsidRPr="002D54E0">
        <w:t>Štruktúra prezentovaných priemerných úrokov (nákladov) a splatností zodpovedá jednotlivým druhom cenných papierov, ktoré boli v rámci svojej kategórie agregované. „ŠD fix“ označuje dl</w:t>
      </w:r>
      <w:r>
        <w:t>hopis s pevnou úrokovou sadzbou,</w:t>
      </w:r>
      <w:r w:rsidRPr="002D54E0">
        <w:t xml:space="preserve"> „ŠD float“ dlhopis s plávajúcou úrokovou sadzbou, kde náklad tvorí meniaca sa sadzba (6M EURIBOR) a prirážka. „ŠD spätn</w:t>
      </w:r>
      <w:r>
        <w:t>ý</w:t>
      </w:r>
      <w:r w:rsidRPr="002D54E0">
        <w:t xml:space="preserve"> odkup</w:t>
      </w:r>
      <w:r>
        <w:t xml:space="preserve"> (2019/2018)</w:t>
      </w:r>
      <w:r w:rsidRPr="002D54E0">
        <w:t xml:space="preserve">“ označujú predčasné umorenie </w:t>
      </w:r>
      <w:r>
        <w:t xml:space="preserve">(2019/2018) </w:t>
      </w:r>
      <w:r w:rsidRPr="002D54E0">
        <w:t xml:space="preserve">štátnych dlhopisov pôvodne splatných v neskoršom období. Tieto transakcie fakticky </w:t>
      </w:r>
      <w:r>
        <w:t xml:space="preserve">môžu </w:t>
      </w:r>
      <w:r w:rsidRPr="002D54E0">
        <w:t>zníži</w:t>
      </w:r>
      <w:r>
        <w:t>ť</w:t>
      </w:r>
      <w:r w:rsidRPr="002D54E0">
        <w:t xml:space="preserve"> dlh v roku 201</w:t>
      </w:r>
      <w:r>
        <w:t>9 (resp. v priebehu roka 2018)</w:t>
      </w:r>
      <w:r w:rsidRPr="002D54E0">
        <w:t>, a preto je v tabuľke uvedený dlh v hrubom vyjadrení aj ako čistá pozícia.</w:t>
      </w:r>
      <w:r>
        <w:t xml:space="preserve"> V roku 2018 však spätné odkupy nemali vplyv na rozdiel medzi čistým a hrubým dlhom k 31.12.2018. </w:t>
      </w:r>
      <w:r w:rsidRPr="002D54E0">
        <w:t xml:space="preserve">Vážená priemerná úroková sadzba všetkých </w:t>
      </w:r>
      <w:r>
        <w:t>dlhopisov „živých“ v roku 2018</w:t>
      </w:r>
      <w:r w:rsidRPr="002D54E0">
        <w:t xml:space="preserve"> </w:t>
      </w:r>
      <w:r>
        <w:t xml:space="preserve">sa znížila </w:t>
      </w:r>
      <w:r w:rsidRPr="002D54E0">
        <w:t xml:space="preserve">približne </w:t>
      </w:r>
      <w:r>
        <w:t>o 0,16 p. b. oproti</w:t>
      </w:r>
      <w:r w:rsidRPr="002D54E0">
        <w:t> roku 201</w:t>
      </w:r>
      <w:r>
        <w:t>7</w:t>
      </w:r>
      <w:r w:rsidRPr="002D54E0">
        <w:t>, a to na úrov</w:t>
      </w:r>
      <w:r>
        <w:t>eň 2</w:t>
      </w:r>
      <w:r w:rsidRPr="002D54E0">
        <w:t>,</w:t>
      </w:r>
      <w:r>
        <w:t>76 </w:t>
      </w:r>
      <w:r w:rsidRPr="002D54E0">
        <w:t xml:space="preserve">%. </w:t>
      </w:r>
      <w:r>
        <w:t xml:space="preserve">Zmenu spôsobil pokles </w:t>
      </w:r>
      <w:r w:rsidRPr="002D54E0">
        <w:t>priem</w:t>
      </w:r>
      <w:r>
        <w:t>erného nákladového úroku pri dlhopisoch s fixnou úrokovou sadzbou.</w:t>
      </w:r>
    </w:p>
    <w:p w14:paraId="564E8F45" w14:textId="77777777" w:rsidR="0070636D" w:rsidRDefault="0070636D">
      <w:pPr>
        <w:rPr>
          <w:b/>
          <w:bCs/>
          <w:sz w:val="26"/>
          <w:szCs w:val="26"/>
          <w:highlight w:val="yellow"/>
        </w:rPr>
      </w:pPr>
      <w:bookmarkStart w:id="46" w:name="_Toc401920023"/>
      <w:bookmarkStart w:id="47" w:name="_Toc465255024"/>
      <w:bookmarkStart w:id="48" w:name="_Toc495990492"/>
      <w:r>
        <w:rPr>
          <w:highlight w:val="yellow"/>
        </w:rPr>
        <w:br w:type="page"/>
      </w:r>
    </w:p>
    <w:p w14:paraId="710AEC9B" w14:textId="4FD26A8D" w:rsidR="00A544B6" w:rsidRPr="00196FE5" w:rsidRDefault="00AE09B9" w:rsidP="00AE09B9">
      <w:pPr>
        <w:pStyle w:val="Nadpis1"/>
        <w:numPr>
          <w:ilvl w:val="0"/>
          <w:numId w:val="0"/>
        </w:numPr>
        <w:ind w:left="1495" w:hanging="360"/>
        <w:rPr>
          <w:rFonts w:eastAsia="Times New Roman"/>
        </w:rPr>
      </w:pPr>
      <w:bookmarkStart w:id="49" w:name="_Toc23264804"/>
      <w:r w:rsidRPr="00196FE5">
        <w:rPr>
          <w:rFonts w:eastAsia="Times New Roman"/>
        </w:rPr>
        <w:t xml:space="preserve">3. </w:t>
      </w:r>
      <w:r w:rsidR="00A544B6" w:rsidRPr="00196FE5">
        <w:rPr>
          <w:rFonts w:eastAsia="Times New Roman"/>
        </w:rPr>
        <w:t>Čisté bohatstvo</w:t>
      </w:r>
      <w:bookmarkEnd w:id="42"/>
      <w:bookmarkEnd w:id="46"/>
      <w:bookmarkEnd w:id="47"/>
      <w:bookmarkEnd w:id="48"/>
      <w:bookmarkEnd w:id="49"/>
    </w:p>
    <w:p w14:paraId="4B23EA5F" w14:textId="77777777" w:rsidR="00C25021" w:rsidRPr="00196FE5" w:rsidRDefault="007D1AB6" w:rsidP="00C25021">
      <w:pPr>
        <w:spacing w:after="120" w:line="336" w:lineRule="auto"/>
        <w:jc w:val="both"/>
      </w:pPr>
      <w:r w:rsidRPr="00196FE5">
        <w:rPr>
          <w:rFonts w:eastAsia="Cambria"/>
        </w:rPr>
        <w:t>Prvé dve kapitoly súhrnnej výročnej správy hodnotia hospodárenie verejných financií z pohľadu sektora verejnej správy tak, ako ho definuje Eurostat v metodike ESA. Tento pohľad je v podmienkach krajín EÚ najviac zaužívaný kvôli tomu, že európske fiškálne pravidlá</w:t>
      </w:r>
      <w:r w:rsidRPr="00196FE5">
        <w:rPr>
          <w:rStyle w:val="Odkaznapoznmkupodiarou"/>
        </w:rPr>
        <w:footnoteReference w:id="20"/>
      </w:r>
      <w:r w:rsidRPr="00196FE5">
        <w:rPr>
          <w:rFonts w:eastAsia="Cambria"/>
        </w:rPr>
        <w:t xml:space="preserve"> sú formulované pre verejnú správu a národné rozpočty väčšiny krajín sú zostavované v súčasnosti tiež za okruh verejnej správy a v tejto metodike. </w:t>
      </w:r>
      <w:r w:rsidRPr="00196FE5">
        <w:rPr>
          <w:rFonts w:eastAsia="Cambria"/>
          <w:b/>
        </w:rPr>
        <w:t>Táto kapitola rozširuje pohľad na verejné financie z verejnej správy na verejný sektor a jeho hlavný ukazovateľ čisté bohatstvo.</w:t>
      </w:r>
      <w:r w:rsidRPr="00196FE5">
        <w:rPr>
          <w:rFonts w:eastAsia="Cambria"/>
        </w:rPr>
        <w:t xml:space="preserve"> Povinnosť prezentovať v súhrnnej výročnej správe čisté bohatstvo a tiež informácie o hospodárení podnikov štátnej správy vyplýva z ústavného zákona o rozpočtovej zodpovednosti, pričom </w:t>
      </w:r>
      <w:r w:rsidRPr="00196FE5">
        <w:rPr>
          <w:rFonts w:eastAsia="Cambria"/>
          <w:b/>
        </w:rPr>
        <w:t>dôraz je kladený na vysvetlenie medziročných zmien položiek čistého bohatstva.</w:t>
      </w:r>
    </w:p>
    <w:p w14:paraId="3BE3264A" w14:textId="77777777" w:rsidR="00A544B6" w:rsidRPr="003704C2" w:rsidRDefault="00AE09B9" w:rsidP="00AE09B9">
      <w:pPr>
        <w:pStyle w:val="Nadpis2"/>
        <w:numPr>
          <w:ilvl w:val="1"/>
          <w:numId w:val="31"/>
        </w:numPr>
      </w:pPr>
      <w:bookmarkStart w:id="50" w:name="_Toc399324370"/>
      <w:bookmarkStart w:id="51" w:name="_Toc401920024"/>
      <w:bookmarkStart w:id="52" w:name="_Toc465255025"/>
      <w:bookmarkStart w:id="53" w:name="_Toc495990493"/>
      <w:r w:rsidRPr="003704C2">
        <w:t xml:space="preserve"> </w:t>
      </w:r>
      <w:bookmarkStart w:id="54" w:name="_Toc23264805"/>
      <w:r w:rsidR="00A544B6" w:rsidRPr="003704C2">
        <w:t>Koncept čistého bohatstva</w:t>
      </w:r>
      <w:bookmarkEnd w:id="50"/>
      <w:bookmarkEnd w:id="51"/>
      <w:bookmarkEnd w:id="52"/>
      <w:bookmarkEnd w:id="53"/>
      <w:bookmarkEnd w:id="54"/>
    </w:p>
    <w:p w14:paraId="1440AE51" w14:textId="77777777" w:rsidR="007D1AB6" w:rsidRPr="003704C2" w:rsidRDefault="007D1AB6" w:rsidP="007D1AB6">
      <w:pPr>
        <w:spacing w:after="120" w:line="336" w:lineRule="auto"/>
        <w:jc w:val="both"/>
        <w:rPr>
          <w:rFonts w:eastAsia="Cambria"/>
        </w:rPr>
      </w:pPr>
      <w:r w:rsidRPr="003704C2">
        <w:rPr>
          <w:rFonts w:eastAsia="Cambria"/>
          <w:b/>
        </w:rPr>
        <w:t>Verejný sektor</w:t>
      </w:r>
      <w:r w:rsidRPr="003704C2">
        <w:rPr>
          <w:rFonts w:eastAsia="Cambria"/>
        </w:rPr>
        <w:t xml:space="preserve"> je širší pojem ako verejná správa, nad rámec sektora verejnej správy zahŕňa aj podniky verejnej správy a Národnú banku Slovenska. V podmienkach Slovenska je verejný sektor definovaný ústavným zákonom o rozpočtovej zodpovednosti z dôvodu potreby vyčíslenia čistého bohatstva SR. </w:t>
      </w:r>
    </w:p>
    <w:p w14:paraId="106C0D34" w14:textId="77777777" w:rsidR="007D1AB6" w:rsidRPr="003704C2" w:rsidRDefault="007D1AB6" w:rsidP="007D1AB6">
      <w:pPr>
        <w:spacing w:after="120" w:line="336" w:lineRule="auto"/>
        <w:jc w:val="both"/>
        <w:rPr>
          <w:rFonts w:eastAsia="Cambria"/>
          <w:i/>
        </w:rPr>
      </w:pPr>
      <w:r w:rsidRPr="003704C2">
        <w:rPr>
          <w:rFonts w:eastAsia="Cambria"/>
          <w:b/>
        </w:rPr>
        <w:t>Čisté bohatstvo</w:t>
      </w:r>
      <w:r w:rsidRPr="003704C2">
        <w:rPr>
          <w:rFonts w:eastAsia="Cambria"/>
        </w:rPr>
        <w:t xml:space="preserve"> popisuje stav hospodárenia verejného sektora ku koncu roka. </w:t>
      </w:r>
      <w:r w:rsidRPr="003704C2">
        <w:t>P</w:t>
      </w:r>
      <w:r w:rsidRPr="003704C2">
        <w:rPr>
          <w:rFonts w:eastAsia="Cambria"/>
        </w:rPr>
        <w:t xml:space="preserve">odľa ústavného zákona o rozpočtovej zodpovednosti sa pod čistým bohatstvom rozumie: </w:t>
      </w:r>
      <w:r w:rsidRPr="003704C2">
        <w:rPr>
          <w:rFonts w:eastAsia="Cambria"/>
          <w:i/>
        </w:rPr>
        <w:t>súčet vlastného imania subjektov verejnej správy, vlastného imania Národnej banky Slovenska, vlastného imania podnikov</w:t>
      </w:r>
      <w:r w:rsidR="00E44CC8" w:rsidRPr="003704C2">
        <w:rPr>
          <w:rFonts w:eastAsia="Cambria"/>
          <w:i/>
        </w:rPr>
        <w:t xml:space="preserve"> štátnej správy a podnikov miestn</w:t>
      </w:r>
      <w:r w:rsidRPr="003704C2">
        <w:rPr>
          <w:rFonts w:eastAsia="Cambria"/>
          <w:i/>
        </w:rPr>
        <w:t>ej samosprávy, upravený o implicitné záväzky, iné aktíva a iné pasíva vrátane podmienených záväzkov.</w:t>
      </w:r>
    </w:p>
    <w:p w14:paraId="1C434B13" w14:textId="77777777" w:rsidR="007D1AB6" w:rsidRPr="003704C2" w:rsidRDefault="007D1AB6" w:rsidP="007D1AB6">
      <w:pPr>
        <w:spacing w:after="120" w:line="336" w:lineRule="auto"/>
        <w:jc w:val="both"/>
        <w:rPr>
          <w:szCs w:val="22"/>
        </w:rPr>
      </w:pPr>
      <w:r w:rsidRPr="003704C2">
        <w:rPr>
          <w:szCs w:val="22"/>
        </w:rPr>
        <w:t xml:space="preserve">Čisté bohatstvo má špecifickú štruktúru, a preto je veľmi dôležitá jeho správna interpretácia. Pri veľkosti čistého bohatstva má význam analyzovať len jednotlivé zložky jeho štruktúry, ako napríklad vlastné imanie podnikov, podmienené záväzky, či implicitné záväzky, pretože tie majú z ekonomického hľadiska samostatnú vypovedaciu schopnosť. Čisté bohatstvo treba vnímať ako komplex všetkých typov ukazovateľov, ktoré je podstatné sledovať z hľadiska finančnej stability a bohatstva štátu. </w:t>
      </w:r>
    </w:p>
    <w:p w14:paraId="5CA3E0CE" w14:textId="77777777" w:rsidR="00B650C1" w:rsidRPr="003704C2" w:rsidRDefault="007D1AB6" w:rsidP="007D1AB6">
      <w:pPr>
        <w:spacing w:after="120" w:line="336" w:lineRule="auto"/>
        <w:jc w:val="both"/>
      </w:pPr>
      <w:r w:rsidRPr="003704C2">
        <w:t>Analýza a vysvetlenie medziročných zmien zložiek čistého bohatstva poskytujú dôležité informácie o hospodárení štátu, ktoré nemusí zachytiť tradičný pohľad na saldo a dlh verejnej správy. Existujú totiž politiky a transakcie, ktoré sa z metodických dôvodov nemusia prejaviť na salde a dlhu verejnej správy, ale majú negatívny alebo naopak pozitívny vplyv na čisté bohatstvo štátu. Koncept čistého bohatstva teda umožňuje predovšetkým kvalitnejšie zhodnotenie hospodárskej politiky štátu z pohľadu verejných financií.</w:t>
      </w:r>
    </w:p>
    <w:p w14:paraId="15F434ED" w14:textId="77777777" w:rsidR="00B650C1" w:rsidRPr="00700A8C" w:rsidRDefault="00B650C1">
      <w:pPr>
        <w:rPr>
          <w:highlight w:val="yellow"/>
        </w:rPr>
      </w:pPr>
      <w:r w:rsidRPr="00700A8C">
        <w:rPr>
          <w:highlight w:val="yellow"/>
        </w:rPr>
        <w:br w:type="page"/>
      </w:r>
    </w:p>
    <w:p w14:paraId="549F25C3" w14:textId="395C20CE" w:rsidR="008117A9" w:rsidRPr="00CC54CC" w:rsidRDefault="00AE09B9" w:rsidP="00AE09B9">
      <w:pPr>
        <w:pStyle w:val="Nadpis2"/>
        <w:numPr>
          <w:ilvl w:val="1"/>
          <w:numId w:val="31"/>
        </w:numPr>
      </w:pPr>
      <w:bookmarkStart w:id="55" w:name="_Toc399324371"/>
      <w:bookmarkStart w:id="56" w:name="_Toc401920025"/>
      <w:bookmarkStart w:id="57" w:name="_Toc495990494"/>
      <w:r w:rsidRPr="00CC54CC">
        <w:t xml:space="preserve"> </w:t>
      </w:r>
      <w:bookmarkStart w:id="58" w:name="_Toc23264806"/>
      <w:r w:rsidR="008117A9" w:rsidRPr="00CC54CC">
        <w:t>Odhad čistého bohatstva za rok 201</w:t>
      </w:r>
      <w:bookmarkEnd w:id="55"/>
      <w:bookmarkEnd w:id="56"/>
      <w:bookmarkEnd w:id="57"/>
      <w:r w:rsidR="00254DF2" w:rsidRPr="00CC54CC">
        <w:t>8</w:t>
      </w:r>
      <w:bookmarkEnd w:id="58"/>
    </w:p>
    <w:p w14:paraId="3B3985B7" w14:textId="4D9ABDA4" w:rsidR="003704C2" w:rsidRDefault="00FB260E" w:rsidP="003704C2">
      <w:pPr>
        <w:spacing w:after="120" w:line="336" w:lineRule="auto"/>
        <w:jc w:val="both"/>
      </w:pPr>
      <w:r w:rsidRPr="000C0F09">
        <w:t xml:space="preserve">Odhadnutá výška čistého bohatstva Slovenskej republiky </w:t>
      </w:r>
      <w:r w:rsidRPr="003B4A54">
        <w:t xml:space="preserve">dosiahla k 31.12.2018 zápornú hodnotu </w:t>
      </w:r>
      <w:r w:rsidRPr="003B4A54">
        <w:rPr>
          <w:b/>
        </w:rPr>
        <w:t>237 213 457</w:t>
      </w:r>
      <w:r w:rsidRPr="003B4A54">
        <w:rPr>
          <w:b/>
          <w:bCs/>
        </w:rPr>
        <w:t> </w:t>
      </w:r>
      <w:r>
        <w:rPr>
          <w:b/>
        </w:rPr>
        <w:t>tis. eur (-264,4</w:t>
      </w:r>
      <w:r w:rsidRPr="003B4A54">
        <w:rPr>
          <w:b/>
        </w:rPr>
        <w:t> % HDP)</w:t>
      </w:r>
      <w:r w:rsidRPr="003B4A54">
        <w:t xml:space="preserve">. Oproti predchádzajúcemu roku sa </w:t>
      </w:r>
      <w:r>
        <w:t>zhoršila</w:t>
      </w:r>
      <w:r w:rsidRPr="003B4A54">
        <w:t xml:space="preserve"> hodnota čistého bohatstva o</w:t>
      </w:r>
      <w:r>
        <w:t> 61 106 692</w:t>
      </w:r>
      <w:r w:rsidRPr="003B4A54">
        <w:t xml:space="preserve"> tis. eur, čím sa </w:t>
      </w:r>
      <w:r>
        <w:t>zvýšil</w:t>
      </w:r>
      <w:r w:rsidRPr="003B4A54">
        <w:t xml:space="preserve"> negatívny podiel na HDP o </w:t>
      </w:r>
      <w:r>
        <w:t>56</w:t>
      </w:r>
      <w:r w:rsidRPr="003B4A54">
        <w:t> p.</w:t>
      </w:r>
      <w:r>
        <w:t xml:space="preserve"> </w:t>
      </w:r>
      <w:r w:rsidRPr="003B4A54">
        <w:t>b</w:t>
      </w:r>
      <w:r w:rsidRPr="00FB260E">
        <w:t>.</w:t>
      </w:r>
    </w:p>
    <w:tbl>
      <w:tblPr>
        <w:tblW w:w="5000" w:type="pct"/>
        <w:tblCellMar>
          <w:left w:w="70" w:type="dxa"/>
          <w:right w:w="70" w:type="dxa"/>
        </w:tblCellMar>
        <w:tblLook w:val="04A0" w:firstRow="1" w:lastRow="0" w:firstColumn="1" w:lastColumn="0" w:noHBand="0" w:noVBand="1"/>
      </w:tblPr>
      <w:tblGrid>
        <w:gridCol w:w="4306"/>
        <w:gridCol w:w="1141"/>
        <w:gridCol w:w="1208"/>
        <w:gridCol w:w="1157"/>
        <w:gridCol w:w="1259"/>
      </w:tblGrid>
      <w:tr w:rsidR="00FB260E" w:rsidRPr="001A356F" w14:paraId="179871FC" w14:textId="77777777" w:rsidTr="00AE3790">
        <w:trPr>
          <w:trHeight w:val="420"/>
        </w:trPr>
        <w:tc>
          <w:tcPr>
            <w:tcW w:w="5000" w:type="pct"/>
            <w:gridSpan w:val="5"/>
            <w:tcBorders>
              <w:top w:val="nil"/>
              <w:left w:val="nil"/>
              <w:bottom w:val="nil"/>
              <w:right w:val="nil"/>
            </w:tcBorders>
            <w:shd w:val="clear" w:color="000000" w:fill="000000"/>
            <w:hideMark/>
          </w:tcPr>
          <w:p w14:paraId="42F6F817" w14:textId="0726ECC7" w:rsidR="00FB260E" w:rsidRPr="001A356F" w:rsidRDefault="00093C11" w:rsidP="00845918">
            <w:pPr>
              <w:spacing w:before="120" w:after="120" w:line="240" w:lineRule="auto"/>
              <w:rPr>
                <w:rFonts w:ascii="Calibri" w:hAnsi="Calibri"/>
                <w:color w:val="000000"/>
                <w:sz w:val="18"/>
                <w:szCs w:val="18"/>
                <w:lang w:eastAsia="sk-SK"/>
              </w:rPr>
            </w:pPr>
            <w:r>
              <w:rPr>
                <w:b/>
                <w:bCs/>
                <w:color w:val="FFFFFF"/>
                <w:sz w:val="18"/>
                <w:szCs w:val="18"/>
                <w:lang w:eastAsia="sk-SK"/>
              </w:rPr>
              <w:t>Odhad č</w:t>
            </w:r>
            <w:r w:rsidR="00FB260E" w:rsidRPr="001A356F">
              <w:rPr>
                <w:b/>
                <w:bCs/>
                <w:color w:val="FFFFFF"/>
                <w:sz w:val="18"/>
                <w:szCs w:val="18"/>
                <w:lang w:eastAsia="sk-SK"/>
              </w:rPr>
              <w:t>isté</w:t>
            </w:r>
            <w:r>
              <w:rPr>
                <w:b/>
                <w:bCs/>
                <w:color w:val="FFFFFF"/>
                <w:sz w:val="18"/>
                <w:szCs w:val="18"/>
                <w:lang w:eastAsia="sk-SK"/>
              </w:rPr>
              <w:t>ho</w:t>
            </w:r>
            <w:r w:rsidR="00FB260E" w:rsidRPr="001A356F">
              <w:rPr>
                <w:b/>
                <w:bCs/>
                <w:color w:val="FFFFFF"/>
                <w:sz w:val="18"/>
                <w:szCs w:val="18"/>
                <w:lang w:eastAsia="sk-SK"/>
              </w:rPr>
              <w:t xml:space="preserve"> bohatstv</w:t>
            </w:r>
            <w:r>
              <w:rPr>
                <w:b/>
                <w:bCs/>
                <w:color w:val="FFFFFF"/>
                <w:sz w:val="18"/>
                <w:szCs w:val="18"/>
                <w:lang w:eastAsia="sk-SK"/>
              </w:rPr>
              <w:t>a</w:t>
            </w:r>
            <w:r w:rsidR="00FB260E" w:rsidRPr="001A356F">
              <w:rPr>
                <w:b/>
                <w:bCs/>
                <w:color w:val="FFFFFF"/>
                <w:sz w:val="18"/>
                <w:szCs w:val="18"/>
                <w:lang w:eastAsia="sk-SK"/>
              </w:rPr>
              <w:t xml:space="preserve"> Slovenskej republiky k 31.12.2018                                                   </w:t>
            </w:r>
            <w:r w:rsidR="00AE3790" w:rsidRPr="001A356F">
              <w:rPr>
                <w:b/>
                <w:bCs/>
                <w:color w:val="FFFFFF"/>
                <w:sz w:val="18"/>
                <w:szCs w:val="18"/>
                <w:lang w:eastAsia="sk-SK"/>
              </w:rPr>
              <w:t xml:space="preserve">           </w:t>
            </w:r>
            <w:r w:rsidR="00FB260E" w:rsidRPr="001A356F">
              <w:rPr>
                <w:b/>
                <w:bCs/>
                <w:color w:val="FFFFFF"/>
                <w:sz w:val="18"/>
                <w:szCs w:val="18"/>
                <w:lang w:eastAsia="sk-SK"/>
              </w:rPr>
              <w:t xml:space="preserve">  </w:t>
            </w:r>
            <w:r w:rsidR="00845918">
              <w:rPr>
                <w:b/>
                <w:bCs/>
                <w:color w:val="FFFFFF"/>
                <w:sz w:val="18"/>
                <w:szCs w:val="18"/>
                <w:lang w:eastAsia="sk-SK"/>
              </w:rPr>
              <w:t xml:space="preserve">v % resp. </w:t>
            </w:r>
            <w:r>
              <w:rPr>
                <w:b/>
                <w:bCs/>
                <w:color w:val="FFFFFF"/>
                <w:sz w:val="18"/>
                <w:szCs w:val="18"/>
                <w:lang w:eastAsia="sk-SK"/>
              </w:rPr>
              <w:t>v tis. eur</w:t>
            </w:r>
            <w:r w:rsidR="00FB260E" w:rsidRPr="001A356F">
              <w:rPr>
                <w:rFonts w:ascii="Calibri" w:hAnsi="Calibri"/>
                <w:color w:val="000000"/>
                <w:sz w:val="18"/>
                <w:szCs w:val="18"/>
                <w:lang w:eastAsia="sk-SK"/>
              </w:rPr>
              <w:t> </w:t>
            </w:r>
          </w:p>
        </w:tc>
      </w:tr>
      <w:tr w:rsidR="00FB260E" w:rsidRPr="001A356F" w14:paraId="28018D8D" w14:textId="77777777" w:rsidTr="00FB260E">
        <w:trPr>
          <w:trHeight w:val="300"/>
        </w:trPr>
        <w:tc>
          <w:tcPr>
            <w:tcW w:w="2373" w:type="pct"/>
            <w:tcBorders>
              <w:top w:val="single" w:sz="4" w:space="0" w:color="auto"/>
              <w:left w:val="nil"/>
              <w:bottom w:val="nil"/>
              <w:right w:val="nil"/>
            </w:tcBorders>
            <w:shd w:val="clear" w:color="000000" w:fill="BFBFBF"/>
            <w:vAlign w:val="bottom"/>
            <w:hideMark/>
          </w:tcPr>
          <w:p w14:paraId="4E598C0A" w14:textId="77777777" w:rsidR="00FB260E" w:rsidRPr="001A356F" w:rsidRDefault="00FB260E" w:rsidP="00FB260E">
            <w:pPr>
              <w:spacing w:after="0" w:line="240" w:lineRule="auto"/>
              <w:rPr>
                <w:b/>
                <w:bCs/>
                <w:sz w:val="18"/>
                <w:szCs w:val="18"/>
                <w:lang w:eastAsia="sk-SK"/>
              </w:rPr>
            </w:pPr>
            <w:r w:rsidRPr="001A356F">
              <w:rPr>
                <w:b/>
                <w:bCs/>
                <w:sz w:val="18"/>
                <w:szCs w:val="18"/>
                <w:lang w:eastAsia="sk-SK"/>
              </w:rPr>
              <w:t> </w:t>
            </w:r>
          </w:p>
        </w:tc>
        <w:tc>
          <w:tcPr>
            <w:tcW w:w="629" w:type="pct"/>
            <w:tcBorders>
              <w:top w:val="single" w:sz="4" w:space="0" w:color="auto"/>
              <w:left w:val="nil"/>
              <w:bottom w:val="nil"/>
              <w:right w:val="nil"/>
            </w:tcBorders>
            <w:shd w:val="clear" w:color="000000" w:fill="BFBFBF"/>
            <w:vAlign w:val="bottom"/>
            <w:hideMark/>
          </w:tcPr>
          <w:p w14:paraId="5C5E3E03" w14:textId="77777777" w:rsidR="00FB260E" w:rsidRPr="001A356F" w:rsidRDefault="00FB260E" w:rsidP="00FB260E">
            <w:pPr>
              <w:spacing w:after="0" w:line="240" w:lineRule="auto"/>
              <w:jc w:val="right"/>
              <w:rPr>
                <w:b/>
                <w:bCs/>
                <w:sz w:val="18"/>
                <w:szCs w:val="18"/>
                <w:lang w:eastAsia="sk-SK"/>
              </w:rPr>
            </w:pPr>
            <w:r w:rsidRPr="001A356F">
              <w:rPr>
                <w:b/>
                <w:bCs/>
                <w:sz w:val="18"/>
                <w:szCs w:val="18"/>
                <w:lang w:eastAsia="sk-SK"/>
              </w:rPr>
              <w:t>31.12.2016</w:t>
            </w:r>
          </w:p>
        </w:tc>
        <w:tc>
          <w:tcPr>
            <w:tcW w:w="666" w:type="pct"/>
            <w:tcBorders>
              <w:top w:val="single" w:sz="4" w:space="0" w:color="auto"/>
              <w:left w:val="nil"/>
              <w:bottom w:val="nil"/>
              <w:right w:val="nil"/>
            </w:tcBorders>
            <w:shd w:val="clear" w:color="000000" w:fill="BFBFBF"/>
            <w:vAlign w:val="bottom"/>
            <w:hideMark/>
          </w:tcPr>
          <w:p w14:paraId="267DE5E3" w14:textId="77777777" w:rsidR="00FB260E" w:rsidRPr="001A356F" w:rsidRDefault="00FB260E" w:rsidP="00FB260E">
            <w:pPr>
              <w:spacing w:after="0" w:line="240" w:lineRule="auto"/>
              <w:jc w:val="right"/>
              <w:rPr>
                <w:b/>
                <w:bCs/>
                <w:sz w:val="18"/>
                <w:szCs w:val="18"/>
                <w:lang w:eastAsia="sk-SK"/>
              </w:rPr>
            </w:pPr>
            <w:r w:rsidRPr="001A356F">
              <w:rPr>
                <w:b/>
                <w:bCs/>
                <w:sz w:val="18"/>
                <w:szCs w:val="18"/>
                <w:lang w:eastAsia="sk-SK"/>
              </w:rPr>
              <w:t>31.12.2017</w:t>
            </w:r>
          </w:p>
        </w:tc>
        <w:tc>
          <w:tcPr>
            <w:tcW w:w="638" w:type="pct"/>
            <w:tcBorders>
              <w:top w:val="single" w:sz="4" w:space="0" w:color="auto"/>
              <w:left w:val="nil"/>
              <w:bottom w:val="nil"/>
              <w:right w:val="nil"/>
            </w:tcBorders>
            <w:shd w:val="clear" w:color="000000" w:fill="BFBFBF"/>
            <w:vAlign w:val="bottom"/>
            <w:hideMark/>
          </w:tcPr>
          <w:p w14:paraId="46E9056A" w14:textId="77777777" w:rsidR="00FB260E" w:rsidRPr="001A356F" w:rsidRDefault="00FB260E" w:rsidP="00FB260E">
            <w:pPr>
              <w:spacing w:after="0" w:line="240" w:lineRule="auto"/>
              <w:jc w:val="right"/>
              <w:rPr>
                <w:b/>
                <w:bCs/>
                <w:sz w:val="18"/>
                <w:szCs w:val="18"/>
                <w:lang w:eastAsia="sk-SK"/>
              </w:rPr>
            </w:pPr>
            <w:r w:rsidRPr="001A356F">
              <w:rPr>
                <w:b/>
                <w:bCs/>
                <w:sz w:val="18"/>
                <w:szCs w:val="18"/>
                <w:lang w:eastAsia="sk-SK"/>
              </w:rPr>
              <w:t>31.12.2018</w:t>
            </w:r>
          </w:p>
        </w:tc>
        <w:tc>
          <w:tcPr>
            <w:tcW w:w="694" w:type="pct"/>
            <w:tcBorders>
              <w:top w:val="single" w:sz="4" w:space="0" w:color="auto"/>
              <w:left w:val="nil"/>
              <w:bottom w:val="nil"/>
              <w:right w:val="nil"/>
            </w:tcBorders>
            <w:shd w:val="clear" w:color="000000" w:fill="BFBFBF"/>
            <w:vAlign w:val="bottom"/>
            <w:hideMark/>
          </w:tcPr>
          <w:p w14:paraId="74818613" w14:textId="77777777" w:rsidR="00FB260E" w:rsidRPr="001A356F" w:rsidRDefault="00FB260E" w:rsidP="00FB260E">
            <w:pPr>
              <w:spacing w:after="0" w:line="240" w:lineRule="auto"/>
              <w:jc w:val="right"/>
              <w:rPr>
                <w:b/>
                <w:bCs/>
                <w:sz w:val="18"/>
                <w:szCs w:val="18"/>
                <w:lang w:eastAsia="sk-SK"/>
              </w:rPr>
            </w:pPr>
            <w:r w:rsidRPr="001A356F">
              <w:rPr>
                <w:b/>
                <w:bCs/>
                <w:sz w:val="18"/>
                <w:szCs w:val="18"/>
                <w:lang w:eastAsia="sk-SK"/>
              </w:rPr>
              <w:t>Δ 2018-2017</w:t>
            </w:r>
          </w:p>
        </w:tc>
      </w:tr>
      <w:tr w:rsidR="00BA29DB" w:rsidRPr="00BA29DB" w14:paraId="282AB9D1" w14:textId="77777777" w:rsidTr="00FB260E">
        <w:trPr>
          <w:trHeight w:val="300"/>
        </w:trPr>
        <w:tc>
          <w:tcPr>
            <w:tcW w:w="2373" w:type="pct"/>
            <w:tcBorders>
              <w:top w:val="nil"/>
              <w:left w:val="nil"/>
              <w:bottom w:val="nil"/>
              <w:right w:val="nil"/>
            </w:tcBorders>
            <w:shd w:val="clear" w:color="auto" w:fill="auto"/>
            <w:vAlign w:val="bottom"/>
            <w:hideMark/>
          </w:tcPr>
          <w:p w14:paraId="5EA01D6F" w14:textId="77777777" w:rsidR="00FB260E" w:rsidRPr="00BA29DB" w:rsidRDefault="00FB260E" w:rsidP="00FB260E">
            <w:pPr>
              <w:spacing w:after="0" w:line="240" w:lineRule="auto"/>
              <w:rPr>
                <w:sz w:val="18"/>
                <w:szCs w:val="18"/>
                <w:lang w:eastAsia="sk-SK"/>
              </w:rPr>
            </w:pPr>
            <w:r w:rsidRPr="00BA29DB">
              <w:rPr>
                <w:sz w:val="18"/>
                <w:szCs w:val="18"/>
                <w:lang w:eastAsia="sk-SK"/>
              </w:rPr>
              <w:t>Vlastné imanie verejného sektora                               (1)</w:t>
            </w:r>
          </w:p>
        </w:tc>
        <w:tc>
          <w:tcPr>
            <w:tcW w:w="629" w:type="pct"/>
            <w:tcBorders>
              <w:top w:val="nil"/>
              <w:left w:val="nil"/>
              <w:bottom w:val="nil"/>
              <w:right w:val="nil"/>
            </w:tcBorders>
            <w:shd w:val="clear" w:color="auto" w:fill="auto"/>
            <w:vAlign w:val="bottom"/>
          </w:tcPr>
          <w:p w14:paraId="3F96028B"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-21 732 774</w:t>
            </w:r>
          </w:p>
        </w:tc>
        <w:tc>
          <w:tcPr>
            <w:tcW w:w="666" w:type="pct"/>
            <w:tcBorders>
              <w:top w:val="nil"/>
              <w:left w:val="nil"/>
              <w:bottom w:val="nil"/>
              <w:right w:val="nil"/>
            </w:tcBorders>
            <w:shd w:val="clear" w:color="auto" w:fill="auto"/>
            <w:vAlign w:val="bottom"/>
          </w:tcPr>
          <w:p w14:paraId="78EC5274" w14:textId="2CEECB48" w:rsidR="00FB260E" w:rsidRPr="00BA29DB" w:rsidRDefault="00FB260E" w:rsidP="003B5428">
            <w:pPr>
              <w:spacing w:after="0" w:line="240" w:lineRule="auto"/>
              <w:jc w:val="right"/>
              <w:rPr>
                <w:sz w:val="18"/>
                <w:szCs w:val="18"/>
                <w:lang w:eastAsia="sk-SK"/>
              </w:rPr>
            </w:pPr>
            <w:r w:rsidRPr="00BA29DB">
              <w:rPr>
                <w:sz w:val="18"/>
                <w:szCs w:val="18"/>
                <w:lang w:eastAsia="sk-SK"/>
              </w:rPr>
              <w:t>-2</w:t>
            </w:r>
            <w:r w:rsidR="003B5428" w:rsidRPr="00BA29DB">
              <w:rPr>
                <w:sz w:val="18"/>
                <w:szCs w:val="18"/>
                <w:lang w:eastAsia="sk-SK"/>
              </w:rPr>
              <w:t>2 724 593</w:t>
            </w:r>
          </w:p>
        </w:tc>
        <w:tc>
          <w:tcPr>
            <w:tcW w:w="638" w:type="pct"/>
            <w:tcBorders>
              <w:top w:val="nil"/>
              <w:left w:val="nil"/>
              <w:bottom w:val="nil"/>
              <w:right w:val="nil"/>
            </w:tcBorders>
            <w:shd w:val="clear" w:color="auto" w:fill="auto"/>
            <w:vAlign w:val="bottom"/>
          </w:tcPr>
          <w:p w14:paraId="1D2422AE"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- 26 278 126</w:t>
            </w:r>
          </w:p>
        </w:tc>
        <w:tc>
          <w:tcPr>
            <w:tcW w:w="694" w:type="pct"/>
            <w:tcBorders>
              <w:top w:val="nil"/>
              <w:left w:val="nil"/>
              <w:bottom w:val="nil"/>
              <w:right w:val="nil"/>
            </w:tcBorders>
            <w:shd w:val="clear" w:color="auto" w:fill="auto"/>
            <w:vAlign w:val="bottom"/>
          </w:tcPr>
          <w:p w14:paraId="0E532E7A" w14:textId="5AAFDB26" w:rsidR="00FB260E" w:rsidRPr="00BA29DB" w:rsidRDefault="00D45EAE" w:rsidP="001272A3">
            <w:pPr>
              <w:spacing w:after="0" w:line="240" w:lineRule="auto"/>
              <w:jc w:val="right"/>
              <w:rPr>
                <w:sz w:val="18"/>
                <w:szCs w:val="18"/>
                <w:lang w:eastAsia="sk-SK"/>
              </w:rPr>
            </w:pPr>
            <w:r w:rsidRPr="00BA29DB">
              <w:rPr>
                <w:sz w:val="18"/>
                <w:szCs w:val="18"/>
                <w:lang w:eastAsia="sk-SK"/>
              </w:rPr>
              <w:t>-</w:t>
            </w:r>
            <w:r w:rsidR="001272A3" w:rsidRPr="00BA29DB">
              <w:rPr>
                <w:sz w:val="18"/>
                <w:szCs w:val="18"/>
                <w:lang w:eastAsia="sk-SK"/>
              </w:rPr>
              <w:t>3 553 533</w:t>
            </w:r>
          </w:p>
        </w:tc>
      </w:tr>
      <w:tr w:rsidR="00BA29DB" w:rsidRPr="00BA29DB" w14:paraId="29223570" w14:textId="77777777" w:rsidTr="00FB260E">
        <w:trPr>
          <w:trHeight w:val="300"/>
        </w:trPr>
        <w:tc>
          <w:tcPr>
            <w:tcW w:w="2373" w:type="pct"/>
            <w:tcBorders>
              <w:top w:val="nil"/>
              <w:left w:val="nil"/>
              <w:bottom w:val="nil"/>
              <w:right w:val="nil"/>
            </w:tcBorders>
            <w:shd w:val="clear" w:color="auto" w:fill="auto"/>
            <w:vAlign w:val="bottom"/>
            <w:hideMark/>
          </w:tcPr>
          <w:p w14:paraId="0A2742F2" w14:textId="77777777" w:rsidR="00FB260E" w:rsidRPr="00BA29DB" w:rsidRDefault="00FB260E" w:rsidP="00FB260E">
            <w:pPr>
              <w:spacing w:after="0" w:line="240" w:lineRule="auto"/>
              <w:ind w:firstLineChars="300" w:firstLine="540"/>
              <w:rPr>
                <w:sz w:val="18"/>
                <w:szCs w:val="18"/>
                <w:lang w:eastAsia="sk-SK"/>
              </w:rPr>
            </w:pPr>
            <w:r w:rsidRPr="00BA29DB">
              <w:rPr>
                <w:sz w:val="18"/>
                <w:szCs w:val="18"/>
                <w:lang w:eastAsia="sk-SK"/>
              </w:rPr>
              <w:t>VI súhrnného celku verejnej správy</w:t>
            </w:r>
          </w:p>
        </w:tc>
        <w:tc>
          <w:tcPr>
            <w:tcW w:w="629" w:type="pct"/>
            <w:tcBorders>
              <w:top w:val="nil"/>
              <w:left w:val="nil"/>
              <w:bottom w:val="nil"/>
              <w:right w:val="nil"/>
            </w:tcBorders>
            <w:shd w:val="clear" w:color="auto" w:fill="auto"/>
            <w:vAlign w:val="bottom"/>
          </w:tcPr>
          <w:p w14:paraId="1F400459"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-18 875 763</w:t>
            </w:r>
          </w:p>
        </w:tc>
        <w:tc>
          <w:tcPr>
            <w:tcW w:w="666" w:type="pct"/>
            <w:tcBorders>
              <w:top w:val="nil"/>
              <w:left w:val="nil"/>
              <w:bottom w:val="nil"/>
              <w:right w:val="nil"/>
            </w:tcBorders>
            <w:shd w:val="clear" w:color="auto" w:fill="auto"/>
            <w:vAlign w:val="bottom"/>
          </w:tcPr>
          <w:p w14:paraId="75F39A47" w14:textId="7F063A27" w:rsidR="00FB260E" w:rsidRPr="00BA29DB" w:rsidRDefault="00FB260E" w:rsidP="003B5428">
            <w:pPr>
              <w:spacing w:after="0" w:line="240" w:lineRule="auto"/>
              <w:jc w:val="right"/>
              <w:rPr>
                <w:sz w:val="18"/>
                <w:szCs w:val="18"/>
                <w:lang w:eastAsia="sk-SK"/>
              </w:rPr>
            </w:pPr>
            <w:r w:rsidRPr="00BA29DB">
              <w:rPr>
                <w:sz w:val="18"/>
                <w:szCs w:val="18"/>
                <w:lang w:eastAsia="sk-SK"/>
              </w:rPr>
              <w:t>-</w:t>
            </w:r>
            <w:r w:rsidR="003B5428" w:rsidRPr="00BA29DB">
              <w:rPr>
                <w:sz w:val="18"/>
                <w:szCs w:val="18"/>
                <w:lang w:eastAsia="sk-SK"/>
              </w:rPr>
              <w:t>19 962 428</w:t>
            </w:r>
          </w:p>
        </w:tc>
        <w:tc>
          <w:tcPr>
            <w:tcW w:w="638" w:type="pct"/>
            <w:tcBorders>
              <w:top w:val="nil"/>
              <w:left w:val="nil"/>
              <w:bottom w:val="nil"/>
              <w:right w:val="nil"/>
            </w:tcBorders>
            <w:shd w:val="clear" w:color="auto" w:fill="auto"/>
            <w:vAlign w:val="bottom"/>
          </w:tcPr>
          <w:p w14:paraId="1D728EBB"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-23 760 933</w:t>
            </w:r>
          </w:p>
        </w:tc>
        <w:tc>
          <w:tcPr>
            <w:tcW w:w="694" w:type="pct"/>
            <w:tcBorders>
              <w:top w:val="nil"/>
              <w:left w:val="nil"/>
              <w:bottom w:val="nil"/>
              <w:right w:val="nil"/>
            </w:tcBorders>
            <w:shd w:val="clear" w:color="auto" w:fill="auto"/>
            <w:vAlign w:val="bottom"/>
            <w:hideMark/>
          </w:tcPr>
          <w:p w14:paraId="4EDA5601" w14:textId="436F7CE7" w:rsidR="00FB260E" w:rsidRPr="00BA29DB" w:rsidRDefault="00D45EAE" w:rsidP="00FB260E">
            <w:pPr>
              <w:spacing w:after="0" w:line="240" w:lineRule="auto"/>
              <w:jc w:val="right"/>
              <w:rPr>
                <w:sz w:val="18"/>
                <w:szCs w:val="18"/>
                <w:lang w:eastAsia="sk-SK"/>
              </w:rPr>
            </w:pPr>
            <w:r w:rsidRPr="00BA29DB">
              <w:rPr>
                <w:sz w:val="18"/>
                <w:szCs w:val="18"/>
                <w:lang w:eastAsia="sk-SK"/>
              </w:rPr>
              <w:t>-3 798 505</w:t>
            </w:r>
          </w:p>
        </w:tc>
      </w:tr>
      <w:tr w:rsidR="00BA29DB" w:rsidRPr="00BA29DB" w14:paraId="7183F324" w14:textId="77777777" w:rsidTr="00FB260E">
        <w:trPr>
          <w:trHeight w:val="300"/>
        </w:trPr>
        <w:tc>
          <w:tcPr>
            <w:tcW w:w="2373" w:type="pct"/>
            <w:tcBorders>
              <w:top w:val="nil"/>
              <w:left w:val="nil"/>
              <w:bottom w:val="nil"/>
              <w:right w:val="nil"/>
            </w:tcBorders>
            <w:shd w:val="clear" w:color="auto" w:fill="auto"/>
            <w:vAlign w:val="bottom"/>
            <w:hideMark/>
          </w:tcPr>
          <w:p w14:paraId="2068D1B2" w14:textId="77777777" w:rsidR="00FB260E" w:rsidRPr="00BA29DB" w:rsidRDefault="00FB260E" w:rsidP="00FB260E">
            <w:pPr>
              <w:spacing w:after="0" w:line="240" w:lineRule="auto"/>
              <w:ind w:firstLineChars="300" w:firstLine="540"/>
              <w:rPr>
                <w:sz w:val="18"/>
                <w:szCs w:val="18"/>
                <w:lang w:eastAsia="sk-SK"/>
              </w:rPr>
            </w:pPr>
            <w:r w:rsidRPr="00BA29DB">
              <w:rPr>
                <w:sz w:val="18"/>
                <w:szCs w:val="18"/>
                <w:lang w:eastAsia="sk-SK"/>
              </w:rPr>
              <w:t>VI podnikov MH Manažment, a.s.</w:t>
            </w:r>
          </w:p>
        </w:tc>
        <w:tc>
          <w:tcPr>
            <w:tcW w:w="629" w:type="pct"/>
            <w:tcBorders>
              <w:top w:val="nil"/>
              <w:left w:val="nil"/>
              <w:bottom w:val="nil"/>
              <w:right w:val="nil"/>
            </w:tcBorders>
            <w:shd w:val="clear" w:color="auto" w:fill="auto"/>
            <w:vAlign w:val="bottom"/>
            <w:hideMark/>
          </w:tcPr>
          <w:p w14:paraId="7041627E"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279 673</w:t>
            </w:r>
          </w:p>
        </w:tc>
        <w:tc>
          <w:tcPr>
            <w:tcW w:w="666" w:type="pct"/>
            <w:tcBorders>
              <w:top w:val="nil"/>
              <w:left w:val="nil"/>
              <w:bottom w:val="nil"/>
              <w:right w:val="nil"/>
            </w:tcBorders>
            <w:shd w:val="clear" w:color="auto" w:fill="auto"/>
            <w:vAlign w:val="bottom"/>
            <w:hideMark/>
          </w:tcPr>
          <w:p w14:paraId="176C6AE5"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279 711</w:t>
            </w:r>
          </w:p>
        </w:tc>
        <w:tc>
          <w:tcPr>
            <w:tcW w:w="638" w:type="pct"/>
            <w:tcBorders>
              <w:top w:val="nil"/>
              <w:left w:val="nil"/>
              <w:bottom w:val="nil"/>
              <w:right w:val="nil"/>
            </w:tcBorders>
            <w:shd w:val="clear" w:color="auto" w:fill="auto"/>
            <w:vAlign w:val="bottom"/>
          </w:tcPr>
          <w:p w14:paraId="354D950E"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274 920</w:t>
            </w:r>
          </w:p>
        </w:tc>
        <w:tc>
          <w:tcPr>
            <w:tcW w:w="694" w:type="pct"/>
            <w:tcBorders>
              <w:top w:val="nil"/>
              <w:left w:val="nil"/>
              <w:bottom w:val="nil"/>
              <w:right w:val="nil"/>
            </w:tcBorders>
            <w:shd w:val="clear" w:color="auto" w:fill="auto"/>
            <w:vAlign w:val="bottom"/>
            <w:hideMark/>
          </w:tcPr>
          <w:p w14:paraId="7C5C06F6"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 xml:space="preserve"> -4 791</w:t>
            </w:r>
          </w:p>
        </w:tc>
      </w:tr>
      <w:tr w:rsidR="00BA29DB" w:rsidRPr="00BA29DB" w14:paraId="7D974DD7" w14:textId="77777777" w:rsidTr="00FB260E">
        <w:trPr>
          <w:trHeight w:val="300"/>
        </w:trPr>
        <w:tc>
          <w:tcPr>
            <w:tcW w:w="2373" w:type="pct"/>
            <w:tcBorders>
              <w:top w:val="nil"/>
              <w:left w:val="nil"/>
              <w:bottom w:val="nil"/>
              <w:right w:val="nil"/>
            </w:tcBorders>
            <w:shd w:val="clear" w:color="auto" w:fill="auto"/>
            <w:vAlign w:val="bottom"/>
            <w:hideMark/>
          </w:tcPr>
          <w:p w14:paraId="6E139BF2" w14:textId="77777777" w:rsidR="00FB260E" w:rsidRPr="00BA29DB" w:rsidRDefault="00FB260E" w:rsidP="00FB260E">
            <w:pPr>
              <w:spacing w:after="0" w:line="240" w:lineRule="auto"/>
              <w:ind w:firstLineChars="300" w:firstLine="540"/>
              <w:rPr>
                <w:sz w:val="18"/>
                <w:szCs w:val="18"/>
                <w:lang w:eastAsia="sk-SK"/>
              </w:rPr>
            </w:pPr>
            <w:r w:rsidRPr="00BA29DB">
              <w:rPr>
                <w:sz w:val="18"/>
                <w:szCs w:val="18"/>
                <w:lang w:eastAsia="sk-SK"/>
              </w:rPr>
              <w:t>VI Národnej banky Slovenska</w:t>
            </w:r>
          </w:p>
        </w:tc>
        <w:tc>
          <w:tcPr>
            <w:tcW w:w="629" w:type="pct"/>
            <w:tcBorders>
              <w:top w:val="nil"/>
              <w:left w:val="nil"/>
              <w:bottom w:val="nil"/>
              <w:right w:val="nil"/>
            </w:tcBorders>
            <w:shd w:val="clear" w:color="auto" w:fill="auto"/>
            <w:vAlign w:val="bottom"/>
            <w:hideMark/>
          </w:tcPr>
          <w:p w14:paraId="0152741A"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-3 136 684</w:t>
            </w:r>
          </w:p>
        </w:tc>
        <w:tc>
          <w:tcPr>
            <w:tcW w:w="666" w:type="pct"/>
            <w:tcBorders>
              <w:top w:val="nil"/>
              <w:left w:val="nil"/>
              <w:bottom w:val="nil"/>
              <w:right w:val="nil"/>
            </w:tcBorders>
            <w:shd w:val="clear" w:color="auto" w:fill="auto"/>
            <w:vAlign w:val="bottom"/>
            <w:hideMark/>
          </w:tcPr>
          <w:p w14:paraId="533CAD2F"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-3 041 876</w:t>
            </w:r>
          </w:p>
        </w:tc>
        <w:tc>
          <w:tcPr>
            <w:tcW w:w="638" w:type="pct"/>
            <w:tcBorders>
              <w:top w:val="nil"/>
              <w:left w:val="nil"/>
              <w:bottom w:val="nil"/>
              <w:right w:val="nil"/>
            </w:tcBorders>
            <w:shd w:val="clear" w:color="auto" w:fill="auto"/>
            <w:vAlign w:val="bottom"/>
          </w:tcPr>
          <w:p w14:paraId="59CCD691"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-2 792 113</w:t>
            </w:r>
          </w:p>
        </w:tc>
        <w:tc>
          <w:tcPr>
            <w:tcW w:w="694" w:type="pct"/>
            <w:tcBorders>
              <w:top w:val="nil"/>
              <w:left w:val="nil"/>
              <w:bottom w:val="nil"/>
              <w:right w:val="nil"/>
            </w:tcBorders>
            <w:shd w:val="clear" w:color="auto" w:fill="auto"/>
            <w:vAlign w:val="bottom"/>
            <w:hideMark/>
          </w:tcPr>
          <w:p w14:paraId="22504C99"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249 763</w:t>
            </w:r>
          </w:p>
        </w:tc>
      </w:tr>
      <w:tr w:rsidR="00BA29DB" w:rsidRPr="00BA29DB" w14:paraId="19F5D3D5" w14:textId="77777777" w:rsidTr="00FB260E">
        <w:trPr>
          <w:trHeight w:val="300"/>
        </w:trPr>
        <w:tc>
          <w:tcPr>
            <w:tcW w:w="2373" w:type="pct"/>
            <w:tcBorders>
              <w:top w:val="nil"/>
              <w:left w:val="nil"/>
              <w:bottom w:val="nil"/>
              <w:right w:val="nil"/>
            </w:tcBorders>
            <w:shd w:val="clear" w:color="auto" w:fill="auto"/>
            <w:vAlign w:val="bottom"/>
            <w:hideMark/>
          </w:tcPr>
          <w:p w14:paraId="30921D27" w14:textId="77777777" w:rsidR="00FB260E" w:rsidRPr="00BA29DB" w:rsidRDefault="00FB260E" w:rsidP="00FB260E">
            <w:pPr>
              <w:spacing w:after="0" w:line="240" w:lineRule="auto"/>
              <w:rPr>
                <w:sz w:val="18"/>
                <w:szCs w:val="18"/>
                <w:lang w:eastAsia="sk-SK"/>
              </w:rPr>
            </w:pPr>
            <w:r w:rsidRPr="00BA29DB">
              <w:rPr>
                <w:sz w:val="18"/>
                <w:szCs w:val="18"/>
                <w:lang w:eastAsia="sk-SK"/>
              </w:rPr>
              <w:t>Implicitné záväzky                                                         (2)</w:t>
            </w:r>
          </w:p>
        </w:tc>
        <w:tc>
          <w:tcPr>
            <w:tcW w:w="629" w:type="pct"/>
            <w:tcBorders>
              <w:top w:val="nil"/>
              <w:left w:val="nil"/>
              <w:bottom w:val="nil"/>
              <w:right w:val="nil"/>
            </w:tcBorders>
            <w:shd w:val="clear" w:color="auto" w:fill="auto"/>
            <w:vAlign w:val="bottom"/>
            <w:hideMark/>
          </w:tcPr>
          <w:p w14:paraId="7075384F"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88 807 252</w:t>
            </w:r>
          </w:p>
        </w:tc>
        <w:tc>
          <w:tcPr>
            <w:tcW w:w="666" w:type="pct"/>
            <w:tcBorders>
              <w:top w:val="nil"/>
              <w:left w:val="nil"/>
              <w:bottom w:val="nil"/>
              <w:right w:val="nil"/>
            </w:tcBorders>
            <w:shd w:val="clear" w:color="auto" w:fill="auto"/>
            <w:vAlign w:val="bottom"/>
            <w:hideMark/>
          </w:tcPr>
          <w:p w14:paraId="5BFE120E"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145 286 497</w:t>
            </w:r>
          </w:p>
        </w:tc>
        <w:tc>
          <w:tcPr>
            <w:tcW w:w="638" w:type="pct"/>
            <w:tcBorders>
              <w:top w:val="nil"/>
              <w:left w:val="nil"/>
              <w:bottom w:val="nil"/>
              <w:right w:val="nil"/>
            </w:tcBorders>
            <w:shd w:val="clear" w:color="auto" w:fill="auto"/>
            <w:vAlign w:val="bottom"/>
          </w:tcPr>
          <w:p w14:paraId="3D077788"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199 901 733</w:t>
            </w:r>
          </w:p>
        </w:tc>
        <w:tc>
          <w:tcPr>
            <w:tcW w:w="694" w:type="pct"/>
            <w:tcBorders>
              <w:top w:val="nil"/>
              <w:left w:val="nil"/>
              <w:bottom w:val="nil"/>
              <w:right w:val="nil"/>
            </w:tcBorders>
            <w:shd w:val="clear" w:color="auto" w:fill="auto"/>
            <w:vAlign w:val="bottom"/>
          </w:tcPr>
          <w:p w14:paraId="62816B14"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54 615 236</w:t>
            </w:r>
          </w:p>
        </w:tc>
      </w:tr>
      <w:tr w:rsidR="00BA29DB" w:rsidRPr="00BA29DB" w14:paraId="686CAC07" w14:textId="77777777" w:rsidTr="00FB260E">
        <w:trPr>
          <w:trHeight w:val="300"/>
        </w:trPr>
        <w:tc>
          <w:tcPr>
            <w:tcW w:w="2373" w:type="pct"/>
            <w:tcBorders>
              <w:top w:val="nil"/>
              <w:left w:val="nil"/>
              <w:bottom w:val="nil"/>
              <w:right w:val="nil"/>
            </w:tcBorders>
            <w:shd w:val="clear" w:color="auto" w:fill="auto"/>
            <w:vAlign w:val="bottom"/>
            <w:hideMark/>
          </w:tcPr>
          <w:p w14:paraId="06CC45A2" w14:textId="77777777" w:rsidR="00FB260E" w:rsidRPr="00BA29DB" w:rsidRDefault="00FB260E" w:rsidP="00FB260E">
            <w:pPr>
              <w:spacing w:after="0" w:line="240" w:lineRule="auto"/>
              <w:rPr>
                <w:sz w:val="18"/>
                <w:szCs w:val="18"/>
                <w:lang w:eastAsia="sk-SK"/>
              </w:rPr>
            </w:pPr>
            <w:r w:rsidRPr="00BA29DB">
              <w:rPr>
                <w:sz w:val="18"/>
                <w:szCs w:val="18"/>
                <w:lang w:eastAsia="sk-SK"/>
              </w:rPr>
              <w:t>Podmienené záväzky                                                     (3)</w:t>
            </w:r>
          </w:p>
        </w:tc>
        <w:tc>
          <w:tcPr>
            <w:tcW w:w="629" w:type="pct"/>
            <w:tcBorders>
              <w:top w:val="nil"/>
              <w:left w:val="nil"/>
              <w:bottom w:val="nil"/>
              <w:right w:val="nil"/>
            </w:tcBorders>
            <w:shd w:val="clear" w:color="auto" w:fill="auto"/>
            <w:vAlign w:val="bottom"/>
            <w:hideMark/>
          </w:tcPr>
          <w:p w14:paraId="6598149E" w14:textId="2EC0BB46" w:rsidR="00FB260E" w:rsidRPr="00BA29DB" w:rsidRDefault="00FB260E" w:rsidP="00406B64">
            <w:pPr>
              <w:spacing w:after="0" w:line="240" w:lineRule="auto"/>
              <w:jc w:val="right"/>
              <w:rPr>
                <w:sz w:val="18"/>
                <w:szCs w:val="18"/>
                <w:lang w:eastAsia="sk-SK"/>
              </w:rPr>
            </w:pPr>
            <w:r w:rsidRPr="00BA29DB">
              <w:rPr>
                <w:sz w:val="18"/>
                <w:szCs w:val="18"/>
                <w:lang w:eastAsia="sk-SK"/>
              </w:rPr>
              <w:t xml:space="preserve">12 948 </w:t>
            </w:r>
            <w:r w:rsidR="00406B64" w:rsidRPr="00BA29DB">
              <w:rPr>
                <w:sz w:val="18"/>
                <w:szCs w:val="18"/>
                <w:lang w:eastAsia="sk-SK"/>
              </w:rPr>
              <w:t>856</w:t>
            </w:r>
          </w:p>
        </w:tc>
        <w:tc>
          <w:tcPr>
            <w:tcW w:w="666" w:type="pct"/>
            <w:tcBorders>
              <w:top w:val="nil"/>
              <w:left w:val="nil"/>
              <w:bottom w:val="nil"/>
              <w:right w:val="nil"/>
            </w:tcBorders>
            <w:shd w:val="clear" w:color="auto" w:fill="auto"/>
            <w:vAlign w:val="bottom"/>
          </w:tcPr>
          <w:p w14:paraId="165BD727"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13 802 825</w:t>
            </w:r>
          </w:p>
        </w:tc>
        <w:tc>
          <w:tcPr>
            <w:tcW w:w="638" w:type="pct"/>
            <w:tcBorders>
              <w:top w:val="nil"/>
              <w:left w:val="nil"/>
              <w:bottom w:val="nil"/>
              <w:right w:val="nil"/>
            </w:tcBorders>
            <w:shd w:val="clear" w:color="auto" w:fill="auto"/>
            <w:vAlign w:val="bottom"/>
          </w:tcPr>
          <w:p w14:paraId="5C59C045"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17 082 706</w:t>
            </w:r>
          </w:p>
        </w:tc>
        <w:tc>
          <w:tcPr>
            <w:tcW w:w="694" w:type="pct"/>
            <w:tcBorders>
              <w:top w:val="nil"/>
              <w:left w:val="nil"/>
              <w:bottom w:val="nil"/>
              <w:right w:val="nil"/>
            </w:tcBorders>
            <w:shd w:val="clear" w:color="auto" w:fill="auto"/>
            <w:vAlign w:val="bottom"/>
          </w:tcPr>
          <w:p w14:paraId="7A31ED61" w14:textId="4F7D73F1" w:rsidR="00FB260E" w:rsidRPr="00BA29DB" w:rsidRDefault="00FB260E" w:rsidP="00587F6D">
            <w:pPr>
              <w:spacing w:after="0" w:line="240" w:lineRule="auto"/>
              <w:jc w:val="right"/>
              <w:rPr>
                <w:sz w:val="18"/>
                <w:szCs w:val="18"/>
                <w:lang w:eastAsia="sk-SK"/>
              </w:rPr>
            </w:pPr>
            <w:r w:rsidRPr="00BA29DB">
              <w:rPr>
                <w:sz w:val="18"/>
                <w:szCs w:val="18"/>
                <w:lang w:eastAsia="sk-SK"/>
              </w:rPr>
              <w:t>3 279 88</w:t>
            </w:r>
            <w:r w:rsidR="00587F6D" w:rsidRPr="00BA29DB">
              <w:rPr>
                <w:sz w:val="18"/>
                <w:szCs w:val="18"/>
                <w:lang w:eastAsia="sk-SK"/>
              </w:rPr>
              <w:t>1</w:t>
            </w:r>
          </w:p>
        </w:tc>
      </w:tr>
      <w:tr w:rsidR="00BA29DB" w:rsidRPr="00BA29DB" w14:paraId="65E622F3" w14:textId="77777777" w:rsidTr="00FB260E">
        <w:trPr>
          <w:trHeight w:val="300"/>
        </w:trPr>
        <w:tc>
          <w:tcPr>
            <w:tcW w:w="2373" w:type="pct"/>
            <w:tcBorders>
              <w:top w:val="nil"/>
              <w:left w:val="nil"/>
              <w:bottom w:val="nil"/>
              <w:right w:val="nil"/>
            </w:tcBorders>
            <w:shd w:val="clear" w:color="auto" w:fill="auto"/>
            <w:vAlign w:val="bottom"/>
            <w:hideMark/>
          </w:tcPr>
          <w:p w14:paraId="2C108A3F" w14:textId="77777777" w:rsidR="00FB260E" w:rsidRPr="00BA29DB" w:rsidRDefault="00FB260E" w:rsidP="00FB260E">
            <w:pPr>
              <w:spacing w:after="0" w:line="240" w:lineRule="auto"/>
              <w:rPr>
                <w:sz w:val="18"/>
                <w:szCs w:val="18"/>
                <w:lang w:eastAsia="sk-SK"/>
              </w:rPr>
            </w:pPr>
            <w:r w:rsidRPr="00BA29DB">
              <w:rPr>
                <w:sz w:val="18"/>
                <w:szCs w:val="18"/>
                <w:lang w:eastAsia="sk-SK"/>
              </w:rPr>
              <w:t>Iné aktíva                                                                       (4)</w:t>
            </w:r>
          </w:p>
        </w:tc>
        <w:tc>
          <w:tcPr>
            <w:tcW w:w="629" w:type="pct"/>
            <w:tcBorders>
              <w:top w:val="nil"/>
              <w:left w:val="nil"/>
              <w:bottom w:val="nil"/>
              <w:right w:val="nil"/>
            </w:tcBorders>
            <w:shd w:val="clear" w:color="auto" w:fill="auto"/>
            <w:vAlign w:val="bottom"/>
            <w:hideMark/>
          </w:tcPr>
          <w:p w14:paraId="1194567A"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2 762 037</w:t>
            </w:r>
          </w:p>
        </w:tc>
        <w:tc>
          <w:tcPr>
            <w:tcW w:w="666" w:type="pct"/>
            <w:tcBorders>
              <w:top w:val="nil"/>
              <w:left w:val="nil"/>
              <w:bottom w:val="nil"/>
              <w:right w:val="nil"/>
            </w:tcBorders>
            <w:shd w:val="clear" w:color="auto" w:fill="auto"/>
            <w:vAlign w:val="bottom"/>
          </w:tcPr>
          <w:p w14:paraId="02C633A8"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5 831 292</w:t>
            </w:r>
          </w:p>
        </w:tc>
        <w:tc>
          <w:tcPr>
            <w:tcW w:w="638" w:type="pct"/>
            <w:tcBorders>
              <w:top w:val="nil"/>
              <w:left w:val="nil"/>
              <w:bottom w:val="nil"/>
              <w:right w:val="nil"/>
            </w:tcBorders>
            <w:shd w:val="clear" w:color="auto" w:fill="auto"/>
            <w:vAlign w:val="bottom"/>
          </w:tcPr>
          <w:p w14:paraId="08B86364"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6 049 108</w:t>
            </w:r>
          </w:p>
        </w:tc>
        <w:tc>
          <w:tcPr>
            <w:tcW w:w="694" w:type="pct"/>
            <w:tcBorders>
              <w:top w:val="nil"/>
              <w:left w:val="nil"/>
              <w:bottom w:val="nil"/>
              <w:right w:val="nil"/>
            </w:tcBorders>
            <w:shd w:val="clear" w:color="auto" w:fill="auto"/>
            <w:vAlign w:val="bottom"/>
          </w:tcPr>
          <w:p w14:paraId="24C99F04" w14:textId="77777777" w:rsidR="00FB260E" w:rsidRPr="00BA29DB" w:rsidRDefault="00FB260E" w:rsidP="00FB260E">
            <w:pPr>
              <w:spacing w:after="0" w:line="240" w:lineRule="auto"/>
              <w:jc w:val="right"/>
              <w:rPr>
                <w:sz w:val="18"/>
                <w:szCs w:val="18"/>
                <w:lang w:eastAsia="sk-SK"/>
              </w:rPr>
            </w:pPr>
            <w:r w:rsidRPr="00BA29DB">
              <w:rPr>
                <w:sz w:val="18"/>
                <w:szCs w:val="18"/>
                <w:lang w:eastAsia="sk-SK"/>
              </w:rPr>
              <w:t>217 816</w:t>
            </w:r>
          </w:p>
        </w:tc>
      </w:tr>
      <w:tr w:rsidR="00BA29DB" w:rsidRPr="00BA29DB" w14:paraId="767339BF" w14:textId="77777777" w:rsidTr="00FB260E">
        <w:trPr>
          <w:trHeight w:val="300"/>
        </w:trPr>
        <w:tc>
          <w:tcPr>
            <w:tcW w:w="2373" w:type="pct"/>
            <w:tcBorders>
              <w:top w:val="single" w:sz="4" w:space="0" w:color="auto"/>
              <w:left w:val="nil"/>
              <w:bottom w:val="nil"/>
              <w:right w:val="nil"/>
            </w:tcBorders>
            <w:shd w:val="clear" w:color="000000" w:fill="BFBFBF"/>
            <w:vAlign w:val="bottom"/>
            <w:hideMark/>
          </w:tcPr>
          <w:p w14:paraId="48D7B24F" w14:textId="77777777" w:rsidR="00FB260E" w:rsidRPr="00BA29DB" w:rsidRDefault="00FB260E" w:rsidP="00FB260E">
            <w:pPr>
              <w:spacing w:after="0" w:line="240" w:lineRule="auto"/>
              <w:rPr>
                <w:b/>
                <w:bCs/>
                <w:sz w:val="18"/>
                <w:szCs w:val="18"/>
                <w:lang w:eastAsia="sk-SK"/>
              </w:rPr>
            </w:pPr>
            <w:r w:rsidRPr="00BA29DB">
              <w:rPr>
                <w:b/>
                <w:bCs/>
                <w:sz w:val="18"/>
                <w:szCs w:val="18"/>
                <w:lang w:eastAsia="sk-SK"/>
              </w:rPr>
              <w:t>Čisté bohatstvo SR  (1-2-3+4)</w:t>
            </w:r>
          </w:p>
        </w:tc>
        <w:tc>
          <w:tcPr>
            <w:tcW w:w="629" w:type="pct"/>
            <w:tcBorders>
              <w:top w:val="single" w:sz="4" w:space="0" w:color="auto"/>
              <w:left w:val="nil"/>
              <w:bottom w:val="nil"/>
              <w:right w:val="nil"/>
            </w:tcBorders>
            <w:shd w:val="clear" w:color="000000" w:fill="BFBFBF"/>
            <w:vAlign w:val="bottom"/>
            <w:hideMark/>
          </w:tcPr>
          <w:p w14:paraId="15E063C2" w14:textId="77777777" w:rsidR="00FB260E" w:rsidRPr="00BA29DB" w:rsidRDefault="00FB260E" w:rsidP="00FB260E">
            <w:pPr>
              <w:spacing w:after="0" w:line="240" w:lineRule="auto"/>
              <w:jc w:val="right"/>
              <w:rPr>
                <w:b/>
                <w:bCs/>
                <w:sz w:val="18"/>
                <w:szCs w:val="18"/>
                <w:lang w:eastAsia="sk-SK"/>
              </w:rPr>
            </w:pPr>
            <w:r w:rsidRPr="00BA29DB">
              <w:rPr>
                <w:b/>
                <w:bCs/>
                <w:sz w:val="18"/>
                <w:szCs w:val="18"/>
                <w:lang w:eastAsia="sk-SK"/>
              </w:rPr>
              <w:t>-120 726 845</w:t>
            </w:r>
          </w:p>
        </w:tc>
        <w:tc>
          <w:tcPr>
            <w:tcW w:w="666" w:type="pct"/>
            <w:tcBorders>
              <w:top w:val="single" w:sz="4" w:space="0" w:color="auto"/>
              <w:left w:val="nil"/>
              <w:bottom w:val="nil"/>
              <w:right w:val="nil"/>
            </w:tcBorders>
            <w:shd w:val="clear" w:color="000000" w:fill="BFBFBF"/>
            <w:vAlign w:val="bottom"/>
            <w:hideMark/>
          </w:tcPr>
          <w:p w14:paraId="5C5FC1E5" w14:textId="4849C810" w:rsidR="00FB260E" w:rsidRPr="00BA29DB" w:rsidRDefault="00FB260E" w:rsidP="003B5428">
            <w:pPr>
              <w:spacing w:after="0" w:line="240" w:lineRule="auto"/>
              <w:jc w:val="right"/>
              <w:rPr>
                <w:b/>
                <w:bCs/>
                <w:sz w:val="18"/>
                <w:szCs w:val="18"/>
                <w:lang w:eastAsia="sk-SK"/>
              </w:rPr>
            </w:pPr>
            <w:r w:rsidRPr="00BA29DB">
              <w:rPr>
                <w:b/>
                <w:bCs/>
                <w:sz w:val="18"/>
                <w:szCs w:val="18"/>
                <w:lang w:eastAsia="sk-SK"/>
              </w:rPr>
              <w:t>-17</w:t>
            </w:r>
            <w:r w:rsidR="003B5428" w:rsidRPr="00BA29DB">
              <w:rPr>
                <w:b/>
                <w:bCs/>
                <w:sz w:val="18"/>
                <w:szCs w:val="18"/>
                <w:lang w:eastAsia="sk-SK"/>
              </w:rPr>
              <w:t>5 982 623</w:t>
            </w:r>
          </w:p>
        </w:tc>
        <w:tc>
          <w:tcPr>
            <w:tcW w:w="638" w:type="pct"/>
            <w:tcBorders>
              <w:top w:val="single" w:sz="4" w:space="0" w:color="auto"/>
              <w:left w:val="nil"/>
              <w:bottom w:val="nil"/>
              <w:right w:val="nil"/>
            </w:tcBorders>
            <w:shd w:val="clear" w:color="000000" w:fill="BFBFBF"/>
            <w:vAlign w:val="bottom"/>
            <w:hideMark/>
          </w:tcPr>
          <w:p w14:paraId="609E65C6" w14:textId="77777777" w:rsidR="00FB260E" w:rsidRPr="00BA29DB" w:rsidRDefault="00FB260E" w:rsidP="00FB260E">
            <w:pPr>
              <w:spacing w:after="0" w:line="240" w:lineRule="auto"/>
              <w:jc w:val="right"/>
              <w:rPr>
                <w:b/>
                <w:bCs/>
                <w:sz w:val="18"/>
                <w:szCs w:val="18"/>
                <w:lang w:eastAsia="sk-SK"/>
              </w:rPr>
            </w:pPr>
            <w:r w:rsidRPr="00BA29DB">
              <w:rPr>
                <w:b/>
                <w:bCs/>
                <w:sz w:val="18"/>
                <w:szCs w:val="18"/>
                <w:lang w:eastAsia="sk-SK"/>
              </w:rPr>
              <w:t>-237 213 457</w:t>
            </w:r>
          </w:p>
        </w:tc>
        <w:tc>
          <w:tcPr>
            <w:tcW w:w="694" w:type="pct"/>
            <w:tcBorders>
              <w:top w:val="single" w:sz="4" w:space="0" w:color="auto"/>
              <w:left w:val="nil"/>
              <w:bottom w:val="nil"/>
              <w:right w:val="nil"/>
            </w:tcBorders>
            <w:shd w:val="clear" w:color="000000" w:fill="BFBFBF"/>
            <w:vAlign w:val="bottom"/>
            <w:hideMark/>
          </w:tcPr>
          <w:p w14:paraId="37B3593D" w14:textId="1374A555" w:rsidR="00FB260E" w:rsidRPr="00BA29DB" w:rsidRDefault="001272A3" w:rsidP="00587F6D">
            <w:pPr>
              <w:spacing w:after="0" w:line="240" w:lineRule="auto"/>
              <w:jc w:val="right"/>
              <w:rPr>
                <w:b/>
                <w:bCs/>
                <w:sz w:val="18"/>
                <w:szCs w:val="18"/>
                <w:lang w:eastAsia="sk-SK"/>
              </w:rPr>
            </w:pPr>
            <w:r w:rsidRPr="00BA29DB">
              <w:rPr>
                <w:b/>
                <w:bCs/>
                <w:sz w:val="18"/>
                <w:szCs w:val="18"/>
                <w:lang w:eastAsia="sk-SK"/>
              </w:rPr>
              <w:t>-61 230 83</w:t>
            </w:r>
            <w:r w:rsidR="00587F6D" w:rsidRPr="00BA29DB">
              <w:rPr>
                <w:b/>
                <w:bCs/>
                <w:sz w:val="18"/>
                <w:szCs w:val="18"/>
                <w:lang w:eastAsia="sk-SK"/>
              </w:rPr>
              <w:t>4</w:t>
            </w:r>
          </w:p>
        </w:tc>
      </w:tr>
      <w:tr w:rsidR="00BA29DB" w:rsidRPr="00BA29DB" w14:paraId="0FD60691" w14:textId="77777777" w:rsidTr="00FB260E">
        <w:trPr>
          <w:trHeight w:val="300"/>
        </w:trPr>
        <w:tc>
          <w:tcPr>
            <w:tcW w:w="2373" w:type="pct"/>
            <w:tcBorders>
              <w:top w:val="nil"/>
              <w:left w:val="nil"/>
              <w:bottom w:val="single" w:sz="4" w:space="0" w:color="auto"/>
              <w:right w:val="nil"/>
            </w:tcBorders>
            <w:shd w:val="clear" w:color="000000" w:fill="BFBFBF"/>
            <w:vAlign w:val="bottom"/>
            <w:hideMark/>
          </w:tcPr>
          <w:p w14:paraId="3D7B4441" w14:textId="77777777" w:rsidR="00FB260E" w:rsidRPr="00BA29DB" w:rsidRDefault="00FB260E" w:rsidP="00FB260E">
            <w:pPr>
              <w:spacing w:after="0" w:line="240" w:lineRule="auto"/>
              <w:ind w:firstLineChars="300" w:firstLine="542"/>
              <w:rPr>
                <w:b/>
                <w:bCs/>
                <w:i/>
                <w:iCs/>
                <w:sz w:val="18"/>
                <w:szCs w:val="18"/>
                <w:lang w:eastAsia="sk-SK"/>
              </w:rPr>
            </w:pPr>
            <w:r w:rsidRPr="00BA29DB">
              <w:rPr>
                <w:b/>
                <w:bCs/>
                <w:i/>
                <w:iCs/>
                <w:sz w:val="18"/>
                <w:szCs w:val="18"/>
                <w:lang w:eastAsia="sk-SK"/>
              </w:rPr>
              <w:t>v % HDP</w:t>
            </w:r>
          </w:p>
        </w:tc>
        <w:tc>
          <w:tcPr>
            <w:tcW w:w="629" w:type="pct"/>
            <w:tcBorders>
              <w:top w:val="nil"/>
              <w:left w:val="nil"/>
              <w:bottom w:val="single" w:sz="4" w:space="0" w:color="auto"/>
              <w:right w:val="nil"/>
            </w:tcBorders>
            <w:shd w:val="clear" w:color="000000" w:fill="BFBFBF"/>
            <w:vAlign w:val="bottom"/>
            <w:hideMark/>
          </w:tcPr>
          <w:p w14:paraId="3CF652CC" w14:textId="77777777" w:rsidR="00FB260E" w:rsidRPr="00BA29DB" w:rsidRDefault="00FB260E" w:rsidP="00FB260E">
            <w:pPr>
              <w:spacing w:after="0" w:line="240" w:lineRule="auto"/>
              <w:jc w:val="right"/>
              <w:rPr>
                <w:b/>
                <w:bCs/>
                <w:i/>
                <w:iCs/>
                <w:sz w:val="18"/>
                <w:szCs w:val="18"/>
                <w:lang w:eastAsia="sk-SK"/>
              </w:rPr>
            </w:pPr>
            <w:r w:rsidRPr="00BA29DB">
              <w:rPr>
                <w:b/>
                <w:bCs/>
                <w:i/>
                <w:iCs/>
                <w:sz w:val="18"/>
                <w:szCs w:val="18"/>
                <w:lang w:eastAsia="sk-SK"/>
              </w:rPr>
              <w:t>-148,9*</w:t>
            </w:r>
          </w:p>
        </w:tc>
        <w:tc>
          <w:tcPr>
            <w:tcW w:w="666" w:type="pct"/>
            <w:tcBorders>
              <w:top w:val="nil"/>
              <w:left w:val="nil"/>
              <w:bottom w:val="single" w:sz="4" w:space="0" w:color="auto"/>
              <w:right w:val="nil"/>
            </w:tcBorders>
            <w:shd w:val="clear" w:color="000000" w:fill="BFBFBF"/>
            <w:vAlign w:val="bottom"/>
            <w:hideMark/>
          </w:tcPr>
          <w:p w14:paraId="50D32623" w14:textId="6578C328" w:rsidR="00FB260E" w:rsidRPr="00BA29DB" w:rsidRDefault="00FB260E" w:rsidP="00D45EAE">
            <w:pPr>
              <w:spacing w:after="0" w:line="240" w:lineRule="auto"/>
              <w:jc w:val="right"/>
              <w:rPr>
                <w:b/>
                <w:bCs/>
                <w:i/>
                <w:iCs/>
                <w:sz w:val="18"/>
                <w:szCs w:val="18"/>
                <w:lang w:eastAsia="sk-SK"/>
              </w:rPr>
            </w:pPr>
            <w:r w:rsidRPr="00BA29DB">
              <w:rPr>
                <w:b/>
                <w:bCs/>
                <w:i/>
                <w:iCs/>
                <w:sz w:val="18"/>
                <w:szCs w:val="18"/>
                <w:lang w:eastAsia="sk-SK"/>
              </w:rPr>
              <w:t>-208,</w:t>
            </w:r>
            <w:r w:rsidR="00D45EAE" w:rsidRPr="00BA29DB">
              <w:rPr>
                <w:b/>
                <w:bCs/>
                <w:i/>
                <w:iCs/>
                <w:sz w:val="18"/>
                <w:szCs w:val="18"/>
                <w:lang w:eastAsia="sk-SK"/>
              </w:rPr>
              <w:t>2</w:t>
            </w:r>
            <w:r w:rsidRPr="00BA29DB">
              <w:rPr>
                <w:b/>
                <w:bCs/>
                <w:i/>
                <w:iCs/>
                <w:sz w:val="18"/>
                <w:szCs w:val="18"/>
                <w:lang w:eastAsia="sk-SK"/>
              </w:rPr>
              <w:t>*</w:t>
            </w:r>
          </w:p>
        </w:tc>
        <w:tc>
          <w:tcPr>
            <w:tcW w:w="638" w:type="pct"/>
            <w:tcBorders>
              <w:top w:val="nil"/>
              <w:left w:val="nil"/>
              <w:bottom w:val="single" w:sz="4" w:space="0" w:color="auto"/>
              <w:right w:val="nil"/>
            </w:tcBorders>
            <w:shd w:val="clear" w:color="000000" w:fill="BFBFBF"/>
            <w:vAlign w:val="bottom"/>
            <w:hideMark/>
          </w:tcPr>
          <w:p w14:paraId="4F6AF83C" w14:textId="77777777" w:rsidR="00FB260E" w:rsidRPr="00BA29DB" w:rsidRDefault="00FB260E" w:rsidP="00FB260E">
            <w:pPr>
              <w:spacing w:after="0" w:line="240" w:lineRule="auto"/>
              <w:jc w:val="right"/>
              <w:rPr>
                <w:b/>
                <w:bCs/>
                <w:i/>
                <w:iCs/>
                <w:sz w:val="18"/>
                <w:szCs w:val="18"/>
                <w:lang w:eastAsia="sk-SK"/>
              </w:rPr>
            </w:pPr>
            <w:r w:rsidRPr="00BA29DB">
              <w:rPr>
                <w:b/>
                <w:bCs/>
                <w:i/>
                <w:iCs/>
                <w:sz w:val="18"/>
                <w:szCs w:val="18"/>
                <w:lang w:eastAsia="sk-SK"/>
              </w:rPr>
              <w:t>-264,4</w:t>
            </w:r>
          </w:p>
        </w:tc>
        <w:tc>
          <w:tcPr>
            <w:tcW w:w="694" w:type="pct"/>
            <w:tcBorders>
              <w:top w:val="nil"/>
              <w:left w:val="nil"/>
              <w:bottom w:val="single" w:sz="4" w:space="0" w:color="auto"/>
              <w:right w:val="nil"/>
            </w:tcBorders>
            <w:shd w:val="clear" w:color="000000" w:fill="BFBFBF"/>
            <w:vAlign w:val="bottom"/>
            <w:hideMark/>
          </w:tcPr>
          <w:p w14:paraId="55C208BC" w14:textId="573A236E" w:rsidR="00FB260E" w:rsidRPr="00BA29DB" w:rsidRDefault="00FB260E" w:rsidP="001272A3">
            <w:pPr>
              <w:spacing w:after="0" w:line="240" w:lineRule="auto"/>
              <w:jc w:val="right"/>
              <w:rPr>
                <w:b/>
                <w:bCs/>
                <w:sz w:val="18"/>
                <w:szCs w:val="18"/>
                <w:lang w:eastAsia="sk-SK"/>
              </w:rPr>
            </w:pPr>
            <w:r w:rsidRPr="00BA29DB">
              <w:rPr>
                <w:b/>
                <w:bCs/>
                <w:sz w:val="18"/>
                <w:szCs w:val="18"/>
                <w:lang w:eastAsia="sk-SK"/>
              </w:rPr>
              <w:t>-</w:t>
            </w:r>
            <w:r w:rsidR="001272A3" w:rsidRPr="00BA29DB">
              <w:rPr>
                <w:b/>
                <w:bCs/>
                <w:sz w:val="18"/>
                <w:szCs w:val="18"/>
                <w:lang w:eastAsia="sk-SK"/>
              </w:rPr>
              <w:t>56,2</w:t>
            </w:r>
          </w:p>
        </w:tc>
      </w:tr>
    </w:tbl>
    <w:p w14:paraId="20C69C3B" w14:textId="7F04BE12" w:rsidR="00FB260E" w:rsidRPr="00BA29DB" w:rsidRDefault="00FB260E" w:rsidP="00FB260E">
      <w:pPr>
        <w:spacing w:after="120" w:line="336" w:lineRule="auto"/>
        <w:jc w:val="both"/>
        <w:rPr>
          <w:sz w:val="18"/>
          <w:szCs w:val="18"/>
        </w:rPr>
      </w:pPr>
      <w:r w:rsidRPr="00BA29DB">
        <w:rPr>
          <w:sz w:val="18"/>
          <w:szCs w:val="18"/>
        </w:rPr>
        <w:t>*Údaje za HDP boli revidované z dôvodu benchmarkovej revízie ŠÚ SR v októbri 2019</w:t>
      </w:r>
      <w:r w:rsidR="0018178F" w:rsidRPr="00BA29DB">
        <w:rPr>
          <w:sz w:val="18"/>
          <w:szCs w:val="18"/>
        </w:rPr>
        <w:t xml:space="preserve">                                     Zdroj: MF SR</w:t>
      </w:r>
    </w:p>
    <w:p w14:paraId="7E6435B5" w14:textId="57C4519D" w:rsidR="00FB260E" w:rsidRDefault="00FB260E" w:rsidP="00FB260E">
      <w:pPr>
        <w:spacing w:before="240" w:after="120" w:line="336" w:lineRule="auto"/>
        <w:jc w:val="both"/>
      </w:pPr>
      <w:r w:rsidRPr="00BA29DB">
        <w:t xml:space="preserve">V roku 2019 realizoval Štatistický úrad povinnú benchmarkovú revíziu národných účtov, ktorá sa dotkla aj hodnoty HDP za uplynulé roky. </w:t>
      </w:r>
      <w:r w:rsidR="000D4131" w:rsidRPr="00BA29DB">
        <w:t>Zároveň došlo k oprave hodnoty vlastného imania súhrnného celku za rok 2017</w:t>
      </w:r>
      <w:r w:rsidR="00FB217F" w:rsidRPr="00BA29DB">
        <w:t xml:space="preserve"> (0,2 % HDP)</w:t>
      </w:r>
      <w:r w:rsidR="000D4131" w:rsidRPr="00BA29DB">
        <w:t>, nakoľko uvedená hodnota v správe za rok 2017 bola na nekonsolidovanej báze. Ďalej došlo k</w:t>
      </w:r>
      <w:r w:rsidRPr="00BA29DB">
        <w:t xml:space="preserve"> aktualizáci</w:t>
      </w:r>
      <w:r w:rsidR="000D4131" w:rsidRPr="00BA29DB">
        <w:t>i</w:t>
      </w:r>
      <w:r w:rsidRPr="00BA29DB">
        <w:t xml:space="preserve"> vlastného imania podnikov MH Manažment, a.s. za rok 2017, ktoré pokleslo o 110 tis. eur</w:t>
      </w:r>
      <w:r w:rsidR="000D4131" w:rsidRPr="00BA29DB">
        <w:t>.</w:t>
      </w:r>
      <w:r w:rsidRPr="00BA29DB">
        <w:t xml:space="preserve"> </w:t>
      </w:r>
      <w:r w:rsidR="000D4131" w:rsidRPr="00BA29DB">
        <w:t>P</w:t>
      </w:r>
      <w:r w:rsidRPr="00BA29DB">
        <w:t xml:space="preserve">okles HDP </w:t>
      </w:r>
      <w:r w:rsidR="00B23D97" w:rsidRPr="00BA29DB">
        <w:t xml:space="preserve">z dôvodu revízie </w:t>
      </w:r>
      <w:r w:rsidRPr="00BA29DB">
        <w:t xml:space="preserve">spôsobil zvýšenie záporného </w:t>
      </w:r>
      <w:r>
        <w:t xml:space="preserve">podielu čistého bohatstva k HDP </w:t>
      </w:r>
      <w:r w:rsidR="00AC4099">
        <w:t>z</w:t>
      </w:r>
      <w:r>
        <w:t>a rok 2016 o 0,17 p. b. a za rok 2017 o 0,86 p. b. Údaje za rok 2018 boli prepočítané voči aktuálnemu HDP zverejnenému v rámci októbrovej notifikácie.</w:t>
      </w:r>
    </w:p>
    <w:p w14:paraId="656D5C62" w14:textId="77777777" w:rsidR="00FB260E" w:rsidRPr="0063056A" w:rsidRDefault="00FB260E" w:rsidP="00FB217F">
      <w:pPr>
        <w:spacing w:before="120" w:after="120" w:line="336" w:lineRule="auto"/>
        <w:jc w:val="both"/>
      </w:pPr>
      <w:r w:rsidRPr="0063056A">
        <w:t xml:space="preserve">Podrobnému vysvetleniu zmien v jednotlivých zložkách čistého bohatstva sa venujú nasledovné podkapitoly s výnimkou vlastného imania podnikov MH Manažmentu, a.s. Vlastné imanie podnikov MH Manažmentu, a.s. tvorí podmnožinu podnikov štátnej správy, ktorá je pre účely vyčíslenia čistého bohatstva uvedená osobitne, pretože táto skupina podnikov nie je súčasťou súhrnného celku, a preto nie je predmetom účtovnej konsolidácie. Vlastné imanie podnikov MH Manažmentu, a.s. tvorí súčet vlastných imaní jednotlivých podnikov z individuálnych účtovných závierok, pričom veľkosť vlastného imania je prepočítaná vlastníckym podielom štátu v týchto podnikoch. </w:t>
      </w:r>
    </w:p>
    <w:p w14:paraId="4085B491" w14:textId="5B274C16" w:rsidR="005320FA" w:rsidRDefault="00FB260E" w:rsidP="00FB260E">
      <w:pPr>
        <w:spacing w:after="120" w:line="336" w:lineRule="auto"/>
        <w:jc w:val="both"/>
      </w:pPr>
      <w:r w:rsidRPr="0063056A">
        <w:t xml:space="preserve">Vlastné imanie podnikov MH Manažmentu </w:t>
      </w:r>
      <w:r>
        <w:t>kleslo</w:t>
      </w:r>
      <w:r w:rsidRPr="0063056A">
        <w:t xml:space="preserve"> ku koncu roka 2018 oproti predchádzajúcemu roku </w:t>
      </w:r>
      <w:r w:rsidRPr="0066246C">
        <w:t xml:space="preserve">o 4 791 tis. eur najmä vplyvom výsledkov </w:t>
      </w:r>
      <w:r>
        <w:t xml:space="preserve">hospodárenia </w:t>
      </w:r>
      <w:r w:rsidRPr="0066246C">
        <w:t>podnikov</w:t>
      </w:r>
      <w:r w:rsidRPr="00A15ADB">
        <w:t xml:space="preserve"> </w:t>
      </w:r>
      <w:r w:rsidRPr="0066246C">
        <w:t>za bežné obdobie.</w:t>
      </w:r>
    </w:p>
    <w:p w14:paraId="0D9EDE02" w14:textId="77777777" w:rsidR="005320FA" w:rsidRDefault="005320FA">
      <w:r>
        <w:br w:type="page"/>
      </w:r>
    </w:p>
    <w:p w14:paraId="188010DB" w14:textId="77777777" w:rsidR="00A544B6" w:rsidRPr="00CC54CC" w:rsidRDefault="00A544B6" w:rsidP="00684536">
      <w:pPr>
        <w:pStyle w:val="Nadpis3"/>
        <w:numPr>
          <w:ilvl w:val="2"/>
          <w:numId w:val="20"/>
        </w:numPr>
      </w:pPr>
      <w:bookmarkStart w:id="59" w:name="_Toc399324372"/>
      <w:bookmarkStart w:id="60" w:name="_Toc401920026"/>
      <w:bookmarkStart w:id="61" w:name="_Toc465255027"/>
      <w:bookmarkStart w:id="62" w:name="_Toc495990495"/>
      <w:bookmarkStart w:id="63" w:name="_Toc23264807"/>
      <w:r w:rsidRPr="00CC54CC">
        <w:t xml:space="preserve">Vlastné imanie </w:t>
      </w:r>
      <w:r w:rsidR="008117A9" w:rsidRPr="00CC54CC">
        <w:t>súhrnného celku verejnej</w:t>
      </w:r>
      <w:r w:rsidRPr="00CC54CC">
        <w:t xml:space="preserve"> správy</w:t>
      </w:r>
      <w:bookmarkEnd w:id="59"/>
      <w:bookmarkEnd w:id="60"/>
      <w:bookmarkEnd w:id="61"/>
      <w:bookmarkEnd w:id="62"/>
      <w:bookmarkEnd w:id="63"/>
    </w:p>
    <w:p w14:paraId="47B957C7" w14:textId="6D6498DD" w:rsidR="00FB260E" w:rsidRPr="005D32CA" w:rsidRDefault="00FB260E" w:rsidP="00FB260E">
      <w:pPr>
        <w:spacing w:after="120" w:line="336" w:lineRule="auto"/>
        <w:jc w:val="both"/>
      </w:pPr>
      <w:bookmarkStart w:id="64" w:name="_Toc399324373"/>
      <w:bookmarkStart w:id="65" w:name="_Toc431985279"/>
      <w:bookmarkStart w:id="66" w:name="_Toc433099061"/>
      <w:bookmarkStart w:id="67" w:name="_Toc433099300"/>
      <w:bookmarkStart w:id="68" w:name="_Toc433099406"/>
      <w:bookmarkStart w:id="69" w:name="_Toc433099588"/>
      <w:r w:rsidRPr="005D32CA">
        <w:t>Vlastné imanie súhrnného celku</w:t>
      </w:r>
      <w:r w:rsidR="00A424A9">
        <w:rPr>
          <w:rStyle w:val="Odkaznapoznmkupodiarou"/>
        </w:rPr>
        <w:footnoteReference w:id="21"/>
      </w:r>
      <w:r w:rsidRPr="005D32CA">
        <w:t xml:space="preserve"> dosiahlo k 31.12.201</w:t>
      </w:r>
      <w:r>
        <w:t>8</w:t>
      </w:r>
      <w:r w:rsidRPr="005D32CA">
        <w:t xml:space="preserve"> zápornú hodnotu -</w:t>
      </w:r>
      <w:r>
        <w:t xml:space="preserve">23 760 933 </w:t>
      </w:r>
      <w:r w:rsidRPr="005D32CA">
        <w:t>tis. eur, pričom je tvorené záporným výsledkom hospodárenia vo výške -</w:t>
      </w:r>
      <w:r>
        <w:t>24 028 940</w:t>
      </w:r>
      <w:r w:rsidRPr="005D32CA">
        <w:t xml:space="preserve"> tis. eur (z toho výsledkom hospodár</w:t>
      </w:r>
      <w:r>
        <w:t>enia bežného obdobia vo výške -4 513 298</w:t>
      </w:r>
      <w:r w:rsidRPr="005D32CA">
        <w:t xml:space="preserve"> tis. eur), podielmi iných účtovných jednotiek v hodnote </w:t>
      </w:r>
      <w:r>
        <w:t>180 582</w:t>
      </w:r>
      <w:r w:rsidRPr="005D32CA">
        <w:t xml:space="preserve"> tis. eur a oceňovacími rozdielmi v hodnote </w:t>
      </w:r>
      <w:r>
        <w:t>87 424</w:t>
      </w:r>
      <w:r w:rsidRPr="005D32CA">
        <w:t xml:space="preserve"> tis. eur. </w:t>
      </w:r>
      <w:r w:rsidRPr="00500474">
        <w:rPr>
          <w:b/>
        </w:rPr>
        <w:t>Medziročne sa vlastné imanie súhrnného celku úhrnom znížilo o 3 798 505 tis. eur.</w:t>
      </w:r>
    </w:p>
    <w:p w14:paraId="2C693BAB" w14:textId="77777777" w:rsidR="00FB260E" w:rsidRPr="005D32CA" w:rsidRDefault="00FB260E" w:rsidP="00FB260E">
      <w:pPr>
        <w:spacing w:after="120" w:line="336" w:lineRule="auto"/>
        <w:jc w:val="both"/>
      </w:pPr>
      <w:r w:rsidRPr="005D32CA">
        <w:t xml:space="preserve">Na vlastné imanie súhrnného celku má vplyv najmä dosiahnutý výsledok hospodárenia bežného obdobia jednotlivých subjektov (v podnikateľskom prostredí chápaný ako ,,zisk alebo ,,strata“) ako aj výsledok hospodárenia minulých období (ovplyvnený prevodom výsledku hospodárenia bežného obdobia za posledný rok alebo významnými účtovnými opravami minulých období). V menšej miere ovplyvňujú vlastné imanie oceňovacie rozdiely a výška fondov (rezervné fondy, kapitálové fondy). </w:t>
      </w:r>
    </w:p>
    <w:p w14:paraId="5C22E8CF" w14:textId="78499355" w:rsidR="00FB260E" w:rsidRPr="005D32CA" w:rsidRDefault="00FB260E" w:rsidP="00FB260E">
      <w:pPr>
        <w:spacing w:after="120" w:line="336" w:lineRule="auto"/>
        <w:jc w:val="both"/>
      </w:pPr>
      <w:r w:rsidRPr="005D32CA">
        <w:t>Z pohľadu veľkosti podielu na vlastnom imaní súhrnného celku je najvýznamnejšia ústredná správa a v rámci nej Ministerstvo financií SR. Špecifické postavenie Ministerstva financií SR spočíva v tom, že účtuje o všetkých poskytnutých transferoch zo štátneho rozpočtu, ktoré sa vykazujú jednak vo výdavkoch daného roka, a akruálne aj v nákladoch. Ide o rôzne druhy transferov, ktoré nemusí reálne poskytovať len Ministerstvo financií SR, ale aj ostatné kapitoly štátneho rozpočtu a ich rozpočtové organizácie v zriaďovateľskej pôsobnosti. Na druhej strane Ministerstvo financií SR účtuje o najdôležitejších príjmoch verejnej správy, a to o daňových a</w:t>
      </w:r>
      <w:r w:rsidR="005320FA">
        <w:t xml:space="preserve"> veľkej časti </w:t>
      </w:r>
      <w:r w:rsidRPr="005D32CA">
        <w:t>nedaňových príjmoch štátneho rozpočtu.</w:t>
      </w:r>
    </w:p>
    <w:p w14:paraId="424A374C" w14:textId="77777777" w:rsidR="00FB260E" w:rsidRPr="005D32CA" w:rsidRDefault="00FB260E" w:rsidP="00FB260E">
      <w:pPr>
        <w:spacing w:after="120" w:line="336" w:lineRule="auto"/>
        <w:jc w:val="both"/>
      </w:pPr>
      <w:r w:rsidRPr="005D32CA">
        <w:t>Na výsledok hospodárenia Ministerstva financií SR (resp. ústrednej správy) majú najdôležitejší vplyv dve transakcie, pričom tieto nemajú rovnaký charakter v peňažnom – hotovostnom vyjadrení daného roka. Vzhľadom na doterajšie deficitné hospodárenie štátneho rozpočtu, je hotovostný deficit jedným z dôvodov záporného účtovného výsledku hospodárenia (za rok 201</w:t>
      </w:r>
      <w:r>
        <w:t>8</w:t>
      </w:r>
      <w:r w:rsidRPr="005D32CA">
        <w:t xml:space="preserve"> vo výške </w:t>
      </w:r>
      <w:r>
        <w:t>1 182 242</w:t>
      </w:r>
      <w:r w:rsidRPr="005D32CA">
        <w:t xml:space="preserve"> tis. eur). Naakumulované záporné výsledky hospodárenia štátneho rozpočtu za predchádzajúce roky sú súčasťou výsledku hospodárenia minulých rokov.</w:t>
      </w:r>
    </w:p>
    <w:p w14:paraId="3438403E" w14:textId="31D5BAD4" w:rsidR="00FB260E" w:rsidRDefault="00FB260E" w:rsidP="00FB260E">
      <w:pPr>
        <w:spacing w:after="120" w:line="336" w:lineRule="auto"/>
        <w:jc w:val="both"/>
        <w:rPr>
          <w:b/>
        </w:rPr>
      </w:pPr>
      <w:r w:rsidRPr="005D32CA">
        <w:t>Ďalšou objemovo významnou transakciou, ktorá vplýva na záporný výsledok hospodárenia ústrednej správy je účtovanie o dlhodobej rezerve na zamestnanecké požitky zamestnancov štátnych rozpočtových a štátnych príspevkových organizácií (napríklad výsluhové dôchodky vojakov, policajtov, sudcov, životné a pracovné jubileá). Výška tejto rezervy sa vykazuje na základe expertného odhadu, ktorý berie do úvahy súčasnú legislatívu v oblasti poskytovania zamestnaneckých požitkov (benefitov) v ústrednej správe, znenia kolektívnych zmlúv a vyššej kolektívnej zmluvy v ústrednej správe, počet zamestnancov, ich vekovú štruktúru a ďalšie faktory. Cieľom výpočtu a zverejňovania tejto dlhodobej rezervy (záväzku) je aplikácia ustanovení medzinárodných účtovných štandardov a tým z relevantných dát informovať o záväzku štátu voči svojim zamestnancom, ktorý vyplýva zo súčasnej legislatívnej povinnosti. Čo je pri rezervách neisté, je výška a čas plnenia týchto záväzkov, v súlade s definício</w:t>
      </w:r>
      <w:r>
        <w:t>u účtovných rezerv. K 31.12.2018</w:t>
      </w:r>
      <w:r w:rsidRPr="005D32CA">
        <w:t xml:space="preserve"> bola vykázaná rezerva na zamestnanecké požitky ústrednej správy, o ktorej účtuje Ministerstvo financií SR, vo výške </w:t>
      </w:r>
      <w:r>
        <w:t>29 050 349</w:t>
      </w:r>
      <w:r w:rsidRPr="005D32CA">
        <w:t xml:space="preserve"> </w:t>
      </w:r>
      <w:r w:rsidR="005320FA">
        <w:t>tis. eur, čo je medziročne viac</w:t>
      </w:r>
      <w:r w:rsidR="005320FA">
        <w:br/>
      </w:r>
      <w:r w:rsidRPr="005D32CA">
        <w:t>o</w:t>
      </w:r>
      <w:r>
        <w:t> 5 229 348</w:t>
      </w:r>
      <w:r w:rsidRPr="005D32CA">
        <w:t> tis. eur. Podiel výsluhových dôchodkov štyroch rezortov, v ktorých sa uplatňujú tieto benefity tvorí 97</w:t>
      </w:r>
      <w:r>
        <w:t>,1</w:t>
      </w:r>
      <w:r w:rsidRPr="005D32CA">
        <w:t xml:space="preserve"> % z celkovej rezerv</w:t>
      </w:r>
      <w:r w:rsidR="00322951">
        <w:t>y</w:t>
      </w:r>
      <w:r w:rsidRPr="005D32CA">
        <w:t xml:space="preserve">, a to </w:t>
      </w:r>
      <w:r>
        <w:t>28 215 342</w:t>
      </w:r>
      <w:r w:rsidRPr="005D32CA">
        <w:t xml:space="preserve"> tis. eur, pričom ide najmä o výsluhové dôchodky pre </w:t>
      </w:r>
      <w:r w:rsidRPr="005D0A89">
        <w:t>dôchodcov (13 363 722 tis. eur) a výsluhové dôchodky pre súčasných zamestnancov (14 304 963 tis. eur). Medziročná</w:t>
      </w:r>
      <w:r w:rsidRPr="005D32CA">
        <w:t xml:space="preserve"> zmena bola premietnutá s vplyvom na výsledok hos</w:t>
      </w:r>
      <w:r>
        <w:t>podárenia bežného roka vo výške 5 229 348 tis. eur</w:t>
      </w:r>
      <w:r w:rsidRPr="005D32CA">
        <w:t xml:space="preserve"> (bližší popis je v</w:t>
      </w:r>
      <w:r w:rsidR="005320FA">
        <w:t> prílohe č. 3</w:t>
      </w:r>
      <w:r w:rsidRPr="005D32CA">
        <w:t>, v časti B.I Rezervy). Hotovostné plnenie tohto záväzku sa však do výdavkov štátneho rozpočtu premieta postupne, nie vo výške každoročnej aktualizácie rezervy, keďže ide o náklady, ktoré štát vynaloží v priebehu budúcich rokov (počas trvania nároku na zamestnanecké benefity, čo môžu byť desiatky rokov). Z pohľadu rozpočtových výdavkov na zamestnanecké benefity sú plánované výdavky na jeden konkrétny rok.</w:t>
      </w:r>
    </w:p>
    <w:p w14:paraId="6D0557FF" w14:textId="77777777" w:rsidR="00FB260E" w:rsidRPr="005D32CA" w:rsidRDefault="00FB260E" w:rsidP="00FB260E">
      <w:pPr>
        <w:spacing w:after="120" w:line="336" w:lineRule="auto"/>
        <w:jc w:val="both"/>
      </w:pPr>
      <w:r w:rsidRPr="00863D26">
        <w:rPr>
          <w:b/>
        </w:rPr>
        <w:t xml:space="preserve">Výsledok hospodárenia bežného účtovného </w:t>
      </w:r>
      <w:r w:rsidRPr="00500474">
        <w:rPr>
          <w:b/>
        </w:rPr>
        <w:t>obdobia 2018</w:t>
      </w:r>
      <w:r w:rsidRPr="005D32CA">
        <w:t>, ktorý je výsledkom rozdielu účtovných výnosov a účtovných nákladov dosiahol za celý súhrnný celok -</w:t>
      </w:r>
      <w:r>
        <w:t>4 513 298</w:t>
      </w:r>
      <w:r w:rsidRPr="005D32CA">
        <w:t xml:space="preserve"> tis. eur, pričom medziročne došlo k prehĺbeniu záporného výsledku, a to o</w:t>
      </w:r>
      <w:r>
        <w:t> 1 414 838</w:t>
      </w:r>
      <w:r w:rsidRPr="005D32CA">
        <w:t xml:space="preserve"> tis. eur. Záporný výsledok hospodárenia ústrednej správy (po odpočítaní podielu iných účtovných jednotiek) vo výške </w:t>
      </w:r>
      <w:r>
        <w:t>-5 017 597</w:t>
      </w:r>
      <w:r w:rsidRPr="005D32CA">
        <w:t xml:space="preserve"> tis. eur je medziročne horší o</w:t>
      </w:r>
      <w:r>
        <w:t> 1 404 832</w:t>
      </w:r>
      <w:r w:rsidRPr="005D32CA">
        <w:t xml:space="preserve"> tis. eur, a to z dôvodu vyšších nákladov (najmä tvorbou spomenutej rezervy na zamestnanecké požitky). </w:t>
      </w:r>
    </w:p>
    <w:p w14:paraId="010DCACD" w14:textId="77777777" w:rsidR="00FB260E" w:rsidRPr="005D32CA" w:rsidRDefault="00FB260E" w:rsidP="00FB260E">
      <w:pPr>
        <w:spacing w:after="120" w:line="336" w:lineRule="auto"/>
        <w:jc w:val="both"/>
      </w:pPr>
      <w:r w:rsidRPr="0073186A">
        <w:rPr>
          <w:b/>
        </w:rPr>
        <w:t>Výsledok hospodárenia minulých rokov</w:t>
      </w:r>
      <w:r w:rsidRPr="005D32CA">
        <w:t xml:space="preserve"> súhrnného celku tvorí najmä: </w:t>
      </w:r>
    </w:p>
    <w:p w14:paraId="0929C303" w14:textId="77777777" w:rsidR="00FB260E" w:rsidRPr="0073186A" w:rsidRDefault="00FB260E" w:rsidP="00FB260E">
      <w:pPr>
        <w:pStyle w:val="Odsekzoznamu"/>
        <w:numPr>
          <w:ilvl w:val="0"/>
          <w:numId w:val="45"/>
        </w:numPr>
        <w:spacing w:after="120" w:line="336" w:lineRule="auto"/>
        <w:jc w:val="both"/>
        <w:rPr>
          <w:rFonts w:cs="Times New Roman"/>
        </w:rPr>
      </w:pPr>
      <w:r w:rsidRPr="0073186A">
        <w:rPr>
          <w:rFonts w:cs="Times New Roman"/>
        </w:rPr>
        <w:t>nerozdelený zisk resp. neuhradená strata obchodných spoločností,</w:t>
      </w:r>
    </w:p>
    <w:p w14:paraId="222B07D6" w14:textId="77777777" w:rsidR="00FB260E" w:rsidRPr="005D32CA" w:rsidRDefault="00FB260E" w:rsidP="00FB260E">
      <w:pPr>
        <w:pStyle w:val="Odsekzoznamu"/>
        <w:numPr>
          <w:ilvl w:val="0"/>
          <w:numId w:val="45"/>
        </w:numPr>
        <w:spacing w:after="120" w:line="336" w:lineRule="auto"/>
        <w:jc w:val="both"/>
        <w:rPr>
          <w:rFonts w:cs="Times New Roman"/>
        </w:rPr>
      </w:pPr>
      <w:r w:rsidRPr="005D32CA">
        <w:rPr>
          <w:rFonts w:cs="Times New Roman"/>
        </w:rPr>
        <w:t>prevod zostatkov kapitálových fondov, rezervných fondov a ostatných fondov obchodných spoločností,</w:t>
      </w:r>
    </w:p>
    <w:p w14:paraId="67D84F21" w14:textId="77777777" w:rsidR="00FB260E" w:rsidRPr="005D32CA" w:rsidRDefault="00FB260E" w:rsidP="00FB260E">
      <w:pPr>
        <w:pStyle w:val="Odsekzoznamu"/>
        <w:numPr>
          <w:ilvl w:val="0"/>
          <w:numId w:val="45"/>
        </w:numPr>
        <w:spacing w:after="120" w:line="336" w:lineRule="auto"/>
        <w:jc w:val="both"/>
        <w:rPr>
          <w:rFonts w:cs="Times New Roman"/>
        </w:rPr>
      </w:pPr>
      <w:r w:rsidRPr="005D32CA">
        <w:rPr>
          <w:rFonts w:cs="Times New Roman"/>
        </w:rPr>
        <w:t xml:space="preserve">prevod zostatku fondov ústrednej správy, </w:t>
      </w:r>
    </w:p>
    <w:p w14:paraId="706097E3" w14:textId="77777777" w:rsidR="00FB260E" w:rsidRPr="005D32CA" w:rsidRDefault="00FB260E" w:rsidP="00FB260E">
      <w:pPr>
        <w:pStyle w:val="Odsekzoznamu"/>
        <w:numPr>
          <w:ilvl w:val="0"/>
          <w:numId w:val="44"/>
        </w:numPr>
        <w:spacing w:after="120" w:line="336" w:lineRule="auto"/>
        <w:jc w:val="both"/>
        <w:rPr>
          <w:rFonts w:cs="Times New Roman"/>
        </w:rPr>
      </w:pPr>
      <w:r w:rsidRPr="005D32CA">
        <w:rPr>
          <w:rFonts w:cs="Times New Roman"/>
        </w:rPr>
        <w:t>výsledok hospodárenia všetkých rozpočtových organizácií ústrednej správy,</w:t>
      </w:r>
    </w:p>
    <w:p w14:paraId="44AFE164" w14:textId="77777777" w:rsidR="00FB260E" w:rsidRPr="005D32CA" w:rsidRDefault="00FB260E" w:rsidP="00FB260E">
      <w:pPr>
        <w:pStyle w:val="Odsekzoznamu"/>
        <w:numPr>
          <w:ilvl w:val="0"/>
          <w:numId w:val="44"/>
        </w:numPr>
        <w:spacing w:after="120" w:line="336" w:lineRule="auto"/>
        <w:jc w:val="both"/>
        <w:rPr>
          <w:rFonts w:cs="Times New Roman"/>
        </w:rPr>
      </w:pPr>
      <w:r w:rsidRPr="005D32CA">
        <w:rPr>
          <w:rFonts w:cs="Times New Roman"/>
        </w:rPr>
        <w:t>opravy významných chýb minulých účtovných období resp. zmeny účtovných metód a zásad s vplyvom na hospodárenie minulých období.</w:t>
      </w:r>
    </w:p>
    <w:p w14:paraId="2A6691F8" w14:textId="77777777" w:rsidR="00FB260E" w:rsidRPr="005D32CA" w:rsidRDefault="00FB260E" w:rsidP="00FB260E">
      <w:pPr>
        <w:spacing w:after="120" w:line="336" w:lineRule="auto"/>
        <w:jc w:val="both"/>
      </w:pPr>
      <w:r w:rsidRPr="005D32CA">
        <w:t>Celkovo dosiahol výsledok hospodárenia minulých rokov za súhrnný celok hodnotu -</w:t>
      </w:r>
      <w:r>
        <w:t>19 515 642</w:t>
      </w:r>
      <w:r w:rsidRPr="005D32CA">
        <w:t xml:space="preserve"> tis. eur a medziročne je </w:t>
      </w:r>
      <w:r>
        <w:t>horší</w:t>
      </w:r>
      <w:r w:rsidRPr="005D32CA">
        <w:t xml:space="preserve"> o</w:t>
      </w:r>
      <w:r>
        <w:t> 2 422 275</w:t>
      </w:r>
      <w:r w:rsidRPr="005D32CA">
        <w:t xml:space="preserve"> tis. eur. Ústredná správa dosiahla -3</w:t>
      </w:r>
      <w:r>
        <w:t>6 503 434 tis. eur, čo je o 3 088 675</w:t>
      </w:r>
      <w:r w:rsidRPr="005D32CA">
        <w:t xml:space="preserve"> tis. eur </w:t>
      </w:r>
      <w:r>
        <w:t>horší</w:t>
      </w:r>
      <w:r w:rsidRPr="005D32CA">
        <w:t xml:space="preserve"> výsledok ako za rok 201</w:t>
      </w:r>
      <w:r>
        <w:t>7</w:t>
      </w:r>
      <w:r w:rsidRPr="005D32CA">
        <w:t xml:space="preserve"> (-</w:t>
      </w:r>
      <w:r>
        <w:t>33 414 759</w:t>
      </w:r>
      <w:r w:rsidRPr="005D32CA">
        <w:t xml:space="preserve"> tis. eur). Negatívny vplyv malo najmä </w:t>
      </w:r>
      <w:r>
        <w:t xml:space="preserve">preúčtovanie výsledku hospodárenia za rok 2017 do výsledku hospodárenia minulých rokov. </w:t>
      </w:r>
      <w:r w:rsidRPr="005D32CA">
        <w:t xml:space="preserve">Na druhej strane pozitívny vplyv mala zmena účtovnej metódy pri odpisovaní dlhodobého majetku (v štátnych rozpočtových a príspevkových organizáciách), ktorá bola vyčíslená </w:t>
      </w:r>
      <w:r>
        <w:t>aj v roku 2018 a dosiahla hodnotu</w:t>
      </w:r>
      <w:r w:rsidRPr="005D32CA">
        <w:t xml:space="preserve"> </w:t>
      </w:r>
      <w:r>
        <w:t>304 739</w:t>
      </w:r>
      <w:r w:rsidRPr="005D32CA">
        <w:t xml:space="preserve"> tis. eur.</w:t>
      </w:r>
    </w:p>
    <w:p w14:paraId="3BFAAC5D" w14:textId="4B261129" w:rsidR="00FB260E" w:rsidRPr="005D32CA" w:rsidRDefault="00FB260E" w:rsidP="00FB260E">
      <w:pPr>
        <w:spacing w:after="120" w:line="336" w:lineRule="auto"/>
        <w:jc w:val="both"/>
      </w:pPr>
      <w:r w:rsidRPr="005D32CA">
        <w:t xml:space="preserve">Ďalšie skupiny subjektov súhrnného celku dosiahli výsledok hospodárenia minulých rokov nasledovne: obce </w:t>
      </w:r>
      <w:r>
        <w:t>10 013 663 tis. eur a medziročne je nižší</w:t>
      </w:r>
      <w:r w:rsidRPr="005D32CA">
        <w:t xml:space="preserve"> o</w:t>
      </w:r>
      <w:r>
        <w:t> 176 186</w:t>
      </w:r>
      <w:r w:rsidRPr="005D32CA">
        <w:t xml:space="preserve"> tis. eur, vyššie územné celky </w:t>
      </w:r>
      <w:r>
        <w:t xml:space="preserve">1 161 168 tis. eur </w:t>
      </w:r>
      <w:r w:rsidRPr="005D32CA">
        <w:t xml:space="preserve">a medziročné </w:t>
      </w:r>
      <w:r>
        <w:t>je nižší o 105 099</w:t>
      </w:r>
      <w:r w:rsidRPr="005D32CA">
        <w:t xml:space="preserve"> tis. eur, ostatné subjekty </w:t>
      </w:r>
      <w:r>
        <w:t xml:space="preserve">1 676 077 tis. eur </w:t>
      </w:r>
      <w:r w:rsidR="00322951">
        <w:t>a medziročné zhoršenie</w:t>
      </w:r>
      <w:r w:rsidR="00322951">
        <w:br/>
      </w:r>
      <w:r w:rsidRPr="005D32CA">
        <w:t>o</w:t>
      </w:r>
      <w:r>
        <w:t> 75 081</w:t>
      </w:r>
      <w:r w:rsidRPr="005D32CA">
        <w:t xml:space="preserve"> tis. eur. </w:t>
      </w:r>
    </w:p>
    <w:p w14:paraId="1AB33A63" w14:textId="77777777" w:rsidR="00FB260E" w:rsidRPr="005D32CA" w:rsidRDefault="00FB260E" w:rsidP="00FB260E">
      <w:pPr>
        <w:spacing w:after="120" w:line="336" w:lineRule="auto"/>
        <w:jc w:val="both"/>
      </w:pPr>
      <w:r w:rsidRPr="00D56A2D">
        <w:rPr>
          <w:b/>
        </w:rPr>
        <w:t>Oceňovacie rozdiely</w:t>
      </w:r>
      <w:r w:rsidRPr="005D32CA">
        <w:t xml:space="preserve"> vznikajú z precenenia majetku a záväzkov, z precenenia kapitálových účastí v obchodných spoločnostiach, ktoré nie sú súčasťou súhrnného celku alebo predstavujú menšinové podiely subjektov súhrnného celku v obchodných spoločnostiach. Oceňovaci</w:t>
      </w:r>
      <w:r>
        <w:t>e rozdiely dosiahli k 31.12.2018</w:t>
      </w:r>
      <w:r w:rsidRPr="005D32CA">
        <w:t xml:space="preserve"> kladnú hodnotu </w:t>
      </w:r>
      <w:r>
        <w:t xml:space="preserve">87 424 tis. eur </w:t>
      </w:r>
      <w:r w:rsidRPr="005D32CA">
        <w:t>a medziročne boli vyššie o</w:t>
      </w:r>
      <w:r>
        <w:t> 51 171</w:t>
      </w:r>
      <w:r w:rsidRPr="005D32CA">
        <w:t xml:space="preserve"> tis. eur, a to najmä </w:t>
      </w:r>
      <w:r>
        <w:t>vyššími oceňovacími rozdielmi obcí z dôvodu precenenia kapitálových účastí v obchodných spoločnostiach</w:t>
      </w:r>
      <w:r w:rsidRPr="005D32CA">
        <w:t xml:space="preserve">. </w:t>
      </w:r>
    </w:p>
    <w:p w14:paraId="68D3B032" w14:textId="77777777" w:rsidR="00FB260E" w:rsidRPr="005D32CA" w:rsidRDefault="00FB260E" w:rsidP="00FB260E">
      <w:pPr>
        <w:spacing w:after="120" w:line="336" w:lineRule="auto"/>
        <w:jc w:val="both"/>
      </w:pPr>
      <w:r w:rsidRPr="0036033F">
        <w:t>Ako</w:t>
      </w:r>
      <w:r w:rsidRPr="00D56A2D">
        <w:rPr>
          <w:b/>
        </w:rPr>
        <w:t xml:space="preserve"> podiely iných účtovných jednotiek</w:t>
      </w:r>
      <w:r w:rsidRPr="005D32CA">
        <w:t xml:space="preserve"> sa vykazuje hodnota, ktorá neprináleží subjektom súhrnného celku, keďže pochádza z menšinových podielov v obchodných spoločnostiach, ktoré sú väčšinovo vlastnené „tretími“ stranami (napríklad súkromnými spoločnosťami, zahraničnými subjektmi). Hodnota týchto podielov sa vykazuje v súhrnnej účtovnej závierke na samostatnej položke práve preto, aby deklarovala nárok iných vlastníkov na vlastné imanie spoločností, ktorých spoluvlastníkom je niektorý subjekt súhrnného celku. Podiely iných účtovných jednotiek zahŕňajú nielen podiel na aktuálnom výsledku hospodárenia, ale aj na ostatných položkách vlastného imania.</w:t>
      </w:r>
    </w:p>
    <w:p w14:paraId="5E3B994F" w14:textId="77777777" w:rsidR="00FB260E" w:rsidRDefault="00FB260E" w:rsidP="00FB260E">
      <w:pPr>
        <w:spacing w:after="120" w:line="336" w:lineRule="auto"/>
        <w:jc w:val="both"/>
      </w:pPr>
      <w:r w:rsidRPr="005D32CA">
        <w:t>Medziročne sa hodnota podielov iných účtovných jednotiek znížila o</w:t>
      </w:r>
      <w:r>
        <w:t> </w:t>
      </w:r>
      <w:r w:rsidRPr="005D32CA">
        <w:t>1</w:t>
      </w:r>
      <w:r>
        <w:t>2 564</w:t>
      </w:r>
      <w:r w:rsidRPr="005D32CA">
        <w:t xml:space="preserve"> tis. eur, a to najmä v miestnej samospráve, u obcí </w:t>
      </w:r>
      <w:r>
        <w:t>12 456 tis. eur</w:t>
      </w:r>
      <w:r w:rsidRPr="005D32CA">
        <w:t>.</w:t>
      </w:r>
    </w:p>
    <w:p w14:paraId="6D0BC705" w14:textId="77777777" w:rsidR="008117A9" w:rsidRPr="00CC54CC" w:rsidRDefault="008117A9" w:rsidP="00542E12">
      <w:pPr>
        <w:pStyle w:val="Nadpis3"/>
        <w:numPr>
          <w:ilvl w:val="2"/>
          <w:numId w:val="20"/>
        </w:numPr>
      </w:pPr>
      <w:bookmarkStart w:id="70" w:name="_Toc495990496"/>
      <w:bookmarkStart w:id="71" w:name="_Toc23264808"/>
      <w:r w:rsidRPr="00CC54CC">
        <w:t>Vlastné imanie podnikov štátnej správy</w:t>
      </w:r>
      <w:bookmarkEnd w:id="70"/>
      <w:bookmarkEnd w:id="71"/>
    </w:p>
    <w:p w14:paraId="5FF68462" w14:textId="77777777" w:rsidR="00FB260E" w:rsidRPr="00966E4B" w:rsidRDefault="00FB260E" w:rsidP="00FB260E">
      <w:pPr>
        <w:spacing w:after="120" w:line="336" w:lineRule="auto"/>
        <w:jc w:val="both"/>
        <w:rPr>
          <w:color w:val="FF0000"/>
        </w:rPr>
      </w:pPr>
      <w:r>
        <w:rPr>
          <w:szCs w:val="22"/>
        </w:rPr>
        <w:t>V</w:t>
      </w:r>
      <w:r w:rsidRPr="00396B8E">
        <w:rPr>
          <w:szCs w:val="22"/>
        </w:rPr>
        <w:t>lastné imani</w:t>
      </w:r>
      <w:r>
        <w:rPr>
          <w:szCs w:val="22"/>
        </w:rPr>
        <w:t>e</w:t>
      </w:r>
      <w:r w:rsidRPr="00396B8E">
        <w:t xml:space="preserve"> podnikov štátnej správy dosiahlo k 31.12.2018 hodnotu </w:t>
      </w:r>
      <w:r w:rsidRPr="00396B8E">
        <w:rPr>
          <w:b/>
        </w:rPr>
        <w:t xml:space="preserve">17 082 702 tis. eur </w:t>
      </w:r>
      <w:r w:rsidRPr="00EA3399">
        <w:rPr>
          <w:b/>
        </w:rPr>
        <w:t>(19,03 % HDP)</w:t>
      </w:r>
      <w:r w:rsidRPr="00EA3399">
        <w:t>.</w:t>
      </w:r>
      <w:r w:rsidRPr="00EA3399">
        <w:rPr>
          <w:szCs w:val="22"/>
        </w:rPr>
        <w:t xml:space="preserve"> Uvedený </w:t>
      </w:r>
      <w:r w:rsidRPr="0063056A">
        <w:rPr>
          <w:szCs w:val="22"/>
        </w:rPr>
        <w:t xml:space="preserve">údaj je nekonsolidovaný a predstavuje súčet </w:t>
      </w:r>
      <w:r w:rsidRPr="0063056A">
        <w:t xml:space="preserve">vlastných imaní jednotlivých podnikov z individuálnych účtovných závierok prepočítaný na veľkosť vlastníckych podielov štátu. Tento údaj nemožno dávať do súvislosti s údajom o celkovom čistom bohatstve v časti 3.2., pretože v rámci čistého bohatstva sú všetky podniky okrem podnikov MH Manažmentu, a.s. zaradené do súhrnného celku a údaje o vlastnom imaní sú konsolidované. </w:t>
      </w:r>
    </w:p>
    <w:p w14:paraId="0F419220" w14:textId="77777777" w:rsidR="00FB260E" w:rsidRPr="0063056A" w:rsidRDefault="00FB260E" w:rsidP="00FB260E">
      <w:pPr>
        <w:spacing w:after="120" w:line="336" w:lineRule="auto"/>
        <w:jc w:val="both"/>
      </w:pPr>
      <w:r w:rsidRPr="00BA3D41">
        <w:rPr>
          <w:szCs w:val="22"/>
        </w:rPr>
        <w:t>Vlastné imanie</w:t>
      </w:r>
      <w:r w:rsidRPr="00BA3D41">
        <w:t xml:space="preserve"> podnikov štátnej správy oproti predchádzajúcemu roku </w:t>
      </w:r>
      <w:r>
        <w:t>vzrástlo</w:t>
      </w:r>
      <w:r w:rsidRPr="00BA3D41">
        <w:rPr>
          <w:b/>
        </w:rPr>
        <w:t xml:space="preserve"> o 30 548 tis. eur</w:t>
      </w:r>
      <w:r w:rsidRPr="00BA3D41">
        <w:t xml:space="preserve">.  </w:t>
      </w:r>
      <w:r w:rsidRPr="0063056A">
        <w:rPr>
          <w:szCs w:val="22"/>
        </w:rPr>
        <w:t xml:space="preserve">V nasledujúcej časti sú podrobnejšie komentované zmeny vlastného imania za vybrané podniky. Príloha č. 1 obsahuje tabuľkový prehľad všetkých podnikov štátnej správy, výšku vlastníckych podielov štátu (k 31.12.2018) a výšku ich vlastných imaní a výsledky hospodárenia za posledné tri roky. </w:t>
      </w:r>
      <w:r>
        <w:rPr>
          <w:szCs w:val="22"/>
        </w:rPr>
        <w:t xml:space="preserve">Novou prílohou č. 2 k štátnym podnikom je prehľad o štruktúre medziročnej zmeny ich vlastného imania podľa jednotlivých položiek vlastného imania. </w:t>
      </w:r>
    </w:p>
    <w:p w14:paraId="618F9D08" w14:textId="77777777" w:rsidR="00FB260E" w:rsidRPr="0063056A" w:rsidRDefault="00FB260E" w:rsidP="00FB260E">
      <w:pPr>
        <w:spacing w:after="0" w:line="336" w:lineRule="auto"/>
        <w:jc w:val="both"/>
        <w:rPr>
          <w:szCs w:val="22"/>
        </w:rPr>
      </w:pPr>
      <w:r w:rsidRPr="0063056A">
        <w:rPr>
          <w:szCs w:val="22"/>
        </w:rPr>
        <w:t>Pri komentovaní medziročných zmien vlastného imania vybraných podnikov sa pre účely tejto správy zameriavame najmä na päť hlavných položiek, ktoré spôsobujú prírastok alebo úbytok vlastného imania:</w:t>
      </w:r>
    </w:p>
    <w:p w14:paraId="5D8819B7" w14:textId="77777777" w:rsidR="00FB260E" w:rsidRPr="0063056A" w:rsidRDefault="00FB260E" w:rsidP="00FB260E">
      <w:pPr>
        <w:pStyle w:val="Odsekzoznamu"/>
        <w:numPr>
          <w:ilvl w:val="0"/>
          <w:numId w:val="14"/>
        </w:numPr>
        <w:spacing w:after="120" w:line="336" w:lineRule="auto"/>
        <w:jc w:val="both"/>
        <w:rPr>
          <w:rFonts w:cs="Times New Roman"/>
        </w:rPr>
      </w:pPr>
      <w:r w:rsidRPr="0063056A">
        <w:rPr>
          <w:rFonts w:cs="Times New Roman"/>
          <w:b/>
        </w:rPr>
        <w:t>Výsledok hospodárenia bežného účtovného obdobia</w:t>
      </w:r>
      <w:r w:rsidRPr="0063056A">
        <w:rPr>
          <w:rFonts w:cs="Times New Roman"/>
        </w:rPr>
        <w:t xml:space="preserve"> predstavuje čistý zisk (prírastok VI) alebo stratu (úbytok VI) za sledovaný rok. Táto položka je najvýznamnejšia, pretože výsledky hospodárenia priamo</w:t>
      </w:r>
      <w:r>
        <w:rPr>
          <w:rFonts w:cs="Times New Roman"/>
        </w:rPr>
        <w:t xml:space="preserve"> </w:t>
      </w:r>
      <w:r w:rsidRPr="0063056A">
        <w:rPr>
          <w:rFonts w:cs="Times New Roman"/>
        </w:rPr>
        <w:t xml:space="preserve">poukazujú na </w:t>
      </w:r>
      <w:r>
        <w:rPr>
          <w:rFonts w:cs="Times New Roman"/>
        </w:rPr>
        <w:t xml:space="preserve">príspevok </w:t>
      </w:r>
      <w:r w:rsidRPr="0063056A">
        <w:rPr>
          <w:rFonts w:cs="Times New Roman"/>
        </w:rPr>
        <w:t>podniku k</w:t>
      </w:r>
      <w:r>
        <w:rPr>
          <w:rFonts w:cs="Times New Roman"/>
        </w:rPr>
        <w:t xml:space="preserve"> hodnote </w:t>
      </w:r>
      <w:r w:rsidRPr="0063056A">
        <w:rPr>
          <w:rFonts w:cs="Times New Roman"/>
        </w:rPr>
        <w:t>čisté</w:t>
      </w:r>
      <w:r>
        <w:rPr>
          <w:rFonts w:cs="Times New Roman"/>
        </w:rPr>
        <w:t>ho</w:t>
      </w:r>
      <w:r w:rsidRPr="0063056A">
        <w:rPr>
          <w:rFonts w:cs="Times New Roman"/>
        </w:rPr>
        <w:t xml:space="preserve"> bohatstv</w:t>
      </w:r>
      <w:r>
        <w:rPr>
          <w:rFonts w:cs="Times New Roman"/>
        </w:rPr>
        <w:t>a</w:t>
      </w:r>
      <w:r w:rsidRPr="0063056A">
        <w:rPr>
          <w:rFonts w:cs="Times New Roman"/>
        </w:rPr>
        <w:t xml:space="preserve">. </w:t>
      </w:r>
    </w:p>
    <w:p w14:paraId="494F6B34" w14:textId="77777777" w:rsidR="00FB260E" w:rsidRPr="0063056A" w:rsidRDefault="00FB260E" w:rsidP="00FB260E">
      <w:pPr>
        <w:pStyle w:val="Odsekzoznamu"/>
        <w:numPr>
          <w:ilvl w:val="0"/>
          <w:numId w:val="14"/>
        </w:numPr>
        <w:spacing w:after="120" w:line="336" w:lineRule="auto"/>
        <w:jc w:val="both"/>
        <w:rPr>
          <w:rFonts w:cs="Times New Roman"/>
        </w:rPr>
      </w:pPr>
      <w:r w:rsidRPr="0063056A">
        <w:rPr>
          <w:rFonts w:cs="Times New Roman"/>
          <w:b/>
        </w:rPr>
        <w:t xml:space="preserve">Dividendy </w:t>
      </w:r>
      <w:r w:rsidRPr="0063056A">
        <w:rPr>
          <w:rFonts w:cs="Times New Roman"/>
        </w:rPr>
        <w:t>sú položkou, ktorá sa zvyčajne vypláca zo zisku minulého účtovného obdobia a spôsobuje úbytok vlastného imania. Dividendy môžu byť v danom roku vyplatené, alebo len schválené na rozdelenie a následne vyplatené v neskoršom období. Pri dividendách sú osobitne spomenuté superdividendy</w:t>
      </w:r>
      <w:r>
        <w:rPr>
          <w:rStyle w:val="Odkaznapoznmkupodiarou"/>
          <w:rFonts w:eastAsiaTheme="majorEastAsia"/>
        </w:rPr>
        <w:footnoteReference w:id="22"/>
      </w:r>
      <w:r w:rsidRPr="0063056A">
        <w:rPr>
          <w:rFonts w:cs="Times New Roman"/>
        </w:rPr>
        <w:t xml:space="preserve">, ak ich výplata bola v danom roku u podniku zaznamenaná. </w:t>
      </w:r>
    </w:p>
    <w:p w14:paraId="06D08F0C" w14:textId="77777777" w:rsidR="00FB260E" w:rsidRPr="0063056A" w:rsidRDefault="00FB260E" w:rsidP="00FB260E">
      <w:pPr>
        <w:pStyle w:val="Odsekzoznamu"/>
        <w:numPr>
          <w:ilvl w:val="0"/>
          <w:numId w:val="14"/>
        </w:numPr>
        <w:spacing w:after="120" w:line="336" w:lineRule="auto"/>
        <w:jc w:val="both"/>
        <w:rPr>
          <w:rFonts w:cs="Times New Roman"/>
        </w:rPr>
      </w:pPr>
      <w:r w:rsidRPr="0063056A">
        <w:rPr>
          <w:rFonts w:cs="Times New Roman"/>
          <w:b/>
        </w:rPr>
        <w:t>Priame vklady spoločníkov do vlastného imania</w:t>
      </w:r>
      <w:r w:rsidRPr="0063056A">
        <w:rPr>
          <w:rFonts w:cs="Times New Roman"/>
        </w:rPr>
        <w:t xml:space="preserve"> zvyšujú vlastné imanie spoločnosti</w:t>
      </w:r>
      <w:r>
        <w:rPr>
          <w:rStyle w:val="Odkaznapoznmkupodiarou"/>
          <w:rFonts w:eastAsiaTheme="majorEastAsia"/>
        </w:rPr>
        <w:footnoteReference w:id="23"/>
      </w:r>
      <w:r w:rsidRPr="0063056A">
        <w:rPr>
          <w:rFonts w:cs="Times New Roman"/>
        </w:rPr>
        <w:t>. Pod priamymi vkladmi sa rozumejú peňažné a nepeňažné vklady do základného imania, do kapitálových fondov alebo vklady použité na úhradu straty.</w:t>
      </w:r>
    </w:p>
    <w:p w14:paraId="0A0C7B15" w14:textId="77777777" w:rsidR="00FB260E" w:rsidRPr="0063056A" w:rsidRDefault="00FB260E" w:rsidP="00FB260E">
      <w:pPr>
        <w:pStyle w:val="Odsekzoznamu"/>
        <w:numPr>
          <w:ilvl w:val="0"/>
          <w:numId w:val="14"/>
        </w:numPr>
        <w:spacing w:after="120" w:line="336" w:lineRule="auto"/>
        <w:jc w:val="both"/>
        <w:rPr>
          <w:rFonts w:cs="Times New Roman"/>
        </w:rPr>
      </w:pPr>
      <w:r w:rsidRPr="0063056A">
        <w:rPr>
          <w:rFonts w:cs="Times New Roman"/>
          <w:b/>
        </w:rPr>
        <w:t>Zmeny precenenia majetku a záväzkov</w:t>
      </w:r>
      <w:r w:rsidRPr="0063056A">
        <w:rPr>
          <w:rFonts w:cs="Times New Roman"/>
        </w:rPr>
        <w:t xml:space="preserve"> môžu znižovať aj zvyšovať vlastné imanie na základe rozdielu medzi účtovným a reálnym ocenením určitých položiek majetku a záväzkov. Konkrétne prípady sú bližšie vysvetlené pri jednotlivých spoločnostiach. </w:t>
      </w:r>
    </w:p>
    <w:p w14:paraId="1BDA7F31" w14:textId="77777777" w:rsidR="00FB260E" w:rsidRPr="0063056A" w:rsidRDefault="00FB260E" w:rsidP="00FB260E">
      <w:pPr>
        <w:pStyle w:val="Odsekzoznamu"/>
        <w:numPr>
          <w:ilvl w:val="0"/>
          <w:numId w:val="14"/>
        </w:numPr>
        <w:spacing w:after="120" w:line="336" w:lineRule="auto"/>
        <w:jc w:val="both"/>
        <w:rPr>
          <w:rFonts w:cs="Times New Roman"/>
        </w:rPr>
      </w:pPr>
      <w:r w:rsidRPr="0063056A">
        <w:rPr>
          <w:rFonts w:cs="Times New Roman"/>
        </w:rPr>
        <w:t>Pod „</w:t>
      </w:r>
      <w:r w:rsidRPr="0063056A">
        <w:rPr>
          <w:rFonts w:cs="Times New Roman"/>
          <w:b/>
        </w:rPr>
        <w:t>ostatné zmeny</w:t>
      </w:r>
      <w:r w:rsidRPr="0063056A">
        <w:rPr>
          <w:rFonts w:cs="Times New Roman"/>
        </w:rPr>
        <w:t xml:space="preserve">“ zaraďujeme opravy významných chýb minulých účtovných období a rozdiely zo zmien použitých účtovných metód a účtovných zásad, ktoré sa účtujú priamo do vlastného imania (do výsledku hospodárenia minulých období), a ktoré môžu spôsobiť úbytok alebo prírastok vlastného imania podniku. Patria sem taktiež zmeny rezerv zo zabezpečovacích derivátov, prípadne zmeny iných rezerv, ktoré nesúvisia s preceňovaním. </w:t>
      </w:r>
    </w:p>
    <w:p w14:paraId="284E34DF" w14:textId="37CBBA9F" w:rsidR="00FB260E" w:rsidRPr="00966E4B" w:rsidRDefault="00FB260E" w:rsidP="00FB260E">
      <w:pPr>
        <w:spacing w:after="120" w:line="336" w:lineRule="auto"/>
        <w:jc w:val="both"/>
        <w:rPr>
          <w:color w:val="FF0000"/>
          <w:szCs w:val="22"/>
        </w:rPr>
      </w:pPr>
      <w:r w:rsidRPr="0063056A">
        <w:rPr>
          <w:szCs w:val="22"/>
        </w:rPr>
        <w:t xml:space="preserve">Nasledujúca tabuľka </w:t>
      </w:r>
      <w:r w:rsidRPr="000C0F09">
        <w:rPr>
          <w:szCs w:val="22"/>
        </w:rPr>
        <w:t>predstavuje prehľad zmien vlastného imania vybraných štátnych podnikov. Uvedené podniky sa podieľajú až 77,</w:t>
      </w:r>
      <w:r>
        <w:rPr>
          <w:szCs w:val="22"/>
        </w:rPr>
        <w:t>5</w:t>
      </w:r>
      <w:r w:rsidRPr="000C0F09">
        <w:rPr>
          <w:szCs w:val="22"/>
        </w:rPr>
        <w:t xml:space="preserve"> % na celkovom vlastnom imaní všetkých podnikov štátnej správy </w:t>
      </w:r>
      <w:r>
        <w:rPr>
          <w:szCs w:val="22"/>
        </w:rPr>
        <w:t xml:space="preserve">po prepočte </w:t>
      </w:r>
      <w:r w:rsidRPr="000C0F09">
        <w:rPr>
          <w:szCs w:val="22"/>
        </w:rPr>
        <w:t>na vlastníck</w:t>
      </w:r>
      <w:r>
        <w:rPr>
          <w:szCs w:val="22"/>
        </w:rPr>
        <w:t>y</w:t>
      </w:r>
      <w:r w:rsidRPr="000C0F09">
        <w:rPr>
          <w:szCs w:val="22"/>
        </w:rPr>
        <w:t xml:space="preserve"> podiel štátu.</w:t>
      </w:r>
    </w:p>
    <w:tbl>
      <w:tblPr>
        <w:tblW w:w="5001" w:type="pct"/>
        <w:tblLayout w:type="fixed"/>
        <w:tblCellMar>
          <w:left w:w="70" w:type="dxa"/>
          <w:right w:w="70" w:type="dxa"/>
        </w:tblCellMar>
        <w:tblLook w:val="04A0" w:firstRow="1" w:lastRow="0" w:firstColumn="1" w:lastColumn="0" w:noHBand="0" w:noVBand="1"/>
      </w:tblPr>
      <w:tblGrid>
        <w:gridCol w:w="3080"/>
        <w:gridCol w:w="759"/>
        <w:gridCol w:w="1183"/>
        <w:gridCol w:w="931"/>
        <w:gridCol w:w="980"/>
        <w:gridCol w:w="1042"/>
        <w:gridCol w:w="176"/>
        <w:gridCol w:w="922"/>
      </w:tblGrid>
      <w:tr w:rsidR="00FB260E" w:rsidRPr="0092765F" w14:paraId="058EB401" w14:textId="77777777" w:rsidTr="0092765F">
        <w:trPr>
          <w:trHeight w:val="420"/>
        </w:trPr>
        <w:tc>
          <w:tcPr>
            <w:tcW w:w="5000" w:type="pct"/>
            <w:gridSpan w:val="8"/>
            <w:tcBorders>
              <w:top w:val="nil"/>
              <w:left w:val="nil"/>
              <w:bottom w:val="nil"/>
              <w:right w:val="nil"/>
            </w:tcBorders>
            <w:shd w:val="clear" w:color="000000" w:fill="000000"/>
            <w:noWrap/>
            <w:vAlign w:val="bottom"/>
            <w:hideMark/>
          </w:tcPr>
          <w:p w14:paraId="5B4F2015" w14:textId="22486B7D" w:rsidR="00FB260E" w:rsidRPr="0092765F" w:rsidRDefault="00FB260E" w:rsidP="0092765F">
            <w:pPr>
              <w:spacing w:before="120" w:after="120" w:line="240" w:lineRule="auto"/>
              <w:rPr>
                <w:b/>
                <w:bCs/>
                <w:sz w:val="18"/>
                <w:szCs w:val="18"/>
                <w:lang w:eastAsia="sk-SK"/>
              </w:rPr>
            </w:pPr>
            <w:r w:rsidRPr="0092765F">
              <w:rPr>
                <w:b/>
                <w:bCs/>
                <w:sz w:val="18"/>
                <w:szCs w:val="18"/>
                <w:lang w:eastAsia="sk-SK"/>
              </w:rPr>
              <w:t xml:space="preserve">Medziročná zmena vlastného imania k 31 .12. 2018 </w:t>
            </w:r>
            <w:r w:rsidR="0092765F" w:rsidRPr="0092765F">
              <w:rPr>
                <w:b/>
                <w:bCs/>
                <w:sz w:val="18"/>
                <w:szCs w:val="18"/>
                <w:lang w:eastAsia="sk-SK"/>
              </w:rPr>
              <w:t xml:space="preserve">                                                                                             </w:t>
            </w:r>
            <w:r w:rsidRPr="0092765F">
              <w:rPr>
                <w:b/>
                <w:bCs/>
                <w:sz w:val="18"/>
                <w:szCs w:val="18"/>
                <w:lang w:eastAsia="sk-SK"/>
              </w:rPr>
              <w:t>v tis. eur</w:t>
            </w:r>
          </w:p>
        </w:tc>
      </w:tr>
      <w:tr w:rsidR="0092765F" w:rsidRPr="0092765F" w14:paraId="52BC93B3" w14:textId="77777777" w:rsidTr="0092765F">
        <w:trPr>
          <w:trHeight w:val="510"/>
        </w:trPr>
        <w:tc>
          <w:tcPr>
            <w:tcW w:w="1698" w:type="pct"/>
            <w:tcBorders>
              <w:top w:val="nil"/>
              <w:left w:val="nil"/>
              <w:bottom w:val="single" w:sz="4" w:space="0" w:color="auto"/>
              <w:right w:val="nil"/>
            </w:tcBorders>
            <w:shd w:val="clear" w:color="000000" w:fill="D9D9D9"/>
            <w:noWrap/>
            <w:vAlign w:val="center"/>
            <w:hideMark/>
          </w:tcPr>
          <w:p w14:paraId="4E9C2CD4" w14:textId="77777777" w:rsidR="00FB260E" w:rsidRPr="0092765F" w:rsidRDefault="00FB260E" w:rsidP="00FB260E">
            <w:pPr>
              <w:spacing w:after="0" w:line="240" w:lineRule="auto"/>
              <w:rPr>
                <w:b/>
                <w:bCs/>
                <w:sz w:val="18"/>
                <w:szCs w:val="18"/>
                <w:lang w:eastAsia="sk-SK"/>
              </w:rPr>
            </w:pPr>
            <w:r w:rsidRPr="0092765F">
              <w:rPr>
                <w:b/>
                <w:bCs/>
                <w:sz w:val="18"/>
                <w:szCs w:val="18"/>
                <w:lang w:eastAsia="sk-SK"/>
              </w:rPr>
              <w:t>Podnik</w:t>
            </w:r>
          </w:p>
        </w:tc>
        <w:tc>
          <w:tcPr>
            <w:tcW w:w="418" w:type="pct"/>
            <w:tcBorders>
              <w:top w:val="nil"/>
              <w:left w:val="nil"/>
              <w:bottom w:val="single" w:sz="4" w:space="0" w:color="auto"/>
              <w:right w:val="nil"/>
            </w:tcBorders>
            <w:shd w:val="clear" w:color="000000" w:fill="D9D9D9"/>
            <w:vAlign w:val="center"/>
            <w:hideMark/>
          </w:tcPr>
          <w:p w14:paraId="5870B022"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VI</w:t>
            </w:r>
            <w:r w:rsidRPr="0092765F">
              <w:rPr>
                <w:b/>
                <w:bCs/>
                <w:sz w:val="18"/>
                <w:szCs w:val="18"/>
                <w:lang w:eastAsia="sk-SK"/>
              </w:rPr>
              <w:br/>
              <w:t xml:space="preserve"> Δ2018-2017</w:t>
            </w:r>
          </w:p>
        </w:tc>
        <w:tc>
          <w:tcPr>
            <w:tcW w:w="652" w:type="pct"/>
            <w:tcBorders>
              <w:top w:val="nil"/>
              <w:left w:val="nil"/>
              <w:bottom w:val="single" w:sz="4" w:space="0" w:color="auto"/>
              <w:right w:val="nil"/>
            </w:tcBorders>
            <w:shd w:val="clear" w:color="000000" w:fill="D9D9D9"/>
            <w:vAlign w:val="center"/>
            <w:hideMark/>
          </w:tcPr>
          <w:p w14:paraId="7621F080"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Výsledok hospodárenia</w:t>
            </w:r>
          </w:p>
        </w:tc>
        <w:tc>
          <w:tcPr>
            <w:tcW w:w="513" w:type="pct"/>
            <w:tcBorders>
              <w:top w:val="nil"/>
              <w:left w:val="nil"/>
              <w:bottom w:val="single" w:sz="4" w:space="0" w:color="auto"/>
              <w:right w:val="nil"/>
            </w:tcBorders>
            <w:shd w:val="clear" w:color="000000" w:fill="D9D9D9"/>
            <w:vAlign w:val="center"/>
            <w:hideMark/>
          </w:tcPr>
          <w:p w14:paraId="0F144AC6"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Dividendy</w:t>
            </w:r>
          </w:p>
        </w:tc>
        <w:tc>
          <w:tcPr>
            <w:tcW w:w="540" w:type="pct"/>
            <w:tcBorders>
              <w:top w:val="nil"/>
              <w:left w:val="nil"/>
              <w:bottom w:val="single" w:sz="4" w:space="0" w:color="auto"/>
              <w:right w:val="nil"/>
            </w:tcBorders>
            <w:shd w:val="clear" w:color="000000" w:fill="D9D9D9"/>
            <w:vAlign w:val="center"/>
            <w:hideMark/>
          </w:tcPr>
          <w:p w14:paraId="1885538A"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Precenenie</w:t>
            </w:r>
          </w:p>
        </w:tc>
        <w:tc>
          <w:tcPr>
            <w:tcW w:w="671" w:type="pct"/>
            <w:gridSpan w:val="2"/>
            <w:tcBorders>
              <w:top w:val="nil"/>
              <w:left w:val="nil"/>
              <w:bottom w:val="single" w:sz="4" w:space="0" w:color="auto"/>
              <w:right w:val="nil"/>
            </w:tcBorders>
            <w:shd w:val="clear" w:color="000000" w:fill="D9D9D9"/>
            <w:vAlign w:val="center"/>
            <w:hideMark/>
          </w:tcPr>
          <w:p w14:paraId="4DE2A528"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Vklady spoločníkov</w:t>
            </w:r>
          </w:p>
        </w:tc>
        <w:tc>
          <w:tcPr>
            <w:tcW w:w="508" w:type="pct"/>
            <w:tcBorders>
              <w:top w:val="nil"/>
              <w:left w:val="nil"/>
              <w:bottom w:val="single" w:sz="4" w:space="0" w:color="auto"/>
              <w:right w:val="nil"/>
            </w:tcBorders>
            <w:shd w:val="clear" w:color="000000" w:fill="D9D9D9"/>
            <w:vAlign w:val="center"/>
            <w:hideMark/>
          </w:tcPr>
          <w:p w14:paraId="0AE6C913" w14:textId="77777777" w:rsidR="00FB260E" w:rsidRPr="0092765F" w:rsidRDefault="00FB260E" w:rsidP="00FB260E">
            <w:pPr>
              <w:spacing w:after="0" w:line="240" w:lineRule="auto"/>
              <w:jc w:val="center"/>
              <w:rPr>
                <w:b/>
                <w:bCs/>
                <w:sz w:val="18"/>
                <w:szCs w:val="18"/>
                <w:lang w:eastAsia="sk-SK"/>
              </w:rPr>
            </w:pPr>
            <w:r w:rsidRPr="0092765F">
              <w:rPr>
                <w:b/>
                <w:bCs/>
                <w:sz w:val="18"/>
                <w:szCs w:val="18"/>
                <w:lang w:eastAsia="sk-SK"/>
              </w:rPr>
              <w:t>Ostatné</w:t>
            </w:r>
          </w:p>
        </w:tc>
      </w:tr>
      <w:tr w:rsidR="0092765F" w:rsidRPr="0092765F" w14:paraId="4E44DE29" w14:textId="77777777" w:rsidTr="0092765F">
        <w:trPr>
          <w:trHeight w:val="255"/>
        </w:trPr>
        <w:tc>
          <w:tcPr>
            <w:tcW w:w="1698" w:type="pct"/>
            <w:tcBorders>
              <w:top w:val="nil"/>
              <w:left w:val="nil"/>
              <w:bottom w:val="nil"/>
              <w:right w:val="nil"/>
            </w:tcBorders>
            <w:shd w:val="clear" w:color="auto" w:fill="auto"/>
            <w:noWrap/>
            <w:vAlign w:val="bottom"/>
          </w:tcPr>
          <w:p w14:paraId="277B23E7" w14:textId="77777777" w:rsidR="00FB260E" w:rsidRPr="0092765F" w:rsidRDefault="00FB260E" w:rsidP="00FB260E">
            <w:pPr>
              <w:spacing w:after="0" w:line="240" w:lineRule="auto"/>
              <w:rPr>
                <w:sz w:val="18"/>
                <w:szCs w:val="18"/>
                <w:lang w:eastAsia="sk-SK"/>
              </w:rPr>
            </w:pPr>
            <w:r w:rsidRPr="0092765F">
              <w:rPr>
                <w:sz w:val="18"/>
                <w:szCs w:val="18"/>
                <w:lang w:eastAsia="sk-SK"/>
              </w:rPr>
              <w:t>Všeobecná zdravotná poisťovňa, a.s.</w:t>
            </w:r>
          </w:p>
        </w:tc>
        <w:tc>
          <w:tcPr>
            <w:tcW w:w="418" w:type="pct"/>
            <w:tcBorders>
              <w:top w:val="nil"/>
              <w:left w:val="nil"/>
              <w:bottom w:val="nil"/>
              <w:right w:val="nil"/>
            </w:tcBorders>
            <w:shd w:val="clear" w:color="auto" w:fill="auto"/>
            <w:noWrap/>
            <w:vAlign w:val="bottom"/>
          </w:tcPr>
          <w:p w14:paraId="3A1D21A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91 297</w:t>
            </w:r>
          </w:p>
        </w:tc>
        <w:tc>
          <w:tcPr>
            <w:tcW w:w="652" w:type="pct"/>
            <w:tcBorders>
              <w:top w:val="nil"/>
              <w:left w:val="nil"/>
              <w:bottom w:val="nil"/>
              <w:right w:val="nil"/>
            </w:tcBorders>
            <w:shd w:val="clear" w:color="auto" w:fill="auto"/>
            <w:noWrap/>
            <w:vAlign w:val="bottom"/>
          </w:tcPr>
          <w:p w14:paraId="0AA090C9"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89 976</w:t>
            </w:r>
          </w:p>
        </w:tc>
        <w:tc>
          <w:tcPr>
            <w:tcW w:w="513" w:type="pct"/>
            <w:tcBorders>
              <w:top w:val="nil"/>
              <w:left w:val="nil"/>
              <w:bottom w:val="nil"/>
              <w:right w:val="nil"/>
            </w:tcBorders>
            <w:shd w:val="clear" w:color="auto" w:fill="auto"/>
            <w:noWrap/>
            <w:vAlign w:val="bottom"/>
          </w:tcPr>
          <w:p w14:paraId="4CDF1A54"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2601E1E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1 325</w:t>
            </w:r>
          </w:p>
        </w:tc>
        <w:tc>
          <w:tcPr>
            <w:tcW w:w="574" w:type="pct"/>
            <w:tcBorders>
              <w:top w:val="nil"/>
              <w:left w:val="nil"/>
              <w:bottom w:val="nil"/>
              <w:right w:val="nil"/>
            </w:tcBorders>
            <w:shd w:val="clear" w:color="auto" w:fill="auto"/>
            <w:noWrap/>
            <w:vAlign w:val="bottom"/>
          </w:tcPr>
          <w:p w14:paraId="31444F8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24AAF9F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w:t>
            </w:r>
          </w:p>
        </w:tc>
      </w:tr>
      <w:tr w:rsidR="0092765F" w:rsidRPr="0092765F" w14:paraId="7B7C3399" w14:textId="77777777" w:rsidTr="0092765F">
        <w:trPr>
          <w:trHeight w:val="255"/>
        </w:trPr>
        <w:tc>
          <w:tcPr>
            <w:tcW w:w="1698" w:type="pct"/>
            <w:tcBorders>
              <w:top w:val="nil"/>
              <w:left w:val="nil"/>
              <w:bottom w:val="nil"/>
              <w:right w:val="nil"/>
            </w:tcBorders>
            <w:shd w:val="clear" w:color="auto" w:fill="auto"/>
            <w:noWrap/>
            <w:vAlign w:val="bottom"/>
          </w:tcPr>
          <w:p w14:paraId="430BABC7" w14:textId="77777777" w:rsidR="00FB260E" w:rsidRPr="0092765F" w:rsidRDefault="00FB260E" w:rsidP="00FB260E">
            <w:pPr>
              <w:spacing w:after="0" w:line="240" w:lineRule="auto"/>
              <w:rPr>
                <w:sz w:val="18"/>
                <w:szCs w:val="18"/>
                <w:lang w:eastAsia="sk-SK"/>
              </w:rPr>
            </w:pPr>
            <w:r w:rsidRPr="0092765F">
              <w:rPr>
                <w:sz w:val="18"/>
                <w:szCs w:val="18"/>
                <w:lang w:eastAsia="sk-SK"/>
              </w:rPr>
              <w:t>Železničná spol. Slovensko, a.s.</w:t>
            </w:r>
          </w:p>
        </w:tc>
        <w:tc>
          <w:tcPr>
            <w:tcW w:w="418" w:type="pct"/>
            <w:tcBorders>
              <w:top w:val="nil"/>
              <w:left w:val="nil"/>
              <w:bottom w:val="nil"/>
              <w:right w:val="nil"/>
            </w:tcBorders>
            <w:shd w:val="clear" w:color="auto" w:fill="auto"/>
            <w:noWrap/>
            <w:vAlign w:val="bottom"/>
          </w:tcPr>
          <w:p w14:paraId="31C9C5D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37 910</w:t>
            </w:r>
          </w:p>
        </w:tc>
        <w:tc>
          <w:tcPr>
            <w:tcW w:w="652" w:type="pct"/>
            <w:tcBorders>
              <w:top w:val="nil"/>
              <w:left w:val="nil"/>
              <w:bottom w:val="nil"/>
              <w:right w:val="nil"/>
            </w:tcBorders>
            <w:shd w:val="clear" w:color="auto" w:fill="auto"/>
            <w:noWrap/>
            <w:vAlign w:val="bottom"/>
          </w:tcPr>
          <w:p w14:paraId="24B6923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37 376</w:t>
            </w:r>
          </w:p>
        </w:tc>
        <w:tc>
          <w:tcPr>
            <w:tcW w:w="513" w:type="pct"/>
            <w:tcBorders>
              <w:top w:val="nil"/>
              <w:left w:val="nil"/>
              <w:bottom w:val="nil"/>
              <w:right w:val="nil"/>
            </w:tcBorders>
            <w:shd w:val="clear" w:color="auto" w:fill="auto"/>
            <w:noWrap/>
            <w:vAlign w:val="bottom"/>
          </w:tcPr>
          <w:p w14:paraId="0B13C65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10AC84DF"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534</w:t>
            </w:r>
          </w:p>
        </w:tc>
        <w:tc>
          <w:tcPr>
            <w:tcW w:w="574" w:type="pct"/>
            <w:tcBorders>
              <w:top w:val="nil"/>
              <w:left w:val="nil"/>
              <w:bottom w:val="nil"/>
              <w:right w:val="nil"/>
            </w:tcBorders>
            <w:shd w:val="clear" w:color="auto" w:fill="auto"/>
            <w:noWrap/>
            <w:vAlign w:val="bottom"/>
          </w:tcPr>
          <w:p w14:paraId="4572184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45196D2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7929092A" w14:textId="77777777" w:rsidTr="0092765F">
        <w:trPr>
          <w:trHeight w:val="255"/>
        </w:trPr>
        <w:tc>
          <w:tcPr>
            <w:tcW w:w="1698" w:type="pct"/>
            <w:tcBorders>
              <w:top w:val="nil"/>
              <w:left w:val="nil"/>
              <w:bottom w:val="nil"/>
              <w:right w:val="nil"/>
            </w:tcBorders>
            <w:shd w:val="clear" w:color="auto" w:fill="auto"/>
            <w:noWrap/>
            <w:vAlign w:val="bottom"/>
          </w:tcPr>
          <w:p w14:paraId="66D45FA7" w14:textId="77777777" w:rsidR="00FB260E" w:rsidRPr="0092765F" w:rsidRDefault="00FB260E" w:rsidP="00FB260E">
            <w:pPr>
              <w:spacing w:after="0" w:line="240" w:lineRule="auto"/>
              <w:rPr>
                <w:color w:val="FF0000"/>
                <w:sz w:val="18"/>
                <w:szCs w:val="18"/>
                <w:lang w:eastAsia="sk-SK"/>
              </w:rPr>
            </w:pPr>
            <w:r w:rsidRPr="0092765F">
              <w:rPr>
                <w:sz w:val="18"/>
                <w:szCs w:val="18"/>
                <w:lang w:eastAsia="sk-SK"/>
              </w:rPr>
              <w:t>Debitum, a.s.</w:t>
            </w:r>
          </w:p>
        </w:tc>
        <w:tc>
          <w:tcPr>
            <w:tcW w:w="418" w:type="pct"/>
            <w:tcBorders>
              <w:top w:val="nil"/>
              <w:left w:val="nil"/>
              <w:bottom w:val="nil"/>
              <w:right w:val="nil"/>
            </w:tcBorders>
            <w:shd w:val="clear" w:color="auto" w:fill="auto"/>
            <w:noWrap/>
            <w:vAlign w:val="bottom"/>
          </w:tcPr>
          <w:p w14:paraId="7C66793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37 466</w:t>
            </w:r>
          </w:p>
        </w:tc>
        <w:tc>
          <w:tcPr>
            <w:tcW w:w="652" w:type="pct"/>
            <w:tcBorders>
              <w:top w:val="nil"/>
              <w:left w:val="nil"/>
              <w:bottom w:val="nil"/>
              <w:right w:val="nil"/>
            </w:tcBorders>
            <w:shd w:val="clear" w:color="auto" w:fill="auto"/>
            <w:noWrap/>
            <w:vAlign w:val="bottom"/>
          </w:tcPr>
          <w:p w14:paraId="0245DE6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-149 778</w:t>
            </w:r>
          </w:p>
        </w:tc>
        <w:tc>
          <w:tcPr>
            <w:tcW w:w="513" w:type="pct"/>
            <w:tcBorders>
              <w:top w:val="nil"/>
              <w:left w:val="nil"/>
              <w:bottom w:val="nil"/>
              <w:right w:val="nil"/>
            </w:tcBorders>
            <w:shd w:val="clear" w:color="auto" w:fill="auto"/>
            <w:noWrap/>
            <w:vAlign w:val="bottom"/>
          </w:tcPr>
          <w:p w14:paraId="4D719C3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1A8397F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4568E9D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187 244</w:t>
            </w:r>
          </w:p>
        </w:tc>
        <w:tc>
          <w:tcPr>
            <w:tcW w:w="604" w:type="pct"/>
            <w:gridSpan w:val="2"/>
            <w:tcBorders>
              <w:top w:val="nil"/>
              <w:left w:val="nil"/>
              <w:bottom w:val="nil"/>
              <w:right w:val="nil"/>
            </w:tcBorders>
            <w:shd w:val="clear" w:color="auto" w:fill="auto"/>
            <w:noWrap/>
            <w:vAlign w:val="bottom"/>
          </w:tcPr>
          <w:p w14:paraId="64DFCF85"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0</w:t>
            </w:r>
          </w:p>
        </w:tc>
      </w:tr>
      <w:tr w:rsidR="0092765F" w:rsidRPr="0092765F" w14:paraId="553A302C" w14:textId="77777777" w:rsidTr="0092765F">
        <w:trPr>
          <w:trHeight w:val="255"/>
        </w:trPr>
        <w:tc>
          <w:tcPr>
            <w:tcW w:w="1698" w:type="pct"/>
            <w:tcBorders>
              <w:top w:val="nil"/>
              <w:left w:val="nil"/>
              <w:bottom w:val="nil"/>
              <w:right w:val="nil"/>
            </w:tcBorders>
            <w:shd w:val="clear" w:color="auto" w:fill="auto"/>
            <w:noWrap/>
            <w:vAlign w:val="bottom"/>
          </w:tcPr>
          <w:p w14:paraId="36518705" w14:textId="77777777" w:rsidR="00FB260E" w:rsidRPr="0092765F" w:rsidRDefault="00FB260E" w:rsidP="00FB260E">
            <w:pPr>
              <w:spacing w:after="0" w:line="240" w:lineRule="auto"/>
              <w:rPr>
                <w:sz w:val="18"/>
                <w:szCs w:val="18"/>
                <w:lang w:eastAsia="sk-SK"/>
              </w:rPr>
            </w:pPr>
            <w:r w:rsidRPr="0092765F">
              <w:rPr>
                <w:sz w:val="18"/>
                <w:szCs w:val="18"/>
                <w:lang w:eastAsia="sk-SK"/>
              </w:rPr>
              <w:t>Východosl. energetika Holding, a.s.</w:t>
            </w:r>
          </w:p>
        </w:tc>
        <w:tc>
          <w:tcPr>
            <w:tcW w:w="418" w:type="pct"/>
            <w:tcBorders>
              <w:top w:val="nil"/>
              <w:left w:val="nil"/>
              <w:bottom w:val="nil"/>
              <w:right w:val="nil"/>
            </w:tcBorders>
            <w:shd w:val="clear" w:color="auto" w:fill="auto"/>
            <w:noWrap/>
            <w:vAlign w:val="bottom"/>
          </w:tcPr>
          <w:p w14:paraId="70B5A0E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31 873</w:t>
            </w:r>
          </w:p>
        </w:tc>
        <w:tc>
          <w:tcPr>
            <w:tcW w:w="652" w:type="pct"/>
            <w:tcBorders>
              <w:top w:val="nil"/>
              <w:left w:val="nil"/>
              <w:bottom w:val="nil"/>
              <w:right w:val="nil"/>
            </w:tcBorders>
            <w:shd w:val="clear" w:color="auto" w:fill="auto"/>
            <w:noWrap/>
            <w:vAlign w:val="bottom"/>
          </w:tcPr>
          <w:p w14:paraId="02EAD92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77 877</w:t>
            </w:r>
          </w:p>
        </w:tc>
        <w:tc>
          <w:tcPr>
            <w:tcW w:w="513" w:type="pct"/>
            <w:tcBorders>
              <w:top w:val="nil"/>
              <w:left w:val="nil"/>
              <w:bottom w:val="nil"/>
              <w:right w:val="nil"/>
            </w:tcBorders>
            <w:shd w:val="clear" w:color="auto" w:fill="auto"/>
            <w:noWrap/>
            <w:vAlign w:val="bottom"/>
          </w:tcPr>
          <w:p w14:paraId="069A2E4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-45 904</w:t>
            </w:r>
          </w:p>
        </w:tc>
        <w:tc>
          <w:tcPr>
            <w:tcW w:w="540" w:type="pct"/>
            <w:tcBorders>
              <w:top w:val="nil"/>
              <w:left w:val="nil"/>
              <w:bottom w:val="nil"/>
              <w:right w:val="nil"/>
            </w:tcBorders>
            <w:shd w:val="clear" w:color="auto" w:fill="auto"/>
            <w:noWrap/>
            <w:vAlign w:val="bottom"/>
          </w:tcPr>
          <w:p w14:paraId="63ED08B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-100</w:t>
            </w:r>
          </w:p>
        </w:tc>
        <w:tc>
          <w:tcPr>
            <w:tcW w:w="574" w:type="pct"/>
            <w:tcBorders>
              <w:top w:val="nil"/>
              <w:left w:val="nil"/>
              <w:bottom w:val="nil"/>
              <w:right w:val="nil"/>
            </w:tcBorders>
            <w:shd w:val="clear" w:color="auto" w:fill="auto"/>
            <w:noWrap/>
            <w:vAlign w:val="bottom"/>
          </w:tcPr>
          <w:p w14:paraId="17755A6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0C19CF8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25E8BE44" w14:textId="77777777" w:rsidTr="0092765F">
        <w:trPr>
          <w:trHeight w:val="255"/>
        </w:trPr>
        <w:tc>
          <w:tcPr>
            <w:tcW w:w="1698" w:type="pct"/>
            <w:tcBorders>
              <w:top w:val="nil"/>
              <w:left w:val="nil"/>
              <w:bottom w:val="nil"/>
              <w:right w:val="nil"/>
            </w:tcBorders>
            <w:shd w:val="clear" w:color="auto" w:fill="auto"/>
            <w:noWrap/>
            <w:vAlign w:val="bottom"/>
          </w:tcPr>
          <w:p w14:paraId="3456FD8C" w14:textId="77777777" w:rsidR="00FB260E" w:rsidRPr="0092765F" w:rsidRDefault="00FB260E" w:rsidP="00FB260E">
            <w:pPr>
              <w:spacing w:after="0" w:line="240" w:lineRule="auto"/>
              <w:rPr>
                <w:color w:val="FF0000"/>
                <w:sz w:val="18"/>
                <w:szCs w:val="18"/>
                <w:lang w:eastAsia="sk-SK"/>
              </w:rPr>
            </w:pPr>
            <w:r w:rsidRPr="0092765F">
              <w:rPr>
                <w:sz w:val="18"/>
                <w:szCs w:val="18"/>
                <w:lang w:eastAsia="sk-SK"/>
              </w:rPr>
              <w:t>Národná diaľničná spoločnosť, a.s.</w:t>
            </w:r>
          </w:p>
        </w:tc>
        <w:tc>
          <w:tcPr>
            <w:tcW w:w="418" w:type="pct"/>
            <w:tcBorders>
              <w:top w:val="nil"/>
              <w:left w:val="nil"/>
              <w:bottom w:val="nil"/>
              <w:right w:val="nil"/>
            </w:tcBorders>
            <w:shd w:val="clear" w:color="auto" w:fill="auto"/>
            <w:noWrap/>
            <w:vAlign w:val="bottom"/>
          </w:tcPr>
          <w:p w14:paraId="0849BD7A"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27 011</w:t>
            </w:r>
          </w:p>
        </w:tc>
        <w:tc>
          <w:tcPr>
            <w:tcW w:w="652" w:type="pct"/>
            <w:tcBorders>
              <w:top w:val="nil"/>
              <w:left w:val="nil"/>
              <w:bottom w:val="nil"/>
              <w:right w:val="nil"/>
            </w:tcBorders>
            <w:shd w:val="clear" w:color="auto" w:fill="auto"/>
            <w:noWrap/>
            <w:vAlign w:val="bottom"/>
          </w:tcPr>
          <w:p w14:paraId="0FF6AE1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25 902</w:t>
            </w:r>
          </w:p>
        </w:tc>
        <w:tc>
          <w:tcPr>
            <w:tcW w:w="513" w:type="pct"/>
            <w:tcBorders>
              <w:top w:val="nil"/>
              <w:left w:val="nil"/>
              <w:bottom w:val="nil"/>
              <w:right w:val="nil"/>
            </w:tcBorders>
            <w:shd w:val="clear" w:color="auto" w:fill="auto"/>
            <w:noWrap/>
            <w:vAlign w:val="bottom"/>
          </w:tcPr>
          <w:p w14:paraId="058167C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5075D77D"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53D8ACBA"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3A673F0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1 109</w:t>
            </w:r>
          </w:p>
        </w:tc>
      </w:tr>
      <w:tr w:rsidR="0092765F" w:rsidRPr="0092765F" w14:paraId="2362FDCD" w14:textId="77777777" w:rsidTr="0092765F">
        <w:trPr>
          <w:trHeight w:val="255"/>
        </w:trPr>
        <w:tc>
          <w:tcPr>
            <w:tcW w:w="1698" w:type="pct"/>
            <w:tcBorders>
              <w:top w:val="nil"/>
              <w:left w:val="nil"/>
              <w:bottom w:val="nil"/>
              <w:right w:val="nil"/>
            </w:tcBorders>
            <w:shd w:val="clear" w:color="auto" w:fill="auto"/>
            <w:noWrap/>
            <w:vAlign w:val="bottom"/>
          </w:tcPr>
          <w:p w14:paraId="6CD7F351" w14:textId="77777777" w:rsidR="00FB260E" w:rsidRPr="0092765F" w:rsidRDefault="00FB260E" w:rsidP="00FB260E">
            <w:pPr>
              <w:spacing w:after="0" w:line="240" w:lineRule="auto"/>
              <w:rPr>
                <w:sz w:val="18"/>
                <w:szCs w:val="18"/>
                <w:lang w:eastAsia="sk-SK"/>
              </w:rPr>
            </w:pPr>
            <w:r w:rsidRPr="0092765F">
              <w:rPr>
                <w:sz w:val="18"/>
                <w:szCs w:val="18"/>
                <w:lang w:eastAsia="sk-SK"/>
              </w:rPr>
              <w:t>Transpetrol, a.s.</w:t>
            </w:r>
          </w:p>
        </w:tc>
        <w:tc>
          <w:tcPr>
            <w:tcW w:w="418" w:type="pct"/>
            <w:tcBorders>
              <w:top w:val="nil"/>
              <w:left w:val="nil"/>
              <w:bottom w:val="nil"/>
              <w:right w:val="nil"/>
            </w:tcBorders>
            <w:shd w:val="clear" w:color="auto" w:fill="auto"/>
            <w:noWrap/>
            <w:vAlign w:val="bottom"/>
          </w:tcPr>
          <w:p w14:paraId="339E689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3 803</w:t>
            </w:r>
          </w:p>
        </w:tc>
        <w:tc>
          <w:tcPr>
            <w:tcW w:w="652" w:type="pct"/>
            <w:tcBorders>
              <w:top w:val="nil"/>
              <w:left w:val="nil"/>
              <w:bottom w:val="nil"/>
              <w:right w:val="nil"/>
            </w:tcBorders>
            <w:shd w:val="clear" w:color="auto" w:fill="auto"/>
            <w:noWrap/>
            <w:vAlign w:val="bottom"/>
          </w:tcPr>
          <w:p w14:paraId="5F1FD7A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4 051</w:t>
            </w:r>
          </w:p>
        </w:tc>
        <w:tc>
          <w:tcPr>
            <w:tcW w:w="513" w:type="pct"/>
            <w:tcBorders>
              <w:top w:val="nil"/>
              <w:left w:val="nil"/>
              <w:bottom w:val="nil"/>
              <w:right w:val="nil"/>
            </w:tcBorders>
            <w:shd w:val="clear" w:color="auto" w:fill="auto"/>
            <w:noWrap/>
            <w:vAlign w:val="bottom"/>
          </w:tcPr>
          <w:p w14:paraId="63A0F73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3139A34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0B396C2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34F7D99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-248</w:t>
            </w:r>
          </w:p>
        </w:tc>
      </w:tr>
      <w:tr w:rsidR="0092765F" w:rsidRPr="0092765F" w14:paraId="38FEF258" w14:textId="77777777" w:rsidTr="0092765F">
        <w:trPr>
          <w:trHeight w:val="255"/>
        </w:trPr>
        <w:tc>
          <w:tcPr>
            <w:tcW w:w="1698" w:type="pct"/>
            <w:tcBorders>
              <w:top w:val="nil"/>
              <w:left w:val="nil"/>
              <w:bottom w:val="nil"/>
              <w:right w:val="nil"/>
            </w:tcBorders>
            <w:shd w:val="clear" w:color="auto" w:fill="auto"/>
            <w:noWrap/>
            <w:vAlign w:val="bottom"/>
          </w:tcPr>
          <w:p w14:paraId="27AF5EB1" w14:textId="77777777" w:rsidR="00FB260E" w:rsidRPr="0092765F" w:rsidRDefault="00FB260E" w:rsidP="00FB260E">
            <w:pPr>
              <w:spacing w:after="0" w:line="240" w:lineRule="auto"/>
              <w:rPr>
                <w:sz w:val="18"/>
                <w:szCs w:val="18"/>
                <w:lang w:eastAsia="sk-SK"/>
              </w:rPr>
            </w:pPr>
            <w:r w:rsidRPr="0092765F">
              <w:rPr>
                <w:sz w:val="18"/>
                <w:szCs w:val="18"/>
                <w:lang w:eastAsia="sk-SK"/>
              </w:rPr>
              <w:t>Železnice Slovenskej republiky</w:t>
            </w:r>
          </w:p>
        </w:tc>
        <w:tc>
          <w:tcPr>
            <w:tcW w:w="418" w:type="pct"/>
            <w:tcBorders>
              <w:top w:val="nil"/>
              <w:left w:val="nil"/>
              <w:bottom w:val="nil"/>
              <w:right w:val="nil"/>
            </w:tcBorders>
            <w:shd w:val="clear" w:color="auto" w:fill="auto"/>
            <w:noWrap/>
            <w:vAlign w:val="bottom"/>
          </w:tcPr>
          <w:p w14:paraId="0DD06F24"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3 190</w:t>
            </w:r>
          </w:p>
        </w:tc>
        <w:tc>
          <w:tcPr>
            <w:tcW w:w="652" w:type="pct"/>
            <w:tcBorders>
              <w:top w:val="nil"/>
              <w:left w:val="nil"/>
              <w:bottom w:val="nil"/>
              <w:right w:val="nil"/>
            </w:tcBorders>
            <w:shd w:val="clear" w:color="auto" w:fill="auto"/>
            <w:noWrap/>
            <w:vAlign w:val="bottom"/>
          </w:tcPr>
          <w:p w14:paraId="10446C7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172</w:t>
            </w:r>
          </w:p>
        </w:tc>
        <w:tc>
          <w:tcPr>
            <w:tcW w:w="513" w:type="pct"/>
            <w:tcBorders>
              <w:top w:val="nil"/>
              <w:left w:val="nil"/>
              <w:bottom w:val="nil"/>
              <w:right w:val="nil"/>
            </w:tcBorders>
            <w:shd w:val="clear" w:color="auto" w:fill="auto"/>
            <w:noWrap/>
            <w:vAlign w:val="bottom"/>
          </w:tcPr>
          <w:p w14:paraId="2C0176B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4F33CC0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402</w:t>
            </w:r>
          </w:p>
        </w:tc>
        <w:tc>
          <w:tcPr>
            <w:tcW w:w="574" w:type="pct"/>
            <w:tcBorders>
              <w:top w:val="nil"/>
              <w:left w:val="nil"/>
              <w:bottom w:val="nil"/>
              <w:right w:val="nil"/>
            </w:tcBorders>
            <w:shd w:val="clear" w:color="auto" w:fill="auto"/>
            <w:noWrap/>
            <w:vAlign w:val="bottom"/>
          </w:tcPr>
          <w:p w14:paraId="112807CF"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2 616</w:t>
            </w:r>
          </w:p>
        </w:tc>
        <w:tc>
          <w:tcPr>
            <w:tcW w:w="604" w:type="pct"/>
            <w:gridSpan w:val="2"/>
            <w:tcBorders>
              <w:top w:val="nil"/>
              <w:left w:val="nil"/>
              <w:bottom w:val="nil"/>
              <w:right w:val="nil"/>
            </w:tcBorders>
            <w:shd w:val="clear" w:color="auto" w:fill="auto"/>
            <w:noWrap/>
            <w:vAlign w:val="bottom"/>
          </w:tcPr>
          <w:p w14:paraId="47C0580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27E65976" w14:textId="77777777" w:rsidTr="0092765F">
        <w:trPr>
          <w:trHeight w:val="255"/>
        </w:trPr>
        <w:tc>
          <w:tcPr>
            <w:tcW w:w="1698" w:type="pct"/>
            <w:tcBorders>
              <w:top w:val="nil"/>
              <w:left w:val="nil"/>
              <w:bottom w:val="nil"/>
              <w:right w:val="nil"/>
            </w:tcBorders>
            <w:shd w:val="clear" w:color="auto" w:fill="auto"/>
            <w:noWrap/>
            <w:vAlign w:val="bottom"/>
          </w:tcPr>
          <w:p w14:paraId="27A3EAF8" w14:textId="77777777" w:rsidR="00FB260E" w:rsidRPr="0092765F" w:rsidRDefault="00FB260E" w:rsidP="00FB260E">
            <w:pPr>
              <w:spacing w:after="0" w:line="240" w:lineRule="auto"/>
              <w:rPr>
                <w:sz w:val="18"/>
                <w:szCs w:val="18"/>
                <w:lang w:eastAsia="sk-SK"/>
              </w:rPr>
            </w:pPr>
            <w:r w:rsidRPr="0092765F">
              <w:rPr>
                <w:sz w:val="18"/>
                <w:szCs w:val="18"/>
                <w:lang w:eastAsia="sk-SK"/>
              </w:rPr>
              <w:t>Stredoslov. energetika Holding, a.s.</w:t>
            </w:r>
          </w:p>
        </w:tc>
        <w:tc>
          <w:tcPr>
            <w:tcW w:w="418" w:type="pct"/>
            <w:tcBorders>
              <w:top w:val="nil"/>
              <w:left w:val="nil"/>
              <w:bottom w:val="nil"/>
              <w:right w:val="nil"/>
            </w:tcBorders>
            <w:shd w:val="clear" w:color="auto" w:fill="auto"/>
            <w:noWrap/>
            <w:vAlign w:val="bottom"/>
          </w:tcPr>
          <w:p w14:paraId="5679ED2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2 299</w:t>
            </w:r>
          </w:p>
        </w:tc>
        <w:tc>
          <w:tcPr>
            <w:tcW w:w="652" w:type="pct"/>
            <w:tcBorders>
              <w:top w:val="nil"/>
              <w:left w:val="nil"/>
              <w:bottom w:val="nil"/>
              <w:right w:val="nil"/>
            </w:tcBorders>
            <w:shd w:val="clear" w:color="auto" w:fill="auto"/>
            <w:noWrap/>
            <w:vAlign w:val="bottom"/>
          </w:tcPr>
          <w:p w14:paraId="1E8AFE4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8 993</w:t>
            </w:r>
          </w:p>
        </w:tc>
        <w:tc>
          <w:tcPr>
            <w:tcW w:w="513" w:type="pct"/>
            <w:tcBorders>
              <w:top w:val="nil"/>
              <w:left w:val="nil"/>
              <w:bottom w:val="nil"/>
              <w:right w:val="nil"/>
            </w:tcBorders>
            <w:shd w:val="clear" w:color="auto" w:fill="auto"/>
            <w:noWrap/>
            <w:vAlign w:val="bottom"/>
          </w:tcPr>
          <w:p w14:paraId="554ABEB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-6 411</w:t>
            </w:r>
          </w:p>
        </w:tc>
        <w:tc>
          <w:tcPr>
            <w:tcW w:w="540" w:type="pct"/>
            <w:tcBorders>
              <w:top w:val="nil"/>
              <w:left w:val="nil"/>
              <w:bottom w:val="nil"/>
              <w:right w:val="nil"/>
            </w:tcBorders>
            <w:shd w:val="clear" w:color="auto" w:fill="auto"/>
            <w:noWrap/>
            <w:vAlign w:val="bottom"/>
          </w:tcPr>
          <w:p w14:paraId="2F835E2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-48</w:t>
            </w:r>
          </w:p>
        </w:tc>
        <w:tc>
          <w:tcPr>
            <w:tcW w:w="574" w:type="pct"/>
            <w:tcBorders>
              <w:top w:val="nil"/>
              <w:left w:val="nil"/>
              <w:bottom w:val="nil"/>
              <w:right w:val="nil"/>
            </w:tcBorders>
            <w:shd w:val="clear" w:color="auto" w:fill="auto"/>
            <w:noWrap/>
            <w:vAlign w:val="bottom"/>
          </w:tcPr>
          <w:p w14:paraId="5DBFD8A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23E8753D"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-235</w:t>
            </w:r>
          </w:p>
        </w:tc>
      </w:tr>
      <w:tr w:rsidR="0092765F" w:rsidRPr="0092765F" w14:paraId="7A5AEAC9" w14:textId="77777777" w:rsidTr="0092765F">
        <w:trPr>
          <w:trHeight w:val="255"/>
        </w:trPr>
        <w:tc>
          <w:tcPr>
            <w:tcW w:w="1698" w:type="pct"/>
            <w:tcBorders>
              <w:top w:val="nil"/>
              <w:left w:val="nil"/>
              <w:bottom w:val="nil"/>
              <w:right w:val="nil"/>
            </w:tcBorders>
            <w:shd w:val="clear" w:color="auto" w:fill="auto"/>
            <w:noWrap/>
            <w:vAlign w:val="bottom"/>
          </w:tcPr>
          <w:p w14:paraId="4B02D577" w14:textId="77777777" w:rsidR="00FB260E" w:rsidRPr="0092765F" w:rsidRDefault="00FB260E" w:rsidP="00FB260E">
            <w:pPr>
              <w:spacing w:after="0" w:line="240" w:lineRule="auto"/>
              <w:rPr>
                <w:sz w:val="18"/>
                <w:szCs w:val="18"/>
                <w:lang w:eastAsia="sk-SK"/>
              </w:rPr>
            </w:pPr>
            <w:r w:rsidRPr="0092765F">
              <w:rPr>
                <w:sz w:val="18"/>
                <w:szCs w:val="18"/>
                <w:lang w:eastAsia="sk-SK"/>
              </w:rPr>
              <w:t>Jadrová a vyraď. spoločnosť, a.s.</w:t>
            </w:r>
          </w:p>
        </w:tc>
        <w:tc>
          <w:tcPr>
            <w:tcW w:w="418" w:type="pct"/>
            <w:tcBorders>
              <w:top w:val="nil"/>
              <w:left w:val="nil"/>
              <w:bottom w:val="nil"/>
              <w:right w:val="nil"/>
            </w:tcBorders>
            <w:shd w:val="clear" w:color="auto" w:fill="auto"/>
            <w:noWrap/>
            <w:vAlign w:val="bottom"/>
          </w:tcPr>
          <w:p w14:paraId="46C408A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-4 188</w:t>
            </w:r>
          </w:p>
        </w:tc>
        <w:tc>
          <w:tcPr>
            <w:tcW w:w="652" w:type="pct"/>
            <w:tcBorders>
              <w:top w:val="nil"/>
              <w:left w:val="nil"/>
              <w:bottom w:val="nil"/>
              <w:right w:val="nil"/>
            </w:tcBorders>
            <w:shd w:val="clear" w:color="auto" w:fill="auto"/>
            <w:noWrap/>
            <w:vAlign w:val="bottom"/>
          </w:tcPr>
          <w:p w14:paraId="698CC103"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3 893</w:t>
            </w:r>
          </w:p>
        </w:tc>
        <w:tc>
          <w:tcPr>
            <w:tcW w:w="513" w:type="pct"/>
            <w:tcBorders>
              <w:top w:val="nil"/>
              <w:left w:val="nil"/>
              <w:bottom w:val="nil"/>
              <w:right w:val="nil"/>
            </w:tcBorders>
            <w:shd w:val="clear" w:color="auto" w:fill="auto"/>
            <w:noWrap/>
            <w:vAlign w:val="bottom"/>
          </w:tcPr>
          <w:p w14:paraId="57D581D4"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-6 000</w:t>
            </w:r>
          </w:p>
        </w:tc>
        <w:tc>
          <w:tcPr>
            <w:tcW w:w="540" w:type="pct"/>
            <w:tcBorders>
              <w:top w:val="nil"/>
              <w:left w:val="nil"/>
              <w:bottom w:val="nil"/>
              <w:right w:val="nil"/>
            </w:tcBorders>
            <w:shd w:val="clear" w:color="auto" w:fill="auto"/>
            <w:noWrap/>
            <w:vAlign w:val="bottom"/>
          </w:tcPr>
          <w:p w14:paraId="34E297E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-1 038</w:t>
            </w:r>
          </w:p>
        </w:tc>
        <w:tc>
          <w:tcPr>
            <w:tcW w:w="574" w:type="pct"/>
            <w:tcBorders>
              <w:top w:val="nil"/>
              <w:left w:val="nil"/>
              <w:bottom w:val="nil"/>
              <w:right w:val="nil"/>
            </w:tcBorders>
            <w:shd w:val="clear" w:color="auto" w:fill="auto"/>
            <w:noWrap/>
            <w:vAlign w:val="bottom"/>
          </w:tcPr>
          <w:p w14:paraId="73E961D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5B5C2DEE"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-1 043</w:t>
            </w:r>
          </w:p>
        </w:tc>
      </w:tr>
      <w:tr w:rsidR="0092765F" w:rsidRPr="0092765F" w14:paraId="6628FDC4" w14:textId="77777777" w:rsidTr="0092765F">
        <w:trPr>
          <w:trHeight w:val="255"/>
        </w:trPr>
        <w:tc>
          <w:tcPr>
            <w:tcW w:w="1698" w:type="pct"/>
            <w:tcBorders>
              <w:top w:val="nil"/>
              <w:left w:val="nil"/>
              <w:bottom w:val="nil"/>
              <w:right w:val="nil"/>
            </w:tcBorders>
            <w:shd w:val="clear" w:color="auto" w:fill="auto"/>
            <w:noWrap/>
            <w:vAlign w:val="bottom"/>
          </w:tcPr>
          <w:p w14:paraId="0CEE0D5F" w14:textId="77777777" w:rsidR="00FB260E" w:rsidRPr="0092765F" w:rsidRDefault="00FB260E" w:rsidP="00FB260E">
            <w:pPr>
              <w:spacing w:after="0" w:line="240" w:lineRule="auto"/>
              <w:rPr>
                <w:sz w:val="18"/>
                <w:szCs w:val="18"/>
                <w:lang w:eastAsia="sk-SK"/>
              </w:rPr>
            </w:pPr>
            <w:r w:rsidRPr="0092765F">
              <w:rPr>
                <w:sz w:val="18"/>
                <w:szCs w:val="18"/>
                <w:lang w:eastAsia="sk-SK"/>
              </w:rPr>
              <w:t>Slovenská pošta, a.s.</w:t>
            </w:r>
          </w:p>
        </w:tc>
        <w:tc>
          <w:tcPr>
            <w:tcW w:w="418" w:type="pct"/>
            <w:tcBorders>
              <w:top w:val="nil"/>
              <w:left w:val="nil"/>
              <w:bottom w:val="nil"/>
              <w:right w:val="nil"/>
            </w:tcBorders>
            <w:shd w:val="clear" w:color="auto" w:fill="auto"/>
            <w:noWrap/>
            <w:vAlign w:val="bottom"/>
          </w:tcPr>
          <w:p w14:paraId="23839BCD"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-4 886</w:t>
            </w:r>
          </w:p>
        </w:tc>
        <w:tc>
          <w:tcPr>
            <w:tcW w:w="652" w:type="pct"/>
            <w:tcBorders>
              <w:top w:val="nil"/>
              <w:left w:val="nil"/>
              <w:bottom w:val="nil"/>
              <w:right w:val="nil"/>
            </w:tcBorders>
            <w:shd w:val="clear" w:color="auto" w:fill="auto"/>
            <w:noWrap/>
            <w:vAlign w:val="bottom"/>
          </w:tcPr>
          <w:p w14:paraId="0AFCDA59"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-4 637</w:t>
            </w:r>
          </w:p>
        </w:tc>
        <w:tc>
          <w:tcPr>
            <w:tcW w:w="513" w:type="pct"/>
            <w:tcBorders>
              <w:top w:val="nil"/>
              <w:left w:val="nil"/>
              <w:bottom w:val="nil"/>
              <w:right w:val="nil"/>
            </w:tcBorders>
            <w:shd w:val="clear" w:color="auto" w:fill="auto"/>
            <w:noWrap/>
            <w:vAlign w:val="bottom"/>
          </w:tcPr>
          <w:p w14:paraId="215137C4"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43D50CD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-249</w:t>
            </w:r>
          </w:p>
        </w:tc>
        <w:tc>
          <w:tcPr>
            <w:tcW w:w="574" w:type="pct"/>
            <w:tcBorders>
              <w:top w:val="nil"/>
              <w:left w:val="nil"/>
              <w:bottom w:val="nil"/>
              <w:right w:val="nil"/>
            </w:tcBorders>
            <w:shd w:val="clear" w:color="auto" w:fill="auto"/>
            <w:noWrap/>
            <w:vAlign w:val="bottom"/>
          </w:tcPr>
          <w:p w14:paraId="5F5AFF4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410133B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332747C0" w14:textId="77777777" w:rsidTr="0092765F">
        <w:trPr>
          <w:trHeight w:val="255"/>
        </w:trPr>
        <w:tc>
          <w:tcPr>
            <w:tcW w:w="1698" w:type="pct"/>
            <w:tcBorders>
              <w:top w:val="nil"/>
              <w:left w:val="nil"/>
              <w:bottom w:val="nil"/>
              <w:right w:val="nil"/>
            </w:tcBorders>
            <w:shd w:val="clear" w:color="auto" w:fill="auto"/>
            <w:noWrap/>
            <w:vAlign w:val="bottom"/>
          </w:tcPr>
          <w:p w14:paraId="4D9C3AB1" w14:textId="77777777" w:rsidR="00FB260E" w:rsidRPr="0092765F" w:rsidRDefault="00FB260E" w:rsidP="00FB260E">
            <w:pPr>
              <w:spacing w:after="0" w:line="240" w:lineRule="auto"/>
              <w:rPr>
                <w:sz w:val="18"/>
                <w:szCs w:val="18"/>
                <w:lang w:eastAsia="sk-SK"/>
              </w:rPr>
            </w:pPr>
            <w:r w:rsidRPr="0092765F">
              <w:rPr>
                <w:sz w:val="18"/>
                <w:szCs w:val="18"/>
                <w:lang w:eastAsia="sk-SK"/>
              </w:rPr>
              <w:t>Nemocnica svätého Michala, a.s.</w:t>
            </w:r>
          </w:p>
        </w:tc>
        <w:tc>
          <w:tcPr>
            <w:tcW w:w="418" w:type="pct"/>
            <w:tcBorders>
              <w:top w:val="nil"/>
              <w:left w:val="nil"/>
              <w:bottom w:val="nil"/>
              <w:right w:val="nil"/>
            </w:tcBorders>
            <w:shd w:val="clear" w:color="auto" w:fill="auto"/>
            <w:noWrap/>
            <w:vAlign w:val="bottom"/>
          </w:tcPr>
          <w:p w14:paraId="7D84871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-5 213</w:t>
            </w:r>
          </w:p>
        </w:tc>
        <w:tc>
          <w:tcPr>
            <w:tcW w:w="652" w:type="pct"/>
            <w:tcBorders>
              <w:top w:val="nil"/>
              <w:left w:val="nil"/>
              <w:bottom w:val="nil"/>
              <w:right w:val="nil"/>
            </w:tcBorders>
            <w:shd w:val="clear" w:color="auto" w:fill="auto"/>
            <w:noWrap/>
            <w:vAlign w:val="bottom"/>
          </w:tcPr>
          <w:p w14:paraId="60407C89"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-5 213</w:t>
            </w:r>
          </w:p>
        </w:tc>
        <w:tc>
          <w:tcPr>
            <w:tcW w:w="513" w:type="pct"/>
            <w:tcBorders>
              <w:top w:val="nil"/>
              <w:left w:val="nil"/>
              <w:bottom w:val="nil"/>
              <w:right w:val="nil"/>
            </w:tcBorders>
            <w:shd w:val="clear" w:color="auto" w:fill="auto"/>
            <w:noWrap/>
            <w:vAlign w:val="bottom"/>
          </w:tcPr>
          <w:p w14:paraId="24F690AD"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22190ED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365A5D3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43B5DE8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0B2AE0AE" w14:textId="77777777" w:rsidTr="0092765F">
        <w:trPr>
          <w:trHeight w:val="255"/>
        </w:trPr>
        <w:tc>
          <w:tcPr>
            <w:tcW w:w="1698" w:type="pct"/>
            <w:tcBorders>
              <w:top w:val="nil"/>
              <w:left w:val="nil"/>
              <w:bottom w:val="nil"/>
              <w:right w:val="nil"/>
            </w:tcBorders>
            <w:shd w:val="clear" w:color="auto" w:fill="auto"/>
            <w:noWrap/>
            <w:vAlign w:val="bottom"/>
          </w:tcPr>
          <w:p w14:paraId="04F84EA5" w14:textId="77777777" w:rsidR="00FB260E" w:rsidRPr="0092765F" w:rsidRDefault="00FB260E" w:rsidP="00FB260E">
            <w:pPr>
              <w:spacing w:after="0" w:line="240" w:lineRule="auto"/>
              <w:rPr>
                <w:sz w:val="18"/>
                <w:szCs w:val="18"/>
                <w:lang w:eastAsia="sk-SK"/>
              </w:rPr>
            </w:pPr>
            <w:r w:rsidRPr="0092765F">
              <w:rPr>
                <w:sz w:val="18"/>
                <w:szCs w:val="18"/>
                <w:lang w:eastAsia="sk-SK"/>
              </w:rPr>
              <w:t>Hydromeliorácie, š.p.</w:t>
            </w:r>
          </w:p>
        </w:tc>
        <w:tc>
          <w:tcPr>
            <w:tcW w:w="418" w:type="pct"/>
            <w:tcBorders>
              <w:top w:val="nil"/>
              <w:left w:val="nil"/>
              <w:bottom w:val="nil"/>
              <w:right w:val="nil"/>
            </w:tcBorders>
            <w:shd w:val="clear" w:color="auto" w:fill="auto"/>
            <w:noWrap/>
            <w:vAlign w:val="bottom"/>
          </w:tcPr>
          <w:p w14:paraId="44EDC4C4"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-5 385</w:t>
            </w:r>
          </w:p>
        </w:tc>
        <w:tc>
          <w:tcPr>
            <w:tcW w:w="652" w:type="pct"/>
            <w:tcBorders>
              <w:top w:val="nil"/>
              <w:left w:val="nil"/>
              <w:bottom w:val="nil"/>
              <w:right w:val="nil"/>
            </w:tcBorders>
            <w:shd w:val="clear" w:color="auto" w:fill="auto"/>
            <w:noWrap/>
            <w:vAlign w:val="bottom"/>
          </w:tcPr>
          <w:p w14:paraId="70A26F3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-5 385</w:t>
            </w:r>
          </w:p>
        </w:tc>
        <w:tc>
          <w:tcPr>
            <w:tcW w:w="513" w:type="pct"/>
            <w:tcBorders>
              <w:top w:val="nil"/>
              <w:left w:val="nil"/>
              <w:bottom w:val="nil"/>
              <w:right w:val="nil"/>
            </w:tcBorders>
            <w:shd w:val="clear" w:color="auto" w:fill="auto"/>
            <w:noWrap/>
            <w:vAlign w:val="bottom"/>
          </w:tcPr>
          <w:p w14:paraId="22916CE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400C486A"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3242EA9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4C2D9145"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625149D9" w14:textId="77777777" w:rsidTr="0092765F">
        <w:trPr>
          <w:trHeight w:val="255"/>
        </w:trPr>
        <w:tc>
          <w:tcPr>
            <w:tcW w:w="1698" w:type="pct"/>
            <w:tcBorders>
              <w:top w:val="nil"/>
              <w:left w:val="nil"/>
              <w:bottom w:val="nil"/>
              <w:right w:val="nil"/>
            </w:tcBorders>
            <w:shd w:val="clear" w:color="auto" w:fill="auto"/>
            <w:noWrap/>
            <w:vAlign w:val="bottom"/>
          </w:tcPr>
          <w:p w14:paraId="06FA3A2C" w14:textId="77777777" w:rsidR="00FB260E" w:rsidRPr="0092765F" w:rsidRDefault="00FB260E" w:rsidP="00FB260E">
            <w:pPr>
              <w:spacing w:after="0" w:line="240" w:lineRule="auto"/>
              <w:rPr>
                <w:sz w:val="18"/>
                <w:szCs w:val="18"/>
                <w:lang w:eastAsia="sk-SK"/>
              </w:rPr>
            </w:pPr>
            <w:r w:rsidRPr="0092765F">
              <w:rPr>
                <w:sz w:val="18"/>
                <w:szCs w:val="18"/>
                <w:lang w:eastAsia="sk-SK"/>
              </w:rPr>
              <w:t>Slovenská elektriz.pren. sústava, a.s.</w:t>
            </w:r>
          </w:p>
        </w:tc>
        <w:tc>
          <w:tcPr>
            <w:tcW w:w="418" w:type="pct"/>
            <w:tcBorders>
              <w:top w:val="nil"/>
              <w:left w:val="nil"/>
              <w:bottom w:val="nil"/>
              <w:right w:val="nil"/>
            </w:tcBorders>
            <w:shd w:val="clear" w:color="auto" w:fill="auto"/>
            <w:noWrap/>
            <w:vAlign w:val="bottom"/>
          </w:tcPr>
          <w:p w14:paraId="48965DF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-8 448</w:t>
            </w:r>
          </w:p>
        </w:tc>
        <w:tc>
          <w:tcPr>
            <w:tcW w:w="652" w:type="pct"/>
            <w:tcBorders>
              <w:top w:val="nil"/>
              <w:left w:val="nil"/>
              <w:bottom w:val="nil"/>
              <w:right w:val="nil"/>
            </w:tcBorders>
            <w:shd w:val="clear" w:color="auto" w:fill="auto"/>
            <w:noWrap/>
            <w:vAlign w:val="bottom"/>
          </w:tcPr>
          <w:p w14:paraId="4BA068A2"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50 308</w:t>
            </w:r>
          </w:p>
        </w:tc>
        <w:tc>
          <w:tcPr>
            <w:tcW w:w="513" w:type="pct"/>
            <w:tcBorders>
              <w:top w:val="nil"/>
              <w:left w:val="nil"/>
              <w:bottom w:val="nil"/>
              <w:right w:val="nil"/>
            </w:tcBorders>
            <w:shd w:val="clear" w:color="auto" w:fill="auto"/>
            <w:noWrap/>
            <w:vAlign w:val="bottom"/>
          </w:tcPr>
          <w:p w14:paraId="63DAF1C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-59 000</w:t>
            </w:r>
          </w:p>
        </w:tc>
        <w:tc>
          <w:tcPr>
            <w:tcW w:w="540" w:type="pct"/>
            <w:tcBorders>
              <w:top w:val="nil"/>
              <w:left w:val="nil"/>
              <w:bottom w:val="nil"/>
              <w:right w:val="nil"/>
            </w:tcBorders>
            <w:shd w:val="clear" w:color="auto" w:fill="auto"/>
            <w:noWrap/>
            <w:vAlign w:val="bottom"/>
          </w:tcPr>
          <w:p w14:paraId="61797053"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244</w:t>
            </w:r>
          </w:p>
        </w:tc>
        <w:tc>
          <w:tcPr>
            <w:tcW w:w="574" w:type="pct"/>
            <w:tcBorders>
              <w:top w:val="nil"/>
              <w:left w:val="nil"/>
              <w:bottom w:val="nil"/>
              <w:right w:val="nil"/>
            </w:tcBorders>
            <w:shd w:val="clear" w:color="auto" w:fill="auto"/>
            <w:noWrap/>
            <w:vAlign w:val="bottom"/>
          </w:tcPr>
          <w:p w14:paraId="0AD6F99F"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7432F79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r>
      <w:tr w:rsidR="0092765F" w:rsidRPr="0092765F" w14:paraId="1AEB30FD" w14:textId="77777777" w:rsidTr="0092765F">
        <w:trPr>
          <w:trHeight w:val="255"/>
        </w:trPr>
        <w:tc>
          <w:tcPr>
            <w:tcW w:w="1698" w:type="pct"/>
            <w:tcBorders>
              <w:top w:val="nil"/>
              <w:left w:val="nil"/>
              <w:bottom w:val="nil"/>
              <w:right w:val="nil"/>
            </w:tcBorders>
            <w:shd w:val="clear" w:color="auto" w:fill="auto"/>
            <w:noWrap/>
            <w:vAlign w:val="bottom"/>
          </w:tcPr>
          <w:p w14:paraId="638AFC8C" w14:textId="77777777" w:rsidR="00FB260E" w:rsidRPr="0092765F" w:rsidRDefault="00FB260E" w:rsidP="00FB260E">
            <w:pPr>
              <w:spacing w:after="0" w:line="240" w:lineRule="auto"/>
              <w:rPr>
                <w:sz w:val="18"/>
                <w:szCs w:val="18"/>
                <w:lang w:eastAsia="sk-SK"/>
              </w:rPr>
            </w:pPr>
            <w:r w:rsidRPr="0092765F">
              <w:rPr>
                <w:sz w:val="18"/>
                <w:szCs w:val="18"/>
                <w:lang w:eastAsia="sk-SK"/>
              </w:rPr>
              <w:t>Západoslovenská energetika, a.s.</w:t>
            </w:r>
          </w:p>
        </w:tc>
        <w:tc>
          <w:tcPr>
            <w:tcW w:w="418" w:type="pct"/>
            <w:tcBorders>
              <w:top w:val="nil"/>
              <w:left w:val="nil"/>
              <w:bottom w:val="nil"/>
              <w:right w:val="nil"/>
            </w:tcBorders>
            <w:shd w:val="clear" w:color="auto" w:fill="auto"/>
            <w:noWrap/>
            <w:vAlign w:val="bottom"/>
          </w:tcPr>
          <w:p w14:paraId="66076438" w14:textId="7C4AB709" w:rsidR="00FB260E" w:rsidRPr="0092765F" w:rsidRDefault="00FB260E" w:rsidP="00FB260E">
            <w:pPr>
              <w:spacing w:after="0" w:line="240" w:lineRule="auto"/>
              <w:jc w:val="right"/>
              <w:rPr>
                <w:sz w:val="18"/>
                <w:szCs w:val="18"/>
                <w:lang w:eastAsia="sk-SK"/>
              </w:rPr>
            </w:pPr>
            <w:r w:rsidRPr="0092765F">
              <w:rPr>
                <w:sz w:val="18"/>
                <w:szCs w:val="18"/>
                <w:lang w:eastAsia="sk-SK"/>
              </w:rPr>
              <w:t>-9 820</w:t>
            </w:r>
          </w:p>
        </w:tc>
        <w:tc>
          <w:tcPr>
            <w:tcW w:w="652" w:type="pct"/>
            <w:tcBorders>
              <w:top w:val="nil"/>
              <w:left w:val="nil"/>
              <w:bottom w:val="nil"/>
              <w:right w:val="nil"/>
            </w:tcBorders>
            <w:shd w:val="clear" w:color="auto" w:fill="auto"/>
            <w:noWrap/>
            <w:vAlign w:val="bottom"/>
          </w:tcPr>
          <w:p w14:paraId="449C9E9F"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64 037</w:t>
            </w:r>
          </w:p>
        </w:tc>
        <w:tc>
          <w:tcPr>
            <w:tcW w:w="513" w:type="pct"/>
            <w:tcBorders>
              <w:top w:val="nil"/>
              <w:left w:val="nil"/>
              <w:bottom w:val="nil"/>
              <w:right w:val="nil"/>
            </w:tcBorders>
            <w:shd w:val="clear" w:color="auto" w:fill="auto"/>
            <w:noWrap/>
            <w:vAlign w:val="bottom"/>
          </w:tcPr>
          <w:p w14:paraId="477E114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-70 490</w:t>
            </w:r>
          </w:p>
        </w:tc>
        <w:tc>
          <w:tcPr>
            <w:tcW w:w="540" w:type="pct"/>
            <w:tcBorders>
              <w:top w:val="nil"/>
              <w:left w:val="nil"/>
              <w:bottom w:val="nil"/>
              <w:right w:val="nil"/>
            </w:tcBorders>
            <w:shd w:val="clear" w:color="auto" w:fill="auto"/>
            <w:noWrap/>
            <w:vAlign w:val="bottom"/>
          </w:tcPr>
          <w:p w14:paraId="4A69B0A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115</w:t>
            </w:r>
          </w:p>
        </w:tc>
        <w:tc>
          <w:tcPr>
            <w:tcW w:w="574" w:type="pct"/>
            <w:tcBorders>
              <w:top w:val="nil"/>
              <w:left w:val="nil"/>
              <w:bottom w:val="nil"/>
              <w:right w:val="nil"/>
            </w:tcBorders>
            <w:shd w:val="clear" w:color="auto" w:fill="auto"/>
            <w:noWrap/>
            <w:vAlign w:val="bottom"/>
          </w:tcPr>
          <w:p w14:paraId="53A9D02D"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34A43753"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-3 482</w:t>
            </w:r>
          </w:p>
        </w:tc>
      </w:tr>
      <w:tr w:rsidR="0092765F" w:rsidRPr="0092765F" w14:paraId="33A78BE3" w14:textId="77777777" w:rsidTr="0092765F">
        <w:trPr>
          <w:trHeight w:val="255"/>
        </w:trPr>
        <w:tc>
          <w:tcPr>
            <w:tcW w:w="1698" w:type="pct"/>
            <w:tcBorders>
              <w:top w:val="nil"/>
              <w:left w:val="nil"/>
              <w:bottom w:val="nil"/>
              <w:right w:val="nil"/>
            </w:tcBorders>
            <w:shd w:val="clear" w:color="auto" w:fill="auto"/>
            <w:noWrap/>
            <w:vAlign w:val="bottom"/>
          </w:tcPr>
          <w:p w14:paraId="4BC3187A" w14:textId="77777777" w:rsidR="00FB260E" w:rsidRPr="0092765F" w:rsidRDefault="00FB260E" w:rsidP="00FB260E">
            <w:pPr>
              <w:spacing w:after="0" w:line="240" w:lineRule="auto"/>
              <w:rPr>
                <w:sz w:val="18"/>
                <w:szCs w:val="18"/>
                <w:lang w:eastAsia="sk-SK"/>
              </w:rPr>
            </w:pPr>
            <w:r w:rsidRPr="0092765F">
              <w:rPr>
                <w:sz w:val="18"/>
                <w:szCs w:val="18"/>
                <w:lang w:eastAsia="sk-SK"/>
              </w:rPr>
              <w:t>Slovenský plynár. priemysel, a.s.</w:t>
            </w:r>
          </w:p>
        </w:tc>
        <w:tc>
          <w:tcPr>
            <w:tcW w:w="418" w:type="pct"/>
            <w:tcBorders>
              <w:top w:val="nil"/>
              <w:left w:val="nil"/>
              <w:bottom w:val="nil"/>
              <w:right w:val="nil"/>
            </w:tcBorders>
            <w:shd w:val="clear" w:color="auto" w:fill="auto"/>
            <w:noWrap/>
            <w:vAlign w:val="bottom"/>
          </w:tcPr>
          <w:p w14:paraId="168ECD80"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-17 305</w:t>
            </w:r>
          </w:p>
        </w:tc>
        <w:tc>
          <w:tcPr>
            <w:tcW w:w="652" w:type="pct"/>
            <w:tcBorders>
              <w:top w:val="nil"/>
              <w:left w:val="nil"/>
              <w:bottom w:val="nil"/>
              <w:right w:val="nil"/>
            </w:tcBorders>
            <w:shd w:val="clear" w:color="auto" w:fill="auto"/>
            <w:noWrap/>
            <w:vAlign w:val="bottom"/>
          </w:tcPr>
          <w:p w14:paraId="7F6E5E6B"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313 566</w:t>
            </w:r>
          </w:p>
        </w:tc>
        <w:tc>
          <w:tcPr>
            <w:tcW w:w="513" w:type="pct"/>
            <w:tcBorders>
              <w:top w:val="nil"/>
              <w:left w:val="nil"/>
              <w:bottom w:val="nil"/>
              <w:right w:val="nil"/>
            </w:tcBorders>
            <w:shd w:val="clear" w:color="auto" w:fill="auto"/>
            <w:noWrap/>
            <w:vAlign w:val="bottom"/>
          </w:tcPr>
          <w:p w14:paraId="4829348B"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-305 000</w:t>
            </w:r>
          </w:p>
        </w:tc>
        <w:tc>
          <w:tcPr>
            <w:tcW w:w="540" w:type="pct"/>
            <w:tcBorders>
              <w:top w:val="nil"/>
              <w:left w:val="nil"/>
              <w:bottom w:val="nil"/>
              <w:right w:val="nil"/>
            </w:tcBorders>
            <w:shd w:val="clear" w:color="auto" w:fill="auto"/>
            <w:noWrap/>
            <w:vAlign w:val="bottom"/>
          </w:tcPr>
          <w:p w14:paraId="6FD1942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-24 813</w:t>
            </w:r>
          </w:p>
        </w:tc>
        <w:tc>
          <w:tcPr>
            <w:tcW w:w="574" w:type="pct"/>
            <w:tcBorders>
              <w:top w:val="nil"/>
              <w:left w:val="nil"/>
              <w:bottom w:val="nil"/>
              <w:right w:val="nil"/>
            </w:tcBorders>
            <w:shd w:val="clear" w:color="auto" w:fill="auto"/>
            <w:noWrap/>
            <w:vAlign w:val="bottom"/>
          </w:tcPr>
          <w:p w14:paraId="562CBBCF"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0D2DDDED"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-1 058</w:t>
            </w:r>
          </w:p>
        </w:tc>
      </w:tr>
      <w:tr w:rsidR="0092765F" w:rsidRPr="0092765F" w14:paraId="1DC53459" w14:textId="77777777" w:rsidTr="0092765F">
        <w:trPr>
          <w:trHeight w:val="255"/>
        </w:trPr>
        <w:tc>
          <w:tcPr>
            <w:tcW w:w="1698" w:type="pct"/>
            <w:tcBorders>
              <w:top w:val="nil"/>
              <w:left w:val="nil"/>
              <w:bottom w:val="nil"/>
              <w:right w:val="nil"/>
            </w:tcBorders>
            <w:shd w:val="clear" w:color="auto" w:fill="auto"/>
            <w:noWrap/>
            <w:vAlign w:val="bottom"/>
          </w:tcPr>
          <w:p w14:paraId="3DAE658C" w14:textId="77777777" w:rsidR="00FB260E" w:rsidRPr="0092765F" w:rsidRDefault="00FB260E" w:rsidP="00FB260E">
            <w:pPr>
              <w:spacing w:after="0" w:line="240" w:lineRule="auto"/>
              <w:rPr>
                <w:sz w:val="18"/>
                <w:szCs w:val="18"/>
                <w:lang w:eastAsia="sk-SK"/>
              </w:rPr>
            </w:pPr>
            <w:r w:rsidRPr="0092765F">
              <w:rPr>
                <w:sz w:val="18"/>
                <w:szCs w:val="18"/>
                <w:lang w:eastAsia="sk-SK"/>
              </w:rPr>
              <w:t>MH Manažment, a.s.</w:t>
            </w:r>
          </w:p>
        </w:tc>
        <w:tc>
          <w:tcPr>
            <w:tcW w:w="418" w:type="pct"/>
            <w:tcBorders>
              <w:top w:val="nil"/>
              <w:left w:val="nil"/>
              <w:bottom w:val="nil"/>
              <w:right w:val="nil"/>
            </w:tcBorders>
            <w:shd w:val="clear" w:color="auto" w:fill="auto"/>
            <w:noWrap/>
            <w:vAlign w:val="bottom"/>
          </w:tcPr>
          <w:p w14:paraId="667A7CC8" w14:textId="757F4DCA" w:rsidR="00FB260E" w:rsidRPr="0092765F" w:rsidRDefault="00FB260E" w:rsidP="00E67CA0">
            <w:pPr>
              <w:spacing w:after="0" w:line="240" w:lineRule="auto"/>
              <w:jc w:val="right"/>
              <w:rPr>
                <w:sz w:val="18"/>
                <w:szCs w:val="18"/>
                <w:lang w:eastAsia="sk-SK"/>
              </w:rPr>
            </w:pPr>
            <w:r w:rsidRPr="0092765F">
              <w:rPr>
                <w:sz w:val="18"/>
                <w:szCs w:val="18"/>
                <w:lang w:eastAsia="sk-SK"/>
              </w:rPr>
              <w:t>-22 049</w:t>
            </w:r>
          </w:p>
        </w:tc>
        <w:tc>
          <w:tcPr>
            <w:tcW w:w="652" w:type="pct"/>
            <w:tcBorders>
              <w:top w:val="nil"/>
              <w:left w:val="nil"/>
              <w:bottom w:val="nil"/>
              <w:right w:val="nil"/>
            </w:tcBorders>
            <w:shd w:val="clear" w:color="auto" w:fill="auto"/>
            <w:noWrap/>
            <w:vAlign w:val="bottom"/>
          </w:tcPr>
          <w:p w14:paraId="0411E51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6 602</w:t>
            </w:r>
          </w:p>
        </w:tc>
        <w:tc>
          <w:tcPr>
            <w:tcW w:w="513" w:type="pct"/>
            <w:tcBorders>
              <w:top w:val="nil"/>
              <w:left w:val="nil"/>
              <w:bottom w:val="nil"/>
              <w:right w:val="nil"/>
            </w:tcBorders>
            <w:shd w:val="clear" w:color="auto" w:fill="auto"/>
            <w:noWrap/>
            <w:vAlign w:val="bottom"/>
          </w:tcPr>
          <w:p w14:paraId="3D8E746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1D1567F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-28 678</w:t>
            </w:r>
          </w:p>
        </w:tc>
        <w:tc>
          <w:tcPr>
            <w:tcW w:w="574" w:type="pct"/>
            <w:tcBorders>
              <w:top w:val="nil"/>
              <w:left w:val="nil"/>
              <w:bottom w:val="nil"/>
              <w:right w:val="nil"/>
            </w:tcBorders>
            <w:shd w:val="clear" w:color="auto" w:fill="auto"/>
            <w:noWrap/>
            <w:vAlign w:val="bottom"/>
          </w:tcPr>
          <w:p w14:paraId="59425DEC"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bottom w:val="nil"/>
              <w:right w:val="nil"/>
            </w:tcBorders>
            <w:shd w:val="clear" w:color="auto" w:fill="auto"/>
            <w:noWrap/>
            <w:vAlign w:val="bottom"/>
          </w:tcPr>
          <w:p w14:paraId="621A15DA"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27</w:t>
            </w:r>
          </w:p>
        </w:tc>
      </w:tr>
      <w:tr w:rsidR="0092765F" w:rsidRPr="0092765F" w14:paraId="7C8FBB77" w14:textId="77777777" w:rsidTr="0092765F">
        <w:trPr>
          <w:trHeight w:val="255"/>
        </w:trPr>
        <w:tc>
          <w:tcPr>
            <w:tcW w:w="1698" w:type="pct"/>
            <w:tcBorders>
              <w:top w:val="nil"/>
              <w:left w:val="nil"/>
              <w:bottom w:val="nil"/>
              <w:right w:val="nil"/>
            </w:tcBorders>
            <w:shd w:val="clear" w:color="auto" w:fill="auto"/>
            <w:noWrap/>
            <w:vAlign w:val="bottom"/>
          </w:tcPr>
          <w:p w14:paraId="3176003E" w14:textId="77777777" w:rsidR="00FB260E" w:rsidRPr="0092765F" w:rsidRDefault="00FB260E" w:rsidP="00FB260E">
            <w:pPr>
              <w:spacing w:after="0" w:line="240" w:lineRule="auto"/>
              <w:rPr>
                <w:color w:val="FF0000"/>
                <w:sz w:val="18"/>
                <w:szCs w:val="18"/>
                <w:lang w:eastAsia="sk-SK"/>
              </w:rPr>
            </w:pPr>
            <w:r w:rsidRPr="0092765F">
              <w:rPr>
                <w:sz w:val="18"/>
                <w:szCs w:val="18"/>
                <w:lang w:eastAsia="sk-SK"/>
              </w:rPr>
              <w:t>Slovenský vodohospod. podnik, š.p.</w:t>
            </w:r>
          </w:p>
        </w:tc>
        <w:tc>
          <w:tcPr>
            <w:tcW w:w="418" w:type="pct"/>
            <w:tcBorders>
              <w:top w:val="nil"/>
              <w:left w:val="nil"/>
              <w:bottom w:val="nil"/>
              <w:right w:val="nil"/>
            </w:tcBorders>
            <w:shd w:val="clear" w:color="auto" w:fill="auto"/>
            <w:noWrap/>
            <w:vAlign w:val="bottom"/>
          </w:tcPr>
          <w:p w14:paraId="16F4100F"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-29 046</w:t>
            </w:r>
          </w:p>
        </w:tc>
        <w:tc>
          <w:tcPr>
            <w:tcW w:w="652" w:type="pct"/>
            <w:tcBorders>
              <w:top w:val="nil"/>
              <w:left w:val="nil"/>
              <w:bottom w:val="nil"/>
              <w:right w:val="nil"/>
            </w:tcBorders>
            <w:shd w:val="clear" w:color="auto" w:fill="auto"/>
            <w:noWrap/>
            <w:vAlign w:val="bottom"/>
          </w:tcPr>
          <w:p w14:paraId="2C18D881"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-28 871</w:t>
            </w:r>
          </w:p>
        </w:tc>
        <w:tc>
          <w:tcPr>
            <w:tcW w:w="513" w:type="pct"/>
            <w:tcBorders>
              <w:top w:val="nil"/>
              <w:left w:val="nil"/>
              <w:bottom w:val="nil"/>
              <w:right w:val="nil"/>
            </w:tcBorders>
            <w:shd w:val="clear" w:color="auto" w:fill="auto"/>
            <w:noWrap/>
            <w:vAlign w:val="bottom"/>
          </w:tcPr>
          <w:p w14:paraId="5036AA8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bottom w:val="nil"/>
              <w:right w:val="nil"/>
            </w:tcBorders>
            <w:shd w:val="clear" w:color="auto" w:fill="auto"/>
            <w:noWrap/>
            <w:vAlign w:val="bottom"/>
          </w:tcPr>
          <w:p w14:paraId="5C38B27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bottom w:val="nil"/>
              <w:right w:val="nil"/>
            </w:tcBorders>
            <w:shd w:val="clear" w:color="auto" w:fill="auto"/>
            <w:noWrap/>
            <w:vAlign w:val="bottom"/>
          </w:tcPr>
          <w:p w14:paraId="06236CA1"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2 498</w:t>
            </w:r>
          </w:p>
        </w:tc>
        <w:tc>
          <w:tcPr>
            <w:tcW w:w="604" w:type="pct"/>
            <w:gridSpan w:val="2"/>
            <w:tcBorders>
              <w:top w:val="nil"/>
              <w:left w:val="nil"/>
              <w:bottom w:val="nil"/>
              <w:right w:val="nil"/>
            </w:tcBorders>
            <w:shd w:val="clear" w:color="auto" w:fill="auto"/>
            <w:noWrap/>
            <w:vAlign w:val="bottom"/>
          </w:tcPr>
          <w:p w14:paraId="180B1776"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-2 673</w:t>
            </w:r>
          </w:p>
        </w:tc>
      </w:tr>
      <w:tr w:rsidR="0092765F" w:rsidRPr="0092765F" w14:paraId="2519B82E" w14:textId="77777777" w:rsidTr="0092765F">
        <w:trPr>
          <w:trHeight w:val="255"/>
        </w:trPr>
        <w:tc>
          <w:tcPr>
            <w:tcW w:w="1698" w:type="pct"/>
            <w:tcBorders>
              <w:top w:val="nil"/>
              <w:left w:val="nil"/>
              <w:right w:val="nil"/>
            </w:tcBorders>
            <w:shd w:val="clear" w:color="auto" w:fill="auto"/>
            <w:noWrap/>
            <w:vAlign w:val="bottom"/>
          </w:tcPr>
          <w:p w14:paraId="3117CDE0" w14:textId="77777777" w:rsidR="00FB260E" w:rsidRPr="0092765F" w:rsidRDefault="00FB260E" w:rsidP="00FB260E">
            <w:pPr>
              <w:spacing w:after="0" w:line="240" w:lineRule="auto"/>
              <w:rPr>
                <w:sz w:val="18"/>
                <w:szCs w:val="18"/>
                <w:lang w:eastAsia="sk-SK"/>
              </w:rPr>
            </w:pPr>
            <w:r w:rsidRPr="0092765F">
              <w:rPr>
                <w:sz w:val="18"/>
                <w:szCs w:val="18"/>
                <w:lang w:eastAsia="sk-SK"/>
              </w:rPr>
              <w:t>MH Invest, s.r.o.</w:t>
            </w:r>
          </w:p>
        </w:tc>
        <w:tc>
          <w:tcPr>
            <w:tcW w:w="418" w:type="pct"/>
            <w:tcBorders>
              <w:top w:val="nil"/>
              <w:left w:val="nil"/>
              <w:right w:val="nil"/>
            </w:tcBorders>
            <w:shd w:val="clear" w:color="auto" w:fill="auto"/>
            <w:noWrap/>
            <w:vAlign w:val="bottom"/>
          </w:tcPr>
          <w:p w14:paraId="7941D7C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-63 389</w:t>
            </w:r>
          </w:p>
        </w:tc>
        <w:tc>
          <w:tcPr>
            <w:tcW w:w="652" w:type="pct"/>
            <w:tcBorders>
              <w:top w:val="nil"/>
              <w:left w:val="nil"/>
              <w:right w:val="nil"/>
            </w:tcBorders>
            <w:shd w:val="clear" w:color="auto" w:fill="auto"/>
            <w:noWrap/>
            <w:vAlign w:val="bottom"/>
          </w:tcPr>
          <w:p w14:paraId="6DFFB91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-28 714</w:t>
            </w:r>
          </w:p>
        </w:tc>
        <w:tc>
          <w:tcPr>
            <w:tcW w:w="513" w:type="pct"/>
            <w:tcBorders>
              <w:top w:val="nil"/>
              <w:left w:val="nil"/>
              <w:right w:val="nil"/>
            </w:tcBorders>
            <w:shd w:val="clear" w:color="auto" w:fill="auto"/>
            <w:noWrap/>
            <w:vAlign w:val="bottom"/>
          </w:tcPr>
          <w:p w14:paraId="066DAD36"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40" w:type="pct"/>
            <w:tcBorders>
              <w:top w:val="nil"/>
              <w:left w:val="nil"/>
              <w:right w:val="nil"/>
            </w:tcBorders>
            <w:shd w:val="clear" w:color="auto" w:fill="auto"/>
            <w:noWrap/>
            <w:vAlign w:val="bottom"/>
          </w:tcPr>
          <w:p w14:paraId="389AA717"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574" w:type="pct"/>
            <w:tcBorders>
              <w:top w:val="nil"/>
              <w:left w:val="nil"/>
              <w:right w:val="nil"/>
            </w:tcBorders>
            <w:shd w:val="clear" w:color="auto" w:fill="auto"/>
            <w:noWrap/>
            <w:vAlign w:val="bottom"/>
          </w:tcPr>
          <w:p w14:paraId="2008F938"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top w:val="nil"/>
              <w:left w:val="nil"/>
              <w:right w:val="nil"/>
            </w:tcBorders>
            <w:shd w:val="clear" w:color="auto" w:fill="auto"/>
            <w:noWrap/>
            <w:vAlign w:val="bottom"/>
          </w:tcPr>
          <w:p w14:paraId="134DA759"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-34 675</w:t>
            </w:r>
          </w:p>
        </w:tc>
      </w:tr>
      <w:tr w:rsidR="0092765F" w:rsidRPr="0092765F" w14:paraId="290F8783" w14:textId="77777777" w:rsidTr="0092765F">
        <w:trPr>
          <w:trHeight w:val="255"/>
        </w:trPr>
        <w:tc>
          <w:tcPr>
            <w:tcW w:w="1698" w:type="pct"/>
            <w:tcBorders>
              <w:left w:val="nil"/>
              <w:bottom w:val="single" w:sz="4" w:space="0" w:color="auto"/>
              <w:right w:val="nil"/>
            </w:tcBorders>
            <w:shd w:val="clear" w:color="auto" w:fill="auto"/>
            <w:noWrap/>
            <w:vAlign w:val="bottom"/>
          </w:tcPr>
          <w:p w14:paraId="66BB950D" w14:textId="77777777" w:rsidR="00FB260E" w:rsidRPr="0092765F" w:rsidRDefault="00FB260E" w:rsidP="00FB260E">
            <w:pPr>
              <w:spacing w:after="0" w:line="240" w:lineRule="auto"/>
              <w:rPr>
                <w:sz w:val="18"/>
                <w:szCs w:val="18"/>
                <w:lang w:eastAsia="sk-SK"/>
              </w:rPr>
            </w:pPr>
            <w:r w:rsidRPr="0092765F">
              <w:rPr>
                <w:sz w:val="18"/>
                <w:szCs w:val="18"/>
                <w:lang w:eastAsia="sk-SK"/>
              </w:rPr>
              <w:t>Slovenské elektrárne, a.s.</w:t>
            </w:r>
          </w:p>
        </w:tc>
        <w:tc>
          <w:tcPr>
            <w:tcW w:w="418" w:type="pct"/>
            <w:tcBorders>
              <w:left w:val="nil"/>
              <w:bottom w:val="single" w:sz="4" w:space="0" w:color="auto"/>
              <w:right w:val="nil"/>
            </w:tcBorders>
            <w:shd w:val="clear" w:color="auto" w:fill="auto"/>
            <w:noWrap/>
            <w:vAlign w:val="bottom"/>
          </w:tcPr>
          <w:p w14:paraId="4551F37B"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-87 696</w:t>
            </w:r>
          </w:p>
        </w:tc>
        <w:tc>
          <w:tcPr>
            <w:tcW w:w="652" w:type="pct"/>
            <w:tcBorders>
              <w:left w:val="nil"/>
              <w:bottom w:val="single" w:sz="4" w:space="0" w:color="auto"/>
              <w:right w:val="nil"/>
            </w:tcBorders>
            <w:shd w:val="clear" w:color="auto" w:fill="auto"/>
            <w:noWrap/>
            <w:vAlign w:val="bottom"/>
          </w:tcPr>
          <w:p w14:paraId="73F694C4"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24 353</w:t>
            </w:r>
          </w:p>
        </w:tc>
        <w:tc>
          <w:tcPr>
            <w:tcW w:w="513" w:type="pct"/>
            <w:tcBorders>
              <w:left w:val="nil"/>
              <w:bottom w:val="single" w:sz="4" w:space="0" w:color="auto"/>
              <w:right w:val="nil"/>
            </w:tcBorders>
            <w:shd w:val="clear" w:color="auto" w:fill="auto"/>
            <w:noWrap/>
            <w:vAlign w:val="bottom"/>
          </w:tcPr>
          <w:p w14:paraId="55B6104C" w14:textId="77777777" w:rsidR="00FB260E" w:rsidRPr="0092765F" w:rsidRDefault="00FB260E" w:rsidP="00FB260E">
            <w:pPr>
              <w:spacing w:after="0" w:line="240" w:lineRule="auto"/>
              <w:jc w:val="right"/>
              <w:rPr>
                <w:color w:val="FF0000"/>
                <w:sz w:val="18"/>
                <w:szCs w:val="18"/>
                <w:lang w:eastAsia="sk-SK"/>
              </w:rPr>
            </w:pPr>
            <w:r w:rsidRPr="0092765F">
              <w:rPr>
                <w:sz w:val="18"/>
                <w:szCs w:val="18"/>
                <w:lang w:eastAsia="sk-SK"/>
              </w:rPr>
              <w:t>0</w:t>
            </w:r>
          </w:p>
        </w:tc>
        <w:tc>
          <w:tcPr>
            <w:tcW w:w="540" w:type="pct"/>
            <w:tcBorders>
              <w:left w:val="nil"/>
              <w:bottom w:val="single" w:sz="4" w:space="0" w:color="auto"/>
              <w:right w:val="nil"/>
            </w:tcBorders>
            <w:shd w:val="clear" w:color="auto" w:fill="auto"/>
            <w:noWrap/>
            <w:vAlign w:val="bottom"/>
          </w:tcPr>
          <w:p w14:paraId="449C1F6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-109 963</w:t>
            </w:r>
          </w:p>
        </w:tc>
        <w:tc>
          <w:tcPr>
            <w:tcW w:w="574" w:type="pct"/>
            <w:tcBorders>
              <w:left w:val="nil"/>
              <w:bottom w:val="single" w:sz="4" w:space="0" w:color="auto"/>
              <w:right w:val="nil"/>
            </w:tcBorders>
            <w:shd w:val="clear" w:color="auto" w:fill="auto"/>
            <w:noWrap/>
            <w:vAlign w:val="bottom"/>
          </w:tcPr>
          <w:p w14:paraId="346EA769"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0</w:t>
            </w:r>
          </w:p>
        </w:tc>
        <w:tc>
          <w:tcPr>
            <w:tcW w:w="604" w:type="pct"/>
            <w:gridSpan w:val="2"/>
            <w:tcBorders>
              <w:left w:val="nil"/>
              <w:bottom w:val="single" w:sz="4" w:space="0" w:color="auto"/>
              <w:right w:val="nil"/>
            </w:tcBorders>
            <w:shd w:val="clear" w:color="auto" w:fill="auto"/>
            <w:noWrap/>
            <w:vAlign w:val="bottom"/>
          </w:tcPr>
          <w:p w14:paraId="141948EE" w14:textId="77777777" w:rsidR="00FB260E" w:rsidRPr="0092765F" w:rsidRDefault="00FB260E" w:rsidP="00FB260E">
            <w:pPr>
              <w:spacing w:after="0" w:line="240" w:lineRule="auto"/>
              <w:jc w:val="right"/>
              <w:rPr>
                <w:sz w:val="18"/>
                <w:szCs w:val="18"/>
                <w:lang w:eastAsia="sk-SK"/>
              </w:rPr>
            </w:pPr>
            <w:r w:rsidRPr="0092765F">
              <w:rPr>
                <w:sz w:val="18"/>
                <w:szCs w:val="18"/>
                <w:lang w:eastAsia="sk-SK"/>
              </w:rPr>
              <w:t>-2 086</w:t>
            </w:r>
          </w:p>
        </w:tc>
      </w:tr>
      <w:tr w:rsidR="0092765F" w:rsidRPr="0092765F" w14:paraId="79DF5A1D" w14:textId="77777777" w:rsidTr="0092765F">
        <w:trPr>
          <w:trHeight w:val="255"/>
        </w:trPr>
        <w:tc>
          <w:tcPr>
            <w:tcW w:w="5000" w:type="pct"/>
            <w:gridSpan w:val="8"/>
            <w:tcBorders>
              <w:top w:val="nil"/>
              <w:left w:val="nil"/>
              <w:bottom w:val="nil"/>
              <w:right w:val="nil"/>
            </w:tcBorders>
            <w:shd w:val="clear" w:color="auto" w:fill="auto"/>
            <w:noWrap/>
            <w:vAlign w:val="bottom"/>
            <w:hideMark/>
          </w:tcPr>
          <w:p w14:paraId="12D4697B" w14:textId="70F92059" w:rsidR="0092765F" w:rsidRPr="00093C11" w:rsidRDefault="0092765F" w:rsidP="0092765F">
            <w:pPr>
              <w:spacing w:after="0" w:line="240" w:lineRule="auto"/>
              <w:jc w:val="right"/>
              <w:rPr>
                <w:iCs/>
                <w:sz w:val="18"/>
                <w:szCs w:val="18"/>
                <w:lang w:eastAsia="sk-SK"/>
              </w:rPr>
            </w:pPr>
            <w:r w:rsidRPr="00093C11">
              <w:rPr>
                <w:iCs/>
                <w:sz w:val="18"/>
                <w:szCs w:val="18"/>
                <w:lang w:eastAsia="sk-SK"/>
              </w:rPr>
              <w:t>Zdroj: Účtovné závierky subjektov</w:t>
            </w:r>
          </w:p>
        </w:tc>
      </w:tr>
      <w:tr w:rsidR="0092765F" w:rsidRPr="0092765F" w14:paraId="3DF253E2" w14:textId="77777777" w:rsidTr="0092765F">
        <w:trPr>
          <w:trHeight w:val="255"/>
        </w:trPr>
        <w:tc>
          <w:tcPr>
            <w:tcW w:w="1698" w:type="pct"/>
            <w:tcBorders>
              <w:top w:val="nil"/>
              <w:left w:val="nil"/>
              <w:bottom w:val="nil"/>
              <w:right w:val="nil"/>
            </w:tcBorders>
            <w:shd w:val="clear" w:color="auto" w:fill="auto"/>
            <w:noWrap/>
            <w:vAlign w:val="bottom"/>
          </w:tcPr>
          <w:p w14:paraId="089100DA" w14:textId="77777777" w:rsidR="00FB260E" w:rsidRPr="0092765F" w:rsidRDefault="00FB260E" w:rsidP="00FB260E">
            <w:pPr>
              <w:spacing w:after="0" w:line="240" w:lineRule="auto"/>
              <w:jc w:val="right"/>
              <w:rPr>
                <w:color w:val="FF0000"/>
                <w:sz w:val="18"/>
                <w:szCs w:val="18"/>
                <w:lang w:eastAsia="sk-SK"/>
              </w:rPr>
            </w:pPr>
          </w:p>
        </w:tc>
        <w:tc>
          <w:tcPr>
            <w:tcW w:w="418" w:type="pct"/>
            <w:tcBorders>
              <w:top w:val="nil"/>
              <w:left w:val="nil"/>
              <w:bottom w:val="nil"/>
              <w:right w:val="nil"/>
            </w:tcBorders>
            <w:shd w:val="clear" w:color="auto" w:fill="auto"/>
            <w:noWrap/>
            <w:vAlign w:val="bottom"/>
          </w:tcPr>
          <w:p w14:paraId="3DDA577A" w14:textId="77777777" w:rsidR="00FB260E" w:rsidRPr="0092765F" w:rsidRDefault="00FB260E" w:rsidP="00FB260E">
            <w:pPr>
              <w:spacing w:after="0" w:line="240" w:lineRule="auto"/>
              <w:rPr>
                <w:color w:val="FF0000"/>
                <w:sz w:val="18"/>
                <w:szCs w:val="18"/>
                <w:lang w:eastAsia="sk-SK"/>
              </w:rPr>
            </w:pPr>
          </w:p>
        </w:tc>
        <w:tc>
          <w:tcPr>
            <w:tcW w:w="652" w:type="pct"/>
            <w:tcBorders>
              <w:top w:val="nil"/>
              <w:left w:val="nil"/>
              <w:bottom w:val="nil"/>
              <w:right w:val="nil"/>
            </w:tcBorders>
            <w:shd w:val="clear" w:color="auto" w:fill="auto"/>
            <w:noWrap/>
            <w:vAlign w:val="bottom"/>
          </w:tcPr>
          <w:p w14:paraId="7C5ACA91" w14:textId="77777777" w:rsidR="00FB260E" w:rsidRPr="0092765F" w:rsidRDefault="00FB260E" w:rsidP="00FB260E">
            <w:pPr>
              <w:spacing w:after="0" w:line="240" w:lineRule="auto"/>
              <w:rPr>
                <w:color w:val="FF0000"/>
                <w:sz w:val="18"/>
                <w:szCs w:val="18"/>
                <w:lang w:eastAsia="sk-SK"/>
              </w:rPr>
            </w:pPr>
          </w:p>
        </w:tc>
        <w:tc>
          <w:tcPr>
            <w:tcW w:w="513" w:type="pct"/>
            <w:tcBorders>
              <w:top w:val="nil"/>
              <w:left w:val="nil"/>
              <w:bottom w:val="nil"/>
              <w:right w:val="nil"/>
            </w:tcBorders>
            <w:shd w:val="clear" w:color="auto" w:fill="auto"/>
            <w:noWrap/>
            <w:vAlign w:val="bottom"/>
          </w:tcPr>
          <w:p w14:paraId="421A286B" w14:textId="77777777" w:rsidR="00FB260E" w:rsidRPr="0092765F" w:rsidRDefault="00FB260E" w:rsidP="00FB260E">
            <w:pPr>
              <w:spacing w:after="0" w:line="240" w:lineRule="auto"/>
              <w:rPr>
                <w:color w:val="FF0000"/>
                <w:sz w:val="18"/>
                <w:szCs w:val="18"/>
                <w:lang w:eastAsia="sk-SK"/>
              </w:rPr>
            </w:pPr>
          </w:p>
        </w:tc>
        <w:tc>
          <w:tcPr>
            <w:tcW w:w="540" w:type="pct"/>
            <w:tcBorders>
              <w:top w:val="nil"/>
              <w:left w:val="nil"/>
              <w:bottom w:val="nil"/>
              <w:right w:val="nil"/>
            </w:tcBorders>
            <w:shd w:val="clear" w:color="auto" w:fill="auto"/>
            <w:noWrap/>
            <w:vAlign w:val="bottom"/>
          </w:tcPr>
          <w:p w14:paraId="008D6193" w14:textId="77777777" w:rsidR="00FB260E" w:rsidRPr="0092765F" w:rsidRDefault="00FB260E" w:rsidP="00FB260E">
            <w:pPr>
              <w:spacing w:after="0" w:line="240" w:lineRule="auto"/>
              <w:rPr>
                <w:color w:val="FF0000"/>
                <w:sz w:val="18"/>
                <w:szCs w:val="18"/>
                <w:lang w:eastAsia="sk-SK"/>
              </w:rPr>
            </w:pPr>
          </w:p>
        </w:tc>
        <w:tc>
          <w:tcPr>
            <w:tcW w:w="574" w:type="pct"/>
            <w:tcBorders>
              <w:top w:val="nil"/>
              <w:left w:val="nil"/>
              <w:bottom w:val="nil"/>
              <w:right w:val="nil"/>
            </w:tcBorders>
            <w:shd w:val="clear" w:color="auto" w:fill="auto"/>
            <w:noWrap/>
            <w:vAlign w:val="bottom"/>
          </w:tcPr>
          <w:p w14:paraId="4AE4E991" w14:textId="77777777" w:rsidR="00FB260E" w:rsidRPr="0092765F" w:rsidRDefault="00FB260E" w:rsidP="00FB260E">
            <w:pPr>
              <w:spacing w:after="0" w:line="240" w:lineRule="auto"/>
              <w:rPr>
                <w:color w:val="FF0000"/>
                <w:sz w:val="18"/>
                <w:szCs w:val="18"/>
                <w:lang w:eastAsia="sk-SK"/>
              </w:rPr>
            </w:pPr>
          </w:p>
        </w:tc>
        <w:tc>
          <w:tcPr>
            <w:tcW w:w="604" w:type="pct"/>
            <w:gridSpan w:val="2"/>
            <w:tcBorders>
              <w:top w:val="nil"/>
              <w:left w:val="nil"/>
              <w:bottom w:val="nil"/>
              <w:right w:val="nil"/>
            </w:tcBorders>
            <w:shd w:val="clear" w:color="auto" w:fill="auto"/>
            <w:noWrap/>
            <w:vAlign w:val="center"/>
          </w:tcPr>
          <w:p w14:paraId="4AE13D1D" w14:textId="77777777" w:rsidR="00FB260E" w:rsidRPr="0092765F" w:rsidRDefault="00FB260E" w:rsidP="00FB260E">
            <w:pPr>
              <w:spacing w:after="0" w:line="240" w:lineRule="auto"/>
              <w:jc w:val="right"/>
              <w:rPr>
                <w:i/>
                <w:iCs/>
                <w:color w:val="FF0000"/>
                <w:sz w:val="18"/>
                <w:szCs w:val="18"/>
                <w:lang w:eastAsia="sk-SK"/>
              </w:rPr>
            </w:pPr>
          </w:p>
        </w:tc>
      </w:tr>
    </w:tbl>
    <w:p w14:paraId="1488D07B" w14:textId="77777777" w:rsidR="00FB260E" w:rsidRPr="00CE0CB4" w:rsidRDefault="00FB260E" w:rsidP="009A1229">
      <w:pPr>
        <w:spacing w:after="120" w:line="336" w:lineRule="auto"/>
        <w:jc w:val="both"/>
        <w:rPr>
          <w:szCs w:val="22"/>
        </w:rPr>
      </w:pPr>
      <w:r w:rsidRPr="00CE0CB4">
        <w:rPr>
          <w:szCs w:val="22"/>
        </w:rPr>
        <w:t>V nasledujúcom</w:t>
      </w:r>
      <w:r>
        <w:rPr>
          <w:szCs w:val="22"/>
        </w:rPr>
        <w:t xml:space="preserve"> texte uvádzame podrobnejšie hodnotenie medziročnej zmeny vlastného imania dvanástich vybraných štátnych podnikov a grafické zobrazenie vývoja vlastného imania na trojročnom horizonte 2016-2018. Analýza bola vykonaná na základe verejne dostupných údajov z účtovných závierok a výročných správ.</w:t>
      </w:r>
    </w:p>
    <w:p w14:paraId="5FB2CE2E" w14:textId="77777777" w:rsidR="00FB260E" w:rsidRDefault="00FB260E" w:rsidP="009A1229">
      <w:pPr>
        <w:spacing w:after="120" w:line="336" w:lineRule="auto"/>
        <w:jc w:val="both"/>
        <w:rPr>
          <w:b/>
          <w:szCs w:val="22"/>
        </w:rPr>
      </w:pPr>
      <w:r>
        <w:rPr>
          <w:szCs w:val="22"/>
        </w:rPr>
        <w:t xml:space="preserve">Modrou farbou v grafoch sú označené stavy vlastného imania ku koncu príslušného roka, červenou farbou sa označujú negatívne vplyvy (resp. vplyvy znižujúce hodnotu vlastného imania) a zelenou farbou sa označujú pozitívne vplyvy (resp. vplyvy zvyšujúce stav vlastného imania). </w:t>
      </w:r>
    </w:p>
    <w:p w14:paraId="699CB032" w14:textId="77777777" w:rsidR="00FB260E" w:rsidRDefault="00FB260E" w:rsidP="00FB260E">
      <w:pPr>
        <w:jc w:val="both"/>
        <w:rPr>
          <w:color w:val="FF0000"/>
          <w:szCs w:val="22"/>
        </w:rPr>
      </w:pPr>
      <w:r w:rsidRPr="00C53C25">
        <w:rPr>
          <w:b/>
          <w:szCs w:val="22"/>
        </w:rPr>
        <w:t>Všeobecná zdravotná poisťovňa, a.s.</w:t>
      </w:r>
      <w:r w:rsidRPr="00C53C25">
        <w:rPr>
          <w:szCs w:val="22"/>
        </w:rPr>
        <w:t xml:space="preserve"> (ďalej „VšZP“) </w:t>
      </w:r>
      <w:r w:rsidRPr="00966E4B">
        <w:rPr>
          <w:color w:val="FF0000"/>
          <w:szCs w:val="22"/>
        </w:rPr>
        <w:t xml:space="preserve"> </w:t>
      </w:r>
    </w:p>
    <w:p w14:paraId="3B20672D" w14:textId="77777777" w:rsidR="00FB260E" w:rsidRDefault="00FB260E" w:rsidP="009A1229">
      <w:pPr>
        <w:spacing w:after="120" w:line="336" w:lineRule="auto"/>
        <w:jc w:val="both"/>
        <w:rPr>
          <w:szCs w:val="22"/>
        </w:rPr>
      </w:pPr>
      <w:r w:rsidRPr="00F21692">
        <w:rPr>
          <w:szCs w:val="22"/>
        </w:rPr>
        <w:t xml:space="preserve">Počas sledovaného obdobia </w:t>
      </w:r>
      <w:r>
        <w:rPr>
          <w:szCs w:val="22"/>
        </w:rPr>
        <w:t>bol</w:t>
      </w:r>
      <w:r w:rsidRPr="00F21692">
        <w:rPr>
          <w:szCs w:val="22"/>
        </w:rPr>
        <w:t xml:space="preserve"> výsledok hospodárenia bežného obdobia VšZP položkou s najvyšším vplyvom na zmenu stavu vlastného imania. Kým v roku 2016 bol výsledok hospodárenia hlavným zdrojom negatívnej zmeny stavu vlastného imania (vplyv zreálnenia stavu technických rezerv a opráv chýb minulých rokov v rámci výsledku minulých období), tak v roku 2017 (vplyv</w:t>
      </w:r>
      <w:r>
        <w:rPr>
          <w:szCs w:val="22"/>
        </w:rPr>
        <w:t>om</w:t>
      </w:r>
      <w:r w:rsidRPr="00F21692">
        <w:rPr>
          <w:szCs w:val="22"/>
        </w:rPr>
        <w:t xml:space="preserve"> ozdravných opatrení) a</w:t>
      </w:r>
      <w:r>
        <w:rPr>
          <w:szCs w:val="22"/>
        </w:rPr>
        <w:t xml:space="preserve"> v roku </w:t>
      </w:r>
      <w:r w:rsidRPr="00F21692">
        <w:rPr>
          <w:szCs w:val="22"/>
        </w:rPr>
        <w:t>2018 bol hlavných zdrojom pozitívnej zmeny. Pričom vygenerovaný zisk počas sledovaného obdobia bol ponechaný VšZP na vysporiadanie strát z minulých období.</w:t>
      </w:r>
    </w:p>
    <w:p w14:paraId="6522EA3C" w14:textId="77777777" w:rsidR="00FB260E" w:rsidRPr="00966E4B" w:rsidRDefault="00FB260E" w:rsidP="00FB260E">
      <w:pPr>
        <w:jc w:val="center"/>
        <w:rPr>
          <w:color w:val="FF0000"/>
          <w:szCs w:val="22"/>
        </w:rPr>
      </w:pPr>
      <w:r>
        <w:rPr>
          <w:noProof/>
          <w:color w:val="FF0000"/>
          <w:szCs w:val="22"/>
          <w:lang w:eastAsia="sk-SK"/>
        </w:rPr>
        <w:drawing>
          <wp:inline distT="0" distB="0" distL="0" distR="0" wp14:anchorId="47573DE7" wp14:editId="78EE8FBF">
            <wp:extent cx="3542943" cy="2064625"/>
            <wp:effectExtent l="0" t="0" r="63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1582" cy="2092969"/>
                    </a:xfrm>
                    <a:prstGeom prst="rect">
                      <a:avLst/>
                    </a:prstGeom>
                    <a:noFill/>
                  </pic:spPr>
                </pic:pic>
              </a:graphicData>
            </a:graphic>
          </wp:inline>
        </w:drawing>
      </w:r>
    </w:p>
    <w:p w14:paraId="0780E52E" w14:textId="77777777" w:rsidR="00FB260E" w:rsidRPr="00F21692" w:rsidRDefault="00FB260E" w:rsidP="00FB260E">
      <w:pPr>
        <w:spacing w:after="120" w:line="336" w:lineRule="auto"/>
        <w:jc w:val="both"/>
        <w:rPr>
          <w:szCs w:val="22"/>
        </w:rPr>
      </w:pPr>
    </w:p>
    <w:p w14:paraId="76E4BFF8" w14:textId="4DF9A6C0" w:rsidR="00FB260E" w:rsidRPr="00C53C25" w:rsidRDefault="00FB260E" w:rsidP="00FB260E">
      <w:pPr>
        <w:spacing w:after="120" w:line="336" w:lineRule="auto"/>
        <w:jc w:val="both"/>
        <w:rPr>
          <w:szCs w:val="22"/>
        </w:rPr>
      </w:pPr>
      <w:r w:rsidRPr="00C53C25">
        <w:rPr>
          <w:szCs w:val="22"/>
        </w:rPr>
        <w:t>Vlastné imanie VšZP sa v roku 2018 zvýšilo o 91 297 tis. eur vplyvom dosiahnutého zisku za bežné účtovné obd</w:t>
      </w:r>
      <w:r w:rsidR="00E67CA0">
        <w:rPr>
          <w:szCs w:val="22"/>
        </w:rPr>
        <w:t xml:space="preserve">obie vo výške 89 976 tis. eur, </w:t>
      </w:r>
      <w:r w:rsidRPr="00C53C25">
        <w:rPr>
          <w:szCs w:val="22"/>
        </w:rPr>
        <w:t xml:space="preserve">pozitívny vplyv bol zaznamenaný aj na položke oceňovacích rozdielov z cenných papierov (precenenie akcií kúpeľov k 31.12.2018) </w:t>
      </w:r>
      <w:r>
        <w:rPr>
          <w:szCs w:val="22"/>
        </w:rPr>
        <w:t>vo</w:t>
      </w:r>
      <w:r w:rsidRPr="00C53C25">
        <w:rPr>
          <w:szCs w:val="22"/>
        </w:rPr>
        <w:t xml:space="preserve"> výške 1 32</w:t>
      </w:r>
      <w:r>
        <w:rPr>
          <w:szCs w:val="22"/>
        </w:rPr>
        <w:t>5</w:t>
      </w:r>
      <w:r w:rsidRPr="00C53C25">
        <w:rPr>
          <w:szCs w:val="22"/>
        </w:rPr>
        <w:t xml:space="preserve"> tis. eur. </w:t>
      </w:r>
    </w:p>
    <w:p w14:paraId="40A57804" w14:textId="7D7F05A3" w:rsidR="00FB260E" w:rsidRPr="00966E4B" w:rsidRDefault="00FB260E" w:rsidP="00FB260E">
      <w:pPr>
        <w:spacing w:after="120" w:line="336" w:lineRule="auto"/>
        <w:jc w:val="both"/>
        <w:rPr>
          <w:color w:val="FF0000"/>
          <w:szCs w:val="22"/>
        </w:rPr>
      </w:pPr>
      <w:r w:rsidRPr="00501927">
        <w:rPr>
          <w:szCs w:val="22"/>
        </w:rPr>
        <w:t xml:space="preserve">Výsledok bežného obdobia medziročne vzrástol 2,5 násobne najmä </w:t>
      </w:r>
      <w:r>
        <w:rPr>
          <w:szCs w:val="22"/>
        </w:rPr>
        <w:t xml:space="preserve">vplyvom výsledku zo zdravotného poistenia, výnosy z prijatého poistného rástli rýchlejšie (o 5,1 %) ako náklady na zdravotnú starostlivosť (o 4,0 %). </w:t>
      </w:r>
      <w:r w:rsidRPr="00501927">
        <w:rPr>
          <w:szCs w:val="22"/>
        </w:rPr>
        <w:t>Vyššie výnosy z vybraných preddavkov na poistné</w:t>
      </w:r>
      <w:r>
        <w:rPr>
          <w:szCs w:val="22"/>
        </w:rPr>
        <w:t xml:space="preserve"> boli </w:t>
      </w:r>
      <w:r w:rsidRPr="00501927">
        <w:rPr>
          <w:szCs w:val="22"/>
        </w:rPr>
        <w:t>výsledk</w:t>
      </w:r>
      <w:r>
        <w:rPr>
          <w:szCs w:val="22"/>
        </w:rPr>
        <w:t>om</w:t>
      </w:r>
      <w:r w:rsidRPr="00501927">
        <w:rPr>
          <w:szCs w:val="22"/>
        </w:rPr>
        <w:t xml:space="preserve"> vyšších prijatých preddavkov najmä od zamestnávateľov (vrátane odhadov). Pozitívny vplyv mal aj rast ostatných technických výnosov </w:t>
      </w:r>
      <w:r>
        <w:rPr>
          <w:szCs w:val="22"/>
        </w:rPr>
        <w:t>(</w:t>
      </w:r>
      <w:r w:rsidRPr="00501927">
        <w:rPr>
          <w:szCs w:val="22"/>
        </w:rPr>
        <w:t>o 12,1 %</w:t>
      </w:r>
      <w:r>
        <w:rPr>
          <w:szCs w:val="22"/>
        </w:rPr>
        <w:t>)</w:t>
      </w:r>
      <w:r w:rsidRPr="00501927">
        <w:rPr>
          <w:szCs w:val="22"/>
        </w:rPr>
        <w:t xml:space="preserve"> v dôsledku pozitívneho vplyvu prerozdelenia poistného voči iným zdravotným poisťovniam</w:t>
      </w:r>
      <w:r>
        <w:rPr>
          <w:szCs w:val="22"/>
        </w:rPr>
        <w:t>.</w:t>
      </w:r>
    </w:p>
    <w:p w14:paraId="26FA1316" w14:textId="77777777" w:rsidR="00FB260E" w:rsidRPr="00966E4B" w:rsidRDefault="00FB260E" w:rsidP="00FB260E">
      <w:pPr>
        <w:spacing w:after="120" w:line="336" w:lineRule="auto"/>
        <w:jc w:val="both"/>
        <w:rPr>
          <w:color w:val="FF0000"/>
          <w:szCs w:val="22"/>
        </w:rPr>
      </w:pPr>
      <w:r w:rsidRPr="00502723">
        <w:rPr>
          <w:szCs w:val="22"/>
        </w:rPr>
        <w:t>Poistný kmeň VšZP sa v roku 2018 zmenšil – priemerný evidovaný počet poistencov v roku 2018 bol 3 185 318, čo v porovnaní s minulým rokom bolo menej o 53 229 osôb, pričom z uvedeného počtu poistencov bolo 49,2 % mužov a 50,8 % žien. Štruktúra poistného kmeňa v roku 2018 bola nasledovná: 54,9 % poistenci štátu; 36,4 % zamestnanci; 7,</w:t>
      </w:r>
      <w:r>
        <w:rPr>
          <w:szCs w:val="22"/>
        </w:rPr>
        <w:t>5</w:t>
      </w:r>
      <w:r w:rsidRPr="00502723">
        <w:rPr>
          <w:szCs w:val="22"/>
        </w:rPr>
        <w:t xml:space="preserve"> % samostatne zárobkovo činné osoby; 1,2 % ostatní.  </w:t>
      </w:r>
    </w:p>
    <w:p w14:paraId="62BB0077" w14:textId="77777777" w:rsidR="00FB260E" w:rsidRPr="00966E4B" w:rsidRDefault="00FB260E" w:rsidP="00FB260E">
      <w:pPr>
        <w:spacing w:after="120" w:line="336" w:lineRule="auto"/>
        <w:jc w:val="both"/>
        <w:rPr>
          <w:color w:val="FF0000"/>
          <w:szCs w:val="22"/>
        </w:rPr>
      </w:pPr>
      <w:r w:rsidRPr="004B4FFE">
        <w:rPr>
          <w:szCs w:val="22"/>
        </w:rPr>
        <w:t xml:space="preserve">Z pohľadu počtu uzatvorených a ukončených poistných vzťahov v roku 2018 bol prechod do iných poisťovní o 38 996 osôb vyšší ako počet poistencov, ktorý podali prihlášku do VšZP. </w:t>
      </w:r>
      <w:r>
        <w:rPr>
          <w:szCs w:val="22"/>
        </w:rPr>
        <w:t xml:space="preserve">Úbytok </w:t>
      </w:r>
      <w:r w:rsidRPr="004B4FFE">
        <w:rPr>
          <w:szCs w:val="22"/>
        </w:rPr>
        <w:t xml:space="preserve">poistencov z iných dôvodov ako </w:t>
      </w:r>
      <w:r>
        <w:rPr>
          <w:szCs w:val="22"/>
        </w:rPr>
        <w:t>odchod do</w:t>
      </w:r>
      <w:r w:rsidRPr="004B4FFE">
        <w:rPr>
          <w:szCs w:val="22"/>
        </w:rPr>
        <w:t xml:space="preserve"> inej poisťovne bol 2 979 osôb, pričom úbytok osôb z dôvodu úmrtia bol o 10 247 vyšší ako prírastok novonarodených poistencov, prírastok bol zaznamenaný na vyššom príchode poistencov z cudziny ako odchode do cudziny (o 4 974 poistencov) a tiež bol vyšší príchod poistencov z EÚ ako odchod do EÚ (o 2 294 poistencov).</w:t>
      </w:r>
    </w:p>
    <w:p w14:paraId="1BB3A128" w14:textId="1FF28BEC" w:rsidR="00FB260E" w:rsidRDefault="00FB260E" w:rsidP="009A1229">
      <w:pPr>
        <w:spacing w:after="120" w:line="336" w:lineRule="auto"/>
        <w:jc w:val="both"/>
        <w:rPr>
          <w:b/>
          <w:szCs w:val="22"/>
        </w:rPr>
      </w:pPr>
      <w:r w:rsidRPr="004B4FFE">
        <w:rPr>
          <w:szCs w:val="22"/>
        </w:rPr>
        <w:t xml:space="preserve">Objem príjmov VšZP, ktorý v roku 2018 dosiahol výšku 3 325 138 tis. eur, sa medziročne zvýšil o 5,0 %, pričom priemerná výška príjmu na 1 poistenca na mesiac medziročne vzrástla z 81,5 eur (rok 2017) na 87,0 eur (rok 2018). V roku 2018 </w:t>
      </w:r>
      <w:r w:rsidRPr="001E53C2">
        <w:rPr>
          <w:szCs w:val="22"/>
        </w:rPr>
        <w:t xml:space="preserve">sa zmenila aj štruktúra príjmov: vzrástol podiel príjmov z poistného od ekonomicky aktívny poistencov o 2,4 %, príjmy z poistného od poistencov štátu klesli </w:t>
      </w:r>
      <w:r w:rsidRPr="009D1BA5">
        <w:rPr>
          <w:szCs w:val="22"/>
        </w:rPr>
        <w:t>o 3,7 % a príjmy z prerozdelenia poistného od iných zdravotných poisťovní a iné príjmy vzrástli</w:t>
      </w:r>
      <w:r>
        <w:rPr>
          <w:szCs w:val="22"/>
        </w:rPr>
        <w:t> </w:t>
      </w:r>
      <w:r w:rsidRPr="009D1BA5">
        <w:rPr>
          <w:szCs w:val="22"/>
        </w:rPr>
        <w:t xml:space="preserve">o 1,4 %. </w:t>
      </w:r>
    </w:p>
    <w:p w14:paraId="553A324E" w14:textId="77777777" w:rsidR="00FB260E" w:rsidRDefault="00FB260E" w:rsidP="00FB260E">
      <w:pPr>
        <w:spacing w:after="120" w:line="336" w:lineRule="auto"/>
        <w:jc w:val="both"/>
        <w:rPr>
          <w:szCs w:val="22"/>
        </w:rPr>
      </w:pPr>
      <w:r w:rsidRPr="00A239EE">
        <w:rPr>
          <w:b/>
          <w:szCs w:val="22"/>
        </w:rPr>
        <w:t xml:space="preserve">Železničná spoločnosť Slovensko, a.s. </w:t>
      </w:r>
      <w:r w:rsidRPr="00C07E6C">
        <w:rPr>
          <w:szCs w:val="22"/>
        </w:rPr>
        <w:t>(ďalej „ZSSK“)</w:t>
      </w:r>
    </w:p>
    <w:p w14:paraId="34A8ABB6" w14:textId="77777777" w:rsidR="00FB260E" w:rsidRDefault="00FB260E" w:rsidP="00FB260E">
      <w:pPr>
        <w:spacing w:after="120" w:line="336" w:lineRule="auto"/>
        <w:jc w:val="both"/>
        <w:rPr>
          <w:szCs w:val="22"/>
        </w:rPr>
      </w:pPr>
      <w:r w:rsidRPr="00F21692">
        <w:rPr>
          <w:szCs w:val="22"/>
        </w:rPr>
        <w:t>Štruktúra zmien vlastného imani</w:t>
      </w:r>
      <w:r>
        <w:rPr>
          <w:szCs w:val="22"/>
        </w:rPr>
        <w:t>a</w:t>
      </w:r>
      <w:r w:rsidRPr="00F21692">
        <w:rPr>
          <w:szCs w:val="22"/>
        </w:rPr>
        <w:t xml:space="preserve"> sa vyvíja</w:t>
      </w:r>
      <w:r>
        <w:rPr>
          <w:szCs w:val="22"/>
        </w:rPr>
        <w:t>la</w:t>
      </w:r>
      <w:r w:rsidRPr="00F21692">
        <w:rPr>
          <w:szCs w:val="22"/>
        </w:rPr>
        <w:t xml:space="preserve"> pomerne stabilne. Významným prvkom s vplyvom na vývoj zmeny stavu vlastného imania </w:t>
      </w:r>
      <w:r>
        <w:rPr>
          <w:szCs w:val="22"/>
        </w:rPr>
        <w:t>bol</w:t>
      </w:r>
      <w:r w:rsidRPr="00F21692">
        <w:rPr>
          <w:szCs w:val="22"/>
        </w:rPr>
        <w:t xml:space="preserve"> výsledok bežného obdobia, či už ako pozitívna, alebo negatívna zmena stavu vlastného imania. Zastúpenie ostatných položiek v rámci štruktúry možno považovať, vzhľadom na veľkosť </w:t>
      </w:r>
      <w:r>
        <w:rPr>
          <w:szCs w:val="22"/>
        </w:rPr>
        <w:t>ich</w:t>
      </w:r>
      <w:r w:rsidRPr="00F21692">
        <w:rPr>
          <w:szCs w:val="22"/>
        </w:rPr>
        <w:t xml:space="preserve"> vplyvu, za nevýznamné. Hlavným zdrojo</w:t>
      </w:r>
      <w:r>
        <w:rPr>
          <w:szCs w:val="22"/>
        </w:rPr>
        <w:t>m</w:t>
      </w:r>
      <w:r w:rsidRPr="00F21692">
        <w:rPr>
          <w:szCs w:val="22"/>
        </w:rPr>
        <w:t xml:space="preserve"> tvorby výsledku bežného obdobia generovaného počas sledovaného obdobia vo forme straty aj zisku, sú stabilne dotácie zo Zmluvy o dopravných službách vo verejnom záujme</w:t>
      </w:r>
      <w:r>
        <w:rPr>
          <w:szCs w:val="22"/>
        </w:rPr>
        <w:t>,</w:t>
      </w:r>
      <w:r w:rsidRPr="00F21692">
        <w:rPr>
          <w:szCs w:val="22"/>
        </w:rPr>
        <w:t xml:space="preserve"> výnosy z prepravy osôb a s tým súvisiace výnosy.</w:t>
      </w:r>
    </w:p>
    <w:p w14:paraId="45D022A2" w14:textId="77777777" w:rsidR="00FB260E" w:rsidRPr="00F21692" w:rsidRDefault="00FB260E" w:rsidP="00FB260E">
      <w:pPr>
        <w:spacing w:after="120" w:line="336" w:lineRule="auto"/>
        <w:jc w:val="center"/>
        <w:rPr>
          <w:szCs w:val="22"/>
        </w:rPr>
      </w:pPr>
      <w:r>
        <w:rPr>
          <w:noProof/>
          <w:szCs w:val="22"/>
          <w:lang w:eastAsia="sk-SK"/>
        </w:rPr>
        <w:drawing>
          <wp:inline distT="0" distB="0" distL="0" distR="0" wp14:anchorId="730D8181" wp14:editId="682E1A16">
            <wp:extent cx="3303917" cy="1958275"/>
            <wp:effectExtent l="0" t="0" r="0" b="444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5173" cy="1970874"/>
                    </a:xfrm>
                    <a:prstGeom prst="rect">
                      <a:avLst/>
                    </a:prstGeom>
                    <a:noFill/>
                  </pic:spPr>
                </pic:pic>
              </a:graphicData>
            </a:graphic>
          </wp:inline>
        </w:drawing>
      </w:r>
    </w:p>
    <w:p w14:paraId="5CCD7F8F" w14:textId="77777777" w:rsidR="00FB260E" w:rsidRPr="00C07E6C" w:rsidRDefault="00FB260E" w:rsidP="00FB260E">
      <w:pPr>
        <w:spacing w:after="120" w:line="336" w:lineRule="auto"/>
        <w:jc w:val="both"/>
        <w:rPr>
          <w:szCs w:val="22"/>
        </w:rPr>
      </w:pPr>
      <w:r w:rsidRPr="00C07E6C">
        <w:rPr>
          <w:szCs w:val="22"/>
        </w:rPr>
        <w:t xml:space="preserve">Vlastné imanie ZSSK sa v roku 2018 zvýšilo o 37 910 tis. eur vplyvom dosiahnutého zisku vo výške 37 376 tis. eur a pozitívneho vplyvu precenenia rezervy na zamestnanecké požitky vo výške 534 tis. eur. </w:t>
      </w:r>
    </w:p>
    <w:p w14:paraId="52A38191" w14:textId="7D6E4881" w:rsidR="00FB260E" w:rsidRDefault="00FB260E" w:rsidP="00FB260E">
      <w:pPr>
        <w:spacing w:after="120" w:line="336" w:lineRule="auto"/>
        <w:jc w:val="both"/>
        <w:rPr>
          <w:szCs w:val="22"/>
        </w:rPr>
      </w:pPr>
      <w:r w:rsidRPr="00C07E6C">
        <w:rPr>
          <w:szCs w:val="22"/>
        </w:rPr>
        <w:t xml:space="preserve">Dosiahnutý výsledok hospodárenia sa medziročne zmenil zo straty (rok 2017 vo výške 4 045 tis. eur) na zisk (rok 2018 vo výške 37 376) najmä vplyvom </w:t>
      </w:r>
      <w:r>
        <w:rPr>
          <w:szCs w:val="22"/>
        </w:rPr>
        <w:t>vyšších výnosov z úhrady za výkony vo verejnom záujme (o 23,0 %, vplyv dohody o vysporiadaní za rok 2018). Pozitívny vplyv výnosov z prevádzky čiastočne eliminovali vyššie náklady na spotrebu materiálu a služieb (vyššie náklady na prenájom 10 ks rušňov typu Vectron, na nákup trakčnej elektriny, vyššie náklady na IT) a vyššie osobné náklady (výška priemernej mzdy medziročne vzrástla o 7,7 %).</w:t>
      </w:r>
    </w:p>
    <w:p w14:paraId="65AE71BD" w14:textId="0AE07F51" w:rsidR="00FB260E" w:rsidRPr="00B04873" w:rsidRDefault="00FB260E" w:rsidP="00FB260E">
      <w:pPr>
        <w:spacing w:after="120" w:line="336" w:lineRule="auto"/>
        <w:jc w:val="both"/>
        <w:rPr>
          <w:szCs w:val="22"/>
        </w:rPr>
      </w:pPr>
      <w:r w:rsidRPr="00B04873">
        <w:rPr>
          <w:szCs w:val="22"/>
        </w:rPr>
        <w:t>Celkový medziročný rast počtu cestujúcich (o 1,8 %) sa stal zdrojom rastu výnosov, vyššie výnosy boli najmä z vý</w:t>
      </w:r>
      <w:r>
        <w:rPr>
          <w:szCs w:val="22"/>
        </w:rPr>
        <w:t>konov znovuzavedených IC vlakov</w:t>
      </w:r>
      <w:r w:rsidRPr="00B04873">
        <w:rPr>
          <w:szCs w:val="22"/>
        </w:rPr>
        <w:t>, čo sa prejavilo aj rastom prepravného výkonu v osobokm o 1,5 %. Výrazne pozitívn</w:t>
      </w:r>
      <w:r>
        <w:rPr>
          <w:szCs w:val="22"/>
        </w:rPr>
        <w:t>y</w:t>
      </w:r>
      <w:r w:rsidRPr="00B04873">
        <w:rPr>
          <w:szCs w:val="22"/>
        </w:rPr>
        <w:t xml:space="preserve"> vplyv</w:t>
      </w:r>
      <w:r>
        <w:rPr>
          <w:szCs w:val="22"/>
        </w:rPr>
        <w:t xml:space="preserve"> na výkon</w:t>
      </w:r>
      <w:r w:rsidRPr="00B04873">
        <w:rPr>
          <w:szCs w:val="22"/>
        </w:rPr>
        <w:t xml:space="preserve"> mala aj bezplatná preprav</w:t>
      </w:r>
      <w:r>
        <w:rPr>
          <w:szCs w:val="22"/>
        </w:rPr>
        <w:t>a</w:t>
      </w:r>
      <w:r w:rsidRPr="00B04873">
        <w:rPr>
          <w:szCs w:val="22"/>
        </w:rPr>
        <w:t xml:space="preserve"> pre vybrané kategórie cestujúcich, (deti, študenti a dôchodcovia) vyplývajúc</w:t>
      </w:r>
      <w:r>
        <w:rPr>
          <w:szCs w:val="22"/>
        </w:rPr>
        <w:t>a</w:t>
      </w:r>
      <w:r w:rsidRPr="00B04873">
        <w:rPr>
          <w:szCs w:val="22"/>
        </w:rPr>
        <w:t xml:space="preserve"> zo Zmluvy o dopravných službách vo verejnom záujme. </w:t>
      </w:r>
    </w:p>
    <w:p w14:paraId="05E95F31" w14:textId="7D49A94E" w:rsidR="00FB260E" w:rsidRDefault="00FB260E" w:rsidP="009A1229">
      <w:pPr>
        <w:spacing w:after="120" w:line="336" w:lineRule="auto"/>
        <w:jc w:val="both"/>
        <w:rPr>
          <w:b/>
          <w:szCs w:val="22"/>
        </w:rPr>
      </w:pPr>
      <w:r>
        <w:rPr>
          <w:szCs w:val="22"/>
        </w:rPr>
        <w:t>ZSSK</w:t>
      </w:r>
      <w:r w:rsidRPr="00B04873">
        <w:rPr>
          <w:szCs w:val="22"/>
        </w:rPr>
        <w:t xml:space="preserve"> počas rok</w:t>
      </w:r>
      <w:r>
        <w:rPr>
          <w:szCs w:val="22"/>
        </w:rPr>
        <w:t>a</w:t>
      </w:r>
      <w:r w:rsidRPr="00B04873">
        <w:rPr>
          <w:szCs w:val="22"/>
        </w:rPr>
        <w:t xml:space="preserve"> 2018 v súlade s</w:t>
      </w:r>
      <w:r>
        <w:rPr>
          <w:szCs w:val="22"/>
        </w:rPr>
        <w:t> </w:t>
      </w:r>
      <w:r w:rsidRPr="00B04873">
        <w:rPr>
          <w:szCs w:val="22"/>
        </w:rPr>
        <w:t>ambíciou</w:t>
      </w:r>
      <w:r>
        <w:rPr>
          <w:szCs w:val="22"/>
        </w:rPr>
        <w:t>,</w:t>
      </w:r>
      <w:r w:rsidRPr="00B04873">
        <w:rPr>
          <w:szCs w:val="22"/>
        </w:rPr>
        <w:t xml:space="preserve"> do 4 rokov od roku</w:t>
      </w:r>
      <w:r>
        <w:rPr>
          <w:szCs w:val="22"/>
        </w:rPr>
        <w:t xml:space="preserve"> </w:t>
      </w:r>
      <w:r w:rsidRPr="00B04873">
        <w:rPr>
          <w:szCs w:val="22"/>
        </w:rPr>
        <w:t>2016 dosiahnuť vyrovnaný rozpočet, postupným zavádzaním moderných riešení (napr. plánovanie údržby)</w:t>
      </w:r>
      <w:r>
        <w:rPr>
          <w:szCs w:val="22"/>
        </w:rPr>
        <w:t>,</w:t>
      </w:r>
      <w:r w:rsidRPr="00B04873">
        <w:rPr>
          <w:szCs w:val="22"/>
        </w:rPr>
        <w:t xml:space="preserve"> dosiahla zisk. Zároveň postupne napĺňala svoj cieľ stať sa atraktívnym zamestnávateľom aj prostredníctvom navýšenia priemernej mzdy o 7,7 % (v roku 2018). Napriek trendu postupného starnutia </w:t>
      </w:r>
      <w:r>
        <w:rPr>
          <w:szCs w:val="22"/>
        </w:rPr>
        <w:t>zamestnancov</w:t>
      </w:r>
      <w:r w:rsidRPr="00B04873">
        <w:rPr>
          <w:szCs w:val="22"/>
        </w:rPr>
        <w:t xml:space="preserve"> je zámerom ZSSK zvyšovať podiel mladých zamestnancov, prostredníctvom organizovania rôznych školení a propagačných podujatí.</w:t>
      </w:r>
    </w:p>
    <w:p w14:paraId="64F583C9" w14:textId="77777777" w:rsidR="00FB260E" w:rsidRDefault="00FB260E" w:rsidP="00FB260E">
      <w:pPr>
        <w:jc w:val="both"/>
        <w:rPr>
          <w:szCs w:val="22"/>
        </w:rPr>
      </w:pPr>
      <w:r>
        <w:rPr>
          <w:b/>
          <w:szCs w:val="22"/>
        </w:rPr>
        <w:t>Debitum</w:t>
      </w:r>
      <w:r w:rsidRPr="00B0768F">
        <w:rPr>
          <w:b/>
          <w:szCs w:val="22"/>
        </w:rPr>
        <w:t>, a.s.</w:t>
      </w:r>
      <w:r w:rsidRPr="00B0768F">
        <w:rPr>
          <w:szCs w:val="22"/>
        </w:rPr>
        <w:t xml:space="preserve"> (ďalej „</w:t>
      </w:r>
      <w:r>
        <w:rPr>
          <w:szCs w:val="22"/>
        </w:rPr>
        <w:t>Spoločnosť</w:t>
      </w:r>
      <w:r w:rsidRPr="00B0768F">
        <w:rPr>
          <w:szCs w:val="22"/>
        </w:rPr>
        <w:t>“)</w:t>
      </w:r>
    </w:p>
    <w:p w14:paraId="39CD9D92" w14:textId="77777777" w:rsidR="00FB260E" w:rsidRDefault="00FB260E" w:rsidP="00FB260E">
      <w:pPr>
        <w:spacing w:after="120" w:line="336" w:lineRule="auto"/>
        <w:jc w:val="both"/>
        <w:rPr>
          <w:szCs w:val="22"/>
        </w:rPr>
      </w:pPr>
      <w:r>
        <w:rPr>
          <w:szCs w:val="22"/>
        </w:rPr>
        <w:t>Spoločnosť je za uvedené obdobie analyzovaná v súhrnnej výročnej správe po prvýkrát, keďže v minulých účtovných obdobiach spoločnosť nebola tak hospodársky aktívna (bola určená na aktivity v oblasti zavedenia unitárneho systému verejného zdravotného poistenia). Hospodárenie v roku 2018 bolo výrazne ovplyvnené realizovaním Koncepcie oddlženia zdravotníckych zariadení, ktorá bola schválená vládou dňa 13.9.2017</w:t>
      </w:r>
      <w:r w:rsidRPr="00D4211F">
        <w:rPr>
          <w:vertAlign w:val="superscript"/>
        </w:rPr>
        <w:footnoteReference w:id="24"/>
      </w:r>
      <w:r>
        <w:rPr>
          <w:szCs w:val="22"/>
        </w:rPr>
        <w:t xml:space="preserve">.  </w:t>
      </w:r>
    </w:p>
    <w:p w14:paraId="2022C4EE" w14:textId="77777777" w:rsidR="00FB260E" w:rsidRPr="00B0768F" w:rsidRDefault="00FB260E" w:rsidP="00FB260E">
      <w:pPr>
        <w:jc w:val="center"/>
        <w:rPr>
          <w:szCs w:val="22"/>
        </w:rPr>
      </w:pPr>
      <w:r>
        <w:rPr>
          <w:noProof/>
          <w:szCs w:val="22"/>
          <w:lang w:eastAsia="sk-SK"/>
        </w:rPr>
        <w:drawing>
          <wp:inline distT="0" distB="0" distL="0" distR="0" wp14:anchorId="4BABB14E" wp14:editId="14BDEC15">
            <wp:extent cx="2978066" cy="1709417"/>
            <wp:effectExtent l="0" t="0" r="0" b="571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1172" cy="1734160"/>
                    </a:xfrm>
                    <a:prstGeom prst="rect">
                      <a:avLst/>
                    </a:prstGeom>
                    <a:noFill/>
                  </pic:spPr>
                </pic:pic>
              </a:graphicData>
            </a:graphic>
          </wp:inline>
        </w:drawing>
      </w:r>
    </w:p>
    <w:p w14:paraId="70E99E99" w14:textId="77777777" w:rsidR="00FB260E" w:rsidRDefault="00FB260E" w:rsidP="00FB260E">
      <w:pPr>
        <w:spacing w:after="120" w:line="336" w:lineRule="auto"/>
        <w:jc w:val="both"/>
        <w:rPr>
          <w:szCs w:val="22"/>
        </w:rPr>
      </w:pPr>
      <w:r w:rsidRPr="00B0768F">
        <w:rPr>
          <w:szCs w:val="22"/>
        </w:rPr>
        <w:t xml:space="preserve">Vlastné imanie </w:t>
      </w:r>
      <w:r>
        <w:rPr>
          <w:szCs w:val="22"/>
        </w:rPr>
        <w:t>Spoločnosti</w:t>
      </w:r>
      <w:r w:rsidRPr="00B0768F">
        <w:rPr>
          <w:szCs w:val="22"/>
        </w:rPr>
        <w:t xml:space="preserve"> sa v roku 2018 z</w:t>
      </w:r>
      <w:r>
        <w:rPr>
          <w:szCs w:val="22"/>
        </w:rPr>
        <w:t>výšilo</w:t>
      </w:r>
      <w:r w:rsidRPr="00B0768F">
        <w:rPr>
          <w:szCs w:val="22"/>
        </w:rPr>
        <w:t xml:space="preserve"> o </w:t>
      </w:r>
      <w:r>
        <w:rPr>
          <w:szCs w:val="22"/>
        </w:rPr>
        <w:t>37</w:t>
      </w:r>
      <w:r w:rsidRPr="00B0768F">
        <w:rPr>
          <w:szCs w:val="22"/>
        </w:rPr>
        <w:t xml:space="preserve"> </w:t>
      </w:r>
      <w:r>
        <w:rPr>
          <w:szCs w:val="22"/>
        </w:rPr>
        <w:t>466</w:t>
      </w:r>
      <w:r w:rsidRPr="00B0768F">
        <w:rPr>
          <w:szCs w:val="22"/>
        </w:rPr>
        <w:t xml:space="preserve"> tis. eur vplyvom</w:t>
      </w:r>
      <w:r>
        <w:rPr>
          <w:szCs w:val="22"/>
        </w:rPr>
        <w:t xml:space="preserve"> nepeňažného</w:t>
      </w:r>
      <w:r w:rsidRPr="00B0768F">
        <w:rPr>
          <w:szCs w:val="22"/>
        </w:rPr>
        <w:t xml:space="preserve"> </w:t>
      </w:r>
      <w:r>
        <w:rPr>
          <w:szCs w:val="22"/>
        </w:rPr>
        <w:t>kapitálového vkladu do fondov Spoločnosti vo výške 187 244 tis. eur (postúpenie pohľadávok</w:t>
      </w:r>
      <w:r w:rsidRPr="004937F5">
        <w:rPr>
          <w:szCs w:val="22"/>
        </w:rPr>
        <w:t xml:space="preserve"> v rámci koncepcie odd</w:t>
      </w:r>
      <w:r>
        <w:rPr>
          <w:szCs w:val="22"/>
        </w:rPr>
        <w:t>l</w:t>
      </w:r>
      <w:r w:rsidRPr="004937F5">
        <w:rPr>
          <w:szCs w:val="22"/>
        </w:rPr>
        <w:t>ženia zdravotníckych zariadení</w:t>
      </w:r>
      <w:r>
        <w:rPr>
          <w:szCs w:val="22"/>
        </w:rPr>
        <w:t>)</w:t>
      </w:r>
      <w:r w:rsidRPr="004937F5">
        <w:rPr>
          <w:szCs w:val="22"/>
        </w:rPr>
        <w:t xml:space="preserve"> </w:t>
      </w:r>
      <w:r>
        <w:rPr>
          <w:szCs w:val="22"/>
        </w:rPr>
        <w:t>. Pozitívny vplyv vkladu bol čiastočne eliminovaný výsledkom hospodárenia generovaného za bežné obdobie v podobe straty vo výške 149 778 tis. eur (vplyv tvorby opravnej položky k získaným pohľadávkam na sociálnom poistení vo výške 80,0 % hodnoty týchto pohľadávok).</w:t>
      </w:r>
    </w:p>
    <w:p w14:paraId="759A77E1" w14:textId="77777777" w:rsidR="009A1229" w:rsidRDefault="009A1229">
      <w:pPr>
        <w:rPr>
          <w:b/>
          <w:szCs w:val="22"/>
        </w:rPr>
      </w:pPr>
      <w:r>
        <w:rPr>
          <w:b/>
          <w:szCs w:val="22"/>
        </w:rPr>
        <w:br w:type="page"/>
      </w:r>
    </w:p>
    <w:p w14:paraId="4C8239E8" w14:textId="0DF11AB6" w:rsidR="00FB260E" w:rsidRDefault="00FB260E" w:rsidP="00FB260E">
      <w:pPr>
        <w:spacing w:after="120" w:line="336" w:lineRule="auto"/>
        <w:jc w:val="both"/>
        <w:rPr>
          <w:szCs w:val="22"/>
        </w:rPr>
      </w:pPr>
      <w:r w:rsidRPr="00C2028D">
        <w:rPr>
          <w:b/>
          <w:szCs w:val="22"/>
        </w:rPr>
        <w:t xml:space="preserve">Východoslovenská energetika Holding, a.s. </w:t>
      </w:r>
      <w:r w:rsidRPr="00117F3F">
        <w:rPr>
          <w:szCs w:val="22"/>
        </w:rPr>
        <w:t>(ďalej „VSEH“)</w:t>
      </w:r>
    </w:p>
    <w:p w14:paraId="3AF4676D" w14:textId="77777777" w:rsidR="00FB260E" w:rsidRPr="00F21692" w:rsidRDefault="00FB260E" w:rsidP="00FB260E">
      <w:pPr>
        <w:spacing w:after="120" w:line="336" w:lineRule="auto"/>
        <w:jc w:val="both"/>
        <w:rPr>
          <w:szCs w:val="22"/>
        </w:rPr>
      </w:pPr>
      <w:r w:rsidRPr="00F21692">
        <w:rPr>
          <w:szCs w:val="22"/>
        </w:rPr>
        <w:t>Štruktúra zmien vlastného imani</w:t>
      </w:r>
      <w:r>
        <w:rPr>
          <w:szCs w:val="22"/>
        </w:rPr>
        <w:t>a</w:t>
      </w:r>
      <w:r w:rsidRPr="00F21692">
        <w:rPr>
          <w:szCs w:val="22"/>
        </w:rPr>
        <w:t xml:space="preserve"> sa vyvíja</w:t>
      </w:r>
      <w:r>
        <w:rPr>
          <w:szCs w:val="22"/>
        </w:rPr>
        <w:t>la</w:t>
      </w:r>
      <w:r w:rsidRPr="00F21692">
        <w:rPr>
          <w:szCs w:val="22"/>
        </w:rPr>
        <w:t xml:space="preserve"> stabilne, výsledok bežného obdobia ako pozitívna zmena stavu a výplata dividend </w:t>
      </w:r>
      <w:r>
        <w:rPr>
          <w:szCs w:val="22"/>
        </w:rPr>
        <w:t>ako</w:t>
      </w:r>
      <w:r w:rsidRPr="00F21692">
        <w:rPr>
          <w:szCs w:val="22"/>
        </w:rPr>
        <w:t> negatívn</w:t>
      </w:r>
      <w:r>
        <w:rPr>
          <w:szCs w:val="22"/>
        </w:rPr>
        <w:t>a</w:t>
      </w:r>
      <w:r w:rsidRPr="00F21692">
        <w:rPr>
          <w:szCs w:val="22"/>
        </w:rPr>
        <w:t xml:space="preserve"> zmen</w:t>
      </w:r>
      <w:r>
        <w:rPr>
          <w:szCs w:val="22"/>
        </w:rPr>
        <w:t>a</w:t>
      </w:r>
      <w:r w:rsidRPr="00F21692">
        <w:rPr>
          <w:szCs w:val="22"/>
        </w:rPr>
        <w:t xml:space="preserve"> stavu vlastného imania. Zastúpenie ostatných položiek v rámci štruktúry možno považovať, vzhľadom na veľkosť </w:t>
      </w:r>
      <w:r>
        <w:rPr>
          <w:szCs w:val="22"/>
        </w:rPr>
        <w:t>ich</w:t>
      </w:r>
      <w:r w:rsidRPr="00F21692">
        <w:rPr>
          <w:szCs w:val="22"/>
        </w:rPr>
        <w:t xml:space="preserve"> vplyvu, za nevýznamné. Hlavným zdrojo</w:t>
      </w:r>
      <w:r>
        <w:rPr>
          <w:szCs w:val="22"/>
        </w:rPr>
        <w:t>m</w:t>
      </w:r>
      <w:r w:rsidRPr="00F21692">
        <w:rPr>
          <w:szCs w:val="22"/>
        </w:rPr>
        <w:t xml:space="preserve"> tvorby výsledku bežného obdobia generovaného počas sledovaného obdobia vo forme zisku, sú stabilne výnosy z prijatých dividend od dcérskych spoločností. Z</w:t>
      </w:r>
      <w:r>
        <w:rPr>
          <w:szCs w:val="22"/>
        </w:rPr>
        <w:t xml:space="preserve">isk pritom nezostáva ponechaný v </w:t>
      </w:r>
      <w:r w:rsidRPr="00F21692">
        <w:rPr>
          <w:szCs w:val="22"/>
        </w:rPr>
        <w:t xml:space="preserve">skupine </w:t>
      </w:r>
      <w:r>
        <w:rPr>
          <w:szCs w:val="22"/>
        </w:rPr>
        <w:t>VSE</w:t>
      </w:r>
      <w:r w:rsidRPr="00F21692">
        <w:rPr>
          <w:szCs w:val="22"/>
        </w:rPr>
        <w:t>, ale je použitý na výplatu dividend pre akcionárov.</w:t>
      </w:r>
    </w:p>
    <w:p w14:paraId="4D309AE3" w14:textId="77777777" w:rsidR="00FB260E" w:rsidRPr="00117F3F" w:rsidRDefault="00FB260E" w:rsidP="00FB260E">
      <w:pPr>
        <w:spacing w:after="120" w:line="336" w:lineRule="auto"/>
        <w:jc w:val="both"/>
        <w:rPr>
          <w:szCs w:val="22"/>
        </w:rPr>
      </w:pPr>
    </w:p>
    <w:p w14:paraId="5CB2CB95" w14:textId="77777777" w:rsidR="00FB260E" w:rsidRDefault="00FB260E" w:rsidP="00FB260E">
      <w:pPr>
        <w:spacing w:after="120" w:line="336" w:lineRule="auto"/>
        <w:jc w:val="center"/>
        <w:rPr>
          <w:b/>
          <w:szCs w:val="22"/>
        </w:rPr>
      </w:pPr>
      <w:r>
        <w:rPr>
          <w:b/>
          <w:noProof/>
          <w:szCs w:val="22"/>
          <w:lang w:eastAsia="sk-SK"/>
        </w:rPr>
        <w:drawing>
          <wp:inline distT="0" distB="0" distL="0" distR="0" wp14:anchorId="5516A6F0" wp14:editId="610F1FB3">
            <wp:extent cx="3476445" cy="2022197"/>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0795" cy="2030544"/>
                    </a:xfrm>
                    <a:prstGeom prst="rect">
                      <a:avLst/>
                    </a:prstGeom>
                    <a:noFill/>
                  </pic:spPr>
                </pic:pic>
              </a:graphicData>
            </a:graphic>
          </wp:inline>
        </w:drawing>
      </w:r>
    </w:p>
    <w:p w14:paraId="5238FA28" w14:textId="77777777" w:rsidR="00FB260E" w:rsidRPr="00966E4B" w:rsidRDefault="00FB260E" w:rsidP="00FB260E">
      <w:pPr>
        <w:spacing w:after="120" w:line="336" w:lineRule="auto"/>
        <w:jc w:val="both"/>
        <w:rPr>
          <w:color w:val="FF0000"/>
          <w:szCs w:val="22"/>
        </w:rPr>
      </w:pPr>
      <w:r w:rsidRPr="00C2028D">
        <w:rPr>
          <w:szCs w:val="22"/>
        </w:rPr>
        <w:t xml:space="preserve">Vlastné imanie VSEH sa v roku 2018 zvýšilo o 31 873 tis. eur najmä vplyvom vygenerovaného výsledku za bežné obdobie vo výške 77 877 tis. eur, ktorého pozitívny vplyv čiastočne eliminovala výplata dividend vo výške 45 904 tis. eur (dividenda pripadajúca na vlastnícky podiel štátu bola vo výške 23 411 tis. eur, z toho superdividenda vo výške 17 328 tis. eur). </w:t>
      </w:r>
    </w:p>
    <w:p w14:paraId="6EE1A100" w14:textId="6181030B" w:rsidR="00FB260E" w:rsidRDefault="00FB260E" w:rsidP="00FB260E">
      <w:pPr>
        <w:spacing w:after="120" w:line="336" w:lineRule="auto"/>
        <w:jc w:val="both"/>
        <w:rPr>
          <w:szCs w:val="22"/>
        </w:rPr>
      </w:pPr>
      <w:r w:rsidRPr="00C2028D">
        <w:rPr>
          <w:szCs w:val="22"/>
        </w:rPr>
        <w:t xml:space="preserve">Čistý zisk medziročne vzrástol takmer 5,0 násobne najmä vplyvom vyšších výnosov z prijatých dividend od dcérskych </w:t>
      </w:r>
      <w:r w:rsidRPr="0059506E">
        <w:rPr>
          <w:szCs w:val="22"/>
        </w:rPr>
        <w:t xml:space="preserve">spoločností (takmer 2,7 násobný rast). Pozitívny vplyv na výnosy z prijatých dividend mali vyššie dividendy prijaté od spoločností Východoslovenská distribučná, a.s. (medziročný rast zisku dosiahnutý v roku 2017 oproti roku 2016 a zároveň </w:t>
      </w:r>
      <w:r>
        <w:rPr>
          <w:szCs w:val="22"/>
        </w:rPr>
        <w:t xml:space="preserve">výplata mimoriadnej dividendy - </w:t>
      </w:r>
      <w:r w:rsidRPr="0059506E">
        <w:rPr>
          <w:szCs w:val="22"/>
        </w:rPr>
        <w:t xml:space="preserve">časť </w:t>
      </w:r>
      <w:r w:rsidRPr="00A075F0">
        <w:rPr>
          <w:szCs w:val="22"/>
        </w:rPr>
        <w:t>dividend vo výške 60,1% bola vyplatená z nerozdeleného zisku minulých rokov)</w:t>
      </w:r>
      <w:r>
        <w:rPr>
          <w:szCs w:val="22"/>
        </w:rPr>
        <w:t xml:space="preserve"> a innogy Slovensko, s. </w:t>
      </w:r>
      <w:r w:rsidRPr="00A075F0">
        <w:rPr>
          <w:szCs w:val="22"/>
        </w:rPr>
        <w:t>r.</w:t>
      </w:r>
      <w:r>
        <w:rPr>
          <w:szCs w:val="22"/>
        </w:rPr>
        <w:t xml:space="preserve"> </w:t>
      </w:r>
      <w:r w:rsidRPr="00A075F0">
        <w:rPr>
          <w:szCs w:val="22"/>
        </w:rPr>
        <w:t>o. (1,8 násobne vyšší zisk dosiahnutý za rok 2017 vplyvom</w:t>
      </w:r>
      <w:r>
        <w:rPr>
          <w:szCs w:val="22"/>
        </w:rPr>
        <w:t xml:space="preserve"> rýchlejšieho poklesu  nákladov ako výnosov za </w:t>
      </w:r>
      <w:r w:rsidRPr="00A075F0">
        <w:rPr>
          <w:szCs w:val="22"/>
        </w:rPr>
        <w:t>dodávku plynu). Pozitívny vplyv bol zaznamenaný aj na ostatných finančných nákladoch (medziročný pokles negatívneho vplyv</w:t>
      </w:r>
      <w:r>
        <w:rPr>
          <w:szCs w:val="22"/>
        </w:rPr>
        <w:t>u</w:t>
      </w:r>
      <w:r w:rsidRPr="00A075F0">
        <w:rPr>
          <w:szCs w:val="22"/>
        </w:rPr>
        <w:t xml:space="preserve"> precenenia záväzkov z podmienenej kúpnej ceny</w:t>
      </w:r>
      <w:r w:rsidRPr="00A075F0">
        <w:rPr>
          <w:szCs w:val="22"/>
          <w:vertAlign w:val="superscript"/>
        </w:rPr>
        <w:footnoteReference w:id="25"/>
      </w:r>
      <w:r w:rsidRPr="00A075F0">
        <w:rPr>
          <w:szCs w:val="22"/>
        </w:rPr>
        <w:t xml:space="preserve">).  </w:t>
      </w:r>
    </w:p>
    <w:p w14:paraId="60EA8059" w14:textId="77777777" w:rsidR="00FB260E" w:rsidRDefault="00FB260E" w:rsidP="00FB260E">
      <w:pPr>
        <w:jc w:val="both"/>
        <w:rPr>
          <w:szCs w:val="22"/>
        </w:rPr>
      </w:pPr>
      <w:r w:rsidRPr="00C94A37">
        <w:rPr>
          <w:b/>
          <w:szCs w:val="22"/>
        </w:rPr>
        <w:t xml:space="preserve">Národná diaľničná spoločnosť </w:t>
      </w:r>
      <w:r w:rsidRPr="00117F3F">
        <w:rPr>
          <w:szCs w:val="22"/>
        </w:rPr>
        <w:t>(ďalej „NDS“)</w:t>
      </w:r>
    </w:p>
    <w:p w14:paraId="1F4AC035" w14:textId="77777777" w:rsidR="00FB260E" w:rsidRPr="00A239EE" w:rsidRDefault="00FB260E" w:rsidP="00FB260E">
      <w:pPr>
        <w:spacing w:after="120" w:line="336" w:lineRule="auto"/>
        <w:jc w:val="both"/>
        <w:rPr>
          <w:szCs w:val="22"/>
        </w:rPr>
      </w:pPr>
      <w:r w:rsidRPr="00F21692">
        <w:rPr>
          <w:szCs w:val="22"/>
        </w:rPr>
        <w:t>Zdrojom zmien vlastného imani</w:t>
      </w:r>
      <w:r>
        <w:rPr>
          <w:szCs w:val="22"/>
        </w:rPr>
        <w:t>a</w:t>
      </w:r>
      <w:r w:rsidRPr="00F21692">
        <w:rPr>
          <w:szCs w:val="22"/>
        </w:rPr>
        <w:t xml:space="preserve"> bol počas sledovaného obdobia výsledok bežného obdobia vo forme zisku a teda s pozitívnym vplyvom na stav vlastného imania. Hlavným zdrojov generovania zisku počas sledovaného obdobia boli stabilne výnosy z predaja diaľničných </w:t>
      </w:r>
      <w:r>
        <w:rPr>
          <w:szCs w:val="22"/>
        </w:rPr>
        <w:t>známok</w:t>
      </w:r>
      <w:r w:rsidRPr="00F21692">
        <w:rPr>
          <w:szCs w:val="22"/>
        </w:rPr>
        <w:t xml:space="preserve"> a elektronického mýta. Významným prvkom s vplyvom na vývoj zmeny stavu vlastného imania bol v rokoch 2016 a 2017  vklad akcionára do základného imania spoločnosti, ktorý iniciovala realizácia úloh v rámci príprav PPP projektu vo verejnom záujme (realizácia úsekov diaľnic D4 a rýchlostnej cesty R7). Zastúpenie ostatných položiek v rámci štruktúry, vzhľadom na veľkosť </w:t>
      </w:r>
      <w:r>
        <w:rPr>
          <w:szCs w:val="22"/>
        </w:rPr>
        <w:t>ich</w:t>
      </w:r>
      <w:r w:rsidRPr="00F21692">
        <w:rPr>
          <w:szCs w:val="22"/>
        </w:rPr>
        <w:t xml:space="preserve"> vplyvu, možno považovať za nevýznamné.</w:t>
      </w:r>
    </w:p>
    <w:p w14:paraId="11BC7DFC" w14:textId="77777777" w:rsidR="00FB260E" w:rsidRPr="00F21692" w:rsidRDefault="00FB260E" w:rsidP="00FB260E">
      <w:pPr>
        <w:jc w:val="center"/>
        <w:rPr>
          <w:b/>
          <w:szCs w:val="22"/>
        </w:rPr>
      </w:pPr>
      <w:r>
        <w:rPr>
          <w:b/>
          <w:noProof/>
          <w:szCs w:val="22"/>
          <w:lang w:eastAsia="sk-SK"/>
        </w:rPr>
        <w:drawing>
          <wp:inline distT="0" distB="0" distL="0" distR="0" wp14:anchorId="1C40000E" wp14:editId="5E4ECD62">
            <wp:extent cx="3217653" cy="1875065"/>
            <wp:effectExtent l="0" t="0" r="1905"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221" cy="1888799"/>
                    </a:xfrm>
                    <a:prstGeom prst="rect">
                      <a:avLst/>
                    </a:prstGeom>
                    <a:noFill/>
                  </pic:spPr>
                </pic:pic>
              </a:graphicData>
            </a:graphic>
          </wp:inline>
        </w:drawing>
      </w:r>
    </w:p>
    <w:p w14:paraId="0739E007" w14:textId="77777777" w:rsidR="00FB260E" w:rsidRPr="00966E4B" w:rsidRDefault="00FB260E" w:rsidP="00FB260E">
      <w:pPr>
        <w:spacing w:after="120" w:line="336" w:lineRule="auto"/>
        <w:jc w:val="both"/>
        <w:rPr>
          <w:color w:val="FF0000"/>
          <w:szCs w:val="22"/>
        </w:rPr>
      </w:pPr>
      <w:r w:rsidRPr="00FB58BB">
        <w:rPr>
          <w:szCs w:val="22"/>
        </w:rPr>
        <w:t xml:space="preserve">Vlastné imanie NDS sa v roku 2018 zvýšilo oproti predchádzajúcemu roku o 27 011 tis. eur </w:t>
      </w:r>
      <w:r>
        <w:rPr>
          <w:szCs w:val="22"/>
        </w:rPr>
        <w:t xml:space="preserve">najmä </w:t>
      </w:r>
      <w:r w:rsidRPr="00FB58BB">
        <w:rPr>
          <w:szCs w:val="22"/>
        </w:rPr>
        <w:t xml:space="preserve">vplyvom dosiahnutého čistého zisku vo výške 25 902 tis. eur. </w:t>
      </w:r>
    </w:p>
    <w:p w14:paraId="525417DA" w14:textId="5C06D672" w:rsidR="00FB260E" w:rsidRDefault="00FB260E" w:rsidP="00FB260E">
      <w:pPr>
        <w:spacing w:after="120" w:line="336" w:lineRule="auto"/>
        <w:jc w:val="both"/>
        <w:rPr>
          <w:szCs w:val="22"/>
        </w:rPr>
      </w:pPr>
      <w:r w:rsidRPr="00FB58BB">
        <w:rPr>
          <w:szCs w:val="22"/>
        </w:rPr>
        <w:t xml:space="preserve">Medziročne čistý zisk klesol o 11,0 %. </w:t>
      </w:r>
      <w:r w:rsidRPr="0078206E">
        <w:rPr>
          <w:szCs w:val="22"/>
        </w:rPr>
        <w:t xml:space="preserve">Pokles bol spôsobený najmä vplyvom rýchlejšieho rastu nákladov (o 10,0 %) ako rastu výnosov (o 7,6 %). </w:t>
      </w:r>
      <w:r w:rsidRPr="00B94C34">
        <w:rPr>
          <w:szCs w:val="22"/>
        </w:rPr>
        <w:t xml:space="preserve">Vyšší rast nákladov ovplyvnilo najmä </w:t>
      </w:r>
      <w:r>
        <w:rPr>
          <w:szCs w:val="22"/>
        </w:rPr>
        <w:t>vyššie čerpanie nákladov v </w:t>
      </w:r>
      <w:r w:rsidRPr="00B94C34">
        <w:rPr>
          <w:szCs w:val="22"/>
        </w:rPr>
        <w:t>oblasti opráv a údržby (rast o 54,3 %). Negatívny vplyv na zisk mal aj rastúci medziročný trend osobných nákladov (medziročný rast počtu zamestnancov o 7,7 % v súlade s potrebami Investičného plánu a Plánu údržby a prevádzky)</w:t>
      </w:r>
      <w:r>
        <w:rPr>
          <w:szCs w:val="22"/>
        </w:rPr>
        <w:t xml:space="preserve"> a nákladov na elektronické mýto s protistranou, rastom na strane výnosov</w:t>
      </w:r>
      <w:r w:rsidRPr="00B94C34">
        <w:rPr>
          <w:szCs w:val="22"/>
        </w:rPr>
        <w:t xml:space="preserve">. </w:t>
      </w:r>
      <w:r w:rsidRPr="0078206E">
        <w:rPr>
          <w:szCs w:val="22"/>
        </w:rPr>
        <w:t>Hlavným zdrojom generovania výnosov boli najmä vyššie tržby z elektronického mýta a z predaja diaľničných známok (medziročný rast tržieb z elektronického mýta o 6,1 % a z predaja diaľničných známok o 5,1 %</w:t>
      </w:r>
      <w:r>
        <w:rPr>
          <w:szCs w:val="22"/>
        </w:rPr>
        <w:t xml:space="preserve"> - príjem z preda</w:t>
      </w:r>
      <w:r w:rsidR="00E67CA0">
        <w:rPr>
          <w:szCs w:val="22"/>
        </w:rPr>
        <w:t xml:space="preserve">ja ročných známok predstavoval </w:t>
      </w:r>
      <w:r>
        <w:rPr>
          <w:szCs w:val="22"/>
        </w:rPr>
        <w:t>60,9 % z príjmu v €, pričom najviac sa predalo v ks 10 dňových diaľničných známok, a to 61,5 % z celkového objemu predaja v ks,</w:t>
      </w:r>
      <w:r w:rsidRPr="0078206E">
        <w:rPr>
          <w:szCs w:val="22"/>
        </w:rPr>
        <w:t xml:space="preserve"> </w:t>
      </w:r>
      <w:r>
        <w:rPr>
          <w:szCs w:val="22"/>
        </w:rPr>
        <w:t>53,9 % podiel z celkových výnosov plynie zo spoplatnenia diaľnic; 30,9 % z ciest 1. triedy a 15,2 % z rýchlostných ciest, podľa krajiny pôvodu predstavuje 54,2 % príjmov zo Slovenska).</w:t>
      </w:r>
    </w:p>
    <w:p w14:paraId="7F23DF95" w14:textId="77777777" w:rsidR="00FB260E" w:rsidRDefault="00FB260E" w:rsidP="00FB260E">
      <w:pPr>
        <w:spacing w:after="120" w:line="336" w:lineRule="auto"/>
        <w:jc w:val="both"/>
        <w:rPr>
          <w:b/>
          <w:szCs w:val="22"/>
        </w:rPr>
      </w:pPr>
      <w:r w:rsidRPr="00087378">
        <w:rPr>
          <w:b/>
          <w:szCs w:val="22"/>
        </w:rPr>
        <w:t xml:space="preserve">Slovenská elektrizačná prenosová sústava, a.s. </w:t>
      </w:r>
      <w:r w:rsidRPr="00087378">
        <w:rPr>
          <w:szCs w:val="22"/>
        </w:rPr>
        <w:t>(ďalej „SEPS“)</w:t>
      </w:r>
      <w:r w:rsidRPr="00087378">
        <w:rPr>
          <w:b/>
          <w:szCs w:val="22"/>
        </w:rPr>
        <w:t xml:space="preserve">  </w:t>
      </w:r>
    </w:p>
    <w:p w14:paraId="1E454BB8" w14:textId="77777777" w:rsidR="00FB260E" w:rsidRDefault="00FB260E" w:rsidP="00FB260E">
      <w:pPr>
        <w:spacing w:after="120" w:line="336" w:lineRule="auto"/>
        <w:jc w:val="both"/>
        <w:rPr>
          <w:szCs w:val="22"/>
        </w:rPr>
      </w:pPr>
      <w:r w:rsidRPr="00087378">
        <w:rPr>
          <w:szCs w:val="22"/>
        </w:rPr>
        <w:t>Vývoj štruktúry zmien vlastného imania bol počas sledovaného obdobia pomerne stabilný. Výsledok bežného obdobia (zisk) zaisťoval pozitívnu zmenu stavu a výplata dividend negatívnu zmenu stavu vlastného imania. V roku 2016 k pozitívnej výslednej zmene stavu vlastného imania prispel aj vplyv precenenia majetku (v súlade s IAS 16), ktorý sa opakuje v pravidelných časových intervaloch. Zdrojom tvorby zisku bol hlavne rozdiel výnosov a nákladov na prenos elektrickej energie, ktoré významne ovplyvňuje vývoj cezhraničného pre</w:t>
      </w:r>
      <w:r>
        <w:rPr>
          <w:szCs w:val="22"/>
        </w:rPr>
        <w:t>nosu. Výsledok bežného obdobia (</w:t>
      </w:r>
      <w:r w:rsidRPr="00087378">
        <w:rPr>
          <w:szCs w:val="22"/>
        </w:rPr>
        <w:t xml:space="preserve">s výnimkou roku 2017) </w:t>
      </w:r>
      <w:r>
        <w:rPr>
          <w:szCs w:val="22"/>
        </w:rPr>
        <w:t>s</w:t>
      </w:r>
      <w:r w:rsidRPr="00087378">
        <w:rPr>
          <w:szCs w:val="22"/>
        </w:rPr>
        <w:t>a využil na výplatu dividend pre akcionára, zisk za rok 2017 nebol vyplatený v plnej výške a časť bola ponechaná v spoločnosti.</w:t>
      </w:r>
    </w:p>
    <w:p w14:paraId="63769D98" w14:textId="77777777" w:rsidR="00FB260E" w:rsidRDefault="00FB260E" w:rsidP="00FB260E">
      <w:pPr>
        <w:spacing w:after="120" w:line="336" w:lineRule="auto"/>
        <w:jc w:val="both"/>
        <w:rPr>
          <w:b/>
          <w:szCs w:val="22"/>
        </w:rPr>
      </w:pPr>
    </w:p>
    <w:p w14:paraId="5888C28F" w14:textId="77777777" w:rsidR="00FB260E" w:rsidRDefault="00FB260E" w:rsidP="00FB260E">
      <w:pPr>
        <w:spacing w:after="120" w:line="336" w:lineRule="auto"/>
        <w:jc w:val="center"/>
        <w:rPr>
          <w:b/>
          <w:szCs w:val="22"/>
        </w:rPr>
      </w:pPr>
      <w:r>
        <w:rPr>
          <w:noProof/>
          <w:lang w:eastAsia="sk-SK"/>
        </w:rPr>
        <w:drawing>
          <wp:inline distT="0" distB="0" distL="0" distR="0" wp14:anchorId="102A2091" wp14:editId="3B3006BC">
            <wp:extent cx="3217653" cy="1938075"/>
            <wp:effectExtent l="0" t="0" r="1905" b="5080"/>
            <wp:docPr id="21"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7499" cy="1944006"/>
                    </a:xfrm>
                    <a:prstGeom prst="rect">
                      <a:avLst/>
                    </a:prstGeom>
                    <a:noFill/>
                    <a:extLst/>
                  </pic:spPr>
                </pic:pic>
              </a:graphicData>
            </a:graphic>
          </wp:inline>
        </w:drawing>
      </w:r>
    </w:p>
    <w:p w14:paraId="119CC8D6" w14:textId="0D5DB2A7" w:rsidR="00FB260E" w:rsidRDefault="00FB260E" w:rsidP="00FB260E">
      <w:pPr>
        <w:spacing w:after="120" w:line="336" w:lineRule="auto"/>
        <w:jc w:val="both"/>
        <w:rPr>
          <w:szCs w:val="22"/>
        </w:rPr>
      </w:pPr>
      <w:r w:rsidRPr="00235E59">
        <w:rPr>
          <w:szCs w:val="22"/>
        </w:rPr>
        <w:t>Vlastné imanie SEPS sa v roku 2018 znížilo oproti predchádzajúcemu roku o 8 448 tis. eur vplyvom výplaty dividend vo výške 59 000 tis. eur (zodpovedá výške dividendy podľa ESA). Negatívny vplyv výplaty dividend čiastočne eliminoval dosiahnutý zisku za bežné obdobie vo výške 50 308 tis. eur a vplyv pohybov na fondoch z precenenia vo výške 244 tis. eur (reklasifikácia vplyvu precenenia dlhodobého majetku zrealizovaného v roku 2016 do nerozdeleného zisku minulých rokov a aktualizácia rezerv na zamestnanecké požitky).</w:t>
      </w:r>
    </w:p>
    <w:p w14:paraId="46D167E6" w14:textId="77777777" w:rsidR="00FB260E" w:rsidRDefault="00FB260E" w:rsidP="00FB260E">
      <w:pPr>
        <w:spacing w:after="0" w:line="336" w:lineRule="auto"/>
        <w:jc w:val="both"/>
        <w:rPr>
          <w:color w:val="000000"/>
          <w:szCs w:val="22"/>
          <w:lang w:eastAsia="sk-SK"/>
        </w:rPr>
      </w:pPr>
      <w:r w:rsidRPr="00235E59">
        <w:rPr>
          <w:color w:val="000000"/>
          <w:szCs w:val="22"/>
          <w:lang w:eastAsia="sk-SK"/>
        </w:rPr>
        <w:t>Čistý zisk klesol oproti predchádzajúcemu roku o 32,2 %, pričom medziročný pokles objemu výroby elektrickej energie bol vo výške 3,1 %. Spotreba elektriny na Slovensku oproti tomu medziročne tiež zaznamenala pokles o 0,4 %. Hlavným zdrojom medziročného poklesu zisku boli nižšie tržby o </w:t>
      </w:r>
      <w:r>
        <w:rPr>
          <w:color w:val="000000"/>
          <w:szCs w:val="22"/>
          <w:lang w:eastAsia="sk-SK"/>
        </w:rPr>
        <w:t>13</w:t>
      </w:r>
      <w:r w:rsidRPr="00235E59">
        <w:rPr>
          <w:color w:val="000000"/>
          <w:szCs w:val="22"/>
          <w:lang w:eastAsia="sk-SK"/>
        </w:rPr>
        <w:t>,</w:t>
      </w:r>
      <w:r>
        <w:rPr>
          <w:color w:val="000000"/>
          <w:szCs w:val="22"/>
          <w:lang w:eastAsia="sk-SK"/>
        </w:rPr>
        <w:t>0</w:t>
      </w:r>
      <w:r w:rsidRPr="00235E59">
        <w:rPr>
          <w:color w:val="000000"/>
          <w:szCs w:val="22"/>
          <w:lang w:eastAsia="sk-SK"/>
        </w:rPr>
        <w:t xml:space="preserve"> % vplyvom nižších výnosov plynúcich z cezhraničného prenosu elektriny - Profil OT a z aukcií (bez vplyvu zmeny metodiky vykazovania čistých výnosov v súlade so znením IFRS 15, ktoré sa prejavilo aj poklesom nákladov). Negatívny vplyv nižších tržieb bol čiastočne eliminovaný poklesom nákladov (bez vplyvu zmeny metodiky vykazovania) najmä poklesom nákladov na aukcie</w:t>
      </w:r>
      <w:r>
        <w:rPr>
          <w:color w:val="000000"/>
          <w:szCs w:val="22"/>
          <w:lang w:eastAsia="sk-SK"/>
        </w:rPr>
        <w:t xml:space="preserve"> a shipping</w:t>
      </w:r>
      <w:r w:rsidRPr="00235E59">
        <w:rPr>
          <w:color w:val="000000"/>
          <w:szCs w:val="22"/>
          <w:lang w:eastAsia="sk-SK"/>
        </w:rPr>
        <w:t xml:space="preserve">. </w:t>
      </w:r>
    </w:p>
    <w:p w14:paraId="6A8BB832" w14:textId="77777777" w:rsidR="00FB260E" w:rsidRDefault="00FB260E" w:rsidP="00FB260E">
      <w:pPr>
        <w:spacing w:after="0" w:line="240" w:lineRule="auto"/>
        <w:jc w:val="both"/>
        <w:rPr>
          <w:szCs w:val="22"/>
        </w:rPr>
      </w:pPr>
    </w:p>
    <w:p w14:paraId="0D26479C" w14:textId="77777777" w:rsidR="00FB260E" w:rsidRDefault="00FB260E" w:rsidP="00FB260E">
      <w:pPr>
        <w:spacing w:after="0" w:line="240" w:lineRule="auto"/>
        <w:jc w:val="both"/>
        <w:rPr>
          <w:bCs/>
          <w:color w:val="000000"/>
          <w:szCs w:val="22"/>
          <w:lang w:eastAsia="sk-SK"/>
        </w:rPr>
      </w:pPr>
      <w:r w:rsidRPr="00235E59">
        <w:rPr>
          <w:b/>
          <w:bCs/>
          <w:color w:val="000000"/>
          <w:szCs w:val="22"/>
          <w:lang w:eastAsia="sk-SK"/>
        </w:rPr>
        <w:t xml:space="preserve">Západoslovenská energetika, a.s. </w:t>
      </w:r>
      <w:r w:rsidRPr="00235E59">
        <w:rPr>
          <w:bCs/>
          <w:color w:val="000000"/>
          <w:szCs w:val="22"/>
          <w:lang w:eastAsia="sk-SK"/>
        </w:rPr>
        <w:t>(ďalej „ZSE“)</w:t>
      </w:r>
    </w:p>
    <w:p w14:paraId="1095DF4D" w14:textId="77777777" w:rsidR="00FB260E" w:rsidRPr="00235E59" w:rsidRDefault="00FB260E" w:rsidP="00FB260E">
      <w:pPr>
        <w:spacing w:before="240" w:after="120" w:line="336" w:lineRule="auto"/>
        <w:jc w:val="both"/>
        <w:rPr>
          <w:szCs w:val="22"/>
        </w:rPr>
      </w:pPr>
      <w:r w:rsidRPr="00235E59">
        <w:rPr>
          <w:color w:val="000000"/>
          <w:szCs w:val="22"/>
          <w:lang w:eastAsia="sk-SK"/>
        </w:rPr>
        <w:t>Štruktúra zmien vlastného imani</w:t>
      </w:r>
      <w:r>
        <w:rPr>
          <w:color w:val="000000"/>
          <w:szCs w:val="22"/>
          <w:lang w:eastAsia="sk-SK"/>
        </w:rPr>
        <w:t>a</w:t>
      </w:r>
      <w:r w:rsidRPr="00235E59">
        <w:rPr>
          <w:color w:val="000000"/>
          <w:szCs w:val="22"/>
          <w:lang w:eastAsia="sk-SK"/>
        </w:rPr>
        <w:t xml:space="preserve"> sa vyvíja</w:t>
      </w:r>
      <w:r>
        <w:rPr>
          <w:color w:val="000000"/>
          <w:szCs w:val="22"/>
          <w:lang w:eastAsia="sk-SK"/>
        </w:rPr>
        <w:t>la</w:t>
      </w:r>
      <w:r w:rsidRPr="00235E59">
        <w:rPr>
          <w:color w:val="000000"/>
          <w:szCs w:val="22"/>
          <w:lang w:eastAsia="sk-SK"/>
        </w:rPr>
        <w:t xml:space="preserve"> stabilne, výsledok bežného obdobia ako pozitívna zmena stavu a výplata dividend s negatívnym dopadom na stav vlastného imania. Zastúpenie ostatných položiek v rámci štruktúry možno považovať, vzhľadom na veľkosť </w:t>
      </w:r>
      <w:r>
        <w:rPr>
          <w:color w:val="000000"/>
          <w:szCs w:val="22"/>
          <w:lang w:eastAsia="sk-SK"/>
        </w:rPr>
        <w:t>ich</w:t>
      </w:r>
      <w:r w:rsidRPr="00235E59">
        <w:rPr>
          <w:color w:val="000000"/>
          <w:szCs w:val="22"/>
          <w:lang w:eastAsia="sk-SK"/>
        </w:rPr>
        <w:t xml:space="preserve"> vplyvu, za nevýznamné. Hlavným zdrojov tvorby výsledku bežného obdobia generovaného počas sledovaného obdobia vo forme </w:t>
      </w:r>
      <w:r w:rsidRPr="00235E59">
        <w:rPr>
          <w:szCs w:val="22"/>
        </w:rPr>
        <w:t>zisku, sú stabilne výnosy z prijatých dividend od dcérskych spoločností. Zisk pritom nezostáva ponechaný v skupine ZSE, ale je použitý na výplatu dividend pre akcionárov.</w:t>
      </w:r>
    </w:p>
    <w:p w14:paraId="60A44637" w14:textId="77777777" w:rsidR="00FB260E" w:rsidRPr="00235E59" w:rsidRDefault="00FB260E" w:rsidP="00FB260E">
      <w:pPr>
        <w:spacing w:after="0" w:line="240" w:lineRule="auto"/>
        <w:jc w:val="both"/>
        <w:rPr>
          <w:b/>
          <w:bCs/>
          <w:color w:val="000000"/>
          <w:szCs w:val="22"/>
          <w:lang w:eastAsia="sk-SK"/>
        </w:rPr>
      </w:pPr>
    </w:p>
    <w:p w14:paraId="1926A37E" w14:textId="77777777" w:rsidR="00FB260E" w:rsidRDefault="00FB260E" w:rsidP="00FB260E">
      <w:pPr>
        <w:spacing w:after="120" w:line="336" w:lineRule="auto"/>
        <w:jc w:val="center"/>
        <w:rPr>
          <w:szCs w:val="22"/>
        </w:rPr>
      </w:pPr>
      <w:r>
        <w:rPr>
          <w:noProof/>
          <w:lang w:eastAsia="sk-SK"/>
        </w:rPr>
        <w:drawing>
          <wp:inline distT="0" distB="0" distL="0" distR="0" wp14:anchorId="3C7F2CA5" wp14:editId="75E08151">
            <wp:extent cx="3248272" cy="1940943"/>
            <wp:effectExtent l="0" t="0" r="0" b="2540"/>
            <wp:docPr id="22"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8903" cy="1947295"/>
                    </a:xfrm>
                    <a:prstGeom prst="rect">
                      <a:avLst/>
                    </a:prstGeom>
                    <a:noFill/>
                    <a:extLst/>
                  </pic:spPr>
                </pic:pic>
              </a:graphicData>
            </a:graphic>
          </wp:inline>
        </w:drawing>
      </w:r>
    </w:p>
    <w:p w14:paraId="7A5AE7BF" w14:textId="09975A0A" w:rsidR="00FB260E" w:rsidRPr="00235E59" w:rsidRDefault="00FB260E" w:rsidP="00FB260E">
      <w:pPr>
        <w:spacing w:after="120" w:line="336" w:lineRule="auto"/>
        <w:jc w:val="both"/>
        <w:rPr>
          <w:szCs w:val="22"/>
        </w:rPr>
      </w:pPr>
      <w:r w:rsidRPr="00235E59">
        <w:rPr>
          <w:szCs w:val="22"/>
        </w:rPr>
        <w:t>Vlastné imanie ZSE sa v roku 2018 znížilo v porovnaní s predchádzajúcim rokom o 9 820 tis. eur. Výšku vlastného imania negatívne ovplyvnila vyplatená dividenda vo výške 70 490 tis. eur. Z toho dividenda vzťahujúca sa na vlastnícky podiel štátu bola v roku 2018 vykázaná vo výške 35 950 tis. eur, z toho superdividenda podľa metodiky ESA vo výške 480 tis. eur. Negatívny vplyv na konečný stav vlastného imania</w:t>
      </w:r>
      <w:r w:rsidRPr="00235E59">
        <w:rPr>
          <w:color w:val="000000"/>
          <w:szCs w:val="22"/>
          <w:lang w:eastAsia="sk-SK"/>
        </w:rPr>
        <w:t xml:space="preserve"> mala aj prvá aplikácia štandardu IFRS 9 Finančné nástroje, vo výške 3 482 tis. eur (vplyv precenenia poskytnutej pôžičky prostredníctvom vytvorenia opravnej položky p</w:t>
      </w:r>
      <w:r>
        <w:rPr>
          <w:color w:val="000000"/>
          <w:szCs w:val="22"/>
          <w:lang w:eastAsia="sk-SK"/>
        </w:rPr>
        <w:t>odľa</w:t>
      </w:r>
      <w:r w:rsidRPr="00235E59">
        <w:rPr>
          <w:color w:val="000000"/>
          <w:szCs w:val="22"/>
          <w:lang w:eastAsia="sk-SK"/>
        </w:rPr>
        <w:t xml:space="preserve"> modelu rizika celoživotných strát z pohľadávky, keďže je pôžička poskytnutá spriaznenej osobe, riziko </w:t>
      </w:r>
      <w:r w:rsidRPr="00235E59">
        <w:rPr>
          <w:szCs w:val="22"/>
        </w:rPr>
        <w:t xml:space="preserve">nesplatenia je minimálne a jeho odhad straty je založený na 12 mesačnom období). Negatívny vplyv uvedených položiek čiastočne zmiernil dosiahnutý čistý zisk sumou 64 037 tis. eur a vplyv precenenia rezerv na zamestnanecké požitky vo výške 115 tis. eur. </w:t>
      </w:r>
    </w:p>
    <w:p w14:paraId="0C797576" w14:textId="5E9B5EF9" w:rsidR="00FB260E" w:rsidRDefault="00FB260E" w:rsidP="00FB260E">
      <w:pPr>
        <w:spacing w:after="120" w:line="336" w:lineRule="auto"/>
        <w:jc w:val="both"/>
        <w:rPr>
          <w:color w:val="000000"/>
          <w:szCs w:val="22"/>
          <w:lang w:eastAsia="sk-SK"/>
        </w:rPr>
      </w:pPr>
      <w:r w:rsidRPr="00235E59">
        <w:rPr>
          <w:szCs w:val="22"/>
        </w:rPr>
        <w:t>Čistý zisk medziročne klesol o 9,4 % a jeho vývoj ovplyvnili najmä nižšie výnosy zo služieb poskytnutých v rámci skupiny (pokles o 7,4 %) a vplyv vyšší nákladových úrokov (vplyv transakcie splatenia krátkodobej časti emitovaných dlhopisov a nov</w:t>
      </w:r>
      <w:r>
        <w:rPr>
          <w:szCs w:val="22"/>
        </w:rPr>
        <w:t>ej</w:t>
      </w:r>
      <w:r w:rsidRPr="00235E59">
        <w:rPr>
          <w:szCs w:val="22"/>
        </w:rPr>
        <w:t xml:space="preserve"> emisi</w:t>
      </w:r>
      <w:r>
        <w:rPr>
          <w:szCs w:val="22"/>
        </w:rPr>
        <w:t>e</w:t>
      </w:r>
      <w:r w:rsidRPr="00235E59">
        <w:rPr>
          <w:szCs w:val="22"/>
        </w:rPr>
        <w:t xml:space="preserve"> dlhodobých dlhopisov). Negatívny vplyv</w:t>
      </w:r>
      <w:r w:rsidRPr="00235E59">
        <w:rPr>
          <w:color w:val="000000"/>
          <w:szCs w:val="22"/>
          <w:lang w:eastAsia="sk-SK"/>
        </w:rPr>
        <w:t xml:space="preserve"> aplikácie IFRS 9 v podobe tvorby opravnej položky k poskytnutej pôžičke (vo výške 4 312 tis. eur</w:t>
      </w:r>
      <w:r>
        <w:rPr>
          <w:color w:val="000000"/>
          <w:szCs w:val="22"/>
          <w:lang w:eastAsia="sk-SK"/>
        </w:rPr>
        <w:t> – vplyv prostredníctvom výsledovky</w:t>
      </w:r>
      <w:r w:rsidRPr="00235E59">
        <w:rPr>
          <w:color w:val="000000"/>
          <w:szCs w:val="22"/>
          <w:lang w:eastAsia="sk-SK"/>
        </w:rPr>
        <w:t>) eliminoval pozitívny vplyv zisku z predaja časti podniku a vyššie výnosy z operatívneho prenájmu.</w:t>
      </w:r>
    </w:p>
    <w:p w14:paraId="2A9BF913" w14:textId="77777777" w:rsidR="00FB260E" w:rsidRDefault="00FB260E" w:rsidP="00FB260E">
      <w:pPr>
        <w:spacing w:after="120" w:line="336" w:lineRule="auto"/>
        <w:jc w:val="both"/>
        <w:rPr>
          <w:szCs w:val="22"/>
        </w:rPr>
      </w:pPr>
      <w:r w:rsidRPr="00743ABE">
        <w:rPr>
          <w:b/>
          <w:szCs w:val="22"/>
        </w:rPr>
        <w:t xml:space="preserve">Slovenský plynárenský priemysel, a.s. </w:t>
      </w:r>
      <w:r w:rsidRPr="00087378">
        <w:rPr>
          <w:szCs w:val="22"/>
        </w:rPr>
        <w:t>(ďalej „SPP“)</w:t>
      </w:r>
    </w:p>
    <w:p w14:paraId="3CAF1323" w14:textId="77777777" w:rsidR="00FB260E" w:rsidRPr="00F21692" w:rsidRDefault="00FB260E" w:rsidP="00FB260E">
      <w:pPr>
        <w:spacing w:after="120" w:line="336" w:lineRule="auto"/>
        <w:jc w:val="both"/>
        <w:rPr>
          <w:szCs w:val="22"/>
        </w:rPr>
      </w:pPr>
      <w:r w:rsidRPr="00F21692">
        <w:rPr>
          <w:szCs w:val="22"/>
        </w:rPr>
        <w:t>Štruktúra zmien vlastného imani</w:t>
      </w:r>
      <w:r>
        <w:rPr>
          <w:szCs w:val="22"/>
        </w:rPr>
        <w:t>a</w:t>
      </w:r>
      <w:r w:rsidRPr="00F21692">
        <w:rPr>
          <w:szCs w:val="22"/>
        </w:rPr>
        <w:t xml:space="preserve"> sa vyvíja</w:t>
      </w:r>
      <w:r>
        <w:rPr>
          <w:szCs w:val="22"/>
        </w:rPr>
        <w:t>la</w:t>
      </w:r>
      <w:r w:rsidRPr="00F21692">
        <w:rPr>
          <w:szCs w:val="22"/>
        </w:rPr>
        <w:t xml:space="preserve"> stabilne, výsledok bežného obdobia ako pozitívna zmena stavu a výplata dividend s negatívnym dopadom </w:t>
      </w:r>
      <w:r>
        <w:rPr>
          <w:szCs w:val="22"/>
        </w:rPr>
        <w:t>na</w:t>
      </w:r>
      <w:r w:rsidRPr="00F21692">
        <w:rPr>
          <w:szCs w:val="22"/>
        </w:rPr>
        <w:t xml:space="preserve"> stav vlastného imania. Zastúpenie ostatných položiek v rámci štruktúry možno považovať, vzhľadom na veľkosť </w:t>
      </w:r>
      <w:r>
        <w:rPr>
          <w:szCs w:val="22"/>
        </w:rPr>
        <w:t>ich</w:t>
      </w:r>
      <w:r w:rsidRPr="00F21692">
        <w:rPr>
          <w:szCs w:val="22"/>
        </w:rPr>
        <w:t xml:space="preserve"> vplyvu, za nevýznamné. Hlavným zdrojo</w:t>
      </w:r>
      <w:r>
        <w:rPr>
          <w:szCs w:val="22"/>
        </w:rPr>
        <w:t>m</w:t>
      </w:r>
      <w:r w:rsidRPr="00F21692">
        <w:rPr>
          <w:szCs w:val="22"/>
        </w:rPr>
        <w:t xml:space="preserve"> tvorby výsledku bežného obdobia generovaného počas sledovaného obdobia vo forme zisku, sú stabilne výnosy z prijatých dividend od spoločných a pridružených podnikov. Zisk pritom nezostáva ponechaný v skupine SPP, ale je použitý na výplatu dividend pre </w:t>
      </w:r>
      <w:r>
        <w:rPr>
          <w:szCs w:val="22"/>
        </w:rPr>
        <w:t>akcionárov</w:t>
      </w:r>
      <w:r w:rsidRPr="00F21692">
        <w:rPr>
          <w:szCs w:val="22"/>
        </w:rPr>
        <w:t>.</w:t>
      </w:r>
    </w:p>
    <w:p w14:paraId="237DF943" w14:textId="77777777" w:rsidR="00FB260E" w:rsidRPr="00743ABE" w:rsidRDefault="00FB260E" w:rsidP="00FB260E">
      <w:pPr>
        <w:spacing w:after="120" w:line="336" w:lineRule="auto"/>
        <w:jc w:val="both"/>
        <w:rPr>
          <w:b/>
          <w:szCs w:val="22"/>
        </w:rPr>
      </w:pPr>
    </w:p>
    <w:p w14:paraId="32D0471F" w14:textId="77777777" w:rsidR="00FB260E" w:rsidRDefault="00FB260E" w:rsidP="00FB260E">
      <w:pPr>
        <w:spacing w:after="120" w:line="336" w:lineRule="auto"/>
        <w:jc w:val="center"/>
        <w:rPr>
          <w:b/>
          <w:color w:val="FF0000"/>
          <w:szCs w:val="22"/>
        </w:rPr>
      </w:pPr>
      <w:r>
        <w:rPr>
          <w:b/>
          <w:noProof/>
          <w:color w:val="FF0000"/>
          <w:szCs w:val="22"/>
          <w:lang w:eastAsia="sk-SK"/>
        </w:rPr>
        <w:drawing>
          <wp:inline distT="0" distB="0" distL="0" distR="0" wp14:anchorId="40CDF64A" wp14:editId="386E4415">
            <wp:extent cx="3274676" cy="1940943"/>
            <wp:effectExtent l="0" t="0" r="2540" b="254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1679" cy="1962875"/>
                    </a:xfrm>
                    <a:prstGeom prst="rect">
                      <a:avLst/>
                    </a:prstGeom>
                    <a:noFill/>
                  </pic:spPr>
                </pic:pic>
              </a:graphicData>
            </a:graphic>
          </wp:inline>
        </w:drawing>
      </w:r>
    </w:p>
    <w:p w14:paraId="7B454A8C" w14:textId="78607A54" w:rsidR="00FB260E" w:rsidRPr="00966E4B" w:rsidRDefault="00FB260E" w:rsidP="00FB260E">
      <w:pPr>
        <w:spacing w:after="120" w:line="336" w:lineRule="auto"/>
        <w:jc w:val="both"/>
        <w:rPr>
          <w:color w:val="FF0000"/>
          <w:szCs w:val="22"/>
        </w:rPr>
      </w:pPr>
      <w:r w:rsidRPr="00743ABE">
        <w:rPr>
          <w:szCs w:val="22"/>
        </w:rPr>
        <w:t>Vlastné imanie SPP sa v roku 2018 znížilo o 17 305 tis. eur najmä vplyvom vyplatenia dividend vo výške 30</w:t>
      </w:r>
      <w:r>
        <w:rPr>
          <w:szCs w:val="22"/>
        </w:rPr>
        <w:t>0</w:t>
      </w:r>
      <w:r w:rsidRPr="00743ABE">
        <w:rPr>
          <w:szCs w:val="22"/>
        </w:rPr>
        <w:t xml:space="preserve"> 000 tis. eur, z nej </w:t>
      </w:r>
      <w:r w:rsidRPr="008F2394">
        <w:rPr>
          <w:szCs w:val="22"/>
        </w:rPr>
        <w:t>superdividenda vo výške 33 986 tis. eur a ESA dividenda bola</w:t>
      </w:r>
      <w:r w:rsidR="00E67CA0">
        <w:rPr>
          <w:szCs w:val="22"/>
        </w:rPr>
        <w:t xml:space="preserve"> za rok 2018 vykázaná vo výške </w:t>
      </w:r>
      <w:r w:rsidRPr="008F2394">
        <w:rPr>
          <w:szCs w:val="22"/>
        </w:rPr>
        <w:t xml:space="preserve">266 014 tis. eur. Okrem vyplatenia dividend akcionárovi, na základe uznesenia vlády SR, rozhodol akcionár o poskytnutí darov a príspevkov vo výške 5 000 tis. eur, ktoré boli z pohľadu ESA metodiky uznané v plnej výške za superdividendu. Negatívny vplyv vyplatenia dividend čiastočne zmiernil dosiahnutý zisk bežného obdobia vo výške 313 566 tis. eur. </w:t>
      </w:r>
    </w:p>
    <w:p w14:paraId="2C49D858" w14:textId="2841E772" w:rsidR="00FB260E" w:rsidRDefault="00FB260E" w:rsidP="00FB260E">
      <w:pPr>
        <w:spacing w:after="120" w:line="336" w:lineRule="auto"/>
        <w:jc w:val="both"/>
        <w:rPr>
          <w:color w:val="FF0000"/>
          <w:szCs w:val="22"/>
        </w:rPr>
      </w:pPr>
      <w:r w:rsidRPr="00A9151F">
        <w:rPr>
          <w:szCs w:val="22"/>
        </w:rPr>
        <w:t xml:space="preserve">Zisk bežného obdobia klesol o 1,6 % vplyvom medziročného prehĺbenia vygenerovanej straty z prevádzkovej činnosti (2,4 násobne). Dôvodom medziročného prehĺbenia prevádzkovej straty bol vyšší rast na nákladových položkách (o 5,9 %) ako rast výnosov (o 2,0 %). </w:t>
      </w:r>
      <w:r w:rsidRPr="00451FEF">
        <w:rPr>
          <w:szCs w:val="22"/>
        </w:rPr>
        <w:t xml:space="preserve">Vyšší rast nákladov bol zaznamenaný </w:t>
      </w:r>
      <w:r w:rsidRPr="007B2369">
        <w:rPr>
          <w:szCs w:val="22"/>
        </w:rPr>
        <w:t>najmä na nákupe zemného plynu a elektrickej energie (rast nákladov bol ovplyvnený najmä rastom cien plynu a elektriny na burze</w:t>
      </w:r>
      <w:r>
        <w:rPr>
          <w:szCs w:val="22"/>
        </w:rPr>
        <w:t>, ktoré</w:t>
      </w:r>
      <w:r w:rsidRPr="007B2369">
        <w:rPr>
          <w:szCs w:val="22"/>
        </w:rPr>
        <w:t xml:space="preserve"> medziročne </w:t>
      </w:r>
      <w:r>
        <w:rPr>
          <w:szCs w:val="22"/>
        </w:rPr>
        <w:t>vzrástli</w:t>
      </w:r>
      <w:r w:rsidRPr="007B2369">
        <w:rPr>
          <w:szCs w:val="22"/>
        </w:rPr>
        <w:t xml:space="preserve"> takmer o tretinu, zároveň mimoriadne poklesy teplôt počas krátkeho obdobia na konci zimy spôsobili rast cien zemného plynu na medzinárodných trhoch), na spotrebe materiálu, energií a služieb. Negatívny vplyv bol zaznamenaný aj na položke rezerv, kde vyššia medziročná tvorba rezervy na nevýhodné zmluvy, mala negatívny dopad na generovanie výsledku bežného obdobia. V rámci prevádzkového výsledku </w:t>
      </w:r>
      <w:r>
        <w:rPr>
          <w:szCs w:val="22"/>
        </w:rPr>
        <w:t xml:space="preserve">rast </w:t>
      </w:r>
      <w:r w:rsidRPr="007B2369">
        <w:rPr>
          <w:szCs w:val="22"/>
        </w:rPr>
        <w:t>nákladov čiastočne zmiernili najmä vyššie výnosy z predaja elektrickej energie.</w:t>
      </w:r>
      <w:r w:rsidRPr="007B2369">
        <w:rPr>
          <w:color w:val="FF0000"/>
          <w:szCs w:val="22"/>
        </w:rPr>
        <w:t xml:space="preserve"> </w:t>
      </w:r>
    </w:p>
    <w:p w14:paraId="27FD68A2" w14:textId="0358CEDE" w:rsidR="00FB260E" w:rsidRPr="007B2369" w:rsidRDefault="00FB260E" w:rsidP="00FB260E">
      <w:pPr>
        <w:spacing w:after="120" w:line="336" w:lineRule="auto"/>
        <w:jc w:val="both"/>
        <w:rPr>
          <w:szCs w:val="22"/>
        </w:rPr>
      </w:pPr>
      <w:r w:rsidRPr="007B2369">
        <w:rPr>
          <w:szCs w:val="22"/>
        </w:rPr>
        <w:t>K tvorbe zisku bežného obdobia prispeli prijaté dividendy od spoločnosti SPP Infrastructure, a.s. (rast o 17,2 %)</w:t>
      </w:r>
      <w:r>
        <w:rPr>
          <w:szCs w:val="22"/>
        </w:rPr>
        <w:t>, ktorých pozitívny vplyv čiastočne eliminovali vyššie náklady na financovanie (z dôvodu vzniku strát z kurzových rozdielov)</w:t>
      </w:r>
      <w:r w:rsidRPr="007B2369">
        <w:rPr>
          <w:szCs w:val="22"/>
        </w:rPr>
        <w:t>.</w:t>
      </w:r>
    </w:p>
    <w:p w14:paraId="3FA3DF53" w14:textId="77777777" w:rsidR="00FB260E" w:rsidRDefault="00FB260E" w:rsidP="00FB260E">
      <w:pPr>
        <w:jc w:val="both"/>
        <w:rPr>
          <w:szCs w:val="22"/>
        </w:rPr>
      </w:pPr>
      <w:r w:rsidRPr="00B0768F">
        <w:rPr>
          <w:b/>
          <w:szCs w:val="22"/>
        </w:rPr>
        <w:t>MH Manažment, a.s.</w:t>
      </w:r>
      <w:r w:rsidRPr="00B0768F">
        <w:rPr>
          <w:szCs w:val="22"/>
        </w:rPr>
        <w:t xml:space="preserve"> (ďalej „MHM“)</w:t>
      </w:r>
    </w:p>
    <w:p w14:paraId="0CBB5024" w14:textId="0104D4F2" w:rsidR="00FB260E" w:rsidRDefault="00FB260E" w:rsidP="00FB260E">
      <w:pPr>
        <w:spacing w:after="120" w:line="336" w:lineRule="auto"/>
        <w:jc w:val="both"/>
        <w:rPr>
          <w:szCs w:val="22"/>
        </w:rPr>
      </w:pPr>
      <w:r>
        <w:rPr>
          <w:szCs w:val="22"/>
        </w:rPr>
        <w:t>Vývoj š</w:t>
      </w:r>
      <w:r w:rsidRPr="00F21692">
        <w:rPr>
          <w:szCs w:val="22"/>
        </w:rPr>
        <w:t>truktúr</w:t>
      </w:r>
      <w:r>
        <w:rPr>
          <w:szCs w:val="22"/>
        </w:rPr>
        <w:t>y</w:t>
      </w:r>
      <w:r w:rsidRPr="00F21692">
        <w:rPr>
          <w:szCs w:val="22"/>
        </w:rPr>
        <w:t xml:space="preserve"> zmien vlastného imani</w:t>
      </w:r>
      <w:r>
        <w:rPr>
          <w:szCs w:val="22"/>
        </w:rPr>
        <w:t>a</w:t>
      </w:r>
      <w:r w:rsidRPr="00F21692">
        <w:rPr>
          <w:szCs w:val="22"/>
        </w:rPr>
        <w:t xml:space="preserve"> </w:t>
      </w:r>
      <w:r>
        <w:rPr>
          <w:szCs w:val="22"/>
        </w:rPr>
        <w:t>kopíroval presun úloh a povinností z pôvodného subjektu (Fond národného majetku) na MHM</w:t>
      </w:r>
      <w:r w:rsidRPr="00F21692">
        <w:rPr>
          <w:szCs w:val="22"/>
        </w:rPr>
        <w:t xml:space="preserve">. </w:t>
      </w:r>
      <w:r>
        <w:rPr>
          <w:szCs w:val="22"/>
        </w:rPr>
        <w:t>Spočiatku v súvislosti s prevodom majetku a záväzkov z pôvodného subjektu boli v</w:t>
      </w:r>
      <w:r w:rsidRPr="00F21692">
        <w:rPr>
          <w:szCs w:val="22"/>
        </w:rPr>
        <w:t xml:space="preserve">ýznamným prvkom s vplyvom na vývoj zmeny stavu vlastného imania </w:t>
      </w:r>
      <w:r>
        <w:rPr>
          <w:szCs w:val="22"/>
        </w:rPr>
        <w:t>vklady a precenenia (s negatívnym vplyvom). Ako sa rozbiehala činnosť MHM, tak sa postupne generovaný výsledok za bežné obdobie zmenil zo straty na zisk.</w:t>
      </w:r>
    </w:p>
    <w:p w14:paraId="08FE3884" w14:textId="77777777" w:rsidR="00FB260E" w:rsidRDefault="00FB260E" w:rsidP="00FB260E">
      <w:pPr>
        <w:jc w:val="both"/>
        <w:rPr>
          <w:szCs w:val="22"/>
        </w:rPr>
      </w:pPr>
    </w:p>
    <w:p w14:paraId="1BCAE5B7" w14:textId="77777777" w:rsidR="00FB260E" w:rsidRDefault="00FB260E" w:rsidP="00FB260E">
      <w:pPr>
        <w:jc w:val="center"/>
        <w:rPr>
          <w:szCs w:val="22"/>
        </w:rPr>
      </w:pPr>
      <w:r>
        <w:rPr>
          <w:noProof/>
          <w:szCs w:val="22"/>
          <w:lang w:eastAsia="sk-SK"/>
        </w:rPr>
        <w:drawing>
          <wp:inline distT="0" distB="0" distL="0" distR="0" wp14:anchorId="7936B33D" wp14:editId="428734A7">
            <wp:extent cx="3225531" cy="1879656"/>
            <wp:effectExtent l="0" t="0" r="0" b="635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748" cy="1893768"/>
                    </a:xfrm>
                    <a:prstGeom prst="rect">
                      <a:avLst/>
                    </a:prstGeom>
                    <a:noFill/>
                  </pic:spPr>
                </pic:pic>
              </a:graphicData>
            </a:graphic>
          </wp:inline>
        </w:drawing>
      </w:r>
    </w:p>
    <w:p w14:paraId="51DB5514" w14:textId="77777777" w:rsidR="00FB260E" w:rsidRPr="00B0768F" w:rsidRDefault="00FB260E" w:rsidP="00FB260E">
      <w:pPr>
        <w:spacing w:after="120" w:line="336" w:lineRule="auto"/>
        <w:jc w:val="both"/>
        <w:rPr>
          <w:szCs w:val="22"/>
        </w:rPr>
      </w:pPr>
      <w:r w:rsidRPr="00B0768F">
        <w:rPr>
          <w:szCs w:val="22"/>
        </w:rPr>
        <w:t>Vlastné imanie MHM sa v roku 2018 znížilo o 22 049 tis. eur predovšetkým vplyvom precenenia vo výške 28 678 mil. eur (precenenie podielových cenných papierov a podielov v ovládanej osobe na reálnu hodnotu).</w:t>
      </w:r>
      <w:r>
        <w:rPr>
          <w:szCs w:val="22"/>
        </w:rPr>
        <w:t xml:space="preserve"> Negatívny vplyv precenenia čiastočne zmiernil zisk dosiahnutý za bežné obdobie vo výške 6 602 tis. eur.</w:t>
      </w:r>
    </w:p>
    <w:p w14:paraId="665BB190" w14:textId="77777777" w:rsidR="00FB260E" w:rsidRDefault="00FB260E" w:rsidP="00FB260E">
      <w:pPr>
        <w:spacing w:after="120" w:line="336" w:lineRule="auto"/>
        <w:jc w:val="both"/>
        <w:rPr>
          <w:szCs w:val="22"/>
        </w:rPr>
      </w:pPr>
      <w:r w:rsidRPr="00B0768F">
        <w:rPr>
          <w:szCs w:val="22"/>
        </w:rPr>
        <w:t xml:space="preserve">Zisk bežného obdobia medziročne klesol </w:t>
      </w:r>
      <w:r>
        <w:rPr>
          <w:szCs w:val="22"/>
        </w:rPr>
        <w:t xml:space="preserve">o 91,7 % </w:t>
      </w:r>
      <w:r w:rsidRPr="00B0768F">
        <w:rPr>
          <w:szCs w:val="22"/>
        </w:rPr>
        <w:t xml:space="preserve">najmä </w:t>
      </w:r>
      <w:r>
        <w:rPr>
          <w:szCs w:val="22"/>
        </w:rPr>
        <w:t xml:space="preserve">z dôvodu nižšieho pozitívneho </w:t>
      </w:r>
      <w:r w:rsidRPr="00B0768F">
        <w:rPr>
          <w:szCs w:val="22"/>
        </w:rPr>
        <w:t>vplyv</w:t>
      </w:r>
      <w:r>
        <w:rPr>
          <w:szCs w:val="22"/>
        </w:rPr>
        <w:t>u</w:t>
      </w:r>
      <w:r w:rsidRPr="00B0768F">
        <w:rPr>
          <w:szCs w:val="22"/>
        </w:rPr>
        <w:t xml:space="preserve"> </w:t>
      </w:r>
      <w:r w:rsidRPr="0056440E">
        <w:rPr>
          <w:szCs w:val="22"/>
        </w:rPr>
        <w:t>zrušenia rezerv s vplyvom poklesu nákladov. V roku 2017 boli rezervy na súdne spory zrušené z dôvodu pominutia dôvodu ich existencie. Ukončenie súdnych sporov v prospech MHM (64,1 % z celkového pozitívneho vplyvu na znížení nákladov prostredníctvom zrušenia rezerv mala vplyv zrušená rezerva na súdny spor so Slovenskými elektrárňami, a.s. vo výške 67 943 tis. eur).</w:t>
      </w:r>
      <w:r>
        <w:rPr>
          <w:szCs w:val="22"/>
        </w:rPr>
        <w:t xml:space="preserve"> V roku 2018 bol pozitívny vplyv zrušených rezerv a úprav výšky rezerv na prebiehajúce spory vo výške 14 086 tis. eur). Negatívny vplyv nižších výnosov zo zrušenia rezerv čiastočne zmiernili nižšie náklady na služby.</w:t>
      </w:r>
    </w:p>
    <w:p w14:paraId="66B7BE39" w14:textId="77777777" w:rsidR="00FB260E" w:rsidRDefault="00FB260E" w:rsidP="00FB260E">
      <w:pPr>
        <w:jc w:val="both"/>
        <w:rPr>
          <w:szCs w:val="22"/>
        </w:rPr>
      </w:pPr>
      <w:r>
        <w:rPr>
          <w:b/>
          <w:szCs w:val="22"/>
        </w:rPr>
        <w:t>Slovenský vodohospodársky podnik</w:t>
      </w:r>
      <w:r w:rsidRPr="00B0768F">
        <w:rPr>
          <w:b/>
          <w:szCs w:val="22"/>
        </w:rPr>
        <w:t xml:space="preserve">, </w:t>
      </w:r>
      <w:r>
        <w:rPr>
          <w:b/>
          <w:szCs w:val="22"/>
        </w:rPr>
        <w:t>š</w:t>
      </w:r>
      <w:r w:rsidRPr="00B0768F">
        <w:rPr>
          <w:b/>
          <w:szCs w:val="22"/>
        </w:rPr>
        <w:t>.</w:t>
      </w:r>
      <w:r>
        <w:rPr>
          <w:b/>
          <w:szCs w:val="22"/>
        </w:rPr>
        <w:t>p</w:t>
      </w:r>
      <w:r w:rsidRPr="00B0768F">
        <w:rPr>
          <w:b/>
          <w:szCs w:val="22"/>
        </w:rPr>
        <w:t>.</w:t>
      </w:r>
      <w:r w:rsidRPr="00B0768F">
        <w:rPr>
          <w:szCs w:val="22"/>
        </w:rPr>
        <w:t xml:space="preserve"> (ďalej „</w:t>
      </w:r>
      <w:r>
        <w:rPr>
          <w:szCs w:val="22"/>
        </w:rPr>
        <w:t>SVP</w:t>
      </w:r>
      <w:r w:rsidRPr="00B0768F">
        <w:rPr>
          <w:szCs w:val="22"/>
        </w:rPr>
        <w:t>“)</w:t>
      </w:r>
    </w:p>
    <w:p w14:paraId="3209738A" w14:textId="77777777" w:rsidR="00FB260E" w:rsidRPr="00B0768F" w:rsidRDefault="00FB260E" w:rsidP="00FB260E">
      <w:pPr>
        <w:spacing w:after="120" w:line="336" w:lineRule="auto"/>
        <w:jc w:val="both"/>
        <w:rPr>
          <w:szCs w:val="22"/>
        </w:rPr>
      </w:pPr>
      <w:r w:rsidRPr="00F21692">
        <w:rPr>
          <w:szCs w:val="22"/>
        </w:rPr>
        <w:t>Štruktúra zmien vlastného ima</w:t>
      </w:r>
      <w:r>
        <w:rPr>
          <w:szCs w:val="22"/>
        </w:rPr>
        <w:t>nia sa vyvíjala pomerne stabilne. Počas sledovaného obdobia bola jediná položka s pozitívnym vplyvom na zmenu</w:t>
      </w:r>
      <w:r w:rsidRPr="00F21692">
        <w:rPr>
          <w:szCs w:val="22"/>
        </w:rPr>
        <w:t xml:space="preserve"> stavu vlastného imania </w:t>
      </w:r>
      <w:r>
        <w:rPr>
          <w:szCs w:val="22"/>
        </w:rPr>
        <w:t>a to zvyšovanie stavu základného imania prostredníctvom zmeny statusu pozemkov. Vplyv výsledku za bežné obdobie generovaného vo forme straty bol </w:t>
      </w:r>
      <w:r w:rsidRPr="00F21692">
        <w:rPr>
          <w:szCs w:val="22"/>
        </w:rPr>
        <w:t>negatívn</w:t>
      </w:r>
      <w:r>
        <w:rPr>
          <w:szCs w:val="22"/>
        </w:rPr>
        <w:t>ym, podobne ako aj vplyv položky ostatné, ktorá v sebe zahŕňala opravy účtovných chýb</w:t>
      </w:r>
      <w:r w:rsidRPr="00F21692">
        <w:rPr>
          <w:szCs w:val="22"/>
        </w:rPr>
        <w:t xml:space="preserve">. </w:t>
      </w:r>
    </w:p>
    <w:p w14:paraId="2FA23F03" w14:textId="77777777" w:rsidR="00FB260E" w:rsidRDefault="00FB260E" w:rsidP="00FB260E">
      <w:pPr>
        <w:jc w:val="center"/>
        <w:rPr>
          <w:szCs w:val="22"/>
        </w:rPr>
      </w:pPr>
      <w:r>
        <w:rPr>
          <w:noProof/>
          <w:szCs w:val="22"/>
          <w:lang w:eastAsia="sk-SK"/>
        </w:rPr>
        <w:drawing>
          <wp:inline distT="0" distB="0" distL="0" distR="0" wp14:anchorId="57FBD07F" wp14:editId="727A6C34">
            <wp:extent cx="3164890" cy="1932317"/>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4606" cy="1944355"/>
                    </a:xfrm>
                    <a:prstGeom prst="rect">
                      <a:avLst/>
                    </a:prstGeom>
                    <a:noFill/>
                  </pic:spPr>
                </pic:pic>
              </a:graphicData>
            </a:graphic>
          </wp:inline>
        </w:drawing>
      </w:r>
    </w:p>
    <w:p w14:paraId="7E5833AC" w14:textId="77777777" w:rsidR="00FB260E" w:rsidRDefault="00FB260E" w:rsidP="00FB260E">
      <w:pPr>
        <w:spacing w:after="120" w:line="336" w:lineRule="auto"/>
        <w:jc w:val="both"/>
        <w:rPr>
          <w:szCs w:val="22"/>
        </w:rPr>
      </w:pPr>
      <w:r w:rsidRPr="00B0768F">
        <w:rPr>
          <w:szCs w:val="22"/>
        </w:rPr>
        <w:t xml:space="preserve">Vlastné imanie </w:t>
      </w:r>
      <w:r>
        <w:rPr>
          <w:szCs w:val="22"/>
        </w:rPr>
        <w:t>SVP</w:t>
      </w:r>
      <w:r w:rsidRPr="00B0768F">
        <w:rPr>
          <w:szCs w:val="22"/>
        </w:rPr>
        <w:t xml:space="preserve"> sa v roku 2018 </w:t>
      </w:r>
      <w:r>
        <w:rPr>
          <w:szCs w:val="22"/>
        </w:rPr>
        <w:t>znížilo</w:t>
      </w:r>
      <w:r w:rsidRPr="00B0768F">
        <w:rPr>
          <w:szCs w:val="22"/>
        </w:rPr>
        <w:t xml:space="preserve"> o </w:t>
      </w:r>
      <w:r>
        <w:rPr>
          <w:szCs w:val="22"/>
        </w:rPr>
        <w:t>29</w:t>
      </w:r>
      <w:r w:rsidRPr="00B0768F">
        <w:rPr>
          <w:szCs w:val="22"/>
        </w:rPr>
        <w:t xml:space="preserve"> </w:t>
      </w:r>
      <w:r>
        <w:rPr>
          <w:szCs w:val="22"/>
        </w:rPr>
        <w:t>046</w:t>
      </w:r>
      <w:r w:rsidRPr="00B0768F">
        <w:rPr>
          <w:szCs w:val="22"/>
        </w:rPr>
        <w:t xml:space="preserve"> tis. eur vplyvom</w:t>
      </w:r>
      <w:r>
        <w:rPr>
          <w:szCs w:val="22"/>
        </w:rPr>
        <w:t xml:space="preserve"> straty vygenerovanej za bežné účtovné obdobie vo výške 28 871 tis. eur a vplyvom opráv stavov odložených daňových záväzkov s negatívnym vplyvom na vlastné imanie vo výške 2 743 tis. eur. Negatívny vplyv straty bol zmiernený vplyvom zvýšenia základného imania vo výške 2 498 tis. eur (prostredníctvom zmeny statusu pozemkov na základe geometrického plánu zo stavu bez LV na stav s LV a zaradenie do majetku).</w:t>
      </w:r>
    </w:p>
    <w:p w14:paraId="18C348AB" w14:textId="77777777" w:rsidR="00FB260E" w:rsidRDefault="00FB260E" w:rsidP="00FB260E">
      <w:pPr>
        <w:spacing w:after="120" w:line="336" w:lineRule="auto"/>
        <w:jc w:val="both"/>
        <w:rPr>
          <w:szCs w:val="22"/>
        </w:rPr>
      </w:pPr>
      <w:r>
        <w:rPr>
          <w:szCs w:val="22"/>
        </w:rPr>
        <w:t>Vygenerovaná strata bežného obdobia sa medziročne prehĺbila 3,8 násobne v dôsledku nižších výnosov z prevádzky (pokles výnosov za vlastné výkony z dôvodu nižšieho hydroenergetického potenciálu, pokles o 23,4 % spôsobený nepriaznivými hydrologickými podmienkami, nižšie prostriedky poukázané zo Štátneho rozpočtu o 23,8 % a nižší pozitívny vplyv medziročných pohybov na stavoch rezerv) a zároveň vyšších nákladov na prevádzku (vyššie čerpanie v oblasti opravy a údržby, služieb a tvorby opravných položiek k pohľadávkam).</w:t>
      </w:r>
    </w:p>
    <w:p w14:paraId="16C79347" w14:textId="77777777" w:rsidR="00FB260E" w:rsidRDefault="00FB260E" w:rsidP="00FB260E">
      <w:pPr>
        <w:jc w:val="both"/>
        <w:rPr>
          <w:szCs w:val="22"/>
        </w:rPr>
      </w:pPr>
      <w:r>
        <w:rPr>
          <w:b/>
          <w:szCs w:val="22"/>
        </w:rPr>
        <w:t>MH Invest</w:t>
      </w:r>
      <w:r w:rsidRPr="00B0768F">
        <w:rPr>
          <w:b/>
          <w:szCs w:val="22"/>
        </w:rPr>
        <w:t xml:space="preserve">, </w:t>
      </w:r>
      <w:r>
        <w:rPr>
          <w:b/>
          <w:szCs w:val="22"/>
        </w:rPr>
        <w:t>s</w:t>
      </w:r>
      <w:r w:rsidRPr="00B0768F">
        <w:rPr>
          <w:b/>
          <w:szCs w:val="22"/>
        </w:rPr>
        <w:t>.</w:t>
      </w:r>
      <w:r>
        <w:rPr>
          <w:b/>
          <w:szCs w:val="22"/>
        </w:rPr>
        <w:t>r.o</w:t>
      </w:r>
      <w:r w:rsidRPr="00B0768F">
        <w:rPr>
          <w:b/>
          <w:szCs w:val="22"/>
        </w:rPr>
        <w:t>.</w:t>
      </w:r>
      <w:r w:rsidRPr="00B0768F">
        <w:rPr>
          <w:szCs w:val="22"/>
        </w:rPr>
        <w:t xml:space="preserve"> (ďalej „</w:t>
      </w:r>
      <w:r>
        <w:rPr>
          <w:szCs w:val="22"/>
        </w:rPr>
        <w:t>MHI</w:t>
      </w:r>
      <w:r w:rsidRPr="00B0768F">
        <w:rPr>
          <w:szCs w:val="22"/>
        </w:rPr>
        <w:t>“)</w:t>
      </w:r>
    </w:p>
    <w:p w14:paraId="0169C564" w14:textId="77777777" w:rsidR="00FB260E" w:rsidRDefault="00FB260E" w:rsidP="00FB260E">
      <w:pPr>
        <w:spacing w:after="120" w:line="336" w:lineRule="auto"/>
        <w:jc w:val="both"/>
        <w:rPr>
          <w:szCs w:val="22"/>
        </w:rPr>
      </w:pPr>
      <w:r w:rsidRPr="00F21692">
        <w:rPr>
          <w:szCs w:val="22"/>
        </w:rPr>
        <w:t>Štruktúra zmien vlastného imani</w:t>
      </w:r>
      <w:r>
        <w:rPr>
          <w:szCs w:val="22"/>
        </w:rPr>
        <w:t>a</w:t>
      </w:r>
      <w:r w:rsidRPr="00F21692">
        <w:rPr>
          <w:szCs w:val="22"/>
        </w:rPr>
        <w:t xml:space="preserve"> sa vyvíja</w:t>
      </w:r>
      <w:r>
        <w:rPr>
          <w:szCs w:val="22"/>
        </w:rPr>
        <w:t>la</w:t>
      </w:r>
      <w:r w:rsidRPr="00F21692">
        <w:rPr>
          <w:szCs w:val="22"/>
        </w:rPr>
        <w:t xml:space="preserve"> pomerne stabilne. Významným prvkom s vplyvom na vývoj zmeny stavu vlastného imania </w:t>
      </w:r>
      <w:r>
        <w:rPr>
          <w:szCs w:val="22"/>
        </w:rPr>
        <w:t>bol</w:t>
      </w:r>
      <w:r w:rsidRPr="00F21692">
        <w:rPr>
          <w:szCs w:val="22"/>
        </w:rPr>
        <w:t xml:space="preserve"> výsledok bežného obdobia</w:t>
      </w:r>
      <w:r>
        <w:rPr>
          <w:szCs w:val="22"/>
        </w:rPr>
        <w:t xml:space="preserve"> (generovaný vo forme straty) s </w:t>
      </w:r>
      <w:r w:rsidRPr="00F21692">
        <w:rPr>
          <w:szCs w:val="22"/>
        </w:rPr>
        <w:t>negatívn</w:t>
      </w:r>
      <w:r>
        <w:rPr>
          <w:szCs w:val="22"/>
        </w:rPr>
        <w:t>ym vplyvom na</w:t>
      </w:r>
      <w:r w:rsidRPr="00F21692">
        <w:rPr>
          <w:szCs w:val="22"/>
        </w:rPr>
        <w:t xml:space="preserve"> zmen</w:t>
      </w:r>
      <w:r>
        <w:rPr>
          <w:szCs w:val="22"/>
        </w:rPr>
        <w:t>u</w:t>
      </w:r>
      <w:r w:rsidRPr="00F21692">
        <w:rPr>
          <w:szCs w:val="22"/>
        </w:rPr>
        <w:t xml:space="preserve"> stavu vlastného imania. </w:t>
      </w:r>
      <w:r>
        <w:rPr>
          <w:szCs w:val="22"/>
        </w:rPr>
        <w:t>Počas sledovaného obdobia bol jediným zdrojom pozitívneho vplyvu na zmenu stavu vlastného imania vklad vlastníka do imania spoločnosti.</w:t>
      </w:r>
    </w:p>
    <w:p w14:paraId="51C64274" w14:textId="77777777" w:rsidR="00FB260E" w:rsidRPr="00B0768F" w:rsidRDefault="00FB260E" w:rsidP="00FB260E">
      <w:pPr>
        <w:jc w:val="center"/>
        <w:rPr>
          <w:szCs w:val="22"/>
        </w:rPr>
      </w:pPr>
      <w:r>
        <w:rPr>
          <w:noProof/>
          <w:szCs w:val="22"/>
          <w:lang w:eastAsia="sk-SK"/>
        </w:rPr>
        <w:drawing>
          <wp:inline distT="0" distB="0" distL="0" distR="0" wp14:anchorId="5D95FF73" wp14:editId="5E75C2A8">
            <wp:extent cx="3188455" cy="1854679"/>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4886" cy="1922405"/>
                    </a:xfrm>
                    <a:prstGeom prst="rect">
                      <a:avLst/>
                    </a:prstGeom>
                    <a:noFill/>
                  </pic:spPr>
                </pic:pic>
              </a:graphicData>
            </a:graphic>
          </wp:inline>
        </w:drawing>
      </w:r>
    </w:p>
    <w:p w14:paraId="3DF02DAA" w14:textId="77777777" w:rsidR="00FB260E" w:rsidRDefault="00FB260E" w:rsidP="00FB260E">
      <w:pPr>
        <w:spacing w:after="120" w:line="336" w:lineRule="auto"/>
        <w:jc w:val="both"/>
        <w:rPr>
          <w:szCs w:val="22"/>
        </w:rPr>
      </w:pPr>
      <w:r w:rsidRPr="00DC0DC0">
        <w:rPr>
          <w:szCs w:val="22"/>
        </w:rPr>
        <w:t xml:space="preserve">Vlastné imanie </w:t>
      </w:r>
      <w:r>
        <w:rPr>
          <w:szCs w:val="22"/>
        </w:rPr>
        <w:t>MHI</w:t>
      </w:r>
      <w:r w:rsidRPr="00DC0DC0">
        <w:rPr>
          <w:szCs w:val="22"/>
        </w:rPr>
        <w:t xml:space="preserve"> sa v roku 2018 znížilo o 63 389 tis. eur vplyvom dosiahnutého výsledku hospodárenia vo forme straty vo výške 28 714 tis. eur a zúčtovania opravy chýb minulých období do neuhradenej straty z minulých rokov vo výške 34 675 tis. eur.</w:t>
      </w:r>
    </w:p>
    <w:p w14:paraId="4214A9AD" w14:textId="77777777" w:rsidR="00FB260E" w:rsidRDefault="00FB260E" w:rsidP="00FB260E">
      <w:pPr>
        <w:spacing w:after="120" w:line="336" w:lineRule="auto"/>
        <w:jc w:val="both"/>
        <w:rPr>
          <w:szCs w:val="22"/>
        </w:rPr>
      </w:pPr>
      <w:r>
        <w:rPr>
          <w:szCs w:val="22"/>
        </w:rPr>
        <w:t>Ako oprava chýb minulých období bola zúčtovaná tvorba opravných položiek k majetku a technickej infraštruktúre potrebných na zabezpečenie fungovania strategického parku Nitra (z dôvodu verejného použitia sa obmedzila ekonomická využiteľnosť pre MHI).</w:t>
      </w:r>
    </w:p>
    <w:p w14:paraId="2DBE204D" w14:textId="77777777" w:rsidR="00FB260E" w:rsidRDefault="00FB260E" w:rsidP="00FB260E">
      <w:pPr>
        <w:spacing w:after="120" w:line="336" w:lineRule="auto"/>
        <w:jc w:val="both"/>
        <w:rPr>
          <w:szCs w:val="22"/>
        </w:rPr>
      </w:pPr>
      <w:r>
        <w:rPr>
          <w:szCs w:val="22"/>
        </w:rPr>
        <w:t>Vygenerovaná strata bežného obdobia medziročne klesla o 67,4 % z dôvodu nižšej tvorby opravných položiek k zásobám, ktoré boli vytvorené počas roku 2017 (vplyv precenenia pozemkov, určených na predaj strategickému parku, na čistú realizačnú hodnotu).</w:t>
      </w:r>
    </w:p>
    <w:p w14:paraId="71E9E444" w14:textId="77777777" w:rsidR="00FB260E" w:rsidRDefault="00FB260E" w:rsidP="00FB260E">
      <w:pPr>
        <w:spacing w:after="120" w:line="336" w:lineRule="auto"/>
        <w:jc w:val="both"/>
        <w:rPr>
          <w:b/>
          <w:szCs w:val="22"/>
        </w:rPr>
      </w:pPr>
      <w:r w:rsidRPr="007B7841">
        <w:rPr>
          <w:b/>
          <w:szCs w:val="22"/>
        </w:rPr>
        <w:t>Slovenské elektrárne, a.s. (ďalej „SE“)</w:t>
      </w:r>
    </w:p>
    <w:p w14:paraId="34E6EAAE" w14:textId="316A0788" w:rsidR="00FB260E" w:rsidRDefault="00FB260E" w:rsidP="00FB260E">
      <w:pPr>
        <w:spacing w:after="120" w:line="336" w:lineRule="auto"/>
        <w:jc w:val="both"/>
        <w:rPr>
          <w:b/>
          <w:szCs w:val="22"/>
        </w:rPr>
      </w:pPr>
      <w:r w:rsidRPr="00F21692">
        <w:rPr>
          <w:szCs w:val="22"/>
        </w:rPr>
        <w:t>Štruktúra zmien vlastného imani</w:t>
      </w:r>
      <w:r>
        <w:rPr>
          <w:szCs w:val="22"/>
        </w:rPr>
        <w:t>a</w:t>
      </w:r>
      <w:r w:rsidRPr="00F21692">
        <w:rPr>
          <w:szCs w:val="22"/>
        </w:rPr>
        <w:t xml:space="preserve"> sa vyvíjala počas sledovaného obdobia rôznorodo. Významným prvkom s vplyvom na vývoj zmeny stavu vlastného imania bol v rokoch 2016 a 2017 výsledok bežného obdobia generovaný vo forme zisku ako pozitívna zmena stavu vlastného imania. Zastúpenie ostatných položiek v rámci štruktúry, najmä ocenenia, boli v rokoch 2016 a 2017 vzhľadom na veľkosť svojho vplyvu, považované za nevýznamné. V roku 2018 sa však situácia zmenila a vplyv ocenenia mal na zmenu stavu vlastného imania významnejší vplyv ako dosiahnutý zisk bežného obdobia. Príčinou zmeny situácie a rastu významnosti ocenenia v rámci zmeny stavu vlastného imania, bola čistá zmena rezervy na zabezpečenie peňažných tokov. Hlavným zdrojo</w:t>
      </w:r>
      <w:r>
        <w:rPr>
          <w:szCs w:val="22"/>
        </w:rPr>
        <w:t>m</w:t>
      </w:r>
      <w:r w:rsidRPr="00F21692">
        <w:rPr>
          <w:szCs w:val="22"/>
        </w:rPr>
        <w:t xml:space="preserve"> tvorby výsledku bežného obdobia generovaného počas sledovaného obdobia vo forme zisku boli stabilne výnosy z predaja elektrickej a tepelnej energie.</w:t>
      </w:r>
    </w:p>
    <w:p w14:paraId="19C5F74B" w14:textId="77777777" w:rsidR="00FB260E" w:rsidRDefault="00FB260E" w:rsidP="00FB260E">
      <w:pPr>
        <w:spacing w:after="120" w:line="336" w:lineRule="auto"/>
        <w:jc w:val="center"/>
        <w:rPr>
          <w:b/>
          <w:szCs w:val="22"/>
        </w:rPr>
      </w:pPr>
      <w:r>
        <w:rPr>
          <w:b/>
          <w:noProof/>
          <w:szCs w:val="22"/>
          <w:lang w:eastAsia="sk-SK"/>
        </w:rPr>
        <w:drawing>
          <wp:inline distT="0" distB="0" distL="0" distR="0" wp14:anchorId="66B985BD" wp14:editId="764C9446">
            <wp:extent cx="3440566" cy="2001328"/>
            <wp:effectExtent l="0" t="0" r="762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71732" cy="2019457"/>
                    </a:xfrm>
                    <a:prstGeom prst="rect">
                      <a:avLst/>
                    </a:prstGeom>
                    <a:noFill/>
                  </pic:spPr>
                </pic:pic>
              </a:graphicData>
            </a:graphic>
          </wp:inline>
        </w:drawing>
      </w:r>
    </w:p>
    <w:p w14:paraId="31AE570E" w14:textId="4BAFA80D" w:rsidR="00FB260E" w:rsidRPr="007B7841" w:rsidRDefault="00FB260E" w:rsidP="00FB260E">
      <w:pPr>
        <w:spacing w:after="120" w:line="336" w:lineRule="auto"/>
        <w:jc w:val="both"/>
        <w:rPr>
          <w:szCs w:val="22"/>
        </w:rPr>
      </w:pPr>
      <w:r w:rsidRPr="007B7841">
        <w:rPr>
          <w:szCs w:val="22"/>
        </w:rPr>
        <w:t>Vlastné imanie SE sa v roku 2018 znížilo oproti predchádzajúcemu roku o 87 696 tis. eur najmä vplyvom aktualizácie ocenenia rezerv</w:t>
      </w:r>
      <w:r>
        <w:rPr>
          <w:szCs w:val="22"/>
        </w:rPr>
        <w:t xml:space="preserve"> a prvotnej aplikácie IFRS 9</w:t>
      </w:r>
      <w:r w:rsidRPr="007B7841">
        <w:rPr>
          <w:szCs w:val="22"/>
        </w:rPr>
        <w:t xml:space="preserve"> vo výške 1</w:t>
      </w:r>
      <w:r>
        <w:rPr>
          <w:szCs w:val="22"/>
        </w:rPr>
        <w:t>12</w:t>
      </w:r>
      <w:r w:rsidRPr="007B7841">
        <w:rPr>
          <w:szCs w:val="22"/>
        </w:rPr>
        <w:t xml:space="preserve"> </w:t>
      </w:r>
      <w:r>
        <w:rPr>
          <w:szCs w:val="22"/>
        </w:rPr>
        <w:t>049</w:t>
      </w:r>
      <w:r w:rsidRPr="007B7841">
        <w:rPr>
          <w:szCs w:val="22"/>
        </w:rPr>
        <w:t xml:space="preserve"> tis. eur. Negatívny vplyv precenenia čiastočne zmiernil dosiahnutý zisk bežného obdobia vo výške 24 353 tis. eur. </w:t>
      </w:r>
    </w:p>
    <w:p w14:paraId="084E8529" w14:textId="77777777" w:rsidR="00FB260E" w:rsidRDefault="00FB260E" w:rsidP="00FB260E">
      <w:pPr>
        <w:spacing w:after="120" w:line="336" w:lineRule="auto"/>
        <w:jc w:val="both"/>
        <w:rPr>
          <w:szCs w:val="22"/>
        </w:rPr>
      </w:pPr>
      <w:r w:rsidRPr="001B465A">
        <w:rPr>
          <w:szCs w:val="22"/>
        </w:rPr>
        <w:t xml:space="preserve">Medziročný pokles zisku (o 63,2 %) bol spôsobený najmä vplyvom vyšších nákladov a súčasne nižších výnosov z finančnej činnosti. Negatívny vplyv výsledku z finančnej činnosti mali za dôsledok </w:t>
      </w:r>
      <w:r>
        <w:rPr>
          <w:szCs w:val="22"/>
        </w:rPr>
        <w:t>nižšie</w:t>
      </w:r>
      <w:r w:rsidRPr="001B465A">
        <w:rPr>
          <w:szCs w:val="22"/>
        </w:rPr>
        <w:t xml:space="preserve"> výnos</w:t>
      </w:r>
      <w:r>
        <w:rPr>
          <w:szCs w:val="22"/>
        </w:rPr>
        <w:t>y</w:t>
      </w:r>
      <w:r w:rsidRPr="001B465A">
        <w:rPr>
          <w:szCs w:val="22"/>
        </w:rPr>
        <w:t xml:space="preserve"> z precenenia vnorených derivátov a náklad</w:t>
      </w:r>
      <w:r>
        <w:rPr>
          <w:szCs w:val="22"/>
        </w:rPr>
        <w:t>y</w:t>
      </w:r>
      <w:r w:rsidRPr="001B465A">
        <w:rPr>
          <w:szCs w:val="22"/>
        </w:rPr>
        <w:t xml:space="preserve"> súvisiace s</w:t>
      </w:r>
      <w:r>
        <w:rPr>
          <w:szCs w:val="22"/>
        </w:rPr>
        <w:t> predĺžením splatnosti</w:t>
      </w:r>
      <w:r w:rsidRPr="001B465A">
        <w:rPr>
          <w:szCs w:val="22"/>
        </w:rPr>
        <w:t xml:space="preserve"> úverov</w:t>
      </w:r>
      <w:r>
        <w:rPr>
          <w:szCs w:val="22"/>
        </w:rPr>
        <w:t xml:space="preserve"> a revíziou finančných a nefinančných </w:t>
      </w:r>
      <w:r w:rsidRPr="001B465A">
        <w:rPr>
          <w:szCs w:val="22"/>
        </w:rPr>
        <w:t xml:space="preserve">kovenantov. Z prevádzky SE vygenerovala zisk, ktorý medziročne vzrástol o 5,8 %. </w:t>
      </w:r>
      <w:r>
        <w:rPr>
          <w:color w:val="FF0000"/>
          <w:szCs w:val="22"/>
        </w:rPr>
        <w:t xml:space="preserve"> </w:t>
      </w:r>
      <w:r>
        <w:rPr>
          <w:szCs w:val="22"/>
        </w:rPr>
        <w:t>Zdrojom tvorby zisku bol vyšší rast výnosov z prevádzky ako nákladov. Vyššie výnosy boli zaznamenané predovšetkým na položke výnosov z predaja elektrickej energie a tepla (vplyv vývoja cien elektriny a podkladových komodít na trhu). Medziročný rast bol vykázaný aj na položke ostatných výnosov a to najmä vďaka zisku z predaja emisných kvót a komoditných derivátov. Kľúčové nákladové položky boli náklady na nákup elektrickej energie za účelom ďalšieho predaj (vyššie o 18,7 %) a tvorba jadrovej rezervy.</w:t>
      </w:r>
    </w:p>
    <w:p w14:paraId="704FFF38" w14:textId="77777777" w:rsidR="00EF63AB" w:rsidRPr="003F5573" w:rsidRDefault="00EF63AB" w:rsidP="00542E12">
      <w:pPr>
        <w:pStyle w:val="Nadpis3"/>
        <w:numPr>
          <w:ilvl w:val="2"/>
          <w:numId w:val="20"/>
        </w:numPr>
      </w:pPr>
      <w:bookmarkStart w:id="72" w:name="_Toc465258494"/>
      <w:bookmarkStart w:id="73" w:name="_Toc23264809"/>
      <w:r w:rsidRPr="003F5573">
        <w:rPr>
          <w:rFonts w:eastAsiaTheme="minorHAnsi"/>
        </w:rPr>
        <w:t>Vlastné imanie Národnej banky Slovenska</w:t>
      </w:r>
      <w:bookmarkEnd w:id="72"/>
      <w:bookmarkEnd w:id="73"/>
    </w:p>
    <w:p w14:paraId="0969CA97" w14:textId="77777777" w:rsidR="00FB260E" w:rsidRPr="00FB260E" w:rsidRDefault="00FB260E" w:rsidP="00FB260E">
      <w:pPr>
        <w:spacing w:after="120" w:line="336" w:lineRule="auto"/>
        <w:jc w:val="both"/>
      </w:pPr>
      <w:r w:rsidRPr="00FB260E">
        <w:t xml:space="preserve">Národná banka Slovenska (ďalej „NBS“) v roku 2018 čelila a aktuálne stále čelí riziku zvyšujúcej sa neistoty a nervozity vo vzťahu k brexitu. V globálnej ekonomike narastá riziko implementácie protekcionistických opatrení a prepuknutia obchodnej vojny.  V podmienkach Slovenska naďalej pokračovala expanzia (rast domácej ekonomiky o 4,2 %), ktorú ťahal domáci dopyt. Vzhľadom na proexportnú orientáciu Slovenska, rastie riziko utlmenia ďalšieho rastu z dôvodu spomalenia ekonomickej aktivity eurozóny zapríčinenej slabnúcim vývozom. </w:t>
      </w:r>
    </w:p>
    <w:p w14:paraId="3A8DA865" w14:textId="77777777" w:rsidR="00FB260E" w:rsidRPr="00FB260E" w:rsidRDefault="00FB260E" w:rsidP="00FB260E">
      <w:pPr>
        <w:spacing w:after="120" w:line="336" w:lineRule="auto"/>
        <w:jc w:val="both"/>
      </w:pPr>
      <w:r w:rsidRPr="00FB260E">
        <w:t>Významnou zmenou v oblasti platobných a zúčtovacích systémov bolo zavedenie TIPS (Target Instant Payment Settlement), ktorý umožňuje rýchle, bezpečné a nepretržité vyrovnávanie okamžitých platieb.</w:t>
      </w:r>
    </w:p>
    <w:p w14:paraId="6782049A" w14:textId="77777777" w:rsidR="00FB260E" w:rsidRPr="00FB260E" w:rsidRDefault="00FB260E" w:rsidP="00FB260E">
      <w:pPr>
        <w:spacing w:after="120" w:line="336" w:lineRule="auto"/>
        <w:jc w:val="center"/>
        <w:rPr>
          <w:color w:val="FF0000"/>
          <w:szCs w:val="22"/>
        </w:rPr>
      </w:pPr>
      <w:r>
        <w:rPr>
          <w:noProof/>
          <w:lang w:eastAsia="sk-SK"/>
        </w:rPr>
        <w:drawing>
          <wp:inline distT="0" distB="0" distL="0" distR="0" wp14:anchorId="1456C21E" wp14:editId="5F61B61D">
            <wp:extent cx="3577439" cy="2078966"/>
            <wp:effectExtent l="0" t="0" r="4445"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4603" cy="2094752"/>
                    </a:xfrm>
                    <a:prstGeom prst="rect">
                      <a:avLst/>
                    </a:prstGeom>
                    <a:noFill/>
                  </pic:spPr>
                </pic:pic>
              </a:graphicData>
            </a:graphic>
          </wp:inline>
        </w:drawing>
      </w:r>
    </w:p>
    <w:p w14:paraId="01F786F4" w14:textId="77777777" w:rsidR="00FB260E" w:rsidRPr="00FB260E" w:rsidRDefault="00FB260E" w:rsidP="00FB260E">
      <w:pPr>
        <w:spacing w:after="120" w:line="336" w:lineRule="auto"/>
        <w:jc w:val="both"/>
      </w:pPr>
      <w:r w:rsidRPr="00FB260E">
        <w:t>Štruktúra zmien vlastného imanie sa vyvíjala stabilne, výsledok bežného obdobia ako pozitívna zmena stavu a vplyv precenenia s pozitívnym, prípadne negatívnym dopadom na zmenu stavu vlastného imania. Hlavným zdrojom tvorby výsledku bežného obdobia generovaného počas sledovaného obdobia vo forme zisku, je stabilne zisk z finančných operácii. Vývoj zisku z finančných operácií závisí podobne ako veľkosť vplyvu precenenia, od vývoja podmienok v domácej ako aj globálnej ekonomike. Zastúpenie ostatných položiek v rámci štruktúry možno považovať, vzhľadom na veľkosť ich vplyvu, za nevýznamné.</w:t>
      </w:r>
    </w:p>
    <w:p w14:paraId="1000ED8D" w14:textId="77777777" w:rsidR="00FB260E" w:rsidRPr="00FB260E" w:rsidRDefault="00FB260E" w:rsidP="00FB260E">
      <w:pPr>
        <w:jc w:val="both"/>
      </w:pPr>
      <w:r w:rsidRPr="00FB260E">
        <w:t xml:space="preserve">Vlastné imanie NBS sa v roku 2018 zvýšilo o 249 763 tis. eur   vplyvom zisku bežného obdobia vo výške 172 336 tis. eur, ktorého pozitívny vplyv ešte viac umocnilo zvýšenie stavu účtov precenenia o 77 427 tis. eur.  </w:t>
      </w:r>
    </w:p>
    <w:p w14:paraId="0EA5E277" w14:textId="77777777" w:rsidR="00FB260E" w:rsidRPr="00FB260E" w:rsidRDefault="00FB260E" w:rsidP="00FB260E">
      <w:pPr>
        <w:spacing w:line="336" w:lineRule="auto"/>
        <w:jc w:val="both"/>
      </w:pPr>
      <w:r w:rsidRPr="00FB260E">
        <w:t>Zisk bežného obdobia sa zvýšil o 34,9 % najmä vplyvom zisku z finančných operácii. Pozitívny vývoj zisku z finančných operácii ovplyvnili najmä: výsledok z operácií s klientami (9,0 násobne vyššie prijaté úroky z bežných účtov a vkladov klientov, ktoré nie sú spojené s výkonom menovej politiky) a výsledok výkonu menovej politiky. Vyšší zisk z výkonu menovej politiky zaistil podiel NBS na menovom príjme Eurosystému a čisté prijaté úroky zo štrukturálnych operácií.</w:t>
      </w:r>
    </w:p>
    <w:p w14:paraId="4C08D1EA" w14:textId="0CEDA81B" w:rsidR="00FB260E" w:rsidRDefault="00FB260E" w:rsidP="00FB260E">
      <w:pPr>
        <w:spacing w:after="120" w:line="336" w:lineRule="auto"/>
        <w:jc w:val="both"/>
      </w:pPr>
      <w:r w:rsidRPr="00FB260E">
        <w:rPr>
          <w:bCs/>
        </w:rPr>
        <w:t>Pozitívny vplyv operácií s klientami a príjmu z Eurosystému čiastočne eliminoval negatívny dopad výsledku zo správy investičných rezerv</w:t>
      </w:r>
      <w:r w:rsidRPr="00A35484">
        <w:rPr>
          <w:vertAlign w:val="superscript"/>
        </w:rPr>
        <w:footnoteReference w:id="26"/>
      </w:r>
      <w:r w:rsidRPr="00FB260E">
        <w:rPr>
          <w:bCs/>
        </w:rPr>
        <w:t xml:space="preserve"> (pokles o 84,3 %). Zníženie výsledku zo správy investičných rezerv mali za následok vyššie platené úroky z úverových obchodov a derivátových obchodov. Negatívny vplyv bol zaznamenaný aj na položkách precenenia derivátových operácii a operácii s cennými papiermi. Negatívny vplyv malo aj dotvorenie všeobecnej rezervy na finančné riziká o 30 000 tis. eur a vyššie náklady na emisiu bankoviek a mincí (vplyvom presunu tlače 50 EUR bankoviek z roku 2017). Čisté prevádzkové náklady zaznamenali len mierne zvýšenie (o 0,5 %), vplyvom vyšších nákladov na zamestnancov (vyšší počet zamestnancov z dôvodu novelizácie zákona o finančnom sprostredkovaní a s tým spojené plnenie nových úloh),  ktoré čiastočne eliminoval pokles nákladov na správu a prevádzku (nižšia tvorba rezerv na súdne spory v porovnaní s rokom 2017).</w:t>
      </w:r>
    </w:p>
    <w:p w14:paraId="68D3711B" w14:textId="7ACA0D53" w:rsidR="003F5573" w:rsidRPr="003F5573" w:rsidRDefault="003F5573" w:rsidP="003F5573">
      <w:pPr>
        <w:spacing w:after="120" w:line="336" w:lineRule="auto"/>
        <w:jc w:val="both"/>
      </w:pPr>
      <w:r w:rsidRPr="003F5573">
        <w:t xml:space="preserve">Národná banka Slovenska (ďalej „NBS“) v roku 2018 čelila a aktuálne stále čelí riziku zvyšujúcej sa neistoty a nervozity vo vzťahu k brexitu. V globálnej ekonomike narastá riziko implementácie protekcionistických opatrení a prepuknutia obchodnej vojny. V podmienkach Slovenska naďalej pokračovala expanzia (rast domácej ekonomiky o 4,2 %), ktorú ťahal domáci dopyt. Vzhľadom na proexportnú orientáciu Slovenska, rastie riziko utlmenia ďalšieho rastu z dôvodu spomalenia ekonomickej aktivity eurozóny zapríčinenej slabnúcim vývozom. </w:t>
      </w:r>
    </w:p>
    <w:p w14:paraId="12A710EC" w14:textId="77777777" w:rsidR="003F5573" w:rsidRPr="003F5573" w:rsidRDefault="003F5573" w:rsidP="003F5573">
      <w:pPr>
        <w:spacing w:after="120" w:line="336" w:lineRule="auto"/>
        <w:jc w:val="both"/>
      </w:pPr>
      <w:r w:rsidRPr="003F5573">
        <w:t>Významnou zmenou v oblasti platobných a zúčtovacích systémov bolo zavedenie TIPS (Target Instant Payment Settlement), ktorý umožňuje rýchle, bezpečné a nepretržité vyrovnávanie okamžitých platieb.</w:t>
      </w:r>
    </w:p>
    <w:p w14:paraId="2E40E7BB" w14:textId="77777777" w:rsidR="003F5573" w:rsidRPr="003F5573" w:rsidRDefault="003F5573" w:rsidP="003F5573">
      <w:pPr>
        <w:spacing w:after="120" w:line="336" w:lineRule="auto"/>
        <w:jc w:val="center"/>
        <w:rPr>
          <w:color w:val="FF0000"/>
          <w:szCs w:val="22"/>
        </w:rPr>
      </w:pPr>
      <w:r>
        <w:rPr>
          <w:noProof/>
          <w:lang w:eastAsia="sk-SK"/>
        </w:rPr>
        <w:drawing>
          <wp:inline distT="0" distB="0" distL="0" distR="0" wp14:anchorId="3844D8DC" wp14:editId="444033F5">
            <wp:extent cx="3577439" cy="2078966"/>
            <wp:effectExtent l="0" t="0" r="444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4603" cy="2094752"/>
                    </a:xfrm>
                    <a:prstGeom prst="rect">
                      <a:avLst/>
                    </a:prstGeom>
                    <a:noFill/>
                  </pic:spPr>
                </pic:pic>
              </a:graphicData>
            </a:graphic>
          </wp:inline>
        </w:drawing>
      </w:r>
    </w:p>
    <w:p w14:paraId="0B06BB0B" w14:textId="77777777" w:rsidR="003F5573" w:rsidRPr="003F5573" w:rsidRDefault="003F5573" w:rsidP="003F5573">
      <w:pPr>
        <w:spacing w:after="120" w:line="336" w:lineRule="auto"/>
        <w:jc w:val="both"/>
      </w:pPr>
      <w:r w:rsidRPr="003F5573">
        <w:t>Štruktúra zmien vlastného imanie sa vyvíjala stabilne, výsledok bežného obdobia ako pozitívna zmena stavu a vplyv precenenia s pozitívnym, prípadne negatívnym dopadom na zmenu stavu vlastného imania. Hlavným zdrojom tvorby výsledku bežného obdobia generovaného počas sledovaného obdobia vo forme zisku, je stabilne zisk z finančných operácii. Vývoj zisku z finančných operácií závisí podobne ako veľkosť vplyvu precenenia, od vývoja podmienok v domácej ako aj globálnej ekonomike. Zastúpenie ostatných položiek v rámci štruktúry možno považovať, vzhľadom na veľkosť ich vplyvu, za nevýznamné.</w:t>
      </w:r>
    </w:p>
    <w:p w14:paraId="1C423AC3" w14:textId="45280CE4" w:rsidR="003F5573" w:rsidRPr="003F5573" w:rsidRDefault="003F5573" w:rsidP="003F5573">
      <w:pPr>
        <w:jc w:val="both"/>
      </w:pPr>
      <w:r w:rsidRPr="003F5573">
        <w:t>Vlastné imanie NBS sa v roku 2018 zvýšilo o 249 763</w:t>
      </w:r>
      <w:r>
        <w:t xml:space="preserve"> tis. eur </w:t>
      </w:r>
      <w:r w:rsidRPr="003F5573">
        <w:t>vplyvom zisku bežného obdobia vo výške 172 336 tis. eur, ktorého pozitívny vplyv ešte viac umocnilo zvýšenie stavu účtov precenenia o 77</w:t>
      </w:r>
      <w:r>
        <w:t> </w:t>
      </w:r>
      <w:r w:rsidRPr="003F5573">
        <w:t>427</w:t>
      </w:r>
      <w:r>
        <w:t> </w:t>
      </w:r>
      <w:r w:rsidRPr="003F5573">
        <w:t xml:space="preserve">tis. eur.  </w:t>
      </w:r>
    </w:p>
    <w:p w14:paraId="33D5134C" w14:textId="77777777" w:rsidR="003F5573" w:rsidRPr="003F5573" w:rsidRDefault="003F5573" w:rsidP="003F5573">
      <w:pPr>
        <w:spacing w:line="336" w:lineRule="auto"/>
        <w:jc w:val="both"/>
      </w:pPr>
      <w:r w:rsidRPr="003F5573">
        <w:t>Zisk bežného obdobia sa zvýšil o 34,9 % najmä vplyvom zisku z finančných operácii. Pozitívny vývoj zisku z finančných operácii ovplyvnili najmä: výsledok z operácií s klientami (9,0 násobne vyššie prijaté úroky z bežných účtov a vkladov klientov, ktoré nie sú spojené s výkonom menovej politiky) a výsledok výkonu menovej politiky. Vyšší zisk z výkonu menovej politiky zaistil podiel NBS na menovom príjme Eurosystému a čisté prijaté úroky zo štrukturálnych operácií.</w:t>
      </w:r>
    </w:p>
    <w:p w14:paraId="105216E4" w14:textId="47CEFFE7" w:rsidR="003F5573" w:rsidRPr="003F5573" w:rsidRDefault="003F5573" w:rsidP="003F5573">
      <w:pPr>
        <w:spacing w:line="336" w:lineRule="auto"/>
        <w:jc w:val="both"/>
        <w:rPr>
          <w:rFonts w:eastAsiaTheme="majorEastAsia"/>
          <w:b/>
          <w:bCs/>
          <w:sz w:val="26"/>
        </w:rPr>
      </w:pPr>
      <w:r w:rsidRPr="003F5573">
        <w:rPr>
          <w:bCs/>
        </w:rPr>
        <w:t>Pozitívny vplyv operácií s klientami a príjmu z Eurosystému čiastočne eliminoval negatívny dopad výsledku zo správy investičných rezerv</w:t>
      </w:r>
      <w:r w:rsidRPr="00A35484">
        <w:rPr>
          <w:vertAlign w:val="superscript"/>
        </w:rPr>
        <w:footnoteReference w:id="27"/>
      </w:r>
      <w:r w:rsidRPr="003F5573">
        <w:rPr>
          <w:bCs/>
        </w:rPr>
        <w:t xml:space="preserve"> (pokles o 84,3 %). Zníženie výsledku zo správy investičných rezerv mali za následok vyššie platené úroky z úverových obchodov a derivátových obchodov. Negatívny vplyv bol zaznamenaný aj na položkách precenenia derivátových operácii a operácii s cennými papiermi. Negatívny vplyv malo aj dotvorenie všeobecnej reze</w:t>
      </w:r>
      <w:r>
        <w:rPr>
          <w:bCs/>
        </w:rPr>
        <w:t>rvy na finančné riziká o 30 000 </w:t>
      </w:r>
      <w:r w:rsidRPr="003F5573">
        <w:rPr>
          <w:bCs/>
        </w:rPr>
        <w:t xml:space="preserve">tis. eur a vyššie náklady na emisiu bankoviek a mincí (vplyvom presunu tlače 50 EUR bankoviek z roku 2017). Čisté prevádzkové náklady zaznamenali len mierne zvýšenie (o 0,5 %), vplyvom vyšších nákladov na zamestnancov (vyšší počet zamestnancov z dôvodu novelizácie zákona o finančnom sprostredkovaní a s tým spojené plnenie nových úloh), ktoré čiastočne eliminoval pokles nákladov na správu a prevádzku (nižšia tvorba rezerv na súdne spory v porovnaní s rokom 2017). </w:t>
      </w:r>
    </w:p>
    <w:p w14:paraId="5BE1009B" w14:textId="77777777" w:rsidR="008117A9" w:rsidRPr="006000EB" w:rsidRDefault="008117A9" w:rsidP="00542E12">
      <w:pPr>
        <w:pStyle w:val="Nadpis3"/>
        <w:numPr>
          <w:ilvl w:val="2"/>
          <w:numId w:val="20"/>
        </w:numPr>
      </w:pPr>
      <w:bookmarkStart w:id="74" w:name="_Toc495990498"/>
      <w:bookmarkStart w:id="75" w:name="_Toc23264810"/>
      <w:r w:rsidRPr="006000EB">
        <w:t>Implicitné záväzky</w:t>
      </w:r>
      <w:bookmarkEnd w:id="74"/>
      <w:bookmarkEnd w:id="75"/>
    </w:p>
    <w:p w14:paraId="5C1850BA" w14:textId="5F471A16" w:rsidR="00FB260E" w:rsidRPr="00FB260E" w:rsidRDefault="00FB260E" w:rsidP="006000EB">
      <w:pPr>
        <w:spacing w:after="120" w:line="336" w:lineRule="auto"/>
        <w:jc w:val="both"/>
      </w:pPr>
      <w:r w:rsidRPr="006000EB">
        <w:rPr>
          <w:b/>
        </w:rPr>
        <w:t>Ústavný zákon o rozpočtovej zodpovednosti definuje implicitné záväzky ako „rozdiel medzi očakávanými budúcimi výdavkami subjektov verejnej správy a očakávanými budúcimi príjmami subjektov verejnej správy“</w:t>
      </w:r>
      <w:r w:rsidRPr="00FB260E">
        <w:t xml:space="preserve">. Implicitné záväzky vyplývajú z finančných dôsledkov spôsobených budúcim uplatňovaním práv a povinností ustanovených právnym poriadkom Slovenskej republiky, ak tieto nie sú súčasťou dlhu verejnej </w:t>
      </w:r>
      <w:r w:rsidR="009A1229">
        <w:t>správy“. Do kategórie implicitných</w:t>
      </w:r>
      <w:r w:rsidRPr="00FB260E">
        <w:t xml:space="preserve"> záväzk</w:t>
      </w:r>
      <w:r w:rsidR="009A1229">
        <w:t>ov</w:t>
      </w:r>
      <w:r w:rsidRPr="00FB260E">
        <w:t xml:space="preserve"> sa zaraďujú predovšetkým čisté záväzky v sektore sociálnych vecí, zdravotníctva a školstva spojené so starnutím populácie a ďalšie typy záväzkov, ako napríklad PPP projekty alebo schéma financovania súvisiaca s jadrovými elektrárňami. Z definície vyplýva, že sa nejedná o záväzky vykázané v súvahe subjektov verejnej správy z dôvodu ich problematického oceňovania. Napriek tomu možno pri použití analytických metód a zohľadnení aktuálneho legislatívneho stavu približne odhadnúť ich výšku.</w:t>
      </w:r>
    </w:p>
    <w:tbl>
      <w:tblPr>
        <w:tblW w:w="9072" w:type="dxa"/>
        <w:tblCellMar>
          <w:left w:w="70" w:type="dxa"/>
          <w:right w:w="70" w:type="dxa"/>
        </w:tblCellMar>
        <w:tblLook w:val="04A0" w:firstRow="1" w:lastRow="0" w:firstColumn="1" w:lastColumn="0" w:noHBand="0" w:noVBand="1"/>
      </w:tblPr>
      <w:tblGrid>
        <w:gridCol w:w="2835"/>
        <w:gridCol w:w="851"/>
        <w:gridCol w:w="1275"/>
        <w:gridCol w:w="993"/>
        <w:gridCol w:w="1275"/>
        <w:gridCol w:w="709"/>
        <w:gridCol w:w="1134"/>
      </w:tblGrid>
      <w:tr w:rsidR="00FB260E" w:rsidRPr="001A356F" w14:paraId="793673C6" w14:textId="77777777" w:rsidTr="008C5BBF">
        <w:trPr>
          <w:trHeight w:val="420"/>
        </w:trPr>
        <w:tc>
          <w:tcPr>
            <w:tcW w:w="9072" w:type="dxa"/>
            <w:gridSpan w:val="7"/>
            <w:tcBorders>
              <w:top w:val="nil"/>
              <w:left w:val="nil"/>
              <w:bottom w:val="nil"/>
              <w:right w:val="nil"/>
            </w:tcBorders>
            <w:shd w:val="clear" w:color="000000" w:fill="000000"/>
            <w:noWrap/>
            <w:vAlign w:val="center"/>
            <w:hideMark/>
          </w:tcPr>
          <w:p w14:paraId="2BDDDB65" w14:textId="64349D91" w:rsidR="00FB260E" w:rsidRPr="001A356F" w:rsidRDefault="00FB260E" w:rsidP="006A339B">
            <w:pPr>
              <w:spacing w:after="0" w:line="240" w:lineRule="auto"/>
              <w:rPr>
                <w:color w:val="000000"/>
                <w:sz w:val="18"/>
                <w:szCs w:val="18"/>
                <w:lang w:eastAsia="sk-SK"/>
              </w:rPr>
            </w:pPr>
            <w:r w:rsidRPr="001A356F">
              <w:rPr>
                <w:b/>
                <w:bCs/>
                <w:color w:val="FFFFFF"/>
                <w:sz w:val="18"/>
                <w:szCs w:val="18"/>
                <w:lang w:eastAsia="sk-SK"/>
              </w:rPr>
              <w:t xml:space="preserve">Odhad implicitných záväzkov </w:t>
            </w:r>
            <w:r w:rsidR="005C6919" w:rsidRPr="001A356F">
              <w:rPr>
                <w:b/>
                <w:bCs/>
                <w:color w:val="FFFFFF"/>
                <w:sz w:val="18"/>
                <w:szCs w:val="18"/>
                <w:lang w:eastAsia="sk-SK"/>
              </w:rPr>
              <w:t xml:space="preserve">                                                                                                                                v </w:t>
            </w:r>
            <w:r w:rsidRPr="001A356F">
              <w:rPr>
                <w:b/>
                <w:bCs/>
                <w:color w:val="FFFFFF"/>
                <w:sz w:val="18"/>
                <w:szCs w:val="18"/>
                <w:lang w:eastAsia="sk-SK"/>
              </w:rPr>
              <w:t xml:space="preserve">tis. </w:t>
            </w:r>
            <w:r w:rsidR="005C6919" w:rsidRPr="001A356F">
              <w:rPr>
                <w:b/>
                <w:bCs/>
                <w:color w:val="FFFFFF"/>
                <w:sz w:val="18"/>
                <w:szCs w:val="18"/>
                <w:lang w:eastAsia="sk-SK"/>
              </w:rPr>
              <w:t>e</w:t>
            </w:r>
            <w:r w:rsidRPr="001A356F">
              <w:rPr>
                <w:b/>
                <w:bCs/>
                <w:color w:val="FFFFFF"/>
                <w:sz w:val="18"/>
                <w:szCs w:val="18"/>
                <w:lang w:eastAsia="sk-SK"/>
              </w:rPr>
              <w:t>ur</w:t>
            </w:r>
            <w:r w:rsidRPr="001A356F">
              <w:rPr>
                <w:color w:val="000000"/>
                <w:sz w:val="18"/>
                <w:szCs w:val="18"/>
                <w:lang w:eastAsia="sk-SK"/>
              </w:rPr>
              <w:t> </w:t>
            </w:r>
          </w:p>
        </w:tc>
      </w:tr>
      <w:tr w:rsidR="00FB260E" w:rsidRPr="001A356F" w14:paraId="79677732" w14:textId="77777777" w:rsidTr="008C5BBF">
        <w:trPr>
          <w:trHeight w:val="246"/>
        </w:trPr>
        <w:tc>
          <w:tcPr>
            <w:tcW w:w="2835" w:type="dxa"/>
            <w:tcBorders>
              <w:top w:val="nil"/>
              <w:left w:val="nil"/>
              <w:bottom w:val="nil"/>
              <w:right w:val="nil"/>
            </w:tcBorders>
            <w:shd w:val="clear" w:color="000000" w:fill="BFBFBF"/>
            <w:noWrap/>
            <w:vAlign w:val="center"/>
            <w:hideMark/>
          </w:tcPr>
          <w:p w14:paraId="39047B13" w14:textId="77777777" w:rsidR="00FB260E" w:rsidRPr="001A356F" w:rsidRDefault="00FB260E" w:rsidP="00FB260E">
            <w:pPr>
              <w:spacing w:after="0" w:line="240" w:lineRule="auto"/>
              <w:rPr>
                <w:color w:val="000000"/>
                <w:sz w:val="18"/>
                <w:szCs w:val="18"/>
                <w:lang w:eastAsia="sk-SK"/>
              </w:rPr>
            </w:pPr>
            <w:r w:rsidRPr="001A356F">
              <w:rPr>
                <w:color w:val="000000"/>
                <w:sz w:val="18"/>
                <w:szCs w:val="18"/>
                <w:lang w:eastAsia="sk-SK"/>
              </w:rPr>
              <w:t> </w:t>
            </w:r>
          </w:p>
        </w:tc>
        <w:tc>
          <w:tcPr>
            <w:tcW w:w="2126" w:type="dxa"/>
            <w:gridSpan w:val="2"/>
            <w:tcBorders>
              <w:top w:val="nil"/>
              <w:left w:val="nil"/>
              <w:bottom w:val="nil"/>
              <w:right w:val="nil"/>
            </w:tcBorders>
            <w:shd w:val="clear" w:color="000000" w:fill="BFBFBF"/>
            <w:noWrap/>
            <w:vAlign w:val="center"/>
            <w:hideMark/>
          </w:tcPr>
          <w:p w14:paraId="7BF26363"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Hodnota k 31.12.2018</w:t>
            </w:r>
          </w:p>
          <w:p w14:paraId="1CDBC4DA"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 </w:t>
            </w:r>
          </w:p>
        </w:tc>
        <w:tc>
          <w:tcPr>
            <w:tcW w:w="2268" w:type="dxa"/>
            <w:gridSpan w:val="2"/>
            <w:tcBorders>
              <w:top w:val="nil"/>
              <w:left w:val="nil"/>
              <w:bottom w:val="nil"/>
              <w:right w:val="nil"/>
            </w:tcBorders>
            <w:shd w:val="clear" w:color="000000" w:fill="BFBFBF"/>
            <w:noWrap/>
            <w:vAlign w:val="center"/>
            <w:hideMark/>
          </w:tcPr>
          <w:p w14:paraId="361BAAA6"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Hodnota k 31.12.2017</w:t>
            </w:r>
          </w:p>
          <w:p w14:paraId="5E6E78C5" w14:textId="77777777" w:rsidR="00FB260E" w:rsidRPr="001A356F" w:rsidRDefault="00FB260E" w:rsidP="00FB260E">
            <w:pPr>
              <w:spacing w:after="0" w:line="240" w:lineRule="auto"/>
              <w:rPr>
                <w:b/>
                <w:bCs/>
                <w:color w:val="000000"/>
                <w:sz w:val="18"/>
                <w:szCs w:val="18"/>
                <w:lang w:eastAsia="sk-SK"/>
              </w:rPr>
            </w:pPr>
            <w:r w:rsidRPr="001A356F">
              <w:rPr>
                <w:b/>
                <w:bCs/>
                <w:color w:val="000000"/>
                <w:sz w:val="18"/>
                <w:szCs w:val="18"/>
                <w:lang w:eastAsia="sk-SK"/>
              </w:rPr>
              <w:t> </w:t>
            </w:r>
          </w:p>
        </w:tc>
        <w:tc>
          <w:tcPr>
            <w:tcW w:w="1843" w:type="dxa"/>
            <w:gridSpan w:val="2"/>
            <w:tcBorders>
              <w:top w:val="nil"/>
              <w:left w:val="nil"/>
              <w:bottom w:val="nil"/>
              <w:right w:val="nil"/>
            </w:tcBorders>
            <w:shd w:val="clear" w:color="000000" w:fill="BFBFBF"/>
            <w:noWrap/>
            <w:vAlign w:val="center"/>
            <w:hideMark/>
          </w:tcPr>
          <w:p w14:paraId="4F1C0EEF"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2018-2017*</w:t>
            </w:r>
          </w:p>
          <w:p w14:paraId="0275B9D9"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 </w:t>
            </w:r>
          </w:p>
        </w:tc>
      </w:tr>
      <w:tr w:rsidR="00FB260E" w:rsidRPr="001A356F" w14:paraId="42A5D7FF" w14:textId="77777777" w:rsidTr="008C5BBF">
        <w:trPr>
          <w:trHeight w:val="246"/>
        </w:trPr>
        <w:tc>
          <w:tcPr>
            <w:tcW w:w="2835" w:type="dxa"/>
            <w:tcBorders>
              <w:top w:val="nil"/>
              <w:left w:val="nil"/>
              <w:bottom w:val="nil"/>
              <w:right w:val="nil"/>
            </w:tcBorders>
            <w:shd w:val="clear" w:color="000000" w:fill="D9D9D9"/>
            <w:noWrap/>
            <w:vAlign w:val="center"/>
            <w:hideMark/>
          </w:tcPr>
          <w:p w14:paraId="1154B04E" w14:textId="77777777" w:rsidR="00FB260E" w:rsidRPr="001A356F" w:rsidRDefault="00FB260E" w:rsidP="00FB260E">
            <w:pPr>
              <w:spacing w:after="0" w:line="240" w:lineRule="auto"/>
              <w:rPr>
                <w:color w:val="000000"/>
                <w:sz w:val="18"/>
                <w:szCs w:val="18"/>
                <w:lang w:eastAsia="sk-SK"/>
              </w:rPr>
            </w:pPr>
            <w:r w:rsidRPr="001A356F">
              <w:rPr>
                <w:color w:val="000000"/>
                <w:sz w:val="18"/>
                <w:szCs w:val="18"/>
                <w:lang w:eastAsia="sk-SK"/>
              </w:rPr>
              <w:t> </w:t>
            </w:r>
          </w:p>
        </w:tc>
        <w:tc>
          <w:tcPr>
            <w:tcW w:w="851" w:type="dxa"/>
            <w:tcBorders>
              <w:top w:val="nil"/>
              <w:left w:val="nil"/>
              <w:bottom w:val="nil"/>
              <w:right w:val="nil"/>
            </w:tcBorders>
            <w:shd w:val="clear" w:color="000000" w:fill="D9D9D9"/>
            <w:noWrap/>
            <w:vAlign w:val="center"/>
            <w:hideMark/>
          </w:tcPr>
          <w:p w14:paraId="78FC638B"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 HDP</w:t>
            </w:r>
          </w:p>
        </w:tc>
        <w:tc>
          <w:tcPr>
            <w:tcW w:w="1275" w:type="dxa"/>
            <w:tcBorders>
              <w:top w:val="nil"/>
              <w:left w:val="nil"/>
              <w:bottom w:val="nil"/>
              <w:right w:val="nil"/>
            </w:tcBorders>
            <w:shd w:val="clear" w:color="000000" w:fill="D9D9D9"/>
            <w:noWrap/>
            <w:vAlign w:val="center"/>
            <w:hideMark/>
          </w:tcPr>
          <w:p w14:paraId="0583C914"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tis. Eur</w:t>
            </w:r>
          </w:p>
        </w:tc>
        <w:tc>
          <w:tcPr>
            <w:tcW w:w="993" w:type="dxa"/>
            <w:tcBorders>
              <w:top w:val="nil"/>
              <w:left w:val="nil"/>
              <w:bottom w:val="nil"/>
              <w:right w:val="nil"/>
            </w:tcBorders>
            <w:shd w:val="clear" w:color="000000" w:fill="D9D9D9"/>
            <w:noWrap/>
            <w:vAlign w:val="center"/>
            <w:hideMark/>
          </w:tcPr>
          <w:p w14:paraId="2BC5C83A"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 HDP</w:t>
            </w:r>
          </w:p>
        </w:tc>
        <w:tc>
          <w:tcPr>
            <w:tcW w:w="1275" w:type="dxa"/>
            <w:tcBorders>
              <w:top w:val="nil"/>
              <w:left w:val="nil"/>
              <w:bottom w:val="nil"/>
              <w:right w:val="nil"/>
            </w:tcBorders>
            <w:shd w:val="clear" w:color="000000" w:fill="D9D9D9"/>
            <w:noWrap/>
            <w:vAlign w:val="center"/>
            <w:hideMark/>
          </w:tcPr>
          <w:p w14:paraId="5D9F293E"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tis. Eur</w:t>
            </w:r>
          </w:p>
        </w:tc>
        <w:tc>
          <w:tcPr>
            <w:tcW w:w="709" w:type="dxa"/>
            <w:tcBorders>
              <w:top w:val="nil"/>
              <w:left w:val="nil"/>
              <w:bottom w:val="nil"/>
              <w:right w:val="nil"/>
            </w:tcBorders>
            <w:shd w:val="clear" w:color="000000" w:fill="D9D9D9"/>
            <w:noWrap/>
            <w:vAlign w:val="center"/>
            <w:hideMark/>
          </w:tcPr>
          <w:p w14:paraId="3DFE1700"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p.b.</w:t>
            </w:r>
          </w:p>
        </w:tc>
        <w:tc>
          <w:tcPr>
            <w:tcW w:w="1134" w:type="dxa"/>
            <w:tcBorders>
              <w:top w:val="nil"/>
              <w:left w:val="nil"/>
              <w:bottom w:val="nil"/>
              <w:right w:val="nil"/>
            </w:tcBorders>
            <w:shd w:val="clear" w:color="000000" w:fill="D9D9D9"/>
            <w:noWrap/>
            <w:vAlign w:val="center"/>
            <w:hideMark/>
          </w:tcPr>
          <w:p w14:paraId="57C52EEB" w14:textId="77777777" w:rsidR="00FB260E" w:rsidRPr="001A356F" w:rsidRDefault="00FB260E" w:rsidP="00FB260E">
            <w:pPr>
              <w:spacing w:after="0" w:line="240" w:lineRule="auto"/>
              <w:jc w:val="center"/>
              <w:rPr>
                <w:b/>
                <w:bCs/>
                <w:color w:val="000000"/>
                <w:sz w:val="18"/>
                <w:szCs w:val="18"/>
                <w:lang w:eastAsia="sk-SK"/>
              </w:rPr>
            </w:pPr>
            <w:r w:rsidRPr="001A356F">
              <w:rPr>
                <w:b/>
                <w:bCs/>
                <w:color w:val="000000"/>
                <w:sz w:val="18"/>
                <w:szCs w:val="18"/>
                <w:lang w:eastAsia="sk-SK"/>
              </w:rPr>
              <w:t>tis. Eur</w:t>
            </w:r>
          </w:p>
        </w:tc>
      </w:tr>
      <w:tr w:rsidR="00FB260E" w:rsidRPr="001A356F" w14:paraId="1DD7F302" w14:textId="77777777" w:rsidTr="008C5BBF">
        <w:trPr>
          <w:trHeight w:val="246"/>
        </w:trPr>
        <w:tc>
          <w:tcPr>
            <w:tcW w:w="2835" w:type="dxa"/>
            <w:tcBorders>
              <w:top w:val="nil"/>
              <w:left w:val="nil"/>
              <w:bottom w:val="nil"/>
              <w:right w:val="nil"/>
            </w:tcBorders>
            <w:shd w:val="clear" w:color="auto" w:fill="auto"/>
            <w:noWrap/>
            <w:vAlign w:val="center"/>
            <w:hideMark/>
          </w:tcPr>
          <w:p w14:paraId="6F5C1751" w14:textId="77777777" w:rsidR="00FB260E" w:rsidRPr="001A356F" w:rsidRDefault="00FB260E" w:rsidP="00FB260E">
            <w:pPr>
              <w:spacing w:after="0" w:line="240" w:lineRule="auto"/>
              <w:rPr>
                <w:b/>
                <w:bCs/>
                <w:color w:val="000000"/>
                <w:sz w:val="18"/>
                <w:szCs w:val="18"/>
                <w:lang w:eastAsia="sk-SK"/>
              </w:rPr>
            </w:pPr>
            <w:r w:rsidRPr="001A356F">
              <w:rPr>
                <w:b/>
                <w:bCs/>
                <w:color w:val="000000"/>
                <w:sz w:val="18"/>
                <w:szCs w:val="18"/>
                <w:lang w:eastAsia="sk-SK"/>
              </w:rPr>
              <w:t>Starnutie obyvateľstva</w:t>
            </w:r>
          </w:p>
        </w:tc>
        <w:tc>
          <w:tcPr>
            <w:tcW w:w="851" w:type="dxa"/>
            <w:tcBorders>
              <w:top w:val="nil"/>
              <w:left w:val="nil"/>
              <w:bottom w:val="nil"/>
              <w:right w:val="nil"/>
            </w:tcBorders>
            <w:shd w:val="clear" w:color="auto" w:fill="auto"/>
            <w:noWrap/>
            <w:hideMark/>
          </w:tcPr>
          <w:p w14:paraId="3AF77BC8"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-221,9%</w:t>
            </w:r>
          </w:p>
        </w:tc>
        <w:tc>
          <w:tcPr>
            <w:tcW w:w="1275" w:type="dxa"/>
            <w:tcBorders>
              <w:top w:val="nil"/>
              <w:left w:val="nil"/>
              <w:bottom w:val="nil"/>
              <w:right w:val="nil"/>
            </w:tcBorders>
            <w:shd w:val="clear" w:color="auto" w:fill="auto"/>
            <w:noWrap/>
            <w:hideMark/>
          </w:tcPr>
          <w:p w14:paraId="43547D26"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-199 123 081</w:t>
            </w:r>
          </w:p>
        </w:tc>
        <w:tc>
          <w:tcPr>
            <w:tcW w:w="993" w:type="dxa"/>
            <w:tcBorders>
              <w:top w:val="nil"/>
              <w:left w:val="nil"/>
              <w:bottom w:val="nil"/>
              <w:right w:val="nil"/>
            </w:tcBorders>
            <w:shd w:val="clear" w:color="auto" w:fill="auto"/>
            <w:noWrap/>
            <w:hideMark/>
          </w:tcPr>
          <w:p w14:paraId="1B51FE50"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-170,5%</w:t>
            </w:r>
          </w:p>
        </w:tc>
        <w:tc>
          <w:tcPr>
            <w:tcW w:w="1275" w:type="dxa"/>
            <w:tcBorders>
              <w:top w:val="nil"/>
              <w:left w:val="nil"/>
              <w:bottom w:val="nil"/>
              <w:right w:val="nil"/>
            </w:tcBorders>
            <w:shd w:val="clear" w:color="auto" w:fill="auto"/>
            <w:noWrap/>
            <w:hideMark/>
          </w:tcPr>
          <w:p w14:paraId="3395FEEE"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-144 904 374</w:t>
            </w:r>
          </w:p>
        </w:tc>
        <w:tc>
          <w:tcPr>
            <w:tcW w:w="709" w:type="dxa"/>
            <w:tcBorders>
              <w:top w:val="nil"/>
              <w:left w:val="nil"/>
              <w:bottom w:val="nil"/>
              <w:right w:val="nil"/>
            </w:tcBorders>
            <w:shd w:val="clear" w:color="auto" w:fill="auto"/>
            <w:noWrap/>
            <w:hideMark/>
          </w:tcPr>
          <w:p w14:paraId="1C61CF53"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-51,4%</w:t>
            </w:r>
          </w:p>
        </w:tc>
        <w:tc>
          <w:tcPr>
            <w:tcW w:w="1134" w:type="dxa"/>
            <w:tcBorders>
              <w:top w:val="nil"/>
              <w:left w:val="nil"/>
              <w:bottom w:val="nil"/>
              <w:right w:val="nil"/>
            </w:tcBorders>
            <w:shd w:val="clear" w:color="auto" w:fill="auto"/>
            <w:noWrap/>
            <w:hideMark/>
          </w:tcPr>
          <w:p w14:paraId="6F5B54FA"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-54 218 707</w:t>
            </w:r>
          </w:p>
        </w:tc>
      </w:tr>
      <w:tr w:rsidR="00FB260E" w:rsidRPr="001A356F" w14:paraId="7A0BB1E3" w14:textId="77777777" w:rsidTr="008C5BBF">
        <w:trPr>
          <w:trHeight w:val="246"/>
        </w:trPr>
        <w:tc>
          <w:tcPr>
            <w:tcW w:w="2835" w:type="dxa"/>
            <w:tcBorders>
              <w:top w:val="nil"/>
              <w:left w:val="nil"/>
              <w:bottom w:val="nil"/>
              <w:right w:val="nil"/>
            </w:tcBorders>
            <w:shd w:val="clear" w:color="auto" w:fill="auto"/>
            <w:noWrap/>
            <w:vAlign w:val="center"/>
            <w:hideMark/>
          </w:tcPr>
          <w:p w14:paraId="009254B2" w14:textId="77777777" w:rsidR="00FB260E" w:rsidRPr="001A356F" w:rsidRDefault="00FB260E" w:rsidP="00FB260E">
            <w:pPr>
              <w:spacing w:after="0" w:line="240" w:lineRule="auto"/>
              <w:ind w:firstLineChars="100" w:firstLine="180"/>
              <w:rPr>
                <w:color w:val="000000"/>
                <w:sz w:val="18"/>
                <w:szCs w:val="18"/>
                <w:lang w:eastAsia="sk-SK"/>
              </w:rPr>
            </w:pPr>
            <w:r w:rsidRPr="001A356F">
              <w:rPr>
                <w:color w:val="000000"/>
                <w:sz w:val="18"/>
                <w:szCs w:val="18"/>
                <w:lang w:eastAsia="sk-SK"/>
              </w:rPr>
              <w:t xml:space="preserve"> - dôchodkový systém</w:t>
            </w:r>
          </w:p>
        </w:tc>
        <w:tc>
          <w:tcPr>
            <w:tcW w:w="851" w:type="dxa"/>
            <w:tcBorders>
              <w:top w:val="nil"/>
              <w:left w:val="nil"/>
              <w:bottom w:val="nil"/>
              <w:right w:val="nil"/>
            </w:tcBorders>
            <w:shd w:val="clear" w:color="auto" w:fill="auto"/>
            <w:noWrap/>
            <w:hideMark/>
          </w:tcPr>
          <w:p w14:paraId="08C7D04A"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-76,5%</w:t>
            </w:r>
          </w:p>
        </w:tc>
        <w:tc>
          <w:tcPr>
            <w:tcW w:w="1275" w:type="dxa"/>
            <w:tcBorders>
              <w:top w:val="nil"/>
              <w:left w:val="nil"/>
              <w:bottom w:val="nil"/>
              <w:right w:val="nil"/>
            </w:tcBorders>
            <w:shd w:val="clear" w:color="auto" w:fill="auto"/>
            <w:noWrap/>
            <w:hideMark/>
          </w:tcPr>
          <w:p w14:paraId="748E4D05"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-68 624 800</w:t>
            </w:r>
          </w:p>
        </w:tc>
        <w:tc>
          <w:tcPr>
            <w:tcW w:w="993" w:type="dxa"/>
            <w:tcBorders>
              <w:top w:val="nil"/>
              <w:left w:val="nil"/>
              <w:bottom w:val="nil"/>
              <w:right w:val="nil"/>
            </w:tcBorders>
            <w:shd w:val="clear" w:color="auto" w:fill="auto"/>
            <w:noWrap/>
            <w:hideMark/>
          </w:tcPr>
          <w:p w14:paraId="122DAF9E"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-51,1%</w:t>
            </w:r>
          </w:p>
        </w:tc>
        <w:tc>
          <w:tcPr>
            <w:tcW w:w="1275" w:type="dxa"/>
            <w:tcBorders>
              <w:top w:val="nil"/>
              <w:left w:val="nil"/>
              <w:bottom w:val="nil"/>
              <w:right w:val="nil"/>
            </w:tcBorders>
            <w:shd w:val="clear" w:color="auto" w:fill="auto"/>
            <w:noWrap/>
            <w:hideMark/>
          </w:tcPr>
          <w:p w14:paraId="7DB706C1"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-43 445 878</w:t>
            </w:r>
          </w:p>
        </w:tc>
        <w:tc>
          <w:tcPr>
            <w:tcW w:w="709" w:type="dxa"/>
            <w:tcBorders>
              <w:top w:val="nil"/>
              <w:left w:val="nil"/>
              <w:bottom w:val="nil"/>
              <w:right w:val="nil"/>
            </w:tcBorders>
            <w:shd w:val="clear" w:color="auto" w:fill="auto"/>
            <w:noWrap/>
            <w:hideMark/>
          </w:tcPr>
          <w:p w14:paraId="718B0974"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-25,4%</w:t>
            </w:r>
          </w:p>
        </w:tc>
        <w:tc>
          <w:tcPr>
            <w:tcW w:w="1134" w:type="dxa"/>
            <w:tcBorders>
              <w:top w:val="nil"/>
              <w:left w:val="nil"/>
              <w:bottom w:val="nil"/>
              <w:right w:val="nil"/>
            </w:tcBorders>
            <w:shd w:val="clear" w:color="auto" w:fill="auto"/>
            <w:noWrap/>
            <w:hideMark/>
          </w:tcPr>
          <w:p w14:paraId="7DF6A458"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-25 178 922</w:t>
            </w:r>
          </w:p>
        </w:tc>
      </w:tr>
      <w:tr w:rsidR="00FB260E" w:rsidRPr="001A356F" w14:paraId="4269A985" w14:textId="77777777" w:rsidTr="008C5BBF">
        <w:trPr>
          <w:trHeight w:val="246"/>
        </w:trPr>
        <w:tc>
          <w:tcPr>
            <w:tcW w:w="2835" w:type="dxa"/>
            <w:tcBorders>
              <w:top w:val="nil"/>
              <w:left w:val="nil"/>
              <w:bottom w:val="nil"/>
              <w:right w:val="nil"/>
            </w:tcBorders>
            <w:shd w:val="clear" w:color="auto" w:fill="auto"/>
            <w:noWrap/>
            <w:vAlign w:val="center"/>
            <w:hideMark/>
          </w:tcPr>
          <w:p w14:paraId="2DB43D4A" w14:textId="77777777" w:rsidR="00FB260E" w:rsidRPr="001A356F" w:rsidRDefault="00FB260E" w:rsidP="00FB260E">
            <w:pPr>
              <w:spacing w:after="0" w:line="240" w:lineRule="auto"/>
              <w:ind w:firstLineChars="100" w:firstLine="180"/>
              <w:rPr>
                <w:color w:val="000000"/>
                <w:sz w:val="18"/>
                <w:szCs w:val="18"/>
                <w:lang w:eastAsia="sk-SK"/>
              </w:rPr>
            </w:pPr>
            <w:r w:rsidRPr="001A356F">
              <w:rPr>
                <w:color w:val="000000"/>
                <w:sz w:val="18"/>
                <w:szCs w:val="18"/>
                <w:lang w:eastAsia="sk-SK"/>
              </w:rPr>
              <w:t xml:space="preserve"> - zdravotníctvo</w:t>
            </w:r>
          </w:p>
        </w:tc>
        <w:tc>
          <w:tcPr>
            <w:tcW w:w="851" w:type="dxa"/>
            <w:tcBorders>
              <w:top w:val="nil"/>
              <w:left w:val="nil"/>
              <w:bottom w:val="nil"/>
              <w:right w:val="nil"/>
            </w:tcBorders>
            <w:shd w:val="clear" w:color="auto" w:fill="auto"/>
            <w:noWrap/>
            <w:hideMark/>
          </w:tcPr>
          <w:p w14:paraId="76A0020B"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-85,9%</w:t>
            </w:r>
          </w:p>
        </w:tc>
        <w:tc>
          <w:tcPr>
            <w:tcW w:w="1275" w:type="dxa"/>
            <w:tcBorders>
              <w:top w:val="nil"/>
              <w:left w:val="nil"/>
              <w:bottom w:val="nil"/>
              <w:right w:val="nil"/>
            </w:tcBorders>
            <w:shd w:val="clear" w:color="auto" w:fill="auto"/>
            <w:noWrap/>
            <w:hideMark/>
          </w:tcPr>
          <w:p w14:paraId="737B48BE"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-77 110 315</w:t>
            </w:r>
          </w:p>
        </w:tc>
        <w:tc>
          <w:tcPr>
            <w:tcW w:w="993" w:type="dxa"/>
            <w:tcBorders>
              <w:top w:val="nil"/>
              <w:left w:val="nil"/>
              <w:bottom w:val="nil"/>
              <w:right w:val="nil"/>
            </w:tcBorders>
            <w:shd w:val="clear" w:color="auto" w:fill="auto"/>
            <w:noWrap/>
            <w:hideMark/>
          </w:tcPr>
          <w:p w14:paraId="5BA29ED4"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-77,9%</w:t>
            </w:r>
          </w:p>
        </w:tc>
        <w:tc>
          <w:tcPr>
            <w:tcW w:w="1275" w:type="dxa"/>
            <w:tcBorders>
              <w:top w:val="nil"/>
              <w:left w:val="nil"/>
              <w:bottom w:val="nil"/>
              <w:right w:val="nil"/>
            </w:tcBorders>
            <w:shd w:val="clear" w:color="auto" w:fill="auto"/>
            <w:noWrap/>
            <w:hideMark/>
          </w:tcPr>
          <w:p w14:paraId="08B403F6"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-66 186 594</w:t>
            </w:r>
          </w:p>
        </w:tc>
        <w:tc>
          <w:tcPr>
            <w:tcW w:w="709" w:type="dxa"/>
            <w:tcBorders>
              <w:top w:val="nil"/>
              <w:left w:val="nil"/>
              <w:bottom w:val="nil"/>
              <w:right w:val="nil"/>
            </w:tcBorders>
            <w:shd w:val="clear" w:color="auto" w:fill="auto"/>
            <w:noWrap/>
            <w:hideMark/>
          </w:tcPr>
          <w:p w14:paraId="7D0898C7"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-8,0%</w:t>
            </w:r>
          </w:p>
        </w:tc>
        <w:tc>
          <w:tcPr>
            <w:tcW w:w="1134" w:type="dxa"/>
            <w:tcBorders>
              <w:top w:val="nil"/>
              <w:left w:val="nil"/>
              <w:bottom w:val="nil"/>
              <w:right w:val="nil"/>
            </w:tcBorders>
            <w:shd w:val="clear" w:color="auto" w:fill="auto"/>
            <w:noWrap/>
            <w:hideMark/>
          </w:tcPr>
          <w:p w14:paraId="4DDA1522"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-10 923 721</w:t>
            </w:r>
          </w:p>
        </w:tc>
      </w:tr>
      <w:tr w:rsidR="00FB260E" w:rsidRPr="001A356F" w14:paraId="3DCE2DFE" w14:textId="77777777" w:rsidTr="008C5BBF">
        <w:trPr>
          <w:trHeight w:val="246"/>
        </w:trPr>
        <w:tc>
          <w:tcPr>
            <w:tcW w:w="2835" w:type="dxa"/>
            <w:tcBorders>
              <w:top w:val="nil"/>
              <w:left w:val="nil"/>
              <w:bottom w:val="nil"/>
              <w:right w:val="nil"/>
            </w:tcBorders>
            <w:shd w:val="clear" w:color="auto" w:fill="auto"/>
            <w:noWrap/>
            <w:vAlign w:val="center"/>
            <w:hideMark/>
          </w:tcPr>
          <w:p w14:paraId="6A9929EE" w14:textId="77777777" w:rsidR="00FB260E" w:rsidRPr="001A356F" w:rsidRDefault="00FB260E" w:rsidP="00FB260E">
            <w:pPr>
              <w:spacing w:after="0" w:line="240" w:lineRule="auto"/>
              <w:ind w:firstLineChars="100" w:firstLine="180"/>
              <w:rPr>
                <w:color w:val="000000"/>
                <w:sz w:val="18"/>
                <w:szCs w:val="18"/>
                <w:lang w:eastAsia="sk-SK"/>
              </w:rPr>
            </w:pPr>
            <w:r w:rsidRPr="001A356F">
              <w:rPr>
                <w:color w:val="000000"/>
                <w:sz w:val="18"/>
                <w:szCs w:val="18"/>
                <w:lang w:eastAsia="sk-SK"/>
              </w:rPr>
              <w:t xml:space="preserve"> - dlhodobá starostlivosť</w:t>
            </w:r>
          </w:p>
        </w:tc>
        <w:tc>
          <w:tcPr>
            <w:tcW w:w="851" w:type="dxa"/>
            <w:tcBorders>
              <w:top w:val="nil"/>
              <w:left w:val="nil"/>
              <w:bottom w:val="nil"/>
              <w:right w:val="nil"/>
            </w:tcBorders>
            <w:shd w:val="clear" w:color="auto" w:fill="auto"/>
            <w:noWrap/>
            <w:hideMark/>
          </w:tcPr>
          <w:p w14:paraId="10EA8EC4"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-46,0%</w:t>
            </w:r>
          </w:p>
        </w:tc>
        <w:tc>
          <w:tcPr>
            <w:tcW w:w="1275" w:type="dxa"/>
            <w:tcBorders>
              <w:top w:val="nil"/>
              <w:left w:val="nil"/>
              <w:bottom w:val="nil"/>
              <w:right w:val="nil"/>
            </w:tcBorders>
            <w:shd w:val="clear" w:color="auto" w:fill="auto"/>
            <w:noWrap/>
            <w:hideMark/>
          </w:tcPr>
          <w:p w14:paraId="1173BFFC"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-41 300 024</w:t>
            </w:r>
          </w:p>
        </w:tc>
        <w:tc>
          <w:tcPr>
            <w:tcW w:w="993" w:type="dxa"/>
            <w:tcBorders>
              <w:top w:val="nil"/>
              <w:left w:val="nil"/>
              <w:bottom w:val="nil"/>
              <w:right w:val="nil"/>
            </w:tcBorders>
            <w:shd w:val="clear" w:color="auto" w:fill="auto"/>
            <w:noWrap/>
            <w:hideMark/>
          </w:tcPr>
          <w:p w14:paraId="2098E4AA"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-37,4%</w:t>
            </w:r>
          </w:p>
        </w:tc>
        <w:tc>
          <w:tcPr>
            <w:tcW w:w="1275" w:type="dxa"/>
            <w:tcBorders>
              <w:top w:val="nil"/>
              <w:left w:val="nil"/>
              <w:bottom w:val="nil"/>
              <w:right w:val="nil"/>
            </w:tcBorders>
            <w:shd w:val="clear" w:color="auto" w:fill="auto"/>
            <w:noWrap/>
            <w:hideMark/>
          </w:tcPr>
          <w:p w14:paraId="2489177D"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-31 765 905</w:t>
            </w:r>
          </w:p>
        </w:tc>
        <w:tc>
          <w:tcPr>
            <w:tcW w:w="709" w:type="dxa"/>
            <w:tcBorders>
              <w:top w:val="nil"/>
              <w:left w:val="nil"/>
              <w:bottom w:val="nil"/>
              <w:right w:val="nil"/>
            </w:tcBorders>
            <w:shd w:val="clear" w:color="auto" w:fill="auto"/>
            <w:noWrap/>
            <w:hideMark/>
          </w:tcPr>
          <w:p w14:paraId="3A56E60F"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-8,6%</w:t>
            </w:r>
          </w:p>
        </w:tc>
        <w:tc>
          <w:tcPr>
            <w:tcW w:w="1134" w:type="dxa"/>
            <w:tcBorders>
              <w:top w:val="nil"/>
              <w:left w:val="nil"/>
              <w:bottom w:val="nil"/>
              <w:right w:val="nil"/>
            </w:tcBorders>
            <w:shd w:val="clear" w:color="auto" w:fill="auto"/>
            <w:noWrap/>
            <w:hideMark/>
          </w:tcPr>
          <w:p w14:paraId="32C4AA83"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-9 534 119</w:t>
            </w:r>
          </w:p>
        </w:tc>
      </w:tr>
      <w:tr w:rsidR="00FB260E" w:rsidRPr="001A356F" w14:paraId="63142C1F" w14:textId="77777777" w:rsidTr="008C5BBF">
        <w:trPr>
          <w:trHeight w:val="246"/>
        </w:trPr>
        <w:tc>
          <w:tcPr>
            <w:tcW w:w="2835" w:type="dxa"/>
            <w:tcBorders>
              <w:top w:val="nil"/>
              <w:left w:val="nil"/>
              <w:bottom w:val="nil"/>
              <w:right w:val="nil"/>
            </w:tcBorders>
            <w:shd w:val="clear" w:color="auto" w:fill="auto"/>
            <w:noWrap/>
            <w:vAlign w:val="center"/>
            <w:hideMark/>
          </w:tcPr>
          <w:p w14:paraId="29C75147" w14:textId="77777777" w:rsidR="00FB260E" w:rsidRPr="001A356F" w:rsidRDefault="00FB260E" w:rsidP="00FB260E">
            <w:pPr>
              <w:spacing w:after="0" w:line="240" w:lineRule="auto"/>
              <w:ind w:firstLineChars="100" w:firstLine="180"/>
              <w:rPr>
                <w:color w:val="000000"/>
                <w:sz w:val="18"/>
                <w:szCs w:val="18"/>
                <w:lang w:eastAsia="sk-SK"/>
              </w:rPr>
            </w:pPr>
            <w:r w:rsidRPr="001A356F">
              <w:rPr>
                <w:color w:val="000000"/>
                <w:sz w:val="18"/>
                <w:szCs w:val="18"/>
                <w:lang w:eastAsia="sk-SK"/>
              </w:rPr>
              <w:t xml:space="preserve"> - poistenie v nezamestnanosti</w:t>
            </w:r>
          </w:p>
        </w:tc>
        <w:tc>
          <w:tcPr>
            <w:tcW w:w="851" w:type="dxa"/>
            <w:tcBorders>
              <w:top w:val="nil"/>
              <w:left w:val="nil"/>
              <w:bottom w:val="nil"/>
              <w:right w:val="nil"/>
            </w:tcBorders>
            <w:shd w:val="clear" w:color="auto" w:fill="auto"/>
            <w:noWrap/>
            <w:hideMark/>
          </w:tcPr>
          <w:p w14:paraId="5E85C8C3"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0,4%</w:t>
            </w:r>
          </w:p>
        </w:tc>
        <w:tc>
          <w:tcPr>
            <w:tcW w:w="1275" w:type="dxa"/>
            <w:tcBorders>
              <w:top w:val="nil"/>
              <w:left w:val="nil"/>
              <w:bottom w:val="nil"/>
              <w:right w:val="nil"/>
            </w:tcBorders>
            <w:shd w:val="clear" w:color="auto" w:fill="auto"/>
            <w:noWrap/>
            <w:hideMark/>
          </w:tcPr>
          <w:p w14:paraId="4D73D4FA"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371 353</w:t>
            </w:r>
          </w:p>
        </w:tc>
        <w:tc>
          <w:tcPr>
            <w:tcW w:w="993" w:type="dxa"/>
            <w:tcBorders>
              <w:top w:val="nil"/>
              <w:left w:val="nil"/>
              <w:bottom w:val="nil"/>
              <w:right w:val="nil"/>
            </w:tcBorders>
            <w:shd w:val="clear" w:color="auto" w:fill="auto"/>
            <w:noWrap/>
            <w:hideMark/>
          </w:tcPr>
          <w:p w14:paraId="6FBE697D"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1,2%</w:t>
            </w:r>
          </w:p>
        </w:tc>
        <w:tc>
          <w:tcPr>
            <w:tcW w:w="1275" w:type="dxa"/>
            <w:tcBorders>
              <w:top w:val="nil"/>
              <w:left w:val="nil"/>
              <w:bottom w:val="nil"/>
              <w:right w:val="nil"/>
            </w:tcBorders>
            <w:shd w:val="clear" w:color="auto" w:fill="auto"/>
            <w:noWrap/>
            <w:hideMark/>
          </w:tcPr>
          <w:p w14:paraId="76E1C51C"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1 052 887</w:t>
            </w:r>
          </w:p>
        </w:tc>
        <w:tc>
          <w:tcPr>
            <w:tcW w:w="709" w:type="dxa"/>
            <w:tcBorders>
              <w:top w:val="nil"/>
              <w:left w:val="nil"/>
              <w:bottom w:val="nil"/>
              <w:right w:val="nil"/>
            </w:tcBorders>
            <w:shd w:val="clear" w:color="auto" w:fill="auto"/>
            <w:noWrap/>
            <w:hideMark/>
          </w:tcPr>
          <w:p w14:paraId="4E53C82B"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-0,8%</w:t>
            </w:r>
          </w:p>
        </w:tc>
        <w:tc>
          <w:tcPr>
            <w:tcW w:w="1134" w:type="dxa"/>
            <w:tcBorders>
              <w:top w:val="nil"/>
              <w:left w:val="nil"/>
              <w:bottom w:val="nil"/>
              <w:right w:val="nil"/>
            </w:tcBorders>
            <w:shd w:val="clear" w:color="auto" w:fill="auto"/>
            <w:noWrap/>
            <w:hideMark/>
          </w:tcPr>
          <w:p w14:paraId="7F330357"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-681 534</w:t>
            </w:r>
          </w:p>
        </w:tc>
      </w:tr>
      <w:tr w:rsidR="00FB260E" w:rsidRPr="001A356F" w14:paraId="158D3DB1" w14:textId="77777777" w:rsidTr="008C5BBF">
        <w:trPr>
          <w:trHeight w:val="246"/>
        </w:trPr>
        <w:tc>
          <w:tcPr>
            <w:tcW w:w="2835" w:type="dxa"/>
            <w:tcBorders>
              <w:top w:val="nil"/>
              <w:left w:val="nil"/>
              <w:bottom w:val="nil"/>
              <w:right w:val="nil"/>
            </w:tcBorders>
            <w:shd w:val="clear" w:color="auto" w:fill="auto"/>
            <w:noWrap/>
            <w:vAlign w:val="center"/>
            <w:hideMark/>
          </w:tcPr>
          <w:p w14:paraId="17ED837F" w14:textId="77777777" w:rsidR="00FB260E" w:rsidRPr="001A356F" w:rsidRDefault="00FB260E" w:rsidP="00FB260E">
            <w:pPr>
              <w:spacing w:after="0" w:line="240" w:lineRule="auto"/>
              <w:ind w:firstLineChars="100" w:firstLine="180"/>
              <w:rPr>
                <w:color w:val="000000"/>
                <w:sz w:val="18"/>
                <w:szCs w:val="18"/>
                <w:lang w:eastAsia="sk-SK"/>
              </w:rPr>
            </w:pPr>
            <w:r w:rsidRPr="001A356F">
              <w:rPr>
                <w:color w:val="000000"/>
                <w:sz w:val="18"/>
                <w:szCs w:val="18"/>
                <w:lang w:eastAsia="sk-SK"/>
              </w:rPr>
              <w:t xml:space="preserve"> - školstvo</w:t>
            </w:r>
          </w:p>
        </w:tc>
        <w:tc>
          <w:tcPr>
            <w:tcW w:w="851" w:type="dxa"/>
            <w:tcBorders>
              <w:top w:val="nil"/>
              <w:left w:val="nil"/>
              <w:bottom w:val="nil"/>
              <w:right w:val="nil"/>
            </w:tcBorders>
            <w:shd w:val="clear" w:color="auto" w:fill="auto"/>
            <w:noWrap/>
            <w:hideMark/>
          </w:tcPr>
          <w:p w14:paraId="0DDA57A3"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-13,9%</w:t>
            </w:r>
          </w:p>
        </w:tc>
        <w:tc>
          <w:tcPr>
            <w:tcW w:w="1275" w:type="dxa"/>
            <w:tcBorders>
              <w:top w:val="nil"/>
              <w:left w:val="nil"/>
              <w:bottom w:val="nil"/>
              <w:right w:val="nil"/>
            </w:tcBorders>
            <w:shd w:val="clear" w:color="auto" w:fill="auto"/>
            <w:noWrap/>
            <w:hideMark/>
          </w:tcPr>
          <w:p w14:paraId="0C60BA0C" w14:textId="77777777" w:rsidR="00FB260E" w:rsidRPr="001A356F" w:rsidRDefault="00FB260E" w:rsidP="00FB260E">
            <w:pPr>
              <w:spacing w:after="0" w:line="240" w:lineRule="auto"/>
              <w:jc w:val="right"/>
              <w:rPr>
                <w:bCs/>
                <w:color w:val="000000"/>
                <w:sz w:val="18"/>
                <w:szCs w:val="18"/>
                <w:lang w:eastAsia="sk-SK"/>
              </w:rPr>
            </w:pPr>
            <w:r w:rsidRPr="001A356F">
              <w:rPr>
                <w:sz w:val="18"/>
                <w:szCs w:val="18"/>
              </w:rPr>
              <w:t>-12 459 295</w:t>
            </w:r>
          </w:p>
        </w:tc>
        <w:tc>
          <w:tcPr>
            <w:tcW w:w="993" w:type="dxa"/>
            <w:tcBorders>
              <w:top w:val="nil"/>
              <w:left w:val="nil"/>
              <w:bottom w:val="nil"/>
              <w:right w:val="nil"/>
            </w:tcBorders>
            <w:shd w:val="clear" w:color="auto" w:fill="auto"/>
            <w:noWrap/>
            <w:hideMark/>
          </w:tcPr>
          <w:p w14:paraId="75CE09D1"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-5,4%</w:t>
            </w:r>
          </w:p>
        </w:tc>
        <w:tc>
          <w:tcPr>
            <w:tcW w:w="1275" w:type="dxa"/>
            <w:tcBorders>
              <w:top w:val="nil"/>
              <w:left w:val="nil"/>
              <w:bottom w:val="nil"/>
              <w:right w:val="nil"/>
            </w:tcBorders>
            <w:shd w:val="clear" w:color="auto" w:fill="auto"/>
            <w:noWrap/>
            <w:hideMark/>
          </w:tcPr>
          <w:p w14:paraId="7C5B7E40"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-4 558 884</w:t>
            </w:r>
          </w:p>
        </w:tc>
        <w:tc>
          <w:tcPr>
            <w:tcW w:w="709" w:type="dxa"/>
            <w:tcBorders>
              <w:top w:val="nil"/>
              <w:left w:val="nil"/>
              <w:bottom w:val="nil"/>
              <w:right w:val="nil"/>
            </w:tcBorders>
            <w:shd w:val="clear" w:color="auto" w:fill="auto"/>
            <w:noWrap/>
            <w:hideMark/>
          </w:tcPr>
          <w:p w14:paraId="5D0749AB"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-8,5%</w:t>
            </w:r>
          </w:p>
        </w:tc>
        <w:tc>
          <w:tcPr>
            <w:tcW w:w="1134" w:type="dxa"/>
            <w:tcBorders>
              <w:top w:val="nil"/>
              <w:left w:val="nil"/>
              <w:bottom w:val="nil"/>
              <w:right w:val="nil"/>
            </w:tcBorders>
            <w:shd w:val="clear" w:color="auto" w:fill="auto"/>
            <w:noWrap/>
            <w:hideMark/>
          </w:tcPr>
          <w:p w14:paraId="7BA21F07" w14:textId="77777777" w:rsidR="00FB260E" w:rsidRPr="001A356F" w:rsidRDefault="00FB260E" w:rsidP="00FB260E">
            <w:pPr>
              <w:spacing w:after="0" w:line="240" w:lineRule="auto"/>
              <w:jc w:val="right"/>
              <w:rPr>
                <w:color w:val="000000"/>
                <w:sz w:val="18"/>
                <w:szCs w:val="18"/>
                <w:lang w:eastAsia="sk-SK"/>
              </w:rPr>
            </w:pPr>
            <w:r w:rsidRPr="001A356F">
              <w:rPr>
                <w:sz w:val="18"/>
                <w:szCs w:val="18"/>
              </w:rPr>
              <w:t>-7 900 411</w:t>
            </w:r>
          </w:p>
        </w:tc>
      </w:tr>
      <w:tr w:rsidR="00FB260E" w:rsidRPr="001A356F" w14:paraId="3EE5EF7C" w14:textId="77777777" w:rsidTr="008C5BBF">
        <w:trPr>
          <w:trHeight w:val="246"/>
        </w:trPr>
        <w:tc>
          <w:tcPr>
            <w:tcW w:w="2835" w:type="dxa"/>
            <w:tcBorders>
              <w:top w:val="nil"/>
              <w:left w:val="nil"/>
              <w:bottom w:val="nil"/>
              <w:right w:val="nil"/>
            </w:tcBorders>
            <w:shd w:val="clear" w:color="auto" w:fill="auto"/>
            <w:noWrap/>
            <w:vAlign w:val="center"/>
            <w:hideMark/>
          </w:tcPr>
          <w:p w14:paraId="66846360" w14:textId="77777777" w:rsidR="00FB260E" w:rsidRPr="001A356F" w:rsidRDefault="00FB260E" w:rsidP="00FB260E">
            <w:pPr>
              <w:spacing w:after="0" w:line="240" w:lineRule="auto"/>
              <w:rPr>
                <w:b/>
                <w:bCs/>
                <w:color w:val="000000"/>
                <w:sz w:val="18"/>
                <w:szCs w:val="18"/>
                <w:lang w:eastAsia="sk-SK"/>
              </w:rPr>
            </w:pPr>
            <w:r w:rsidRPr="001A356F">
              <w:rPr>
                <w:b/>
                <w:bCs/>
                <w:color w:val="000000"/>
                <w:sz w:val="18"/>
                <w:szCs w:val="18"/>
                <w:lang w:eastAsia="sk-SK"/>
              </w:rPr>
              <w:t>PPP projekty</w:t>
            </w:r>
          </w:p>
        </w:tc>
        <w:tc>
          <w:tcPr>
            <w:tcW w:w="851" w:type="dxa"/>
            <w:tcBorders>
              <w:top w:val="nil"/>
              <w:left w:val="nil"/>
              <w:bottom w:val="nil"/>
              <w:right w:val="nil"/>
            </w:tcBorders>
            <w:shd w:val="clear" w:color="auto" w:fill="auto"/>
            <w:noWrap/>
            <w:hideMark/>
          </w:tcPr>
          <w:p w14:paraId="7FE53CED"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-3,8%</w:t>
            </w:r>
          </w:p>
        </w:tc>
        <w:tc>
          <w:tcPr>
            <w:tcW w:w="1275" w:type="dxa"/>
            <w:tcBorders>
              <w:top w:val="nil"/>
              <w:left w:val="nil"/>
              <w:bottom w:val="nil"/>
              <w:right w:val="nil"/>
            </w:tcBorders>
            <w:shd w:val="clear" w:color="auto" w:fill="auto"/>
            <w:noWrap/>
            <w:hideMark/>
          </w:tcPr>
          <w:p w14:paraId="185F553F"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-3 390 475</w:t>
            </w:r>
          </w:p>
        </w:tc>
        <w:tc>
          <w:tcPr>
            <w:tcW w:w="993" w:type="dxa"/>
            <w:tcBorders>
              <w:top w:val="nil"/>
              <w:left w:val="nil"/>
              <w:bottom w:val="nil"/>
              <w:right w:val="nil"/>
            </w:tcBorders>
            <w:shd w:val="clear" w:color="auto" w:fill="auto"/>
            <w:noWrap/>
            <w:hideMark/>
          </w:tcPr>
          <w:p w14:paraId="1C562330"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-3,3%</w:t>
            </w:r>
          </w:p>
        </w:tc>
        <w:tc>
          <w:tcPr>
            <w:tcW w:w="1275" w:type="dxa"/>
            <w:tcBorders>
              <w:top w:val="nil"/>
              <w:left w:val="nil"/>
              <w:bottom w:val="nil"/>
              <w:right w:val="nil"/>
            </w:tcBorders>
            <w:shd w:val="clear" w:color="auto" w:fill="auto"/>
            <w:noWrap/>
            <w:hideMark/>
          </w:tcPr>
          <w:p w14:paraId="2F909EFD"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-2 815 193</w:t>
            </w:r>
          </w:p>
        </w:tc>
        <w:tc>
          <w:tcPr>
            <w:tcW w:w="709" w:type="dxa"/>
            <w:tcBorders>
              <w:top w:val="nil"/>
              <w:left w:val="nil"/>
              <w:bottom w:val="nil"/>
              <w:right w:val="nil"/>
            </w:tcBorders>
            <w:shd w:val="clear" w:color="auto" w:fill="auto"/>
            <w:noWrap/>
            <w:hideMark/>
          </w:tcPr>
          <w:p w14:paraId="5A300C60"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-0,5%</w:t>
            </w:r>
          </w:p>
        </w:tc>
        <w:tc>
          <w:tcPr>
            <w:tcW w:w="1134" w:type="dxa"/>
            <w:tcBorders>
              <w:top w:val="nil"/>
              <w:left w:val="nil"/>
              <w:bottom w:val="nil"/>
              <w:right w:val="nil"/>
            </w:tcBorders>
            <w:shd w:val="clear" w:color="auto" w:fill="auto"/>
            <w:noWrap/>
            <w:hideMark/>
          </w:tcPr>
          <w:p w14:paraId="0057AF1F"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-575 282</w:t>
            </w:r>
          </w:p>
        </w:tc>
      </w:tr>
      <w:tr w:rsidR="00FB260E" w:rsidRPr="001A356F" w14:paraId="042F6BFE" w14:textId="77777777" w:rsidTr="008C5BBF">
        <w:trPr>
          <w:trHeight w:val="246"/>
        </w:trPr>
        <w:tc>
          <w:tcPr>
            <w:tcW w:w="2835" w:type="dxa"/>
            <w:tcBorders>
              <w:top w:val="nil"/>
              <w:left w:val="nil"/>
              <w:bottom w:val="nil"/>
              <w:right w:val="nil"/>
            </w:tcBorders>
            <w:shd w:val="clear" w:color="auto" w:fill="auto"/>
            <w:noWrap/>
            <w:vAlign w:val="center"/>
            <w:hideMark/>
          </w:tcPr>
          <w:p w14:paraId="16213CDF" w14:textId="77777777" w:rsidR="00FB260E" w:rsidRPr="001A356F" w:rsidRDefault="00FB260E" w:rsidP="00FB260E">
            <w:pPr>
              <w:spacing w:after="0" w:line="240" w:lineRule="auto"/>
              <w:rPr>
                <w:b/>
                <w:bCs/>
                <w:color w:val="000000"/>
                <w:sz w:val="18"/>
                <w:szCs w:val="18"/>
                <w:lang w:eastAsia="sk-SK"/>
              </w:rPr>
            </w:pPr>
            <w:r w:rsidRPr="001A356F">
              <w:rPr>
                <w:b/>
                <w:bCs/>
                <w:color w:val="000000"/>
                <w:sz w:val="18"/>
                <w:szCs w:val="18"/>
                <w:lang w:eastAsia="sk-SK"/>
              </w:rPr>
              <w:t>Vplyv Národného jadrového fondu</w:t>
            </w:r>
          </w:p>
        </w:tc>
        <w:tc>
          <w:tcPr>
            <w:tcW w:w="851" w:type="dxa"/>
            <w:tcBorders>
              <w:top w:val="nil"/>
              <w:left w:val="nil"/>
              <w:bottom w:val="nil"/>
              <w:right w:val="nil"/>
            </w:tcBorders>
            <w:shd w:val="clear" w:color="auto" w:fill="auto"/>
            <w:noWrap/>
            <w:hideMark/>
          </w:tcPr>
          <w:p w14:paraId="1428EA31"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2,9%</w:t>
            </w:r>
          </w:p>
        </w:tc>
        <w:tc>
          <w:tcPr>
            <w:tcW w:w="1275" w:type="dxa"/>
            <w:tcBorders>
              <w:top w:val="nil"/>
              <w:left w:val="nil"/>
              <w:bottom w:val="nil"/>
              <w:right w:val="nil"/>
            </w:tcBorders>
            <w:shd w:val="clear" w:color="auto" w:fill="auto"/>
            <w:noWrap/>
            <w:hideMark/>
          </w:tcPr>
          <w:p w14:paraId="00AD0F9A"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2 611 824</w:t>
            </w:r>
          </w:p>
        </w:tc>
        <w:tc>
          <w:tcPr>
            <w:tcW w:w="993" w:type="dxa"/>
            <w:tcBorders>
              <w:top w:val="nil"/>
              <w:left w:val="nil"/>
              <w:bottom w:val="nil"/>
              <w:right w:val="nil"/>
            </w:tcBorders>
            <w:shd w:val="clear" w:color="auto" w:fill="auto"/>
            <w:noWrap/>
            <w:hideMark/>
          </w:tcPr>
          <w:p w14:paraId="0A3C4A76"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2,9%</w:t>
            </w:r>
          </w:p>
        </w:tc>
        <w:tc>
          <w:tcPr>
            <w:tcW w:w="1275" w:type="dxa"/>
            <w:tcBorders>
              <w:top w:val="nil"/>
              <w:left w:val="nil"/>
              <w:bottom w:val="nil"/>
              <w:right w:val="nil"/>
            </w:tcBorders>
            <w:shd w:val="clear" w:color="auto" w:fill="auto"/>
            <w:noWrap/>
            <w:hideMark/>
          </w:tcPr>
          <w:p w14:paraId="4601373B"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2 433 069</w:t>
            </w:r>
          </w:p>
        </w:tc>
        <w:tc>
          <w:tcPr>
            <w:tcW w:w="709" w:type="dxa"/>
            <w:tcBorders>
              <w:top w:val="nil"/>
              <w:left w:val="nil"/>
              <w:bottom w:val="nil"/>
              <w:right w:val="nil"/>
            </w:tcBorders>
            <w:shd w:val="clear" w:color="auto" w:fill="auto"/>
            <w:noWrap/>
            <w:hideMark/>
          </w:tcPr>
          <w:p w14:paraId="37B0B7C6"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0,0%</w:t>
            </w:r>
          </w:p>
        </w:tc>
        <w:tc>
          <w:tcPr>
            <w:tcW w:w="1134" w:type="dxa"/>
            <w:tcBorders>
              <w:top w:val="nil"/>
              <w:left w:val="nil"/>
              <w:bottom w:val="nil"/>
              <w:right w:val="nil"/>
            </w:tcBorders>
            <w:shd w:val="clear" w:color="auto" w:fill="auto"/>
            <w:noWrap/>
            <w:hideMark/>
          </w:tcPr>
          <w:p w14:paraId="1187074A" w14:textId="77777777" w:rsidR="00FB260E" w:rsidRPr="001A356F" w:rsidRDefault="00FB260E" w:rsidP="00FB260E">
            <w:pPr>
              <w:spacing w:after="0" w:line="240" w:lineRule="auto"/>
              <w:jc w:val="right"/>
              <w:rPr>
                <w:b/>
                <w:color w:val="000000"/>
                <w:sz w:val="18"/>
                <w:szCs w:val="18"/>
                <w:lang w:eastAsia="sk-SK"/>
              </w:rPr>
            </w:pPr>
            <w:r w:rsidRPr="001A356F">
              <w:rPr>
                <w:sz w:val="18"/>
                <w:szCs w:val="18"/>
              </w:rPr>
              <w:t>178 755</w:t>
            </w:r>
          </w:p>
        </w:tc>
      </w:tr>
      <w:tr w:rsidR="00FB260E" w:rsidRPr="001A356F" w14:paraId="11B47A6F" w14:textId="77777777" w:rsidTr="008C5BBF">
        <w:trPr>
          <w:trHeight w:val="257"/>
        </w:trPr>
        <w:tc>
          <w:tcPr>
            <w:tcW w:w="2835" w:type="dxa"/>
            <w:tcBorders>
              <w:top w:val="single" w:sz="4" w:space="0" w:color="auto"/>
              <w:left w:val="nil"/>
              <w:bottom w:val="single" w:sz="8" w:space="0" w:color="auto"/>
              <w:right w:val="nil"/>
            </w:tcBorders>
            <w:shd w:val="clear" w:color="000000" w:fill="D9D9D9"/>
            <w:noWrap/>
            <w:vAlign w:val="center"/>
            <w:hideMark/>
          </w:tcPr>
          <w:p w14:paraId="2A4E950A" w14:textId="77777777" w:rsidR="00FB260E" w:rsidRPr="001A356F" w:rsidRDefault="00FB260E" w:rsidP="00FB260E">
            <w:pPr>
              <w:spacing w:after="0" w:line="240" w:lineRule="auto"/>
              <w:rPr>
                <w:b/>
                <w:bCs/>
                <w:color w:val="000000"/>
                <w:sz w:val="18"/>
                <w:szCs w:val="18"/>
                <w:lang w:eastAsia="sk-SK"/>
              </w:rPr>
            </w:pPr>
            <w:r w:rsidRPr="001A356F">
              <w:rPr>
                <w:b/>
                <w:bCs/>
                <w:color w:val="000000"/>
                <w:sz w:val="18"/>
                <w:szCs w:val="18"/>
                <w:lang w:eastAsia="sk-SK"/>
              </w:rPr>
              <w:t>Implicitné záväzky spolu</w:t>
            </w:r>
          </w:p>
        </w:tc>
        <w:tc>
          <w:tcPr>
            <w:tcW w:w="851" w:type="dxa"/>
            <w:tcBorders>
              <w:top w:val="single" w:sz="4" w:space="0" w:color="auto"/>
              <w:left w:val="nil"/>
              <w:bottom w:val="single" w:sz="8" w:space="0" w:color="auto"/>
              <w:right w:val="nil"/>
            </w:tcBorders>
            <w:shd w:val="clear" w:color="000000" w:fill="D9D9D9"/>
            <w:noWrap/>
            <w:hideMark/>
          </w:tcPr>
          <w:p w14:paraId="23B86917"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-222,8%</w:t>
            </w:r>
          </w:p>
        </w:tc>
        <w:tc>
          <w:tcPr>
            <w:tcW w:w="1275" w:type="dxa"/>
            <w:tcBorders>
              <w:top w:val="single" w:sz="4" w:space="0" w:color="auto"/>
              <w:left w:val="nil"/>
              <w:bottom w:val="single" w:sz="8" w:space="0" w:color="auto"/>
              <w:right w:val="nil"/>
            </w:tcBorders>
            <w:shd w:val="clear" w:color="000000" w:fill="D9D9D9"/>
            <w:noWrap/>
            <w:hideMark/>
          </w:tcPr>
          <w:p w14:paraId="74A463A1"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-199 901 733</w:t>
            </w:r>
          </w:p>
        </w:tc>
        <w:tc>
          <w:tcPr>
            <w:tcW w:w="993" w:type="dxa"/>
            <w:tcBorders>
              <w:top w:val="single" w:sz="4" w:space="0" w:color="auto"/>
              <w:left w:val="nil"/>
              <w:bottom w:val="single" w:sz="8" w:space="0" w:color="auto"/>
              <w:right w:val="nil"/>
            </w:tcBorders>
            <w:shd w:val="clear" w:color="000000" w:fill="D9D9D9"/>
            <w:noWrap/>
            <w:hideMark/>
          </w:tcPr>
          <w:p w14:paraId="618F143E"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-171,0%</w:t>
            </w:r>
          </w:p>
        </w:tc>
        <w:tc>
          <w:tcPr>
            <w:tcW w:w="1275" w:type="dxa"/>
            <w:tcBorders>
              <w:top w:val="single" w:sz="4" w:space="0" w:color="auto"/>
              <w:left w:val="nil"/>
              <w:bottom w:val="single" w:sz="8" w:space="0" w:color="auto"/>
              <w:right w:val="nil"/>
            </w:tcBorders>
            <w:shd w:val="clear" w:color="000000" w:fill="D9D9D9"/>
            <w:noWrap/>
            <w:hideMark/>
          </w:tcPr>
          <w:p w14:paraId="490878FF"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-145 286 497</w:t>
            </w:r>
          </w:p>
        </w:tc>
        <w:tc>
          <w:tcPr>
            <w:tcW w:w="709" w:type="dxa"/>
            <w:tcBorders>
              <w:top w:val="single" w:sz="4" w:space="0" w:color="auto"/>
              <w:left w:val="nil"/>
              <w:bottom w:val="single" w:sz="8" w:space="0" w:color="auto"/>
              <w:right w:val="nil"/>
            </w:tcBorders>
            <w:shd w:val="clear" w:color="000000" w:fill="D9D9D9"/>
            <w:noWrap/>
            <w:hideMark/>
          </w:tcPr>
          <w:p w14:paraId="6516ACBF"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-51,8%</w:t>
            </w:r>
          </w:p>
        </w:tc>
        <w:tc>
          <w:tcPr>
            <w:tcW w:w="1134" w:type="dxa"/>
            <w:tcBorders>
              <w:top w:val="single" w:sz="4" w:space="0" w:color="auto"/>
              <w:left w:val="nil"/>
              <w:bottom w:val="single" w:sz="8" w:space="0" w:color="auto"/>
              <w:right w:val="nil"/>
            </w:tcBorders>
            <w:shd w:val="clear" w:color="000000" w:fill="D9D9D9"/>
            <w:noWrap/>
            <w:hideMark/>
          </w:tcPr>
          <w:p w14:paraId="31EDFA9F" w14:textId="77777777" w:rsidR="00FB260E" w:rsidRPr="001A356F" w:rsidRDefault="00FB260E" w:rsidP="00FB260E">
            <w:pPr>
              <w:spacing w:after="0" w:line="240" w:lineRule="auto"/>
              <w:jc w:val="right"/>
              <w:rPr>
                <w:b/>
                <w:bCs/>
                <w:color w:val="000000"/>
                <w:sz w:val="18"/>
                <w:szCs w:val="18"/>
                <w:lang w:eastAsia="sk-SK"/>
              </w:rPr>
            </w:pPr>
            <w:r w:rsidRPr="001A356F">
              <w:rPr>
                <w:sz w:val="18"/>
                <w:szCs w:val="18"/>
              </w:rPr>
              <w:t>-54 615 236</w:t>
            </w:r>
          </w:p>
        </w:tc>
      </w:tr>
    </w:tbl>
    <w:p w14:paraId="53C9B18A" w14:textId="27D71B66" w:rsidR="00FB260E" w:rsidRPr="00A21CCA" w:rsidRDefault="00FB260E" w:rsidP="006000EB">
      <w:pPr>
        <w:jc w:val="both"/>
        <w:rPr>
          <w:sz w:val="18"/>
          <w:szCs w:val="18"/>
        </w:rPr>
      </w:pPr>
      <w:r w:rsidRPr="00A21CCA">
        <w:rPr>
          <w:sz w:val="18"/>
          <w:szCs w:val="18"/>
        </w:rPr>
        <w:t>*Pre účely Súhrnnej výročnej správy implicitné záväzky vyplývajúce z dôchodkového systém</w:t>
      </w:r>
      <w:r w:rsidR="002E40C1">
        <w:rPr>
          <w:sz w:val="18"/>
          <w:szCs w:val="18"/>
        </w:rPr>
        <w:t>u neobsahujú výsluhové dôchodky počítané v rámci účtovnej rezervy Ministerstva financií SR.</w:t>
      </w:r>
      <w:r w:rsidR="00093C11">
        <w:rPr>
          <w:sz w:val="18"/>
          <w:szCs w:val="18"/>
        </w:rPr>
        <w:t xml:space="preserve">                                                            Zdroj: MF SR</w:t>
      </w:r>
    </w:p>
    <w:p w14:paraId="7BACE454" w14:textId="77777777" w:rsidR="00FB260E" w:rsidRPr="006000EB" w:rsidRDefault="00FB260E" w:rsidP="006000EB">
      <w:pPr>
        <w:spacing w:before="240" w:after="120" w:line="336" w:lineRule="auto"/>
        <w:jc w:val="both"/>
        <w:rPr>
          <w:b/>
        </w:rPr>
      </w:pPr>
      <w:r w:rsidRPr="006000EB">
        <w:rPr>
          <w:b/>
        </w:rPr>
        <w:t>Hodnota celkových implicitných záväzkov ku koncu roku 2018</w:t>
      </w:r>
      <w:r>
        <w:rPr>
          <w:rStyle w:val="Odkaznapoznmkupodiarou"/>
          <w:rFonts w:eastAsiaTheme="majorEastAsia"/>
        </w:rPr>
        <w:footnoteReference w:id="28"/>
      </w:r>
      <w:r w:rsidRPr="006000EB">
        <w:rPr>
          <w:b/>
        </w:rPr>
        <w:t xml:space="preserve"> predstavovala 222,8 % HDP</w:t>
      </w:r>
      <w:r w:rsidRPr="00205D25">
        <w:rPr>
          <w:rStyle w:val="Odkaznapoznmkupodiarou"/>
          <w:rFonts w:eastAsiaTheme="majorEastAsia"/>
        </w:rPr>
        <w:footnoteReference w:id="29"/>
      </w:r>
      <w:r w:rsidRPr="006000EB">
        <w:rPr>
          <w:b/>
        </w:rPr>
        <w:t>. V porovnaní s rokom 2017 vzrástla o 51,8 p.b. Táto zmena je primárne výsledkom aktualizácie makroekonomických údajov (vrátane prognózy príjmov) a posunom východiskového a koncového roka.</w:t>
      </w:r>
      <w:r w:rsidRPr="00205D25">
        <w:rPr>
          <w:rStyle w:val="Odkaznapoznmkupodiarou"/>
          <w:rFonts w:eastAsiaTheme="majorEastAsia"/>
        </w:rPr>
        <w:footnoteReference w:id="30"/>
      </w:r>
      <w:r w:rsidRPr="006000EB">
        <w:rPr>
          <w:b/>
        </w:rPr>
        <w:t xml:space="preserve"> </w:t>
      </w:r>
    </w:p>
    <w:p w14:paraId="32C06B9E" w14:textId="77777777" w:rsidR="00FB260E" w:rsidRPr="00FB260E" w:rsidRDefault="00FB260E" w:rsidP="00FB260E">
      <w:pPr>
        <w:spacing w:before="240" w:after="120" w:line="336" w:lineRule="auto"/>
        <w:jc w:val="both"/>
        <w:rPr>
          <w:szCs w:val="22"/>
        </w:rPr>
      </w:pPr>
      <w:r w:rsidRPr="00FB260E">
        <w:rPr>
          <w:b/>
          <w:color w:val="000000" w:themeColor="text1"/>
          <w:shd w:val="clear" w:color="auto" w:fill="FFFFFF"/>
        </w:rPr>
        <w:t>Takmer celú výšku implicitných záväzkov aj ich medziročnú zmenu vysvetľujú prognózy výdavkov súvisiacich so starnutím populácie</w:t>
      </w:r>
      <w:r w:rsidRPr="00FB260E">
        <w:rPr>
          <w:color w:val="000000" w:themeColor="text1"/>
          <w:shd w:val="clear" w:color="auto" w:fill="FFFFFF"/>
        </w:rPr>
        <w:t>. Na časovom horizonte do roku 2062 narástli oproti minulému roku implicitné záväzky súvisiace so starnutím o 11,4 p.b HDP</w:t>
      </w:r>
      <w:r w:rsidRPr="00FB260E">
        <w:rPr>
          <w:szCs w:val="22"/>
        </w:rPr>
        <w:t xml:space="preserve">. Väčšia časť zmeny vo výške 40 p.b. HDP sa tak odohráva v dlhodobom neohraničenom horizonte po roku 2062. </w:t>
      </w:r>
    </w:p>
    <w:p w14:paraId="1AED650B" w14:textId="77777777" w:rsidR="00FB260E" w:rsidRPr="00FB260E" w:rsidRDefault="00FB260E" w:rsidP="009A1229">
      <w:pPr>
        <w:spacing w:before="120" w:after="120" w:line="336" w:lineRule="auto"/>
        <w:jc w:val="both"/>
      </w:pPr>
      <w:r w:rsidRPr="00FB260E">
        <w:rPr>
          <w:b/>
        </w:rPr>
        <w:t xml:space="preserve">Najväčšími prispievateľmi k úrovni implicitných záväzkov sú projekcie súvisiace s dôchodkovým systémom a zdravotníctvom, spolu na úrovni 162,4 % HDP. </w:t>
      </w:r>
      <w:r w:rsidRPr="00FB260E">
        <w:t xml:space="preserve">Pri záväzkoch do dôchodkového systému došlo medziročne aj k najvýraznejšiemu nárastu o 25,4 p.b. Toto zvýšenie možno pripísať hlavne zhoršeniu výhľadu makroekonomického vývoja </w:t>
      </w:r>
      <w:r w:rsidRPr="00FB260E">
        <w:rPr>
          <w:color w:val="000000" w:themeColor="text1"/>
          <w:shd w:val="clear" w:color="auto" w:fill="FFFFFF"/>
        </w:rPr>
        <w:t>v poslednom roku projekcií, ktorá determinuje výšku implicitných záväzkov v dlhodobom horizonte.</w:t>
      </w:r>
      <w:r>
        <w:rPr>
          <w:rStyle w:val="Odkaznapoznmkupodiarou"/>
          <w:rFonts w:eastAsiaTheme="majorEastAsia"/>
          <w:color w:val="000000" w:themeColor="text1"/>
          <w:szCs w:val="22"/>
          <w:lang w:val="en-US"/>
        </w:rPr>
        <w:footnoteReference w:id="31"/>
      </w:r>
      <w:r w:rsidRPr="00FB260E">
        <w:rPr>
          <w:color w:val="000000" w:themeColor="text1"/>
          <w:shd w:val="clear" w:color="auto" w:fill="FFFFFF"/>
        </w:rPr>
        <w:t xml:space="preserve"> Z rovnakých dôvodov bolo n</w:t>
      </w:r>
      <w:r w:rsidRPr="00FB260E">
        <w:t>avýšenie záväzkov v pomere k HDP  zaznamenané aj v oblasti zdravotníctva, školstva a dlhodobej starostlivosti v priemere o 8,4 p.b. HDP. Jedinou oblasťou, ktorá tak aktuálne prispieva k miernemu zlepšeniu implicitných záväzkov  vyplývajúcich zo starnutia obyvateľstva je oblasť poistenia v nezamestnanosti (0,4 p.b. HDP).</w:t>
      </w:r>
    </w:p>
    <w:p w14:paraId="204A05E7" w14:textId="77777777" w:rsidR="00FB260E" w:rsidRPr="00FB260E" w:rsidRDefault="00FB260E" w:rsidP="009A1229">
      <w:pPr>
        <w:spacing w:before="120" w:after="120" w:line="336" w:lineRule="auto"/>
        <w:jc w:val="both"/>
      </w:pPr>
      <w:r w:rsidRPr="00FB260E">
        <w:rPr>
          <w:b/>
        </w:rPr>
        <w:t xml:space="preserve">Záväzky súvisiace s PPP projektmi predstavujú 3,8 % HDP. Sú kvantifikované na základe odhadu platieb štátu za dostupnosť počas ich celej doby trvania koncesie (pri projektoch rýchlostnej cesty R1 a novom projekte výstavby väzenského zariadenia do roku 2041 a pri projekte D4R7 do roku 2050). </w:t>
      </w:r>
      <w:r w:rsidRPr="00FB260E">
        <w:t>Vláda Slovenskej republiky schválila Uznesením vlády Slovenskej republiky č. 97/2018 z februára 2018 návrh realizácie projektu „Výstavba väzenského zariadenia Rimavská Sobota – Sabová formou verejno-súkromného partnerstva“. Projekt výstavby väzenského zariadenia je aktuálne vo fáze verejného obstarávania. Samotná výstavba by sa mohla začať na konci druhého polroku 2020. Aktuálny príspevok tohto PPP projektu k implicitným záväzkom predstavuje 0,3 % HDP vychádzajúc z projekcie ročných platieb za dostupnosť.</w:t>
      </w:r>
    </w:p>
    <w:p w14:paraId="52D13D84" w14:textId="46180B9B" w:rsidR="009A1229" w:rsidRDefault="00FB260E" w:rsidP="009A1229">
      <w:pPr>
        <w:autoSpaceDE w:val="0"/>
        <w:autoSpaceDN w:val="0"/>
        <w:adjustRightInd w:val="0"/>
        <w:spacing w:before="120" w:line="336" w:lineRule="auto"/>
        <w:jc w:val="both"/>
      </w:pPr>
      <w:r w:rsidRPr="00FB260E">
        <w:rPr>
          <w:b/>
        </w:rPr>
        <w:t>Výšku celkových implicitných záväzkov mierne kompenzuje schéma vyraďovania jadrových zaradení, s pozitívnym vplyvom 2,9 % HDP.</w:t>
      </w:r>
      <w:r w:rsidRPr="00FB260E">
        <w:t xml:space="preserve"> Implicitný záväzok súvisiaci s Národným jadrovým fondom vyplýva z financovania vyraďovania jadrových zariadení. Veľkosť budúcich nákladov výraznejšie porastie kvôli zvyšujúcim sa nákladom na skladovanie a likvidáciu jadrového odpadu. Avšak v celom  horizonte,  najmä vďaka kumulujúcemu sa prebytku fondu v prvých dekádach, je vplyv Národného jadrového fondu kladný. Vplyv vo výške 2,9 % HDP tak mierne znižuje celkové implicitné záväzky.</w:t>
      </w:r>
    </w:p>
    <w:p w14:paraId="238215FF" w14:textId="77777777" w:rsidR="009A1229" w:rsidRDefault="009A1229">
      <w:r>
        <w:br w:type="page"/>
      </w:r>
    </w:p>
    <w:p w14:paraId="1FBA7436" w14:textId="77777777" w:rsidR="008117A9" w:rsidRPr="00AF3958" w:rsidRDefault="008117A9" w:rsidP="0037310C">
      <w:pPr>
        <w:pStyle w:val="Nadpis3"/>
        <w:numPr>
          <w:ilvl w:val="2"/>
          <w:numId w:val="24"/>
        </w:numPr>
      </w:pPr>
      <w:bookmarkStart w:id="76" w:name="_Toc495990499"/>
      <w:bookmarkStart w:id="77" w:name="_Toc23264811"/>
      <w:r w:rsidRPr="00AF3958">
        <w:t>Podmienené záväzky</w:t>
      </w:r>
      <w:bookmarkEnd w:id="76"/>
      <w:bookmarkEnd w:id="77"/>
    </w:p>
    <w:p w14:paraId="2A139D1A" w14:textId="24E65B8F" w:rsidR="006000EB" w:rsidRPr="006000EB" w:rsidRDefault="006000EB" w:rsidP="006000EB">
      <w:pPr>
        <w:spacing w:after="120" w:line="336" w:lineRule="auto"/>
        <w:jc w:val="both"/>
        <w:rPr>
          <w:bCs/>
        </w:rPr>
      </w:pPr>
      <w:r w:rsidRPr="006000EB">
        <w:rPr>
          <w:bCs/>
        </w:rPr>
        <w:t xml:space="preserve">Podmienené záväzky sú určitým druhom iných pasív, ktoré za určitých okolností môžu negatívne ovplyvniť finančnú situáciu účtovnej jednotky resp. štátu či územnej samosprávy (v závislosti od toho, aký subjekt podmienené záväzky vykazuje). Tieto záväzky nie sú vykazované na súvahových položkách pasív, pretože nie sú splnené podmienky pre ich zaúčtovanie (výška takéhoto ,,neistého“ záväzku sa nedá spoľahlivo oceniť, obdobie, ku ktorému sa povinnosť viaže nie je určené alebo úbytok ekonomických úžitkov v budúcnosti nie je istý). Z tohto dôvodu nie je možné </w:t>
      </w:r>
      <w:r w:rsidR="009A1229">
        <w:rPr>
          <w:bCs/>
        </w:rPr>
        <w:t>jednoznačne</w:t>
      </w:r>
      <w:r w:rsidRPr="006000EB">
        <w:rPr>
          <w:bCs/>
        </w:rPr>
        <w:t xml:space="preserve"> odhadnúť vplyv na verejné financie z pohľadu času a už vôbec nie je možné stotožňovať hodnotu vyčíslených podmienených záväzkov v danom roku s aktuálnou potrebou peňažných prostriedkov na plnenie takýchto ,,možných“ povinností. </w:t>
      </w:r>
    </w:p>
    <w:p w14:paraId="4D7EBAF2" w14:textId="77777777" w:rsidR="006000EB" w:rsidRPr="006000EB" w:rsidRDefault="006000EB" w:rsidP="006000EB">
      <w:pPr>
        <w:spacing w:after="120" w:line="336" w:lineRule="auto"/>
        <w:jc w:val="both"/>
        <w:rPr>
          <w:bCs/>
        </w:rPr>
      </w:pPr>
      <w:r w:rsidRPr="006000EB">
        <w:rPr>
          <w:bCs/>
        </w:rPr>
        <w:t>Podľa ústavného zákona o rozpočtovej zodpovednosti sú podmienené záväzky súčasťou</w:t>
      </w:r>
      <w:r w:rsidRPr="006000EB">
        <w:rPr>
          <w:bCs/>
        </w:rPr>
        <w:br/>
        <w:t>Návrhu rozpočtu verejnej správy (v prílohe č. 4), ktorý každoročne zostavuje Ministerstvo financií SR. Informácia v návrhu rozpočtu je najmä pre účely hodnotenia dlhodobej udržateľnosti a výpočtu základného scenára zo strany Rady pre rozpočtovú zodpovednosť, ako aj transparentné zverejňovanie mimobilančných položiek s potenciálnym vplyvom na verejné financie.</w:t>
      </w:r>
    </w:p>
    <w:p w14:paraId="11D6C137" w14:textId="77777777" w:rsidR="006000EB" w:rsidRPr="006000EB" w:rsidRDefault="006000EB" w:rsidP="006000EB">
      <w:pPr>
        <w:spacing w:after="120" w:line="336" w:lineRule="auto"/>
        <w:jc w:val="both"/>
        <w:rPr>
          <w:bCs/>
        </w:rPr>
      </w:pPr>
      <w:r w:rsidRPr="006000EB">
        <w:rPr>
          <w:bCs/>
        </w:rPr>
        <w:t xml:space="preserve">Požiadavku na zverejňovanie podmienených záväzkov obsahuje aj európska legislatíva, a to konkrétne smernica Rady 2011/85/EÚ o požiadavkách na rozpočtové rámce členský štátov. Podľa článku 14 ods. 3 tejto smernice členské štáty za všetky subsektory verejnej správy ,,uverejnia príslušné informácie o podmienených záväzkoch s možným veľkým vplyvom na rozpočet verejnej správy vrátane štátnych záruk, problémových úverov a záväzkov vyplývajúcich z činnosti verejnoprávnych korporácií vrátane ich rozsahu“. Podľa tejto smernice sa pravidelne zverejňujú záväzky zo záruk, mimobilančných projektov PPP a nesplácané úvery. </w:t>
      </w:r>
    </w:p>
    <w:p w14:paraId="76BF12A6" w14:textId="77777777" w:rsidR="006000EB" w:rsidRPr="006000EB" w:rsidRDefault="006000EB" w:rsidP="006000EB">
      <w:pPr>
        <w:spacing w:after="120" w:line="336" w:lineRule="auto"/>
        <w:jc w:val="both"/>
        <w:rPr>
          <w:bCs/>
        </w:rPr>
      </w:pPr>
      <w:r w:rsidRPr="006000EB">
        <w:rPr>
          <w:bCs/>
        </w:rPr>
        <w:t xml:space="preserve">Z uvedeného vyplýva, že aj pri podmienených záväzkoch existuje viacero metodických prístupov a na konkrétne podmienené záväzky je možné nazerať odlišne. V ekonomickej teórii, ale aj v legislatívnej praxi účtovníctva sa ako ostatné pasíva (širší pojem od podmienených záväzkov) spomínajú najčastejšie </w:t>
      </w:r>
      <w:r w:rsidRPr="006000EB">
        <w:rPr>
          <w:bCs/>
          <w:u w:val="single"/>
        </w:rPr>
        <w:t>pasíva</w:t>
      </w:r>
      <w:r w:rsidRPr="006000EB">
        <w:rPr>
          <w:bCs/>
        </w:rPr>
        <w:t xml:space="preserve"> z prebiehajúcich alebo hroziacich súdnych sporov, z poskytnutých záruk, zo všeobecne záväzných právnych predpisov alebo sú to </w:t>
      </w:r>
      <w:r w:rsidRPr="006000EB">
        <w:rPr>
          <w:bCs/>
          <w:u w:val="single"/>
        </w:rPr>
        <w:t>iné finančné povinnosti</w:t>
      </w:r>
      <w:r w:rsidRPr="006000EB">
        <w:rPr>
          <w:bCs/>
        </w:rPr>
        <w:t xml:space="preserve"> ako napríklad z devízových termínovaných obchodov, z opčných obchodov, zákonná alebo zmluvná povinnosť odobrať určité produkty, napríklad z dodávateľských zmlúv a odberateľských zmlúv, povinnosti z nájomných zmlúv, koncesionárskych a iných zmlúv. </w:t>
      </w:r>
    </w:p>
    <w:p w14:paraId="1B3B68F0" w14:textId="76DA32BD" w:rsidR="006000EB" w:rsidRPr="006000EB" w:rsidRDefault="006000EB" w:rsidP="006000EB">
      <w:pPr>
        <w:spacing w:after="120" w:line="336" w:lineRule="auto"/>
        <w:jc w:val="both"/>
        <w:rPr>
          <w:bCs/>
        </w:rPr>
      </w:pPr>
      <w:r w:rsidRPr="006000EB">
        <w:rPr>
          <w:bCs/>
        </w:rPr>
        <w:t>Subjekty verejnej správy majú z podstaty svojej činnosti často špecifické položky nielen na riadnych záväzkoch, ale aj v iných pasívach. Z pohľadu prezentácie údajov v účtovnej závierke často zverejňujú aj informácie, ktoré nemusia predstavovať podmienené záväzky, ale pre účely splnenia si povinnosti poskytnúť užívateľovi účtovnej závierky významné informácie, uvedú ich medzi mimobilančné položky. Ministerstvo financií priebežne pracuje na zlepšovaní údajovej databázy (nie len) podmienených záväzkov a v porovnaní s rokom 2017 sa Ministerstvo financií SR rozhodlo do podmienených záväzkov nezapočítavať hodnotu plánovaných investičných resp. kapitálových výdavkov v prípade, že takéto informácie subjekty uviedli v ostatných pasívach.</w:t>
      </w:r>
      <w:r w:rsidR="009A1229">
        <w:rPr>
          <w:bCs/>
        </w:rPr>
        <w:br/>
      </w:r>
      <w:r w:rsidRPr="006000EB">
        <w:rPr>
          <w:bCs/>
        </w:rPr>
        <w:t xml:space="preserve">Dôvodom je snaha prezentovať záväzky, ktorých výška alebo plnenie je podmienené udalosťou či udalosťami, ktoré subjekt nemá pod kontrolou. Ak ide o plánovanie investičných výdavkov, ide o zrejmú aktivitu, na ktorú subjekt potrebuje vyčleniť aj príslušné zdroje, pričom nie je rozhodujúce, či sa v skutočnosti investície aj zrealizujú alebo či sa zrealizujú v plánovanej výške. </w:t>
      </w:r>
    </w:p>
    <w:p w14:paraId="513571C3" w14:textId="77777777" w:rsidR="006000EB" w:rsidRPr="006000EB" w:rsidRDefault="006000EB" w:rsidP="006000EB">
      <w:pPr>
        <w:spacing w:after="120" w:line="336" w:lineRule="auto"/>
        <w:jc w:val="both"/>
        <w:rPr>
          <w:bCs/>
        </w:rPr>
      </w:pPr>
      <w:r w:rsidRPr="006000EB">
        <w:rPr>
          <w:bCs/>
        </w:rPr>
        <w:t>V súhrnnej výročnej správe sú preto podmienené záväzky chápané podľa účtovnej definície (uvedenej v prvom odseku) a sú predmetom analytického skúmania s väzbou na výpočet čistého bohatstva.</w:t>
      </w:r>
    </w:p>
    <w:p w14:paraId="0A5A36FC" w14:textId="77777777" w:rsidR="006000EB" w:rsidRPr="0055657F" w:rsidRDefault="006000EB" w:rsidP="006000EB">
      <w:pPr>
        <w:spacing w:after="120" w:line="336" w:lineRule="auto"/>
        <w:jc w:val="both"/>
      </w:pPr>
      <w:r w:rsidRPr="006000EB">
        <w:rPr>
          <w:b/>
        </w:rPr>
        <w:t>Celkové podmienené záväzky verejného sektora boli k 31.12.2018 vykázané vo výške</w:t>
      </w:r>
      <w:r w:rsidRPr="006000EB">
        <w:rPr>
          <w:b/>
        </w:rPr>
        <w:br/>
        <w:t>17 257 719 tis. eur</w:t>
      </w:r>
      <w:r w:rsidRPr="0055657F">
        <w:rPr>
          <w:rStyle w:val="Odkaznapoznmkupodiarou"/>
          <w:rFonts w:eastAsiaTheme="majorEastAsia"/>
        </w:rPr>
        <w:footnoteReference w:id="32"/>
      </w:r>
      <w:r w:rsidRPr="006000EB">
        <w:rPr>
          <w:b/>
        </w:rPr>
        <w:t xml:space="preserve"> (16 % HDP).</w:t>
      </w:r>
      <w:r w:rsidRPr="0055657F">
        <w:t xml:space="preserve"> V rámci verejného sektora stúpol podiel podmienených záväzkov v subsektore ústrednej správy takmer na 100 %. Len minimálna časť pripadá na samosprávu, ktorá okrem obcí a vyšších územných celkov ako samostatných subjektov, zahŕňa aj ich príslušné rozpočtové a príspevkové organizácie a obchodné spoločnosti. Medziročný nárast celkových podmienených záväzkov o 3 430 411 tis. eur bol spôsobený najmä nárastom hodnoty súdnych sporov v rozpočtových organizáciách štátu a zahrnutím údajov od ďalších obchodných spoločností ústrednej správy</w:t>
      </w:r>
      <w:r w:rsidRPr="0055657F">
        <w:rPr>
          <w:rStyle w:val="Odkaznapoznmkupodiarou"/>
          <w:rFonts w:eastAsiaTheme="majorEastAsia"/>
        </w:rPr>
        <w:footnoteReference w:id="33"/>
      </w:r>
      <w:r w:rsidRPr="0055657F">
        <w:br/>
        <w:t>(ide o podniky v správe MH Manažment, a.s. a podniky, v ktorých ústredné orgány štátnej správy majú menšinový podiel). Na medziročnom prírastku sa podieľalo najmä Ministerstvo financií SR</w:t>
      </w:r>
      <w:r w:rsidRPr="0055657F">
        <w:br/>
        <w:t>(prírastok súdnych sporov o takmer 1 mld. eur), Slovenské elektrárne, a.s. (záložné právo veriteľov na majetok v hodnote 2,7 mld. eur pripadajúci na 34 % vlastnícky podiel štátu) a podmienené pasíva ostatných podnikov, ktoré boli zahrnuté do výpočtu k 31.12.2018 prvý krát.</w:t>
      </w:r>
    </w:p>
    <w:tbl>
      <w:tblPr>
        <w:tblW w:w="9072" w:type="dxa"/>
        <w:tblCellMar>
          <w:left w:w="70" w:type="dxa"/>
          <w:right w:w="70" w:type="dxa"/>
        </w:tblCellMar>
        <w:tblLook w:val="04A0" w:firstRow="1" w:lastRow="0" w:firstColumn="1" w:lastColumn="0" w:noHBand="0" w:noVBand="1"/>
      </w:tblPr>
      <w:tblGrid>
        <w:gridCol w:w="3544"/>
        <w:gridCol w:w="160"/>
        <w:gridCol w:w="1417"/>
        <w:gridCol w:w="1418"/>
        <w:gridCol w:w="1276"/>
        <w:gridCol w:w="1257"/>
      </w:tblGrid>
      <w:tr w:rsidR="006000EB" w:rsidRPr="001A356F" w14:paraId="0057867E" w14:textId="77777777" w:rsidTr="003D4C66">
        <w:trPr>
          <w:trHeight w:val="420"/>
        </w:trPr>
        <w:tc>
          <w:tcPr>
            <w:tcW w:w="9072" w:type="dxa"/>
            <w:gridSpan w:val="6"/>
            <w:tcBorders>
              <w:top w:val="nil"/>
              <w:left w:val="nil"/>
              <w:bottom w:val="single" w:sz="4" w:space="0" w:color="auto"/>
              <w:right w:val="nil"/>
            </w:tcBorders>
            <w:shd w:val="clear" w:color="000000" w:fill="000000"/>
            <w:noWrap/>
            <w:vAlign w:val="center"/>
            <w:hideMark/>
          </w:tcPr>
          <w:p w14:paraId="41FC1FAA" w14:textId="5D8BFBDD" w:rsidR="006000EB" w:rsidRPr="001A356F" w:rsidRDefault="006000EB" w:rsidP="001A356F">
            <w:pPr>
              <w:spacing w:after="0" w:line="240" w:lineRule="auto"/>
              <w:ind w:left="2"/>
              <w:rPr>
                <w:b/>
                <w:bCs/>
                <w:color w:val="FFFFFF"/>
                <w:sz w:val="20"/>
                <w:szCs w:val="20"/>
                <w:lang w:eastAsia="sk-SK"/>
              </w:rPr>
            </w:pPr>
            <w:r w:rsidRPr="001A356F">
              <w:rPr>
                <w:sz w:val="20"/>
                <w:szCs w:val="20"/>
              </w:rPr>
              <w:br w:type="page"/>
            </w:r>
            <w:r w:rsidRPr="001A356F">
              <w:rPr>
                <w:b/>
                <w:bCs/>
                <w:color w:val="FFFFFF"/>
                <w:sz w:val="20"/>
                <w:szCs w:val="20"/>
                <w:lang w:eastAsia="sk-SK"/>
              </w:rPr>
              <w:t xml:space="preserve">Podmienené záväzky podľa zložiek verejného sektora                                                  </w:t>
            </w:r>
            <w:r w:rsidR="003D4C66" w:rsidRPr="001A356F">
              <w:rPr>
                <w:b/>
                <w:bCs/>
                <w:color w:val="FFFFFF"/>
                <w:sz w:val="20"/>
                <w:szCs w:val="20"/>
                <w:lang w:eastAsia="sk-SK"/>
              </w:rPr>
              <w:t xml:space="preserve">                     </w:t>
            </w:r>
            <w:r w:rsidRPr="001A356F">
              <w:rPr>
                <w:b/>
                <w:bCs/>
                <w:color w:val="FFFFFF"/>
                <w:sz w:val="20"/>
                <w:szCs w:val="20"/>
                <w:lang w:eastAsia="sk-SK"/>
              </w:rPr>
              <w:t xml:space="preserve"> </w:t>
            </w:r>
            <w:r w:rsidR="003D4C66" w:rsidRPr="001A356F">
              <w:rPr>
                <w:b/>
                <w:bCs/>
                <w:color w:val="FFFFFF"/>
                <w:sz w:val="20"/>
                <w:szCs w:val="20"/>
                <w:lang w:eastAsia="sk-SK"/>
              </w:rPr>
              <w:t>v tis. eur</w:t>
            </w:r>
          </w:p>
        </w:tc>
      </w:tr>
      <w:tr w:rsidR="006000EB" w:rsidRPr="001A356F" w14:paraId="24C09F20" w14:textId="77777777" w:rsidTr="00500BD0">
        <w:trPr>
          <w:trHeight w:val="300"/>
        </w:trPr>
        <w:tc>
          <w:tcPr>
            <w:tcW w:w="3704" w:type="dxa"/>
            <w:gridSpan w:val="2"/>
            <w:tcBorders>
              <w:top w:val="nil"/>
              <w:left w:val="nil"/>
              <w:bottom w:val="nil"/>
              <w:right w:val="nil"/>
            </w:tcBorders>
            <w:shd w:val="clear" w:color="000000" w:fill="BFBFBF"/>
            <w:vAlign w:val="bottom"/>
            <w:hideMark/>
          </w:tcPr>
          <w:p w14:paraId="38CF390F"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 </w:t>
            </w:r>
          </w:p>
        </w:tc>
        <w:tc>
          <w:tcPr>
            <w:tcW w:w="1417" w:type="dxa"/>
            <w:tcBorders>
              <w:top w:val="nil"/>
              <w:left w:val="nil"/>
              <w:bottom w:val="nil"/>
              <w:right w:val="nil"/>
            </w:tcBorders>
            <w:shd w:val="clear" w:color="000000" w:fill="BFBFBF"/>
            <w:vAlign w:val="bottom"/>
            <w:hideMark/>
          </w:tcPr>
          <w:p w14:paraId="00CCD184"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 xml:space="preserve">   2016</w:t>
            </w:r>
          </w:p>
        </w:tc>
        <w:tc>
          <w:tcPr>
            <w:tcW w:w="1418" w:type="dxa"/>
            <w:tcBorders>
              <w:top w:val="nil"/>
              <w:left w:val="nil"/>
              <w:bottom w:val="nil"/>
              <w:right w:val="nil"/>
            </w:tcBorders>
            <w:shd w:val="clear" w:color="000000" w:fill="BFBFBF"/>
            <w:vAlign w:val="bottom"/>
            <w:hideMark/>
          </w:tcPr>
          <w:p w14:paraId="4C8E6761"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 xml:space="preserve">   2017</w:t>
            </w:r>
          </w:p>
        </w:tc>
        <w:tc>
          <w:tcPr>
            <w:tcW w:w="1276" w:type="dxa"/>
            <w:tcBorders>
              <w:top w:val="nil"/>
              <w:left w:val="nil"/>
              <w:bottom w:val="nil"/>
              <w:right w:val="nil"/>
            </w:tcBorders>
            <w:shd w:val="clear" w:color="000000" w:fill="BFBFBF"/>
            <w:vAlign w:val="bottom"/>
            <w:hideMark/>
          </w:tcPr>
          <w:p w14:paraId="0E20D773"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 xml:space="preserve">   2018</w:t>
            </w:r>
          </w:p>
        </w:tc>
        <w:tc>
          <w:tcPr>
            <w:tcW w:w="1257" w:type="dxa"/>
            <w:tcBorders>
              <w:top w:val="nil"/>
              <w:left w:val="nil"/>
              <w:bottom w:val="nil"/>
              <w:right w:val="nil"/>
            </w:tcBorders>
            <w:shd w:val="clear" w:color="000000" w:fill="BFBFBF"/>
            <w:vAlign w:val="bottom"/>
            <w:hideMark/>
          </w:tcPr>
          <w:p w14:paraId="1CF6023D"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Δ 2018-2017</w:t>
            </w:r>
          </w:p>
        </w:tc>
      </w:tr>
      <w:tr w:rsidR="006000EB" w:rsidRPr="001A356F" w14:paraId="6C796CD3" w14:textId="77777777" w:rsidTr="00500BD0">
        <w:trPr>
          <w:trHeight w:val="300"/>
        </w:trPr>
        <w:tc>
          <w:tcPr>
            <w:tcW w:w="3544" w:type="dxa"/>
            <w:tcBorders>
              <w:top w:val="single" w:sz="4" w:space="0" w:color="auto"/>
              <w:left w:val="nil"/>
              <w:bottom w:val="nil"/>
              <w:right w:val="nil"/>
            </w:tcBorders>
            <w:vAlign w:val="center"/>
            <w:hideMark/>
          </w:tcPr>
          <w:p w14:paraId="0CA5549D"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Ústredná správa a ostatné subjekty</w:t>
            </w:r>
          </w:p>
        </w:tc>
        <w:tc>
          <w:tcPr>
            <w:tcW w:w="160" w:type="dxa"/>
            <w:tcBorders>
              <w:top w:val="single" w:sz="4" w:space="0" w:color="auto"/>
              <w:left w:val="nil"/>
              <w:bottom w:val="nil"/>
              <w:right w:val="nil"/>
            </w:tcBorders>
            <w:noWrap/>
            <w:vAlign w:val="center"/>
          </w:tcPr>
          <w:p w14:paraId="3DABB12D" w14:textId="77777777" w:rsidR="006000EB" w:rsidRPr="001A356F" w:rsidRDefault="006000EB" w:rsidP="00500BD0">
            <w:pPr>
              <w:spacing w:after="0" w:line="336" w:lineRule="auto"/>
              <w:jc w:val="right"/>
              <w:rPr>
                <w:color w:val="000000"/>
                <w:sz w:val="20"/>
                <w:szCs w:val="20"/>
                <w:lang w:eastAsia="sk-SK"/>
              </w:rPr>
            </w:pPr>
          </w:p>
        </w:tc>
        <w:tc>
          <w:tcPr>
            <w:tcW w:w="1417" w:type="dxa"/>
            <w:tcBorders>
              <w:top w:val="single" w:sz="4" w:space="0" w:color="auto"/>
              <w:left w:val="nil"/>
              <w:bottom w:val="nil"/>
              <w:right w:val="nil"/>
            </w:tcBorders>
            <w:noWrap/>
            <w:vAlign w:val="center"/>
          </w:tcPr>
          <w:p w14:paraId="7EB8D047"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12 925 404</w:t>
            </w:r>
          </w:p>
        </w:tc>
        <w:tc>
          <w:tcPr>
            <w:tcW w:w="1418" w:type="dxa"/>
            <w:tcBorders>
              <w:top w:val="single" w:sz="4" w:space="0" w:color="auto"/>
              <w:left w:val="nil"/>
              <w:bottom w:val="nil"/>
              <w:right w:val="nil"/>
            </w:tcBorders>
            <w:noWrap/>
            <w:vAlign w:val="center"/>
          </w:tcPr>
          <w:p w14:paraId="131B3832"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13 778 276</w:t>
            </w:r>
          </w:p>
        </w:tc>
        <w:tc>
          <w:tcPr>
            <w:tcW w:w="1276" w:type="dxa"/>
            <w:tcBorders>
              <w:top w:val="single" w:sz="4" w:space="0" w:color="auto"/>
              <w:left w:val="nil"/>
              <w:bottom w:val="nil"/>
              <w:right w:val="nil"/>
            </w:tcBorders>
            <w:noWrap/>
            <w:vAlign w:val="center"/>
          </w:tcPr>
          <w:p w14:paraId="16478825"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17 203 830</w:t>
            </w:r>
          </w:p>
        </w:tc>
        <w:tc>
          <w:tcPr>
            <w:tcW w:w="1257" w:type="dxa"/>
            <w:tcBorders>
              <w:top w:val="single" w:sz="4" w:space="0" w:color="auto"/>
              <w:left w:val="nil"/>
              <w:bottom w:val="nil"/>
              <w:right w:val="nil"/>
            </w:tcBorders>
            <w:vAlign w:val="center"/>
          </w:tcPr>
          <w:p w14:paraId="513EACD6"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3 425 554</w:t>
            </w:r>
          </w:p>
        </w:tc>
      </w:tr>
      <w:tr w:rsidR="006000EB" w:rsidRPr="001A356F" w14:paraId="6B3E90B9" w14:textId="77777777" w:rsidTr="00500BD0">
        <w:trPr>
          <w:trHeight w:val="300"/>
        </w:trPr>
        <w:tc>
          <w:tcPr>
            <w:tcW w:w="3544" w:type="dxa"/>
            <w:tcBorders>
              <w:top w:val="nil"/>
              <w:left w:val="nil"/>
              <w:bottom w:val="nil"/>
              <w:right w:val="nil"/>
            </w:tcBorders>
            <w:vAlign w:val="center"/>
            <w:hideMark/>
          </w:tcPr>
          <w:p w14:paraId="0950C7C0"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Obce a ich účtovné jednotky</w:t>
            </w:r>
          </w:p>
        </w:tc>
        <w:tc>
          <w:tcPr>
            <w:tcW w:w="160" w:type="dxa"/>
            <w:tcBorders>
              <w:top w:val="nil"/>
              <w:left w:val="nil"/>
              <w:bottom w:val="nil"/>
              <w:right w:val="nil"/>
            </w:tcBorders>
            <w:vAlign w:val="center"/>
          </w:tcPr>
          <w:p w14:paraId="7B0BD635" w14:textId="77777777" w:rsidR="006000EB" w:rsidRPr="001A356F" w:rsidRDefault="006000EB" w:rsidP="00500BD0">
            <w:pPr>
              <w:spacing w:after="0" w:line="336" w:lineRule="auto"/>
              <w:jc w:val="right"/>
              <w:rPr>
                <w:color w:val="000000"/>
                <w:sz w:val="20"/>
                <w:szCs w:val="20"/>
                <w:lang w:eastAsia="sk-SK"/>
              </w:rPr>
            </w:pPr>
          </w:p>
        </w:tc>
        <w:tc>
          <w:tcPr>
            <w:tcW w:w="1417" w:type="dxa"/>
            <w:tcBorders>
              <w:top w:val="nil"/>
              <w:left w:val="nil"/>
              <w:bottom w:val="nil"/>
              <w:right w:val="nil"/>
            </w:tcBorders>
            <w:vAlign w:val="center"/>
          </w:tcPr>
          <w:p w14:paraId="102597B5"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21 477</w:t>
            </w:r>
          </w:p>
        </w:tc>
        <w:tc>
          <w:tcPr>
            <w:tcW w:w="1418" w:type="dxa"/>
            <w:tcBorders>
              <w:top w:val="nil"/>
              <w:left w:val="nil"/>
              <w:bottom w:val="nil"/>
              <w:right w:val="nil"/>
            </w:tcBorders>
            <w:vAlign w:val="center"/>
          </w:tcPr>
          <w:p w14:paraId="0D39B653"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48 522</w:t>
            </w:r>
          </w:p>
        </w:tc>
        <w:tc>
          <w:tcPr>
            <w:tcW w:w="1276" w:type="dxa"/>
            <w:tcBorders>
              <w:top w:val="nil"/>
              <w:left w:val="nil"/>
              <w:bottom w:val="nil"/>
              <w:right w:val="nil"/>
            </w:tcBorders>
            <w:vAlign w:val="center"/>
          </w:tcPr>
          <w:p w14:paraId="7A145123"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53 212</w:t>
            </w:r>
          </w:p>
        </w:tc>
        <w:tc>
          <w:tcPr>
            <w:tcW w:w="1257" w:type="dxa"/>
            <w:tcBorders>
              <w:top w:val="nil"/>
              <w:left w:val="nil"/>
              <w:bottom w:val="nil"/>
              <w:right w:val="nil"/>
            </w:tcBorders>
            <w:vAlign w:val="center"/>
          </w:tcPr>
          <w:p w14:paraId="78799463"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4 690</w:t>
            </w:r>
          </w:p>
        </w:tc>
      </w:tr>
      <w:tr w:rsidR="006000EB" w:rsidRPr="001A356F" w14:paraId="41EFBE6D" w14:textId="77777777" w:rsidTr="00500BD0">
        <w:trPr>
          <w:trHeight w:val="300"/>
        </w:trPr>
        <w:tc>
          <w:tcPr>
            <w:tcW w:w="3544" w:type="dxa"/>
            <w:tcBorders>
              <w:top w:val="nil"/>
              <w:left w:val="nil"/>
              <w:bottom w:val="nil"/>
              <w:right w:val="nil"/>
            </w:tcBorders>
            <w:vAlign w:val="center"/>
            <w:hideMark/>
          </w:tcPr>
          <w:p w14:paraId="5A4305A9"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VÚC a ich účtovné jednotky</w:t>
            </w:r>
          </w:p>
        </w:tc>
        <w:tc>
          <w:tcPr>
            <w:tcW w:w="160" w:type="dxa"/>
            <w:tcBorders>
              <w:top w:val="nil"/>
              <w:left w:val="nil"/>
              <w:bottom w:val="nil"/>
              <w:right w:val="nil"/>
            </w:tcBorders>
            <w:vAlign w:val="center"/>
          </w:tcPr>
          <w:p w14:paraId="583D195B" w14:textId="77777777" w:rsidR="006000EB" w:rsidRPr="001A356F" w:rsidRDefault="006000EB" w:rsidP="00500BD0">
            <w:pPr>
              <w:spacing w:after="0" w:line="336" w:lineRule="auto"/>
              <w:jc w:val="right"/>
              <w:rPr>
                <w:color w:val="000000"/>
                <w:sz w:val="20"/>
                <w:szCs w:val="20"/>
                <w:lang w:eastAsia="sk-SK"/>
              </w:rPr>
            </w:pPr>
          </w:p>
        </w:tc>
        <w:tc>
          <w:tcPr>
            <w:tcW w:w="1417" w:type="dxa"/>
            <w:tcBorders>
              <w:top w:val="nil"/>
              <w:left w:val="nil"/>
              <w:bottom w:val="nil"/>
              <w:right w:val="nil"/>
            </w:tcBorders>
            <w:vAlign w:val="center"/>
          </w:tcPr>
          <w:p w14:paraId="3B02A6A7"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1 247</w:t>
            </w:r>
          </w:p>
        </w:tc>
        <w:tc>
          <w:tcPr>
            <w:tcW w:w="1418" w:type="dxa"/>
            <w:tcBorders>
              <w:top w:val="nil"/>
              <w:left w:val="nil"/>
              <w:bottom w:val="nil"/>
              <w:right w:val="nil"/>
            </w:tcBorders>
            <w:vAlign w:val="center"/>
          </w:tcPr>
          <w:p w14:paraId="6FC03267"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510</w:t>
            </w:r>
          </w:p>
        </w:tc>
        <w:tc>
          <w:tcPr>
            <w:tcW w:w="1276" w:type="dxa"/>
            <w:tcBorders>
              <w:top w:val="nil"/>
              <w:left w:val="nil"/>
              <w:bottom w:val="nil"/>
              <w:right w:val="nil"/>
            </w:tcBorders>
            <w:vAlign w:val="center"/>
          </w:tcPr>
          <w:p w14:paraId="3B5A7C2D"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677</w:t>
            </w:r>
          </w:p>
        </w:tc>
        <w:tc>
          <w:tcPr>
            <w:tcW w:w="1257" w:type="dxa"/>
            <w:tcBorders>
              <w:top w:val="nil"/>
              <w:left w:val="nil"/>
              <w:bottom w:val="nil"/>
              <w:right w:val="nil"/>
            </w:tcBorders>
            <w:vAlign w:val="center"/>
          </w:tcPr>
          <w:p w14:paraId="195A8D69"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167</w:t>
            </w:r>
          </w:p>
        </w:tc>
      </w:tr>
      <w:tr w:rsidR="006000EB" w:rsidRPr="001A356F" w14:paraId="0C6D1CB9" w14:textId="77777777" w:rsidTr="00500BD0">
        <w:trPr>
          <w:trHeight w:val="300"/>
        </w:trPr>
        <w:tc>
          <w:tcPr>
            <w:tcW w:w="3704" w:type="dxa"/>
            <w:gridSpan w:val="2"/>
            <w:tcBorders>
              <w:top w:val="single" w:sz="4" w:space="0" w:color="auto"/>
              <w:left w:val="nil"/>
              <w:bottom w:val="single" w:sz="4" w:space="0" w:color="auto"/>
              <w:right w:val="nil"/>
            </w:tcBorders>
            <w:shd w:val="clear" w:color="000000" w:fill="BFBFBF"/>
            <w:noWrap/>
            <w:vAlign w:val="center"/>
            <w:hideMark/>
          </w:tcPr>
          <w:p w14:paraId="256927CD" w14:textId="77777777" w:rsidR="006000EB" w:rsidRPr="001A356F" w:rsidRDefault="006000EB" w:rsidP="00500BD0">
            <w:pPr>
              <w:spacing w:after="0" w:line="240" w:lineRule="auto"/>
              <w:rPr>
                <w:b/>
                <w:bCs/>
                <w:color w:val="000000"/>
                <w:sz w:val="20"/>
                <w:szCs w:val="20"/>
                <w:lang w:eastAsia="sk-SK"/>
              </w:rPr>
            </w:pPr>
            <w:r w:rsidRPr="001A356F">
              <w:rPr>
                <w:b/>
                <w:bCs/>
                <w:color w:val="000000"/>
                <w:sz w:val="20"/>
                <w:szCs w:val="20"/>
                <w:lang w:eastAsia="sk-SK"/>
              </w:rPr>
              <w:t>Spolu</w:t>
            </w:r>
          </w:p>
        </w:tc>
        <w:tc>
          <w:tcPr>
            <w:tcW w:w="1417" w:type="dxa"/>
            <w:tcBorders>
              <w:top w:val="single" w:sz="4" w:space="0" w:color="auto"/>
              <w:left w:val="nil"/>
              <w:bottom w:val="single" w:sz="4" w:space="0" w:color="auto"/>
              <w:right w:val="nil"/>
            </w:tcBorders>
            <w:shd w:val="clear" w:color="000000" w:fill="BFBFBF"/>
            <w:noWrap/>
            <w:vAlign w:val="center"/>
          </w:tcPr>
          <w:p w14:paraId="4E28B2E5"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12 948 128</w:t>
            </w:r>
          </w:p>
        </w:tc>
        <w:tc>
          <w:tcPr>
            <w:tcW w:w="1418" w:type="dxa"/>
            <w:tcBorders>
              <w:top w:val="single" w:sz="4" w:space="0" w:color="auto"/>
              <w:left w:val="nil"/>
              <w:bottom w:val="single" w:sz="4" w:space="0" w:color="auto"/>
              <w:right w:val="nil"/>
            </w:tcBorders>
            <w:shd w:val="clear" w:color="000000" w:fill="BFBFBF"/>
            <w:noWrap/>
            <w:vAlign w:val="center"/>
          </w:tcPr>
          <w:p w14:paraId="0A63E9B7"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13 827 308</w:t>
            </w:r>
          </w:p>
        </w:tc>
        <w:tc>
          <w:tcPr>
            <w:tcW w:w="1276" w:type="dxa"/>
            <w:tcBorders>
              <w:top w:val="single" w:sz="4" w:space="0" w:color="auto"/>
              <w:left w:val="nil"/>
              <w:bottom w:val="single" w:sz="4" w:space="0" w:color="auto"/>
              <w:right w:val="nil"/>
            </w:tcBorders>
            <w:shd w:val="clear" w:color="000000" w:fill="BFBFBF"/>
            <w:noWrap/>
            <w:vAlign w:val="center"/>
          </w:tcPr>
          <w:p w14:paraId="3609C1E3"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17 257 719</w:t>
            </w:r>
          </w:p>
        </w:tc>
        <w:tc>
          <w:tcPr>
            <w:tcW w:w="1257" w:type="dxa"/>
            <w:tcBorders>
              <w:top w:val="single" w:sz="4" w:space="0" w:color="auto"/>
              <w:left w:val="nil"/>
              <w:bottom w:val="single" w:sz="4" w:space="0" w:color="auto"/>
              <w:right w:val="nil"/>
            </w:tcBorders>
            <w:shd w:val="clear" w:color="000000" w:fill="BFBFBF"/>
            <w:noWrap/>
            <w:vAlign w:val="center"/>
          </w:tcPr>
          <w:p w14:paraId="2F5FE1FB"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3 430 411</w:t>
            </w:r>
          </w:p>
        </w:tc>
      </w:tr>
    </w:tbl>
    <w:p w14:paraId="50F3A412" w14:textId="473C775E" w:rsidR="006000EB" w:rsidRPr="006000EB" w:rsidRDefault="006000EB" w:rsidP="006000EB">
      <w:pPr>
        <w:spacing w:after="120" w:line="336" w:lineRule="auto"/>
        <w:jc w:val="right"/>
        <w:rPr>
          <w:sz w:val="18"/>
          <w:szCs w:val="18"/>
        </w:rPr>
      </w:pPr>
      <w:r w:rsidRPr="006000EB">
        <w:rPr>
          <w:sz w:val="18"/>
          <w:szCs w:val="18"/>
        </w:rPr>
        <w:t>Zdroj: MF</w:t>
      </w:r>
      <w:r w:rsidR="009A1229">
        <w:rPr>
          <w:sz w:val="18"/>
          <w:szCs w:val="18"/>
        </w:rPr>
        <w:t xml:space="preserve"> </w:t>
      </w:r>
      <w:r w:rsidRPr="006000EB">
        <w:rPr>
          <w:sz w:val="18"/>
          <w:szCs w:val="18"/>
        </w:rPr>
        <w:t>SR</w:t>
      </w:r>
    </w:p>
    <w:p w14:paraId="2DEA2F97" w14:textId="77777777" w:rsidR="006000EB" w:rsidRPr="0055657F" w:rsidRDefault="006000EB" w:rsidP="006000EB">
      <w:pPr>
        <w:spacing w:before="120" w:after="120" w:line="336" w:lineRule="auto"/>
        <w:jc w:val="both"/>
      </w:pPr>
      <w:r w:rsidRPr="0055657F">
        <w:t xml:space="preserve">Hodnotovo najvýznamnejšiu skupinu tvoria </w:t>
      </w:r>
      <w:r w:rsidRPr="006000EB">
        <w:rPr>
          <w:b/>
        </w:rPr>
        <w:t>podmienené záväzky vyplývajúce z poskytnutých záruk</w:t>
      </w:r>
      <w:r w:rsidRPr="0055657F">
        <w:t xml:space="preserve"> vyplývajúcich zo stabilizačných mechanizmov (v správe Ministerstva financií SR) a </w:t>
      </w:r>
      <w:r w:rsidRPr="006000EB">
        <w:rPr>
          <w:b/>
        </w:rPr>
        <w:t xml:space="preserve">kapitálu splatného na požiadanie </w:t>
      </w:r>
      <w:r w:rsidRPr="0055657F">
        <w:t>v medzinárodných finančných inštitúciách. Najväčší podmienený záväzok ostáva vykázaný pri Európskom stabilizačnom mechanizme</w:t>
      </w:r>
      <w:r w:rsidRPr="0055657F">
        <w:rPr>
          <w:rStyle w:val="Odkaznapoznmkupodiarou"/>
          <w:rFonts w:eastAsiaTheme="majorEastAsia"/>
        </w:rPr>
        <w:footnoteReference w:id="34"/>
      </w:r>
      <w:r w:rsidRPr="0055657F">
        <w:t xml:space="preserve"> (ESM) vo výške 5 108 800 tis. eur. Tento finančný mechanizmus je určený na poskytovanie pomoci členským štátom eurozóny vo vážnych finančných problémoch s cieľom zabezpečiť stabilitu eurozóny. Základné imanie ESM v sume 700 000 000 tis. eur tvorí 80 000 000 tis. eur vo forme splatených akcií (z toho podiel SR: 659 200 tis. eur) a 620 000 000 tis. eur vo forme akcií splatných na vyzvanie (z toho podiel SR: 5 108 800 tis. eur). Slovenská republika sa ratifikáciou zmluvy, ktorou sa zriaďuje ESM zaviazala, že v prípade, ak úroveň splateného imania klesne pod schválených 80 000 000 tis. eur absorbovaním strát vzniknutých v rámci pomoci členským štátom eurozóny, Správna rada ESM vyzve akcionárov na jeho splatenie jednoduchou väčšinou.</w:t>
      </w:r>
    </w:p>
    <w:p w14:paraId="0C3080A9" w14:textId="77777777" w:rsidR="006000EB" w:rsidRPr="0055657F" w:rsidRDefault="006000EB" w:rsidP="006000EB">
      <w:pPr>
        <w:spacing w:after="120" w:line="336" w:lineRule="auto"/>
        <w:jc w:val="both"/>
      </w:pPr>
      <w:r w:rsidRPr="0055657F">
        <w:t>Európsky nástroj finančnej stability (EFSF</w:t>
      </w:r>
      <w:r w:rsidRPr="0055657F">
        <w:rPr>
          <w:rStyle w:val="Odkaznapoznmkupodiarou"/>
          <w:rFonts w:eastAsiaTheme="majorEastAsia"/>
        </w:rPr>
        <w:footnoteReference w:id="35"/>
      </w:r>
      <w:r w:rsidRPr="0055657F">
        <w:t>) je predchodca ESM (tzv. euroval 1). Slovenská republika sa ako členský štát EFSF zaviazala poskytovať záruky za dlhové finančné inštrumenty vydávané EFSF v prípade žiadosti členského štátu eurozóny o finančnú stabilizačnú pomoc. V zmysle zákona</w:t>
      </w:r>
      <w:r w:rsidRPr="0055657F">
        <w:br/>
        <w:t xml:space="preserve">č. 381/2010 Z. z.  o špecifických štátnych zárukách a o zmene a doplnení niektorých zákonov sa Slovensko musí podieľať na celkovej výške záruk do sumy, ktorá nepresiahne 7 727 570 tis. eur. Zároveň sa musí podieľať na ďalších záručných mechanizmoch potrebných na získanie AAA ratingu pre EFSF, napríklad poskytnutím dodatočných záruk EFSF do výšky 165 % svojho podielu na zárukách pre každú emisiu. Stav záruk vystavených Slovenskou republikou bol k 31.12.2018 vo výške 2 440 759 tis. eur 2 428 514 tis. eur a medziročne sa zvýšil o 12 245 tis. eur. </w:t>
      </w:r>
    </w:p>
    <w:p w14:paraId="3BC48DD7" w14:textId="77777777" w:rsidR="006000EB" w:rsidRPr="0055657F" w:rsidRDefault="006000EB" w:rsidP="006000EB">
      <w:pPr>
        <w:spacing w:after="120" w:line="336" w:lineRule="auto"/>
        <w:jc w:val="both"/>
      </w:pPr>
      <w:r w:rsidRPr="006000EB">
        <w:rPr>
          <w:b/>
        </w:rPr>
        <w:t>Kapitál splatný na vyzvanie (tzv. ,,call capital“) v medzinárodných finančných inštitúciách</w:t>
      </w:r>
      <w:r w:rsidRPr="0055657F">
        <w:t xml:space="preserve"> je takisto v správe Ministerstva financií SR. Ide o nesplatenú časť podielov na základnom imaní konkrétnych finančných inštitúcií, k splateniu ktorej je nutná výzva pre akcionárov („call“). Keďže nie je isté v akom čase a v akom objeme bude nutné doplniť základné imanie týchto inštitúcií, rozvrhnutý podiel pripadajúci na Slovenskú republiku, ako člena v medzinárodných finančných inštitúciách, sa vykazuje na podsúvahe ako podmienené pasívum. Primárnym cieľom členstva v medzinárodných bankách je vzájomná pomoc v oblasti hospodárskeho rozvoja prostredníctvom koncentrácie kapitálu z národných zdrojov. Samotná Slovenská republika čerpá zvýhodnené úvery od niektorých z týchto bánk, napríklad na rozvoj domácej cestnej infraštruktúry a podporu spoločných programov SR a EÚ (</w:t>
      </w:r>
      <w:r w:rsidRPr="006000EB">
        <w:rPr>
          <w:i/>
        </w:rPr>
        <w:t>bližšie informácie sú uvedené v prílohe č. 2 Súhrnnej účtovnej závierky</w:t>
      </w:r>
      <w:r w:rsidRPr="0055657F">
        <w:t>). Medziročné zmeny v kategórii kapitálu splatného na požiadanie spôsobili úpravy členského podielu v cudzej mene (precenenie).</w:t>
      </w:r>
    </w:p>
    <w:tbl>
      <w:tblPr>
        <w:tblW w:w="9095" w:type="dxa"/>
        <w:tblCellMar>
          <w:left w:w="70" w:type="dxa"/>
          <w:right w:w="70" w:type="dxa"/>
        </w:tblCellMar>
        <w:tblLook w:val="04A0" w:firstRow="1" w:lastRow="0" w:firstColumn="1" w:lastColumn="0" w:noHBand="0" w:noVBand="1"/>
      </w:tblPr>
      <w:tblGrid>
        <w:gridCol w:w="4395"/>
        <w:gridCol w:w="1160"/>
        <w:gridCol w:w="1160"/>
        <w:gridCol w:w="1160"/>
        <w:gridCol w:w="1220"/>
      </w:tblGrid>
      <w:tr w:rsidR="006000EB" w:rsidRPr="001A356F" w14:paraId="65AA8CCB" w14:textId="77777777" w:rsidTr="003D4C66">
        <w:trPr>
          <w:trHeight w:val="420"/>
        </w:trPr>
        <w:tc>
          <w:tcPr>
            <w:tcW w:w="9095" w:type="dxa"/>
            <w:gridSpan w:val="5"/>
            <w:tcBorders>
              <w:top w:val="nil"/>
              <w:left w:val="nil"/>
              <w:bottom w:val="nil"/>
              <w:right w:val="nil"/>
            </w:tcBorders>
            <w:shd w:val="clear" w:color="000000" w:fill="000000"/>
            <w:noWrap/>
            <w:vAlign w:val="center"/>
            <w:hideMark/>
          </w:tcPr>
          <w:p w14:paraId="7E823EA7" w14:textId="32B7EB2C" w:rsidR="006000EB" w:rsidRPr="001A356F" w:rsidRDefault="006000EB" w:rsidP="001A356F">
            <w:pPr>
              <w:tabs>
                <w:tab w:val="left" w:pos="3698"/>
              </w:tabs>
              <w:spacing w:after="0" w:line="240" w:lineRule="auto"/>
              <w:rPr>
                <w:b/>
                <w:bCs/>
                <w:color w:val="FFFFFF"/>
                <w:sz w:val="20"/>
                <w:szCs w:val="20"/>
                <w:lang w:eastAsia="sk-SK"/>
              </w:rPr>
            </w:pPr>
            <w:r w:rsidRPr="001A356F">
              <w:rPr>
                <w:b/>
                <w:bCs/>
                <w:color w:val="FFFFFF"/>
                <w:sz w:val="20"/>
                <w:szCs w:val="20"/>
                <w:lang w:eastAsia="sk-SK"/>
              </w:rPr>
              <w:t xml:space="preserve">Prehľad najväčších podmienených záväzkov                                                                 </w:t>
            </w:r>
            <w:r w:rsidR="003D4C66" w:rsidRPr="001A356F">
              <w:rPr>
                <w:b/>
                <w:bCs/>
                <w:color w:val="FFFFFF"/>
                <w:sz w:val="20"/>
                <w:szCs w:val="20"/>
                <w:lang w:eastAsia="sk-SK"/>
              </w:rPr>
              <w:t xml:space="preserve">                      v tis. eur</w:t>
            </w:r>
            <w:r w:rsidRPr="001A356F">
              <w:rPr>
                <w:b/>
                <w:bCs/>
                <w:color w:val="FFFFFF"/>
                <w:sz w:val="20"/>
                <w:szCs w:val="20"/>
                <w:lang w:eastAsia="sk-SK"/>
              </w:rPr>
              <w:t> </w:t>
            </w:r>
          </w:p>
        </w:tc>
      </w:tr>
      <w:tr w:rsidR="006000EB" w:rsidRPr="001A356F" w14:paraId="2582BFAF" w14:textId="77777777" w:rsidTr="00500BD0">
        <w:trPr>
          <w:trHeight w:val="276"/>
        </w:trPr>
        <w:tc>
          <w:tcPr>
            <w:tcW w:w="4395" w:type="dxa"/>
            <w:tcBorders>
              <w:top w:val="single" w:sz="4" w:space="0" w:color="auto"/>
              <w:left w:val="nil"/>
              <w:bottom w:val="single" w:sz="4" w:space="0" w:color="auto"/>
              <w:right w:val="nil"/>
            </w:tcBorders>
            <w:shd w:val="clear" w:color="000000" w:fill="BFBFBF"/>
            <w:vAlign w:val="center"/>
            <w:hideMark/>
          </w:tcPr>
          <w:p w14:paraId="5AE838F6" w14:textId="77777777" w:rsidR="006000EB" w:rsidRPr="001A356F" w:rsidRDefault="006000EB" w:rsidP="00500BD0">
            <w:pPr>
              <w:spacing w:after="0" w:line="240" w:lineRule="auto"/>
              <w:rPr>
                <w:color w:val="000000"/>
                <w:sz w:val="20"/>
                <w:szCs w:val="20"/>
                <w:lang w:eastAsia="sk-SK"/>
              </w:rPr>
            </w:pPr>
            <w:r w:rsidRPr="001A356F">
              <w:rPr>
                <w:color w:val="000000"/>
                <w:sz w:val="20"/>
                <w:szCs w:val="20"/>
                <w:lang w:eastAsia="sk-SK"/>
              </w:rPr>
              <w:t> </w:t>
            </w:r>
          </w:p>
        </w:tc>
        <w:tc>
          <w:tcPr>
            <w:tcW w:w="1160" w:type="dxa"/>
            <w:tcBorders>
              <w:top w:val="single" w:sz="4" w:space="0" w:color="auto"/>
              <w:left w:val="nil"/>
              <w:bottom w:val="single" w:sz="4" w:space="0" w:color="auto"/>
              <w:right w:val="nil"/>
            </w:tcBorders>
            <w:shd w:val="clear" w:color="000000" w:fill="BFBFBF"/>
            <w:vAlign w:val="bottom"/>
            <w:hideMark/>
          </w:tcPr>
          <w:p w14:paraId="19DE20D1"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31.12.2016</w:t>
            </w:r>
          </w:p>
        </w:tc>
        <w:tc>
          <w:tcPr>
            <w:tcW w:w="1160" w:type="dxa"/>
            <w:tcBorders>
              <w:top w:val="single" w:sz="4" w:space="0" w:color="auto"/>
              <w:left w:val="nil"/>
              <w:bottom w:val="single" w:sz="4" w:space="0" w:color="auto"/>
              <w:right w:val="nil"/>
            </w:tcBorders>
            <w:shd w:val="clear" w:color="000000" w:fill="BFBFBF"/>
            <w:vAlign w:val="bottom"/>
            <w:hideMark/>
          </w:tcPr>
          <w:p w14:paraId="799DB788"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31.12.2017</w:t>
            </w:r>
          </w:p>
        </w:tc>
        <w:tc>
          <w:tcPr>
            <w:tcW w:w="1160" w:type="dxa"/>
            <w:tcBorders>
              <w:top w:val="single" w:sz="4" w:space="0" w:color="auto"/>
              <w:left w:val="nil"/>
              <w:bottom w:val="single" w:sz="4" w:space="0" w:color="auto"/>
              <w:right w:val="nil"/>
            </w:tcBorders>
            <w:shd w:val="clear" w:color="000000" w:fill="BFBFBF"/>
            <w:vAlign w:val="bottom"/>
            <w:hideMark/>
          </w:tcPr>
          <w:p w14:paraId="3296D2CB"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31.12.2018</w:t>
            </w:r>
          </w:p>
        </w:tc>
        <w:tc>
          <w:tcPr>
            <w:tcW w:w="1220" w:type="dxa"/>
            <w:tcBorders>
              <w:top w:val="single" w:sz="4" w:space="0" w:color="auto"/>
              <w:left w:val="nil"/>
              <w:bottom w:val="single" w:sz="4" w:space="0" w:color="auto"/>
              <w:right w:val="nil"/>
            </w:tcBorders>
            <w:shd w:val="clear" w:color="000000" w:fill="BFBFBF"/>
            <w:vAlign w:val="bottom"/>
            <w:hideMark/>
          </w:tcPr>
          <w:p w14:paraId="5F218F49" w14:textId="77777777" w:rsidR="006000EB" w:rsidRPr="001A356F" w:rsidRDefault="006000EB" w:rsidP="00500BD0">
            <w:pPr>
              <w:spacing w:after="0" w:line="240" w:lineRule="auto"/>
              <w:jc w:val="right"/>
              <w:rPr>
                <w:b/>
                <w:bCs/>
                <w:sz w:val="20"/>
                <w:szCs w:val="20"/>
                <w:lang w:eastAsia="sk-SK"/>
              </w:rPr>
            </w:pPr>
            <w:r w:rsidRPr="001A356F">
              <w:rPr>
                <w:b/>
                <w:bCs/>
                <w:sz w:val="20"/>
                <w:szCs w:val="20"/>
                <w:lang w:eastAsia="sk-SK"/>
              </w:rPr>
              <w:t>Δ 2018-2017</w:t>
            </w:r>
          </w:p>
        </w:tc>
      </w:tr>
      <w:tr w:rsidR="006000EB" w:rsidRPr="001A356F" w14:paraId="27C74AC3" w14:textId="77777777" w:rsidTr="00500BD0">
        <w:trPr>
          <w:trHeight w:val="276"/>
        </w:trPr>
        <w:tc>
          <w:tcPr>
            <w:tcW w:w="4395" w:type="dxa"/>
            <w:tcBorders>
              <w:top w:val="nil"/>
              <w:left w:val="nil"/>
              <w:bottom w:val="nil"/>
              <w:right w:val="nil"/>
            </w:tcBorders>
            <w:shd w:val="clear" w:color="auto" w:fill="auto"/>
            <w:noWrap/>
            <w:vAlign w:val="bottom"/>
            <w:hideMark/>
          </w:tcPr>
          <w:p w14:paraId="24006016" w14:textId="77777777" w:rsidR="006000EB" w:rsidRPr="001A356F" w:rsidRDefault="006000EB" w:rsidP="00500BD0">
            <w:pPr>
              <w:spacing w:after="0" w:line="240" w:lineRule="auto"/>
              <w:rPr>
                <w:b/>
                <w:bCs/>
                <w:color w:val="000000"/>
                <w:sz w:val="20"/>
                <w:szCs w:val="20"/>
                <w:lang w:eastAsia="sk-SK"/>
              </w:rPr>
            </w:pPr>
            <w:r w:rsidRPr="001A356F">
              <w:rPr>
                <w:b/>
                <w:bCs/>
                <w:color w:val="000000"/>
                <w:sz w:val="20"/>
                <w:szCs w:val="20"/>
                <w:lang w:eastAsia="sk-SK"/>
              </w:rPr>
              <w:t>Kapitál na požiadanie a záruky v medzinárodných finančných inštitúciách</w:t>
            </w:r>
          </w:p>
        </w:tc>
        <w:tc>
          <w:tcPr>
            <w:tcW w:w="1160" w:type="dxa"/>
            <w:tcBorders>
              <w:top w:val="nil"/>
              <w:left w:val="nil"/>
              <w:bottom w:val="nil"/>
              <w:right w:val="nil"/>
            </w:tcBorders>
            <w:shd w:val="clear" w:color="auto" w:fill="auto"/>
            <w:vAlign w:val="center"/>
          </w:tcPr>
          <w:p w14:paraId="3D72F8B8"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8 473 154</w:t>
            </w:r>
          </w:p>
        </w:tc>
        <w:tc>
          <w:tcPr>
            <w:tcW w:w="1160" w:type="dxa"/>
            <w:tcBorders>
              <w:top w:val="nil"/>
              <w:left w:val="nil"/>
              <w:bottom w:val="nil"/>
              <w:right w:val="nil"/>
            </w:tcBorders>
            <w:shd w:val="clear" w:color="auto" w:fill="auto"/>
            <w:vAlign w:val="center"/>
          </w:tcPr>
          <w:p w14:paraId="7EBC84AE"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8 669 919</w:t>
            </w:r>
          </w:p>
        </w:tc>
        <w:tc>
          <w:tcPr>
            <w:tcW w:w="1160" w:type="dxa"/>
            <w:tcBorders>
              <w:top w:val="nil"/>
              <w:left w:val="nil"/>
              <w:bottom w:val="nil"/>
              <w:right w:val="nil"/>
            </w:tcBorders>
            <w:shd w:val="clear" w:color="auto" w:fill="auto"/>
            <w:vAlign w:val="center"/>
          </w:tcPr>
          <w:p w14:paraId="213AFF40"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8 700 585</w:t>
            </w:r>
          </w:p>
        </w:tc>
        <w:tc>
          <w:tcPr>
            <w:tcW w:w="1220" w:type="dxa"/>
            <w:tcBorders>
              <w:top w:val="nil"/>
              <w:left w:val="nil"/>
              <w:bottom w:val="nil"/>
              <w:right w:val="nil"/>
            </w:tcBorders>
            <w:shd w:val="clear" w:color="auto" w:fill="auto"/>
            <w:vAlign w:val="center"/>
          </w:tcPr>
          <w:p w14:paraId="6F5EED6C"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30 666</w:t>
            </w:r>
          </w:p>
        </w:tc>
      </w:tr>
      <w:tr w:rsidR="006000EB" w:rsidRPr="001A356F" w14:paraId="53A3E5C9" w14:textId="77777777" w:rsidTr="00500BD0">
        <w:trPr>
          <w:trHeight w:val="276"/>
        </w:trPr>
        <w:tc>
          <w:tcPr>
            <w:tcW w:w="4395" w:type="dxa"/>
            <w:tcBorders>
              <w:top w:val="nil"/>
              <w:left w:val="nil"/>
              <w:bottom w:val="nil"/>
              <w:right w:val="nil"/>
            </w:tcBorders>
            <w:shd w:val="clear" w:color="auto" w:fill="auto"/>
            <w:vAlign w:val="center"/>
            <w:hideMark/>
          </w:tcPr>
          <w:p w14:paraId="238BDE81"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Európsky stabilizačný mechanizmus (ESM)</w:t>
            </w:r>
          </w:p>
        </w:tc>
        <w:tc>
          <w:tcPr>
            <w:tcW w:w="1160" w:type="dxa"/>
            <w:tcBorders>
              <w:top w:val="nil"/>
              <w:left w:val="nil"/>
              <w:bottom w:val="nil"/>
              <w:right w:val="nil"/>
            </w:tcBorders>
            <w:shd w:val="clear" w:color="auto" w:fill="auto"/>
            <w:vAlign w:val="center"/>
          </w:tcPr>
          <w:p w14:paraId="47E3AF2A"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5 108 800</w:t>
            </w:r>
          </w:p>
        </w:tc>
        <w:tc>
          <w:tcPr>
            <w:tcW w:w="1160" w:type="dxa"/>
            <w:tcBorders>
              <w:top w:val="nil"/>
              <w:left w:val="nil"/>
              <w:bottom w:val="nil"/>
              <w:right w:val="nil"/>
            </w:tcBorders>
            <w:shd w:val="clear" w:color="auto" w:fill="auto"/>
            <w:vAlign w:val="center"/>
          </w:tcPr>
          <w:p w14:paraId="04C3AFDC"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5 108 800</w:t>
            </w:r>
          </w:p>
        </w:tc>
        <w:tc>
          <w:tcPr>
            <w:tcW w:w="1160" w:type="dxa"/>
            <w:tcBorders>
              <w:top w:val="nil"/>
              <w:left w:val="nil"/>
              <w:bottom w:val="nil"/>
              <w:right w:val="nil"/>
            </w:tcBorders>
            <w:shd w:val="clear" w:color="auto" w:fill="auto"/>
            <w:vAlign w:val="center"/>
          </w:tcPr>
          <w:p w14:paraId="623E36FA"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5 108 800</w:t>
            </w:r>
          </w:p>
        </w:tc>
        <w:tc>
          <w:tcPr>
            <w:tcW w:w="1220" w:type="dxa"/>
            <w:tcBorders>
              <w:top w:val="nil"/>
              <w:left w:val="nil"/>
              <w:bottom w:val="nil"/>
              <w:right w:val="nil"/>
            </w:tcBorders>
            <w:shd w:val="clear" w:color="auto" w:fill="auto"/>
            <w:vAlign w:val="center"/>
          </w:tcPr>
          <w:p w14:paraId="07D00D89"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r w:rsidR="006000EB" w:rsidRPr="001A356F" w14:paraId="5B5F34A9" w14:textId="77777777" w:rsidTr="00500BD0">
        <w:trPr>
          <w:trHeight w:val="276"/>
        </w:trPr>
        <w:tc>
          <w:tcPr>
            <w:tcW w:w="4395" w:type="dxa"/>
            <w:tcBorders>
              <w:top w:val="nil"/>
              <w:left w:val="nil"/>
              <w:bottom w:val="nil"/>
              <w:right w:val="nil"/>
            </w:tcBorders>
            <w:shd w:val="clear" w:color="auto" w:fill="auto"/>
            <w:vAlign w:val="center"/>
            <w:hideMark/>
          </w:tcPr>
          <w:p w14:paraId="51B31F85"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Európsky nástroj finančnej stability (EFSF)</w:t>
            </w:r>
          </w:p>
        </w:tc>
        <w:tc>
          <w:tcPr>
            <w:tcW w:w="1160" w:type="dxa"/>
            <w:tcBorders>
              <w:top w:val="nil"/>
              <w:left w:val="nil"/>
              <w:bottom w:val="nil"/>
              <w:right w:val="nil"/>
            </w:tcBorders>
            <w:shd w:val="clear" w:color="auto" w:fill="auto"/>
            <w:vAlign w:val="center"/>
          </w:tcPr>
          <w:p w14:paraId="5FCD0070"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2 178 243</w:t>
            </w:r>
          </w:p>
        </w:tc>
        <w:tc>
          <w:tcPr>
            <w:tcW w:w="1160" w:type="dxa"/>
            <w:tcBorders>
              <w:top w:val="nil"/>
              <w:left w:val="nil"/>
              <w:bottom w:val="nil"/>
              <w:right w:val="nil"/>
            </w:tcBorders>
            <w:shd w:val="clear" w:color="auto" w:fill="auto"/>
            <w:vAlign w:val="center"/>
          </w:tcPr>
          <w:p w14:paraId="5696C1B2"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2 428 514</w:t>
            </w:r>
          </w:p>
        </w:tc>
        <w:tc>
          <w:tcPr>
            <w:tcW w:w="1160" w:type="dxa"/>
            <w:tcBorders>
              <w:top w:val="nil"/>
              <w:left w:val="nil"/>
              <w:bottom w:val="nil"/>
              <w:right w:val="nil"/>
            </w:tcBorders>
            <w:shd w:val="clear" w:color="auto" w:fill="auto"/>
            <w:vAlign w:val="center"/>
          </w:tcPr>
          <w:p w14:paraId="7091B0EA"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2 440 759</w:t>
            </w:r>
          </w:p>
        </w:tc>
        <w:tc>
          <w:tcPr>
            <w:tcW w:w="1220" w:type="dxa"/>
            <w:tcBorders>
              <w:top w:val="nil"/>
              <w:left w:val="nil"/>
              <w:bottom w:val="nil"/>
              <w:right w:val="nil"/>
            </w:tcBorders>
            <w:shd w:val="clear" w:color="auto" w:fill="auto"/>
            <w:vAlign w:val="center"/>
          </w:tcPr>
          <w:p w14:paraId="203CE663"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12 245</w:t>
            </w:r>
          </w:p>
        </w:tc>
      </w:tr>
      <w:tr w:rsidR="006000EB" w:rsidRPr="001A356F" w14:paraId="080C989E" w14:textId="77777777" w:rsidTr="00500BD0">
        <w:trPr>
          <w:trHeight w:val="276"/>
        </w:trPr>
        <w:tc>
          <w:tcPr>
            <w:tcW w:w="4395" w:type="dxa"/>
            <w:tcBorders>
              <w:top w:val="nil"/>
              <w:left w:val="nil"/>
              <w:bottom w:val="nil"/>
              <w:right w:val="nil"/>
            </w:tcBorders>
            <w:shd w:val="clear" w:color="auto" w:fill="auto"/>
            <w:noWrap/>
            <w:vAlign w:val="bottom"/>
            <w:hideMark/>
          </w:tcPr>
          <w:p w14:paraId="6E742948"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 xml:space="preserve">Európska investičná banka </w:t>
            </w:r>
          </w:p>
        </w:tc>
        <w:tc>
          <w:tcPr>
            <w:tcW w:w="1160" w:type="dxa"/>
            <w:tcBorders>
              <w:top w:val="nil"/>
              <w:left w:val="nil"/>
              <w:bottom w:val="nil"/>
              <w:right w:val="nil"/>
            </w:tcBorders>
            <w:shd w:val="clear" w:color="auto" w:fill="auto"/>
            <w:vAlign w:val="center"/>
          </w:tcPr>
          <w:p w14:paraId="7960B2F4"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573 996</w:t>
            </w:r>
          </w:p>
        </w:tc>
        <w:tc>
          <w:tcPr>
            <w:tcW w:w="1160" w:type="dxa"/>
            <w:tcBorders>
              <w:top w:val="nil"/>
              <w:left w:val="nil"/>
              <w:bottom w:val="nil"/>
              <w:right w:val="nil"/>
            </w:tcBorders>
            <w:shd w:val="clear" w:color="auto" w:fill="auto"/>
            <w:vAlign w:val="center"/>
          </w:tcPr>
          <w:p w14:paraId="0DBE27F7"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573 996</w:t>
            </w:r>
          </w:p>
        </w:tc>
        <w:tc>
          <w:tcPr>
            <w:tcW w:w="1160" w:type="dxa"/>
            <w:tcBorders>
              <w:top w:val="nil"/>
              <w:left w:val="nil"/>
              <w:bottom w:val="nil"/>
              <w:right w:val="nil"/>
            </w:tcBorders>
            <w:shd w:val="clear" w:color="auto" w:fill="auto"/>
            <w:vAlign w:val="center"/>
          </w:tcPr>
          <w:p w14:paraId="530FE2CE"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573 996</w:t>
            </w:r>
          </w:p>
        </w:tc>
        <w:tc>
          <w:tcPr>
            <w:tcW w:w="1220" w:type="dxa"/>
            <w:tcBorders>
              <w:top w:val="nil"/>
              <w:left w:val="nil"/>
              <w:bottom w:val="nil"/>
              <w:right w:val="nil"/>
            </w:tcBorders>
            <w:shd w:val="clear" w:color="auto" w:fill="auto"/>
            <w:vAlign w:val="center"/>
          </w:tcPr>
          <w:p w14:paraId="237CDBE5"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r w:rsidR="006000EB" w:rsidRPr="001A356F" w14:paraId="6438EE23" w14:textId="77777777" w:rsidTr="00500BD0">
        <w:trPr>
          <w:trHeight w:val="276"/>
        </w:trPr>
        <w:tc>
          <w:tcPr>
            <w:tcW w:w="4395" w:type="dxa"/>
            <w:tcBorders>
              <w:top w:val="nil"/>
              <w:left w:val="nil"/>
              <w:bottom w:val="nil"/>
              <w:right w:val="nil"/>
            </w:tcBorders>
            <w:shd w:val="clear" w:color="auto" w:fill="auto"/>
            <w:vAlign w:val="center"/>
            <w:hideMark/>
          </w:tcPr>
          <w:p w14:paraId="66479041"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 xml:space="preserve">Medzinárodná banka pre obnovu a rozvoj </w:t>
            </w:r>
          </w:p>
        </w:tc>
        <w:tc>
          <w:tcPr>
            <w:tcW w:w="1160" w:type="dxa"/>
            <w:tcBorders>
              <w:top w:val="nil"/>
              <w:left w:val="nil"/>
              <w:bottom w:val="nil"/>
              <w:right w:val="nil"/>
            </w:tcBorders>
            <w:shd w:val="clear" w:color="auto" w:fill="auto"/>
            <w:vAlign w:val="center"/>
          </w:tcPr>
          <w:p w14:paraId="627609EB"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438 673</w:t>
            </w:r>
          </w:p>
        </w:tc>
        <w:tc>
          <w:tcPr>
            <w:tcW w:w="1160" w:type="dxa"/>
            <w:tcBorders>
              <w:top w:val="nil"/>
              <w:left w:val="nil"/>
              <w:bottom w:val="nil"/>
              <w:right w:val="nil"/>
            </w:tcBorders>
            <w:shd w:val="clear" w:color="auto" w:fill="auto"/>
            <w:vAlign w:val="center"/>
          </w:tcPr>
          <w:p w14:paraId="65676352"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385 562</w:t>
            </w:r>
          </w:p>
        </w:tc>
        <w:tc>
          <w:tcPr>
            <w:tcW w:w="1160" w:type="dxa"/>
            <w:tcBorders>
              <w:top w:val="nil"/>
              <w:left w:val="nil"/>
              <w:bottom w:val="nil"/>
              <w:right w:val="nil"/>
            </w:tcBorders>
            <w:shd w:val="clear" w:color="auto" w:fill="auto"/>
            <w:vAlign w:val="center"/>
          </w:tcPr>
          <w:p w14:paraId="4A5A30A8"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403 847</w:t>
            </w:r>
          </w:p>
        </w:tc>
        <w:tc>
          <w:tcPr>
            <w:tcW w:w="1220" w:type="dxa"/>
            <w:tcBorders>
              <w:top w:val="nil"/>
              <w:left w:val="nil"/>
              <w:bottom w:val="nil"/>
              <w:right w:val="nil"/>
            </w:tcBorders>
            <w:shd w:val="clear" w:color="auto" w:fill="auto"/>
            <w:vAlign w:val="center"/>
          </w:tcPr>
          <w:p w14:paraId="01097E24"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18 285</w:t>
            </w:r>
          </w:p>
        </w:tc>
      </w:tr>
      <w:tr w:rsidR="006000EB" w:rsidRPr="001A356F" w14:paraId="5DD8E5DD" w14:textId="77777777" w:rsidTr="00500BD0">
        <w:trPr>
          <w:trHeight w:val="276"/>
        </w:trPr>
        <w:tc>
          <w:tcPr>
            <w:tcW w:w="4395" w:type="dxa"/>
            <w:tcBorders>
              <w:top w:val="nil"/>
              <w:left w:val="nil"/>
              <w:bottom w:val="nil"/>
              <w:right w:val="nil"/>
            </w:tcBorders>
            <w:shd w:val="clear" w:color="auto" w:fill="auto"/>
            <w:vAlign w:val="center"/>
            <w:hideMark/>
          </w:tcPr>
          <w:p w14:paraId="7714A45B"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Európska banka pre obnovu a rozvoj</w:t>
            </w:r>
          </w:p>
        </w:tc>
        <w:tc>
          <w:tcPr>
            <w:tcW w:w="1160" w:type="dxa"/>
            <w:tcBorders>
              <w:top w:val="nil"/>
              <w:left w:val="nil"/>
              <w:bottom w:val="nil"/>
              <w:right w:val="nil"/>
            </w:tcBorders>
            <w:shd w:val="clear" w:color="auto" w:fill="auto"/>
            <w:vAlign w:val="center"/>
          </w:tcPr>
          <w:p w14:paraId="6DF23516"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101 359</w:t>
            </w:r>
          </w:p>
        </w:tc>
        <w:tc>
          <w:tcPr>
            <w:tcW w:w="1160" w:type="dxa"/>
            <w:tcBorders>
              <w:top w:val="nil"/>
              <w:left w:val="nil"/>
              <w:bottom w:val="nil"/>
              <w:right w:val="nil"/>
            </w:tcBorders>
            <w:shd w:val="clear" w:color="auto" w:fill="auto"/>
            <w:vAlign w:val="center"/>
          </w:tcPr>
          <w:p w14:paraId="7FEB7AE9"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101 359</w:t>
            </w:r>
          </w:p>
        </w:tc>
        <w:tc>
          <w:tcPr>
            <w:tcW w:w="1160" w:type="dxa"/>
            <w:tcBorders>
              <w:top w:val="nil"/>
              <w:left w:val="nil"/>
              <w:bottom w:val="nil"/>
              <w:right w:val="nil"/>
            </w:tcBorders>
            <w:shd w:val="clear" w:color="auto" w:fill="auto"/>
            <w:vAlign w:val="center"/>
          </w:tcPr>
          <w:p w14:paraId="07D72878"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101 359</w:t>
            </w:r>
          </w:p>
        </w:tc>
        <w:tc>
          <w:tcPr>
            <w:tcW w:w="1220" w:type="dxa"/>
            <w:tcBorders>
              <w:top w:val="nil"/>
              <w:left w:val="nil"/>
              <w:bottom w:val="nil"/>
              <w:right w:val="nil"/>
            </w:tcBorders>
            <w:shd w:val="clear" w:color="auto" w:fill="auto"/>
            <w:vAlign w:val="center"/>
          </w:tcPr>
          <w:p w14:paraId="643845C1"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r w:rsidR="006000EB" w:rsidRPr="001A356F" w14:paraId="3CD20EB4" w14:textId="77777777" w:rsidTr="00500BD0">
        <w:trPr>
          <w:trHeight w:val="276"/>
        </w:trPr>
        <w:tc>
          <w:tcPr>
            <w:tcW w:w="4395" w:type="dxa"/>
            <w:tcBorders>
              <w:top w:val="nil"/>
              <w:left w:val="nil"/>
              <w:bottom w:val="nil"/>
              <w:right w:val="nil"/>
            </w:tcBorders>
            <w:shd w:val="clear" w:color="auto" w:fill="auto"/>
            <w:vAlign w:val="center"/>
            <w:hideMark/>
          </w:tcPr>
          <w:p w14:paraId="64F72693"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Rozvojová banka rady Európy</w:t>
            </w:r>
          </w:p>
        </w:tc>
        <w:tc>
          <w:tcPr>
            <w:tcW w:w="1160" w:type="dxa"/>
            <w:tcBorders>
              <w:top w:val="nil"/>
              <w:left w:val="nil"/>
              <w:bottom w:val="nil"/>
              <w:right w:val="nil"/>
            </w:tcBorders>
            <w:shd w:val="clear" w:color="auto" w:fill="auto"/>
            <w:vAlign w:val="center"/>
          </w:tcPr>
          <w:p w14:paraId="788FC6B1"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16 854</w:t>
            </w:r>
          </w:p>
        </w:tc>
        <w:tc>
          <w:tcPr>
            <w:tcW w:w="1160" w:type="dxa"/>
            <w:tcBorders>
              <w:top w:val="nil"/>
              <w:left w:val="nil"/>
              <w:bottom w:val="nil"/>
              <w:right w:val="nil"/>
            </w:tcBorders>
            <w:shd w:val="clear" w:color="auto" w:fill="auto"/>
            <w:vAlign w:val="center"/>
          </w:tcPr>
          <w:p w14:paraId="3EC666B7"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16 854</w:t>
            </w:r>
          </w:p>
        </w:tc>
        <w:tc>
          <w:tcPr>
            <w:tcW w:w="1160" w:type="dxa"/>
            <w:tcBorders>
              <w:top w:val="nil"/>
              <w:left w:val="nil"/>
              <w:bottom w:val="nil"/>
              <w:right w:val="nil"/>
            </w:tcBorders>
            <w:shd w:val="clear" w:color="auto" w:fill="auto"/>
            <w:vAlign w:val="center"/>
          </w:tcPr>
          <w:p w14:paraId="5C5F6268"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16 854</w:t>
            </w:r>
          </w:p>
        </w:tc>
        <w:tc>
          <w:tcPr>
            <w:tcW w:w="1220" w:type="dxa"/>
            <w:tcBorders>
              <w:top w:val="nil"/>
              <w:left w:val="nil"/>
              <w:bottom w:val="nil"/>
              <w:right w:val="nil"/>
            </w:tcBorders>
            <w:shd w:val="clear" w:color="auto" w:fill="auto"/>
            <w:vAlign w:val="center"/>
          </w:tcPr>
          <w:p w14:paraId="524F0726"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r w:rsidR="006000EB" w:rsidRPr="001A356F" w14:paraId="17DEBDFD" w14:textId="77777777" w:rsidTr="00500BD0">
        <w:trPr>
          <w:trHeight w:val="276"/>
        </w:trPr>
        <w:tc>
          <w:tcPr>
            <w:tcW w:w="4395" w:type="dxa"/>
            <w:tcBorders>
              <w:top w:val="nil"/>
              <w:left w:val="nil"/>
              <w:bottom w:val="nil"/>
              <w:right w:val="nil"/>
            </w:tcBorders>
            <w:shd w:val="clear" w:color="auto" w:fill="auto"/>
            <w:vAlign w:val="center"/>
            <w:hideMark/>
          </w:tcPr>
          <w:p w14:paraId="618AD752" w14:textId="77777777" w:rsidR="006000EB" w:rsidRPr="001A356F" w:rsidRDefault="006000EB" w:rsidP="00500BD0">
            <w:pPr>
              <w:spacing w:after="0" w:line="240" w:lineRule="auto"/>
              <w:ind w:left="497" w:firstLineChars="51" w:firstLine="102"/>
              <w:rPr>
                <w:color w:val="000000"/>
                <w:sz w:val="20"/>
                <w:szCs w:val="20"/>
                <w:lang w:eastAsia="sk-SK"/>
              </w:rPr>
            </w:pPr>
            <w:r w:rsidRPr="001A356F">
              <w:rPr>
                <w:color w:val="000000"/>
                <w:sz w:val="20"/>
                <w:szCs w:val="20"/>
                <w:lang w:eastAsia="sk-SK"/>
              </w:rPr>
              <w:t>Medzinárodná banka pre hospodársku   spoluprácu</w:t>
            </w:r>
          </w:p>
        </w:tc>
        <w:tc>
          <w:tcPr>
            <w:tcW w:w="1160" w:type="dxa"/>
            <w:tcBorders>
              <w:top w:val="nil"/>
              <w:left w:val="nil"/>
              <w:bottom w:val="nil"/>
              <w:right w:val="nil"/>
            </w:tcBorders>
            <w:shd w:val="clear" w:color="auto" w:fill="auto"/>
            <w:noWrap/>
            <w:vAlign w:val="center"/>
          </w:tcPr>
          <w:p w14:paraId="26734D04"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10 658</w:t>
            </w:r>
          </w:p>
        </w:tc>
        <w:tc>
          <w:tcPr>
            <w:tcW w:w="1160" w:type="dxa"/>
            <w:tcBorders>
              <w:top w:val="nil"/>
              <w:left w:val="nil"/>
              <w:bottom w:val="nil"/>
              <w:right w:val="nil"/>
            </w:tcBorders>
            <w:shd w:val="clear" w:color="auto" w:fill="auto"/>
            <w:noWrap/>
            <w:vAlign w:val="center"/>
          </w:tcPr>
          <w:p w14:paraId="305E5F55"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10 658</w:t>
            </w:r>
          </w:p>
        </w:tc>
        <w:tc>
          <w:tcPr>
            <w:tcW w:w="1160" w:type="dxa"/>
            <w:tcBorders>
              <w:top w:val="nil"/>
              <w:left w:val="nil"/>
              <w:bottom w:val="nil"/>
              <w:right w:val="nil"/>
            </w:tcBorders>
            <w:shd w:val="clear" w:color="auto" w:fill="auto"/>
            <w:noWrap/>
            <w:vAlign w:val="center"/>
          </w:tcPr>
          <w:p w14:paraId="2F7C014B"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10 658</w:t>
            </w:r>
          </w:p>
        </w:tc>
        <w:tc>
          <w:tcPr>
            <w:tcW w:w="1220" w:type="dxa"/>
            <w:tcBorders>
              <w:top w:val="nil"/>
              <w:left w:val="nil"/>
              <w:bottom w:val="nil"/>
              <w:right w:val="nil"/>
            </w:tcBorders>
            <w:shd w:val="clear" w:color="auto" w:fill="auto"/>
            <w:vAlign w:val="center"/>
          </w:tcPr>
          <w:p w14:paraId="434A63AD"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r w:rsidR="006000EB" w:rsidRPr="001A356F" w14:paraId="33786EEC" w14:textId="77777777" w:rsidTr="00500BD0">
        <w:trPr>
          <w:trHeight w:val="276"/>
        </w:trPr>
        <w:tc>
          <w:tcPr>
            <w:tcW w:w="4395" w:type="dxa"/>
            <w:tcBorders>
              <w:top w:val="nil"/>
              <w:left w:val="nil"/>
              <w:bottom w:val="nil"/>
              <w:right w:val="nil"/>
            </w:tcBorders>
            <w:shd w:val="clear" w:color="auto" w:fill="auto"/>
            <w:noWrap/>
            <w:vAlign w:val="bottom"/>
            <w:hideMark/>
          </w:tcPr>
          <w:p w14:paraId="572B5A17"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 xml:space="preserve">Mnohostranná agentúra pre investičné záruky </w:t>
            </w:r>
          </w:p>
        </w:tc>
        <w:tc>
          <w:tcPr>
            <w:tcW w:w="1160" w:type="dxa"/>
            <w:tcBorders>
              <w:top w:val="nil"/>
              <w:left w:val="nil"/>
              <w:bottom w:val="nil"/>
              <w:right w:val="nil"/>
            </w:tcBorders>
            <w:shd w:val="clear" w:color="auto" w:fill="auto"/>
            <w:vAlign w:val="center"/>
          </w:tcPr>
          <w:p w14:paraId="352C13A0"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3 252</w:t>
            </w:r>
          </w:p>
        </w:tc>
        <w:tc>
          <w:tcPr>
            <w:tcW w:w="1160" w:type="dxa"/>
            <w:tcBorders>
              <w:top w:val="nil"/>
              <w:left w:val="nil"/>
              <w:bottom w:val="nil"/>
              <w:right w:val="nil"/>
            </w:tcBorders>
            <w:shd w:val="clear" w:color="auto" w:fill="auto"/>
            <w:vAlign w:val="center"/>
          </w:tcPr>
          <w:p w14:paraId="76F9B0D8"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2 857</w:t>
            </w:r>
          </w:p>
        </w:tc>
        <w:tc>
          <w:tcPr>
            <w:tcW w:w="1160" w:type="dxa"/>
            <w:tcBorders>
              <w:top w:val="nil"/>
              <w:left w:val="nil"/>
              <w:bottom w:val="nil"/>
              <w:right w:val="nil"/>
            </w:tcBorders>
            <w:shd w:val="clear" w:color="auto" w:fill="auto"/>
            <w:vAlign w:val="center"/>
          </w:tcPr>
          <w:p w14:paraId="640258DC"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2 993</w:t>
            </w:r>
          </w:p>
        </w:tc>
        <w:tc>
          <w:tcPr>
            <w:tcW w:w="1220" w:type="dxa"/>
            <w:tcBorders>
              <w:top w:val="nil"/>
              <w:left w:val="nil"/>
              <w:bottom w:val="nil"/>
              <w:right w:val="nil"/>
            </w:tcBorders>
            <w:shd w:val="clear" w:color="auto" w:fill="auto"/>
            <w:vAlign w:val="center"/>
          </w:tcPr>
          <w:p w14:paraId="4917DCA5"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136</w:t>
            </w:r>
          </w:p>
        </w:tc>
      </w:tr>
      <w:tr w:rsidR="006000EB" w:rsidRPr="001A356F" w14:paraId="30152006" w14:textId="77777777" w:rsidTr="00500BD0">
        <w:trPr>
          <w:trHeight w:val="276"/>
        </w:trPr>
        <w:tc>
          <w:tcPr>
            <w:tcW w:w="4395" w:type="dxa"/>
            <w:tcBorders>
              <w:top w:val="nil"/>
              <w:left w:val="nil"/>
              <w:bottom w:val="nil"/>
              <w:right w:val="nil"/>
            </w:tcBorders>
            <w:shd w:val="clear" w:color="auto" w:fill="auto"/>
            <w:noWrap/>
            <w:vAlign w:val="bottom"/>
            <w:hideMark/>
          </w:tcPr>
          <w:p w14:paraId="2E442A6E" w14:textId="77777777" w:rsidR="006000EB" w:rsidRPr="001A356F" w:rsidRDefault="006000EB" w:rsidP="00500BD0">
            <w:pPr>
              <w:spacing w:after="0" w:line="240" w:lineRule="auto"/>
              <w:ind w:firstLineChars="300" w:firstLine="600"/>
              <w:rPr>
                <w:color w:val="000000"/>
                <w:sz w:val="20"/>
                <w:szCs w:val="20"/>
                <w:lang w:eastAsia="sk-SK"/>
              </w:rPr>
            </w:pPr>
            <w:r w:rsidRPr="001A356F">
              <w:rPr>
                <w:color w:val="000000"/>
                <w:sz w:val="20"/>
                <w:szCs w:val="20"/>
                <w:lang w:eastAsia="sk-SK"/>
              </w:rPr>
              <w:t xml:space="preserve">Medzinárodná investičná banka </w:t>
            </w:r>
          </w:p>
        </w:tc>
        <w:tc>
          <w:tcPr>
            <w:tcW w:w="1160" w:type="dxa"/>
            <w:tcBorders>
              <w:top w:val="nil"/>
              <w:left w:val="nil"/>
              <w:bottom w:val="nil"/>
              <w:right w:val="nil"/>
            </w:tcBorders>
            <w:shd w:val="clear" w:color="auto" w:fill="auto"/>
            <w:vAlign w:val="center"/>
          </w:tcPr>
          <w:p w14:paraId="081C7782"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41 319</w:t>
            </w:r>
          </w:p>
        </w:tc>
        <w:tc>
          <w:tcPr>
            <w:tcW w:w="1160" w:type="dxa"/>
            <w:tcBorders>
              <w:top w:val="nil"/>
              <w:left w:val="nil"/>
              <w:bottom w:val="nil"/>
              <w:right w:val="nil"/>
            </w:tcBorders>
            <w:shd w:val="clear" w:color="auto" w:fill="auto"/>
            <w:vAlign w:val="center"/>
          </w:tcPr>
          <w:p w14:paraId="47217CE2"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41 319</w:t>
            </w:r>
          </w:p>
        </w:tc>
        <w:tc>
          <w:tcPr>
            <w:tcW w:w="1160" w:type="dxa"/>
            <w:tcBorders>
              <w:top w:val="nil"/>
              <w:left w:val="nil"/>
              <w:bottom w:val="nil"/>
              <w:right w:val="nil"/>
            </w:tcBorders>
            <w:shd w:val="clear" w:color="auto" w:fill="auto"/>
            <w:vAlign w:val="center"/>
          </w:tcPr>
          <w:p w14:paraId="6AC0CEF4"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41 319</w:t>
            </w:r>
          </w:p>
        </w:tc>
        <w:tc>
          <w:tcPr>
            <w:tcW w:w="1220" w:type="dxa"/>
            <w:tcBorders>
              <w:top w:val="nil"/>
              <w:left w:val="nil"/>
              <w:bottom w:val="nil"/>
              <w:right w:val="nil"/>
            </w:tcBorders>
            <w:shd w:val="clear" w:color="auto" w:fill="auto"/>
            <w:vAlign w:val="center"/>
          </w:tcPr>
          <w:p w14:paraId="01D05337" w14:textId="77777777" w:rsidR="006000EB" w:rsidRPr="001A356F" w:rsidRDefault="006000EB" w:rsidP="00500BD0">
            <w:pPr>
              <w:spacing w:after="0" w:line="240" w:lineRule="auto"/>
              <w:jc w:val="right"/>
              <w:rPr>
                <w:color w:val="000000"/>
                <w:sz w:val="20"/>
                <w:szCs w:val="20"/>
                <w:lang w:eastAsia="sk-SK"/>
              </w:rPr>
            </w:pPr>
            <w:r w:rsidRPr="001A356F">
              <w:rPr>
                <w:color w:val="000000"/>
                <w:sz w:val="20"/>
                <w:szCs w:val="20"/>
                <w:lang w:eastAsia="sk-SK"/>
              </w:rPr>
              <w:t>0</w:t>
            </w:r>
          </w:p>
        </w:tc>
      </w:tr>
    </w:tbl>
    <w:p w14:paraId="357A651E" w14:textId="77777777" w:rsidR="006000EB" w:rsidRPr="0055657F" w:rsidRDefault="006000EB" w:rsidP="006000EB">
      <w:pPr>
        <w:pStyle w:val="Odsekzoznamu"/>
        <w:numPr>
          <w:ilvl w:val="0"/>
          <w:numId w:val="24"/>
        </w:numPr>
      </w:pPr>
      <w:r w:rsidRPr="0055657F">
        <w:br w:type="page"/>
      </w:r>
    </w:p>
    <w:tbl>
      <w:tblPr>
        <w:tblW w:w="9095" w:type="dxa"/>
        <w:tblCellMar>
          <w:left w:w="70" w:type="dxa"/>
          <w:right w:w="70" w:type="dxa"/>
        </w:tblCellMar>
        <w:tblLook w:val="04A0" w:firstRow="1" w:lastRow="0" w:firstColumn="1" w:lastColumn="0" w:noHBand="0" w:noVBand="1"/>
      </w:tblPr>
      <w:tblGrid>
        <w:gridCol w:w="4395"/>
        <w:gridCol w:w="1160"/>
        <w:gridCol w:w="1160"/>
        <w:gridCol w:w="1160"/>
        <w:gridCol w:w="1220"/>
      </w:tblGrid>
      <w:tr w:rsidR="006000EB" w:rsidRPr="0055657F" w14:paraId="358E7F42" w14:textId="77777777" w:rsidTr="00500BD0">
        <w:trPr>
          <w:trHeight w:val="276"/>
        </w:trPr>
        <w:tc>
          <w:tcPr>
            <w:tcW w:w="4395" w:type="dxa"/>
            <w:tcBorders>
              <w:top w:val="single" w:sz="4" w:space="0" w:color="auto"/>
              <w:left w:val="nil"/>
              <w:bottom w:val="single" w:sz="4" w:space="0" w:color="auto"/>
              <w:right w:val="nil"/>
            </w:tcBorders>
            <w:shd w:val="clear" w:color="000000" w:fill="BFBFBF"/>
            <w:vAlign w:val="center"/>
            <w:hideMark/>
          </w:tcPr>
          <w:p w14:paraId="3385FFB3" w14:textId="77777777" w:rsidR="006000EB" w:rsidRPr="0055657F" w:rsidRDefault="006000EB" w:rsidP="00500BD0">
            <w:pPr>
              <w:spacing w:after="0" w:line="240" w:lineRule="auto"/>
              <w:rPr>
                <w:color w:val="000000"/>
                <w:sz w:val="20"/>
                <w:szCs w:val="20"/>
                <w:lang w:eastAsia="sk-SK"/>
              </w:rPr>
            </w:pPr>
            <w:r w:rsidRPr="0055657F">
              <w:rPr>
                <w:color w:val="000000"/>
                <w:sz w:val="20"/>
                <w:szCs w:val="20"/>
                <w:lang w:eastAsia="sk-SK"/>
              </w:rPr>
              <w:t> </w:t>
            </w:r>
          </w:p>
        </w:tc>
        <w:tc>
          <w:tcPr>
            <w:tcW w:w="1160" w:type="dxa"/>
            <w:tcBorders>
              <w:top w:val="single" w:sz="4" w:space="0" w:color="auto"/>
              <w:left w:val="nil"/>
              <w:bottom w:val="single" w:sz="4" w:space="0" w:color="auto"/>
              <w:right w:val="nil"/>
            </w:tcBorders>
            <w:shd w:val="clear" w:color="000000" w:fill="BFBFBF"/>
            <w:vAlign w:val="bottom"/>
            <w:hideMark/>
          </w:tcPr>
          <w:p w14:paraId="36AF3AAA" w14:textId="77777777" w:rsidR="006000EB" w:rsidRPr="0055657F" w:rsidRDefault="006000EB" w:rsidP="00500BD0">
            <w:pPr>
              <w:spacing w:after="0" w:line="240" w:lineRule="auto"/>
              <w:jc w:val="right"/>
              <w:rPr>
                <w:b/>
                <w:bCs/>
                <w:sz w:val="20"/>
                <w:szCs w:val="20"/>
                <w:lang w:eastAsia="sk-SK"/>
              </w:rPr>
            </w:pPr>
            <w:r w:rsidRPr="0055657F">
              <w:rPr>
                <w:b/>
                <w:bCs/>
                <w:sz w:val="20"/>
                <w:szCs w:val="20"/>
                <w:lang w:eastAsia="sk-SK"/>
              </w:rPr>
              <w:t>31.12.2016</w:t>
            </w:r>
          </w:p>
        </w:tc>
        <w:tc>
          <w:tcPr>
            <w:tcW w:w="1160" w:type="dxa"/>
            <w:tcBorders>
              <w:top w:val="single" w:sz="4" w:space="0" w:color="auto"/>
              <w:left w:val="nil"/>
              <w:bottom w:val="single" w:sz="4" w:space="0" w:color="auto"/>
              <w:right w:val="nil"/>
            </w:tcBorders>
            <w:shd w:val="clear" w:color="000000" w:fill="BFBFBF"/>
            <w:vAlign w:val="bottom"/>
            <w:hideMark/>
          </w:tcPr>
          <w:p w14:paraId="7B6A4DEB" w14:textId="77777777" w:rsidR="006000EB" w:rsidRPr="0055657F" w:rsidRDefault="006000EB" w:rsidP="00500BD0">
            <w:pPr>
              <w:spacing w:after="0" w:line="240" w:lineRule="auto"/>
              <w:jc w:val="right"/>
              <w:rPr>
                <w:b/>
                <w:bCs/>
                <w:sz w:val="20"/>
                <w:szCs w:val="20"/>
                <w:lang w:eastAsia="sk-SK"/>
              </w:rPr>
            </w:pPr>
            <w:r w:rsidRPr="0055657F">
              <w:rPr>
                <w:b/>
                <w:bCs/>
                <w:sz w:val="20"/>
                <w:szCs w:val="20"/>
                <w:lang w:eastAsia="sk-SK"/>
              </w:rPr>
              <w:t>31.12.2017</w:t>
            </w:r>
          </w:p>
        </w:tc>
        <w:tc>
          <w:tcPr>
            <w:tcW w:w="1160" w:type="dxa"/>
            <w:tcBorders>
              <w:top w:val="single" w:sz="4" w:space="0" w:color="auto"/>
              <w:left w:val="nil"/>
              <w:bottom w:val="single" w:sz="4" w:space="0" w:color="auto"/>
              <w:right w:val="nil"/>
            </w:tcBorders>
            <w:shd w:val="clear" w:color="000000" w:fill="BFBFBF"/>
            <w:vAlign w:val="bottom"/>
            <w:hideMark/>
          </w:tcPr>
          <w:p w14:paraId="383C191F" w14:textId="77777777" w:rsidR="006000EB" w:rsidRPr="0055657F" w:rsidRDefault="006000EB" w:rsidP="00500BD0">
            <w:pPr>
              <w:spacing w:after="0" w:line="240" w:lineRule="auto"/>
              <w:jc w:val="right"/>
              <w:rPr>
                <w:b/>
                <w:bCs/>
                <w:sz w:val="20"/>
                <w:szCs w:val="20"/>
                <w:lang w:eastAsia="sk-SK"/>
              </w:rPr>
            </w:pPr>
            <w:r w:rsidRPr="0055657F">
              <w:rPr>
                <w:b/>
                <w:bCs/>
                <w:sz w:val="20"/>
                <w:szCs w:val="20"/>
                <w:lang w:eastAsia="sk-SK"/>
              </w:rPr>
              <w:t>31.12.2018</w:t>
            </w:r>
          </w:p>
        </w:tc>
        <w:tc>
          <w:tcPr>
            <w:tcW w:w="1220" w:type="dxa"/>
            <w:tcBorders>
              <w:top w:val="single" w:sz="4" w:space="0" w:color="auto"/>
              <w:left w:val="nil"/>
              <w:bottom w:val="single" w:sz="4" w:space="0" w:color="auto"/>
              <w:right w:val="nil"/>
            </w:tcBorders>
            <w:shd w:val="clear" w:color="000000" w:fill="BFBFBF"/>
            <w:vAlign w:val="bottom"/>
            <w:hideMark/>
          </w:tcPr>
          <w:p w14:paraId="749C91B3" w14:textId="77777777" w:rsidR="006000EB" w:rsidRPr="0055657F" w:rsidRDefault="006000EB" w:rsidP="00500BD0">
            <w:pPr>
              <w:spacing w:after="0" w:line="240" w:lineRule="auto"/>
              <w:jc w:val="right"/>
              <w:rPr>
                <w:b/>
                <w:bCs/>
                <w:sz w:val="20"/>
                <w:szCs w:val="20"/>
                <w:lang w:eastAsia="sk-SK"/>
              </w:rPr>
            </w:pPr>
            <w:r w:rsidRPr="0055657F">
              <w:rPr>
                <w:b/>
                <w:bCs/>
                <w:sz w:val="20"/>
                <w:szCs w:val="20"/>
                <w:lang w:eastAsia="sk-SK"/>
              </w:rPr>
              <w:t>Δ 2018-2017</w:t>
            </w:r>
          </w:p>
        </w:tc>
      </w:tr>
      <w:tr w:rsidR="006000EB" w:rsidRPr="0055657F" w14:paraId="225341D0" w14:textId="77777777" w:rsidTr="00500BD0">
        <w:trPr>
          <w:trHeight w:val="276"/>
        </w:trPr>
        <w:tc>
          <w:tcPr>
            <w:tcW w:w="4395" w:type="dxa"/>
            <w:tcBorders>
              <w:top w:val="nil"/>
              <w:left w:val="nil"/>
              <w:bottom w:val="nil"/>
              <w:right w:val="nil"/>
            </w:tcBorders>
            <w:shd w:val="clear" w:color="auto" w:fill="auto"/>
            <w:vAlign w:val="center"/>
            <w:hideMark/>
          </w:tcPr>
          <w:p w14:paraId="36B4CAF0" w14:textId="77777777" w:rsidR="006000EB" w:rsidRPr="0055657F" w:rsidRDefault="006000EB" w:rsidP="00500BD0">
            <w:pPr>
              <w:spacing w:after="0" w:line="240" w:lineRule="auto"/>
              <w:rPr>
                <w:b/>
                <w:bCs/>
                <w:color w:val="000000"/>
                <w:sz w:val="20"/>
                <w:szCs w:val="20"/>
                <w:lang w:eastAsia="sk-SK"/>
              </w:rPr>
            </w:pPr>
            <w:r w:rsidRPr="0055657F">
              <w:rPr>
                <w:b/>
                <w:bCs/>
                <w:color w:val="000000"/>
                <w:sz w:val="20"/>
                <w:szCs w:val="20"/>
                <w:lang w:eastAsia="sk-SK"/>
              </w:rPr>
              <w:t>Medzinárodné investičné arbitráže</w:t>
            </w:r>
          </w:p>
        </w:tc>
        <w:tc>
          <w:tcPr>
            <w:tcW w:w="1160" w:type="dxa"/>
            <w:tcBorders>
              <w:top w:val="nil"/>
              <w:left w:val="nil"/>
              <w:bottom w:val="nil"/>
              <w:right w:val="nil"/>
            </w:tcBorders>
            <w:shd w:val="clear" w:color="auto" w:fill="auto"/>
            <w:noWrap/>
            <w:vAlign w:val="center"/>
          </w:tcPr>
          <w:p w14:paraId="50DA295C"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343 852</w:t>
            </w:r>
          </w:p>
        </w:tc>
        <w:tc>
          <w:tcPr>
            <w:tcW w:w="1160" w:type="dxa"/>
            <w:tcBorders>
              <w:top w:val="nil"/>
              <w:left w:val="nil"/>
              <w:bottom w:val="nil"/>
              <w:right w:val="nil"/>
            </w:tcBorders>
            <w:shd w:val="clear" w:color="auto" w:fill="auto"/>
            <w:noWrap/>
            <w:vAlign w:val="center"/>
          </w:tcPr>
          <w:p w14:paraId="5C7195E5"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471 182</w:t>
            </w:r>
          </w:p>
        </w:tc>
        <w:tc>
          <w:tcPr>
            <w:tcW w:w="1160" w:type="dxa"/>
            <w:tcBorders>
              <w:top w:val="nil"/>
              <w:left w:val="nil"/>
              <w:bottom w:val="nil"/>
              <w:right w:val="nil"/>
            </w:tcBorders>
            <w:shd w:val="clear" w:color="auto" w:fill="auto"/>
            <w:noWrap/>
            <w:vAlign w:val="center"/>
          </w:tcPr>
          <w:p w14:paraId="0C906C7A"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378 997</w:t>
            </w:r>
          </w:p>
        </w:tc>
        <w:tc>
          <w:tcPr>
            <w:tcW w:w="1220" w:type="dxa"/>
            <w:tcBorders>
              <w:top w:val="nil"/>
              <w:left w:val="nil"/>
              <w:bottom w:val="nil"/>
              <w:right w:val="nil"/>
            </w:tcBorders>
            <w:shd w:val="clear" w:color="auto" w:fill="auto"/>
            <w:vAlign w:val="center"/>
          </w:tcPr>
          <w:p w14:paraId="1B9E4895"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-92 185</w:t>
            </w:r>
          </w:p>
        </w:tc>
      </w:tr>
      <w:tr w:rsidR="006000EB" w:rsidRPr="0055657F" w14:paraId="1F206DCF" w14:textId="77777777" w:rsidTr="00500BD0">
        <w:trPr>
          <w:trHeight w:val="276"/>
        </w:trPr>
        <w:tc>
          <w:tcPr>
            <w:tcW w:w="4395" w:type="dxa"/>
            <w:tcBorders>
              <w:top w:val="nil"/>
              <w:left w:val="nil"/>
              <w:bottom w:val="nil"/>
              <w:right w:val="nil"/>
            </w:tcBorders>
            <w:shd w:val="clear" w:color="auto" w:fill="auto"/>
            <w:vAlign w:val="center"/>
            <w:hideMark/>
          </w:tcPr>
          <w:p w14:paraId="6F109F8D"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Eurogas Inc. a Belmont Resources Inc.</w:t>
            </w:r>
          </w:p>
        </w:tc>
        <w:tc>
          <w:tcPr>
            <w:tcW w:w="1160" w:type="dxa"/>
            <w:tcBorders>
              <w:top w:val="nil"/>
              <w:left w:val="nil"/>
              <w:bottom w:val="nil"/>
              <w:right w:val="nil"/>
            </w:tcBorders>
            <w:shd w:val="clear" w:color="auto" w:fill="auto"/>
            <w:vAlign w:val="center"/>
          </w:tcPr>
          <w:p w14:paraId="6BC5E000"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239 705</w:t>
            </w:r>
          </w:p>
        </w:tc>
        <w:tc>
          <w:tcPr>
            <w:tcW w:w="1160" w:type="dxa"/>
            <w:tcBorders>
              <w:top w:val="nil"/>
              <w:left w:val="nil"/>
              <w:bottom w:val="nil"/>
              <w:right w:val="nil"/>
            </w:tcBorders>
            <w:shd w:val="clear" w:color="auto" w:fill="auto"/>
            <w:vAlign w:val="center"/>
          </w:tcPr>
          <w:p w14:paraId="212F62E7"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239 700</w:t>
            </w:r>
          </w:p>
        </w:tc>
        <w:tc>
          <w:tcPr>
            <w:tcW w:w="1160" w:type="dxa"/>
            <w:tcBorders>
              <w:top w:val="nil"/>
              <w:left w:val="nil"/>
              <w:bottom w:val="nil"/>
              <w:right w:val="nil"/>
            </w:tcBorders>
            <w:shd w:val="clear" w:color="auto" w:fill="auto"/>
            <w:vAlign w:val="center"/>
          </w:tcPr>
          <w:p w14:paraId="31F1F7FC"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239 705</w:t>
            </w:r>
          </w:p>
        </w:tc>
        <w:tc>
          <w:tcPr>
            <w:tcW w:w="1220" w:type="dxa"/>
            <w:tcBorders>
              <w:top w:val="nil"/>
              <w:left w:val="nil"/>
              <w:bottom w:val="nil"/>
              <w:right w:val="nil"/>
            </w:tcBorders>
            <w:shd w:val="clear" w:color="auto" w:fill="auto"/>
            <w:vAlign w:val="center"/>
          </w:tcPr>
          <w:p w14:paraId="2AC33DA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w:t>
            </w:r>
          </w:p>
        </w:tc>
      </w:tr>
      <w:tr w:rsidR="006000EB" w:rsidRPr="0055657F" w14:paraId="03E0D4FC" w14:textId="77777777" w:rsidTr="00500BD0">
        <w:trPr>
          <w:trHeight w:val="276"/>
        </w:trPr>
        <w:tc>
          <w:tcPr>
            <w:tcW w:w="4395" w:type="dxa"/>
            <w:tcBorders>
              <w:top w:val="nil"/>
              <w:left w:val="nil"/>
              <w:bottom w:val="nil"/>
              <w:right w:val="nil"/>
            </w:tcBorders>
            <w:shd w:val="clear" w:color="auto" w:fill="auto"/>
            <w:vAlign w:val="center"/>
            <w:hideMark/>
          </w:tcPr>
          <w:p w14:paraId="3A215EA3"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 xml:space="preserve">Zdravotná poisťovňa Union, a.s. </w:t>
            </w:r>
          </w:p>
        </w:tc>
        <w:tc>
          <w:tcPr>
            <w:tcW w:w="1160" w:type="dxa"/>
            <w:tcBorders>
              <w:top w:val="nil"/>
              <w:left w:val="nil"/>
              <w:bottom w:val="nil"/>
              <w:right w:val="nil"/>
            </w:tcBorders>
            <w:shd w:val="clear" w:color="auto" w:fill="auto"/>
            <w:vAlign w:val="center"/>
          </w:tcPr>
          <w:p w14:paraId="2D387526"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28 187</w:t>
            </w:r>
          </w:p>
        </w:tc>
        <w:tc>
          <w:tcPr>
            <w:tcW w:w="1160" w:type="dxa"/>
            <w:tcBorders>
              <w:top w:val="nil"/>
              <w:left w:val="nil"/>
              <w:bottom w:val="nil"/>
              <w:right w:val="nil"/>
            </w:tcBorders>
            <w:shd w:val="clear" w:color="auto" w:fill="auto"/>
            <w:vAlign w:val="center"/>
          </w:tcPr>
          <w:p w14:paraId="69F2F5C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28 692</w:t>
            </w:r>
          </w:p>
        </w:tc>
        <w:tc>
          <w:tcPr>
            <w:tcW w:w="1160" w:type="dxa"/>
            <w:tcBorders>
              <w:top w:val="nil"/>
              <w:left w:val="nil"/>
              <w:bottom w:val="nil"/>
              <w:right w:val="nil"/>
            </w:tcBorders>
            <w:shd w:val="clear" w:color="auto" w:fill="auto"/>
            <w:vAlign w:val="center"/>
          </w:tcPr>
          <w:p w14:paraId="28CC2F0F"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28 692</w:t>
            </w:r>
          </w:p>
        </w:tc>
        <w:tc>
          <w:tcPr>
            <w:tcW w:w="1220" w:type="dxa"/>
            <w:tcBorders>
              <w:top w:val="nil"/>
              <w:left w:val="nil"/>
              <w:bottom w:val="nil"/>
              <w:right w:val="nil"/>
            </w:tcBorders>
            <w:shd w:val="clear" w:color="auto" w:fill="auto"/>
            <w:vAlign w:val="center"/>
          </w:tcPr>
          <w:p w14:paraId="3C3622C6"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r>
      <w:tr w:rsidR="006000EB" w:rsidRPr="0055657F" w14:paraId="4445DC3E" w14:textId="77777777" w:rsidTr="00500BD0">
        <w:trPr>
          <w:trHeight w:val="276"/>
        </w:trPr>
        <w:tc>
          <w:tcPr>
            <w:tcW w:w="4395" w:type="dxa"/>
            <w:tcBorders>
              <w:top w:val="nil"/>
              <w:left w:val="nil"/>
              <w:bottom w:val="nil"/>
              <w:right w:val="nil"/>
            </w:tcBorders>
            <w:shd w:val="clear" w:color="auto" w:fill="auto"/>
            <w:vAlign w:val="center"/>
            <w:hideMark/>
          </w:tcPr>
          <w:p w14:paraId="63576CDC"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Spoldzielnica Pracy Muszynianka</w:t>
            </w:r>
          </w:p>
        </w:tc>
        <w:tc>
          <w:tcPr>
            <w:tcW w:w="1160" w:type="dxa"/>
            <w:tcBorders>
              <w:top w:val="nil"/>
              <w:left w:val="nil"/>
              <w:bottom w:val="nil"/>
              <w:right w:val="nil"/>
            </w:tcBorders>
            <w:shd w:val="clear" w:color="auto" w:fill="auto"/>
            <w:vAlign w:val="center"/>
          </w:tcPr>
          <w:p w14:paraId="2BF81F4C"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75 960</w:t>
            </w:r>
          </w:p>
        </w:tc>
        <w:tc>
          <w:tcPr>
            <w:tcW w:w="1160" w:type="dxa"/>
            <w:tcBorders>
              <w:top w:val="nil"/>
              <w:left w:val="nil"/>
              <w:bottom w:val="nil"/>
              <w:right w:val="nil"/>
            </w:tcBorders>
            <w:shd w:val="clear" w:color="auto" w:fill="auto"/>
            <w:vAlign w:val="center"/>
          </w:tcPr>
          <w:p w14:paraId="68D5653F"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202 790</w:t>
            </w:r>
          </w:p>
        </w:tc>
        <w:tc>
          <w:tcPr>
            <w:tcW w:w="1160" w:type="dxa"/>
            <w:tcBorders>
              <w:top w:val="nil"/>
              <w:left w:val="nil"/>
              <w:bottom w:val="nil"/>
              <w:right w:val="nil"/>
            </w:tcBorders>
            <w:shd w:val="clear" w:color="auto" w:fill="auto"/>
            <w:vAlign w:val="center"/>
          </w:tcPr>
          <w:p w14:paraId="5D9A1C65"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110 600</w:t>
            </w:r>
          </w:p>
        </w:tc>
        <w:tc>
          <w:tcPr>
            <w:tcW w:w="1220" w:type="dxa"/>
            <w:tcBorders>
              <w:top w:val="nil"/>
              <w:left w:val="nil"/>
              <w:bottom w:val="nil"/>
              <w:right w:val="nil"/>
            </w:tcBorders>
            <w:shd w:val="clear" w:color="auto" w:fill="auto"/>
            <w:vAlign w:val="center"/>
          </w:tcPr>
          <w:p w14:paraId="7C4027D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-92 190</w:t>
            </w:r>
          </w:p>
        </w:tc>
      </w:tr>
      <w:tr w:rsidR="006000EB" w:rsidRPr="0055657F" w14:paraId="088EA72A" w14:textId="77777777" w:rsidTr="00500BD0">
        <w:trPr>
          <w:trHeight w:val="276"/>
        </w:trPr>
        <w:tc>
          <w:tcPr>
            <w:tcW w:w="4395" w:type="dxa"/>
            <w:tcBorders>
              <w:top w:val="nil"/>
              <w:left w:val="nil"/>
              <w:bottom w:val="nil"/>
              <w:right w:val="nil"/>
            </w:tcBorders>
            <w:shd w:val="clear" w:color="auto" w:fill="auto"/>
            <w:vAlign w:val="center"/>
            <w:hideMark/>
          </w:tcPr>
          <w:p w14:paraId="471F0EB7" w14:textId="77777777" w:rsidR="006000EB" w:rsidRPr="0055657F" w:rsidRDefault="006000EB" w:rsidP="00500BD0">
            <w:pPr>
              <w:spacing w:after="0" w:line="240" w:lineRule="auto"/>
              <w:rPr>
                <w:b/>
                <w:bCs/>
                <w:color w:val="000000"/>
                <w:sz w:val="20"/>
                <w:szCs w:val="20"/>
                <w:lang w:eastAsia="sk-SK"/>
              </w:rPr>
            </w:pPr>
            <w:r w:rsidRPr="0055657F">
              <w:rPr>
                <w:b/>
                <w:bCs/>
                <w:color w:val="000000"/>
                <w:sz w:val="20"/>
                <w:szCs w:val="20"/>
                <w:lang w:eastAsia="sk-SK"/>
              </w:rPr>
              <w:t>Ostatné súdne spory</w:t>
            </w:r>
          </w:p>
        </w:tc>
        <w:tc>
          <w:tcPr>
            <w:tcW w:w="1160" w:type="dxa"/>
            <w:tcBorders>
              <w:top w:val="nil"/>
              <w:left w:val="nil"/>
              <w:bottom w:val="nil"/>
              <w:right w:val="nil"/>
            </w:tcBorders>
            <w:shd w:val="clear" w:color="auto" w:fill="auto"/>
            <w:vAlign w:val="center"/>
          </w:tcPr>
          <w:p w14:paraId="0D84544E"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1 590 061</w:t>
            </w:r>
          </w:p>
        </w:tc>
        <w:tc>
          <w:tcPr>
            <w:tcW w:w="1160" w:type="dxa"/>
            <w:tcBorders>
              <w:top w:val="nil"/>
              <w:left w:val="nil"/>
              <w:bottom w:val="nil"/>
              <w:right w:val="nil"/>
            </w:tcBorders>
            <w:shd w:val="clear" w:color="auto" w:fill="auto"/>
            <w:vAlign w:val="center"/>
          </w:tcPr>
          <w:p w14:paraId="28A2F54D"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2 028 078</w:t>
            </w:r>
          </w:p>
        </w:tc>
        <w:tc>
          <w:tcPr>
            <w:tcW w:w="1160" w:type="dxa"/>
            <w:tcBorders>
              <w:top w:val="nil"/>
              <w:left w:val="nil"/>
              <w:bottom w:val="nil"/>
              <w:right w:val="nil"/>
            </w:tcBorders>
            <w:shd w:val="clear" w:color="auto" w:fill="auto"/>
            <w:vAlign w:val="center"/>
          </w:tcPr>
          <w:p w14:paraId="0EA950F6"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3 009 504</w:t>
            </w:r>
          </w:p>
        </w:tc>
        <w:tc>
          <w:tcPr>
            <w:tcW w:w="1220" w:type="dxa"/>
            <w:tcBorders>
              <w:top w:val="nil"/>
              <w:left w:val="nil"/>
              <w:bottom w:val="nil"/>
              <w:right w:val="nil"/>
            </w:tcBorders>
            <w:shd w:val="clear" w:color="auto" w:fill="auto"/>
            <w:vAlign w:val="center"/>
          </w:tcPr>
          <w:p w14:paraId="10939382"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981 426</w:t>
            </w:r>
          </w:p>
        </w:tc>
      </w:tr>
      <w:tr w:rsidR="006000EB" w:rsidRPr="0055657F" w14:paraId="17C8CAE4" w14:textId="77777777" w:rsidTr="00500BD0">
        <w:trPr>
          <w:trHeight w:val="276"/>
        </w:trPr>
        <w:tc>
          <w:tcPr>
            <w:tcW w:w="4395" w:type="dxa"/>
            <w:tcBorders>
              <w:top w:val="nil"/>
              <w:left w:val="nil"/>
              <w:bottom w:val="nil"/>
              <w:right w:val="nil"/>
            </w:tcBorders>
            <w:shd w:val="clear" w:color="auto" w:fill="auto"/>
            <w:hideMark/>
          </w:tcPr>
          <w:p w14:paraId="63AFADED"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Ministerstvo financií SR</w:t>
            </w:r>
          </w:p>
        </w:tc>
        <w:tc>
          <w:tcPr>
            <w:tcW w:w="1160" w:type="dxa"/>
            <w:tcBorders>
              <w:top w:val="nil"/>
              <w:left w:val="nil"/>
              <w:bottom w:val="nil"/>
              <w:right w:val="nil"/>
            </w:tcBorders>
            <w:shd w:val="clear" w:color="auto" w:fill="auto"/>
            <w:vAlign w:val="center"/>
          </w:tcPr>
          <w:p w14:paraId="65B05BB9"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554 530</w:t>
            </w:r>
          </w:p>
        </w:tc>
        <w:tc>
          <w:tcPr>
            <w:tcW w:w="1160" w:type="dxa"/>
            <w:tcBorders>
              <w:top w:val="nil"/>
              <w:left w:val="nil"/>
              <w:bottom w:val="nil"/>
              <w:right w:val="nil"/>
            </w:tcBorders>
            <w:shd w:val="clear" w:color="auto" w:fill="auto"/>
            <w:vAlign w:val="center"/>
          </w:tcPr>
          <w:p w14:paraId="39BBC75C"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554 530</w:t>
            </w:r>
          </w:p>
        </w:tc>
        <w:tc>
          <w:tcPr>
            <w:tcW w:w="1160" w:type="dxa"/>
            <w:tcBorders>
              <w:top w:val="nil"/>
              <w:left w:val="nil"/>
              <w:bottom w:val="nil"/>
              <w:right w:val="nil"/>
            </w:tcBorders>
            <w:shd w:val="clear" w:color="auto" w:fill="auto"/>
            <w:vAlign w:val="center"/>
          </w:tcPr>
          <w:p w14:paraId="73DBF7A0"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1 568 121</w:t>
            </w:r>
          </w:p>
        </w:tc>
        <w:tc>
          <w:tcPr>
            <w:tcW w:w="1220" w:type="dxa"/>
            <w:tcBorders>
              <w:top w:val="nil"/>
              <w:left w:val="nil"/>
              <w:bottom w:val="nil"/>
              <w:right w:val="nil"/>
            </w:tcBorders>
            <w:shd w:val="clear" w:color="auto" w:fill="auto"/>
            <w:vAlign w:val="center"/>
          </w:tcPr>
          <w:p w14:paraId="58B7A1D8"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992 761</w:t>
            </w:r>
          </w:p>
        </w:tc>
      </w:tr>
      <w:tr w:rsidR="006000EB" w:rsidRPr="0055657F" w14:paraId="2F22F964" w14:textId="77777777" w:rsidTr="00500BD0">
        <w:trPr>
          <w:trHeight w:val="276"/>
        </w:trPr>
        <w:tc>
          <w:tcPr>
            <w:tcW w:w="4395" w:type="dxa"/>
            <w:tcBorders>
              <w:top w:val="nil"/>
              <w:left w:val="nil"/>
              <w:bottom w:val="nil"/>
              <w:right w:val="nil"/>
            </w:tcBorders>
            <w:shd w:val="clear" w:color="auto" w:fill="auto"/>
            <w:hideMark/>
          </w:tcPr>
          <w:p w14:paraId="0D1C4421"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Kancelária národnej rady SR</w:t>
            </w:r>
          </w:p>
        </w:tc>
        <w:tc>
          <w:tcPr>
            <w:tcW w:w="1160" w:type="dxa"/>
            <w:tcBorders>
              <w:top w:val="nil"/>
              <w:left w:val="nil"/>
              <w:bottom w:val="nil"/>
              <w:right w:val="nil"/>
            </w:tcBorders>
            <w:shd w:val="clear" w:color="auto" w:fill="auto"/>
            <w:vAlign w:val="center"/>
          </w:tcPr>
          <w:p w14:paraId="106E5B6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596 148</w:t>
            </w:r>
          </w:p>
        </w:tc>
        <w:tc>
          <w:tcPr>
            <w:tcW w:w="1160" w:type="dxa"/>
            <w:tcBorders>
              <w:top w:val="nil"/>
              <w:left w:val="nil"/>
              <w:bottom w:val="nil"/>
              <w:right w:val="nil"/>
            </w:tcBorders>
            <w:shd w:val="clear" w:color="auto" w:fill="auto"/>
            <w:vAlign w:val="center"/>
          </w:tcPr>
          <w:p w14:paraId="74B5B889"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596 148</w:t>
            </w:r>
          </w:p>
        </w:tc>
        <w:tc>
          <w:tcPr>
            <w:tcW w:w="1160" w:type="dxa"/>
            <w:tcBorders>
              <w:top w:val="nil"/>
              <w:left w:val="nil"/>
              <w:bottom w:val="nil"/>
              <w:right w:val="nil"/>
            </w:tcBorders>
            <w:shd w:val="clear" w:color="auto" w:fill="auto"/>
            <w:vAlign w:val="center"/>
          </w:tcPr>
          <w:p w14:paraId="7A756776"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582 573</w:t>
            </w:r>
          </w:p>
        </w:tc>
        <w:tc>
          <w:tcPr>
            <w:tcW w:w="1220" w:type="dxa"/>
            <w:tcBorders>
              <w:top w:val="nil"/>
              <w:left w:val="nil"/>
              <w:bottom w:val="nil"/>
              <w:right w:val="nil"/>
            </w:tcBorders>
            <w:shd w:val="clear" w:color="auto" w:fill="auto"/>
            <w:vAlign w:val="center"/>
          </w:tcPr>
          <w:p w14:paraId="050F1846"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-12 028</w:t>
            </w:r>
          </w:p>
        </w:tc>
      </w:tr>
      <w:tr w:rsidR="006000EB" w:rsidRPr="0055657F" w14:paraId="4D21B916" w14:textId="77777777" w:rsidTr="00500BD0">
        <w:trPr>
          <w:trHeight w:val="276"/>
        </w:trPr>
        <w:tc>
          <w:tcPr>
            <w:tcW w:w="4395" w:type="dxa"/>
            <w:tcBorders>
              <w:top w:val="nil"/>
              <w:left w:val="nil"/>
              <w:bottom w:val="nil"/>
              <w:right w:val="nil"/>
            </w:tcBorders>
            <w:shd w:val="clear" w:color="auto" w:fill="auto"/>
          </w:tcPr>
          <w:p w14:paraId="6BC64180"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Ministerstvo práce, soc. vecí a rodiny SR</w:t>
            </w:r>
          </w:p>
        </w:tc>
        <w:tc>
          <w:tcPr>
            <w:tcW w:w="1160" w:type="dxa"/>
            <w:tcBorders>
              <w:top w:val="nil"/>
              <w:left w:val="nil"/>
              <w:bottom w:val="nil"/>
              <w:right w:val="nil"/>
            </w:tcBorders>
            <w:shd w:val="clear" w:color="auto" w:fill="auto"/>
            <w:vAlign w:val="center"/>
          </w:tcPr>
          <w:p w14:paraId="2FCBB2F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114 896</w:t>
            </w:r>
          </w:p>
        </w:tc>
        <w:tc>
          <w:tcPr>
            <w:tcW w:w="1160" w:type="dxa"/>
            <w:tcBorders>
              <w:top w:val="nil"/>
              <w:left w:val="nil"/>
              <w:bottom w:val="nil"/>
              <w:right w:val="nil"/>
            </w:tcBorders>
            <w:shd w:val="clear" w:color="auto" w:fill="auto"/>
            <w:vAlign w:val="center"/>
          </w:tcPr>
          <w:p w14:paraId="349DF4D1"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114 896</w:t>
            </w:r>
          </w:p>
        </w:tc>
        <w:tc>
          <w:tcPr>
            <w:tcW w:w="1160" w:type="dxa"/>
            <w:tcBorders>
              <w:top w:val="nil"/>
              <w:left w:val="nil"/>
              <w:bottom w:val="nil"/>
              <w:right w:val="nil"/>
            </w:tcBorders>
            <w:shd w:val="clear" w:color="auto" w:fill="auto"/>
            <w:vAlign w:val="center"/>
          </w:tcPr>
          <w:p w14:paraId="2AC5C128"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453 228</w:t>
            </w:r>
          </w:p>
        </w:tc>
        <w:tc>
          <w:tcPr>
            <w:tcW w:w="1220" w:type="dxa"/>
            <w:tcBorders>
              <w:top w:val="nil"/>
              <w:left w:val="nil"/>
              <w:bottom w:val="nil"/>
              <w:right w:val="nil"/>
            </w:tcBorders>
            <w:shd w:val="clear" w:color="auto" w:fill="auto"/>
            <w:vAlign w:val="center"/>
          </w:tcPr>
          <w:p w14:paraId="7F8FDD17"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-20 471</w:t>
            </w:r>
          </w:p>
        </w:tc>
      </w:tr>
      <w:tr w:rsidR="006000EB" w:rsidRPr="0055657F" w14:paraId="34ED4A01" w14:textId="77777777" w:rsidTr="00500BD0">
        <w:trPr>
          <w:trHeight w:val="276"/>
        </w:trPr>
        <w:tc>
          <w:tcPr>
            <w:tcW w:w="4395" w:type="dxa"/>
            <w:tcBorders>
              <w:top w:val="nil"/>
              <w:left w:val="nil"/>
              <w:bottom w:val="nil"/>
              <w:right w:val="nil"/>
            </w:tcBorders>
            <w:shd w:val="clear" w:color="auto" w:fill="auto"/>
          </w:tcPr>
          <w:p w14:paraId="21C6530A"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Slovenský pozemkový fond</w:t>
            </w:r>
          </w:p>
        </w:tc>
        <w:tc>
          <w:tcPr>
            <w:tcW w:w="1160" w:type="dxa"/>
            <w:tcBorders>
              <w:top w:val="nil"/>
              <w:left w:val="nil"/>
              <w:bottom w:val="nil"/>
              <w:right w:val="nil"/>
            </w:tcBorders>
            <w:shd w:val="clear" w:color="auto" w:fill="auto"/>
            <w:vAlign w:val="center"/>
          </w:tcPr>
          <w:p w14:paraId="506C7C80"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115 686</w:t>
            </w:r>
          </w:p>
        </w:tc>
        <w:tc>
          <w:tcPr>
            <w:tcW w:w="1160" w:type="dxa"/>
            <w:tcBorders>
              <w:top w:val="nil"/>
              <w:left w:val="nil"/>
              <w:bottom w:val="nil"/>
              <w:right w:val="nil"/>
            </w:tcBorders>
            <w:shd w:val="clear" w:color="auto" w:fill="auto"/>
            <w:vAlign w:val="center"/>
          </w:tcPr>
          <w:p w14:paraId="6CF11A7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115 686</w:t>
            </w:r>
          </w:p>
        </w:tc>
        <w:tc>
          <w:tcPr>
            <w:tcW w:w="1160" w:type="dxa"/>
            <w:tcBorders>
              <w:top w:val="nil"/>
              <w:left w:val="nil"/>
              <w:bottom w:val="nil"/>
              <w:right w:val="nil"/>
            </w:tcBorders>
            <w:shd w:val="clear" w:color="auto" w:fill="auto"/>
            <w:vAlign w:val="center"/>
          </w:tcPr>
          <w:p w14:paraId="7891D4A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101 900</w:t>
            </w:r>
          </w:p>
        </w:tc>
        <w:tc>
          <w:tcPr>
            <w:tcW w:w="1220" w:type="dxa"/>
            <w:tcBorders>
              <w:top w:val="nil"/>
              <w:left w:val="nil"/>
              <w:bottom w:val="nil"/>
              <w:right w:val="nil"/>
            </w:tcBorders>
            <w:shd w:val="clear" w:color="auto" w:fill="auto"/>
            <w:vAlign w:val="center"/>
          </w:tcPr>
          <w:p w14:paraId="0D98AB38"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r>
      <w:tr w:rsidR="006000EB" w:rsidRPr="0055657F" w14:paraId="7B622A4B" w14:textId="77777777" w:rsidTr="00500BD0">
        <w:trPr>
          <w:trHeight w:val="276"/>
        </w:trPr>
        <w:tc>
          <w:tcPr>
            <w:tcW w:w="4395" w:type="dxa"/>
            <w:tcBorders>
              <w:top w:val="nil"/>
              <w:left w:val="nil"/>
              <w:bottom w:val="nil"/>
              <w:right w:val="nil"/>
            </w:tcBorders>
            <w:shd w:val="clear" w:color="auto" w:fill="auto"/>
          </w:tcPr>
          <w:p w14:paraId="0E3CC6DB"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Ministerstvo vnútra SR</w:t>
            </w:r>
          </w:p>
        </w:tc>
        <w:tc>
          <w:tcPr>
            <w:tcW w:w="1160" w:type="dxa"/>
            <w:tcBorders>
              <w:top w:val="nil"/>
              <w:left w:val="nil"/>
              <w:bottom w:val="nil"/>
              <w:right w:val="nil"/>
            </w:tcBorders>
            <w:shd w:val="clear" w:color="auto" w:fill="auto"/>
            <w:vAlign w:val="center"/>
          </w:tcPr>
          <w:p w14:paraId="4CA585C4"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79 270</w:t>
            </w:r>
          </w:p>
        </w:tc>
        <w:tc>
          <w:tcPr>
            <w:tcW w:w="1160" w:type="dxa"/>
            <w:tcBorders>
              <w:top w:val="nil"/>
              <w:left w:val="nil"/>
              <w:bottom w:val="nil"/>
              <w:right w:val="nil"/>
            </w:tcBorders>
            <w:shd w:val="clear" w:color="auto" w:fill="auto"/>
            <w:vAlign w:val="center"/>
          </w:tcPr>
          <w:p w14:paraId="0509919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79 270</w:t>
            </w:r>
          </w:p>
        </w:tc>
        <w:tc>
          <w:tcPr>
            <w:tcW w:w="1160" w:type="dxa"/>
            <w:tcBorders>
              <w:top w:val="nil"/>
              <w:left w:val="nil"/>
              <w:bottom w:val="nil"/>
              <w:right w:val="nil"/>
            </w:tcBorders>
            <w:shd w:val="clear" w:color="auto" w:fill="auto"/>
            <w:vAlign w:val="center"/>
          </w:tcPr>
          <w:p w14:paraId="5B23EC9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89 463</w:t>
            </w:r>
          </w:p>
        </w:tc>
        <w:tc>
          <w:tcPr>
            <w:tcW w:w="1220" w:type="dxa"/>
            <w:tcBorders>
              <w:top w:val="nil"/>
              <w:left w:val="nil"/>
              <w:bottom w:val="nil"/>
              <w:right w:val="nil"/>
            </w:tcBorders>
            <w:shd w:val="clear" w:color="auto" w:fill="auto"/>
            <w:vAlign w:val="center"/>
          </w:tcPr>
          <w:p w14:paraId="0C38D579"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7 408</w:t>
            </w:r>
          </w:p>
        </w:tc>
      </w:tr>
      <w:tr w:rsidR="006000EB" w:rsidRPr="0055657F" w14:paraId="60800001" w14:textId="77777777" w:rsidTr="00500BD0">
        <w:trPr>
          <w:trHeight w:val="276"/>
        </w:trPr>
        <w:tc>
          <w:tcPr>
            <w:tcW w:w="4395" w:type="dxa"/>
            <w:tcBorders>
              <w:top w:val="nil"/>
              <w:left w:val="nil"/>
              <w:bottom w:val="nil"/>
              <w:right w:val="nil"/>
            </w:tcBorders>
            <w:shd w:val="clear" w:color="auto" w:fill="auto"/>
            <w:hideMark/>
          </w:tcPr>
          <w:p w14:paraId="7FFD66F1"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Ministerstvo hospodárstva SR</w:t>
            </w:r>
          </w:p>
        </w:tc>
        <w:tc>
          <w:tcPr>
            <w:tcW w:w="1160" w:type="dxa"/>
            <w:tcBorders>
              <w:top w:val="nil"/>
              <w:left w:val="nil"/>
              <w:bottom w:val="nil"/>
              <w:right w:val="nil"/>
            </w:tcBorders>
            <w:shd w:val="clear" w:color="auto" w:fill="auto"/>
            <w:vAlign w:val="center"/>
          </w:tcPr>
          <w:p w14:paraId="37633AB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c>
          <w:tcPr>
            <w:tcW w:w="1160" w:type="dxa"/>
            <w:tcBorders>
              <w:top w:val="nil"/>
              <w:left w:val="nil"/>
              <w:bottom w:val="nil"/>
              <w:right w:val="nil"/>
            </w:tcBorders>
            <w:shd w:val="clear" w:color="auto" w:fill="auto"/>
            <w:vAlign w:val="center"/>
          </w:tcPr>
          <w:p w14:paraId="74D142FE"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c>
          <w:tcPr>
            <w:tcW w:w="1160" w:type="dxa"/>
            <w:tcBorders>
              <w:top w:val="nil"/>
              <w:left w:val="nil"/>
              <w:bottom w:val="nil"/>
              <w:right w:val="nil"/>
            </w:tcBorders>
            <w:shd w:val="clear" w:color="auto" w:fill="auto"/>
            <w:vAlign w:val="center"/>
          </w:tcPr>
          <w:p w14:paraId="1B03FE6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84 858</w:t>
            </w:r>
          </w:p>
        </w:tc>
        <w:tc>
          <w:tcPr>
            <w:tcW w:w="1220" w:type="dxa"/>
            <w:tcBorders>
              <w:top w:val="nil"/>
              <w:left w:val="nil"/>
              <w:bottom w:val="nil"/>
              <w:right w:val="nil"/>
            </w:tcBorders>
            <w:shd w:val="clear" w:color="auto" w:fill="auto"/>
            <w:vAlign w:val="center"/>
          </w:tcPr>
          <w:p w14:paraId="0343F0F8"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12 894</w:t>
            </w:r>
          </w:p>
        </w:tc>
      </w:tr>
      <w:tr w:rsidR="006000EB" w:rsidRPr="0055657F" w14:paraId="756E45B2" w14:textId="77777777" w:rsidTr="00500BD0">
        <w:trPr>
          <w:trHeight w:val="276"/>
        </w:trPr>
        <w:tc>
          <w:tcPr>
            <w:tcW w:w="4395" w:type="dxa"/>
            <w:tcBorders>
              <w:top w:val="nil"/>
              <w:left w:val="nil"/>
              <w:bottom w:val="nil"/>
              <w:right w:val="nil"/>
            </w:tcBorders>
            <w:shd w:val="clear" w:color="auto" w:fill="auto"/>
          </w:tcPr>
          <w:p w14:paraId="298D231F"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Vodohospodárska výstavba, š.p.</w:t>
            </w:r>
          </w:p>
        </w:tc>
        <w:tc>
          <w:tcPr>
            <w:tcW w:w="1160" w:type="dxa"/>
            <w:tcBorders>
              <w:top w:val="nil"/>
              <w:left w:val="nil"/>
              <w:bottom w:val="nil"/>
              <w:right w:val="nil"/>
            </w:tcBorders>
            <w:shd w:val="clear" w:color="auto" w:fill="auto"/>
            <w:vAlign w:val="center"/>
          </w:tcPr>
          <w:p w14:paraId="2689374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77 780</w:t>
            </w:r>
          </w:p>
        </w:tc>
        <w:tc>
          <w:tcPr>
            <w:tcW w:w="1160" w:type="dxa"/>
            <w:tcBorders>
              <w:top w:val="nil"/>
              <w:left w:val="nil"/>
              <w:bottom w:val="nil"/>
              <w:right w:val="nil"/>
            </w:tcBorders>
            <w:shd w:val="clear" w:color="auto" w:fill="auto"/>
            <w:vAlign w:val="center"/>
          </w:tcPr>
          <w:p w14:paraId="791B530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77 780</w:t>
            </w:r>
          </w:p>
        </w:tc>
        <w:tc>
          <w:tcPr>
            <w:tcW w:w="1160" w:type="dxa"/>
            <w:tcBorders>
              <w:top w:val="nil"/>
              <w:left w:val="nil"/>
              <w:bottom w:val="nil"/>
              <w:right w:val="nil"/>
            </w:tcBorders>
            <w:shd w:val="clear" w:color="auto" w:fill="auto"/>
            <w:vAlign w:val="center"/>
          </w:tcPr>
          <w:p w14:paraId="284DD78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77 609</w:t>
            </w:r>
          </w:p>
        </w:tc>
        <w:tc>
          <w:tcPr>
            <w:tcW w:w="1220" w:type="dxa"/>
            <w:tcBorders>
              <w:top w:val="nil"/>
              <w:left w:val="nil"/>
              <w:bottom w:val="nil"/>
              <w:right w:val="nil"/>
            </w:tcBorders>
            <w:shd w:val="clear" w:color="auto" w:fill="auto"/>
            <w:vAlign w:val="center"/>
          </w:tcPr>
          <w:p w14:paraId="4D529D6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861</w:t>
            </w:r>
          </w:p>
        </w:tc>
      </w:tr>
      <w:tr w:rsidR="006000EB" w:rsidRPr="0055657F" w14:paraId="402811AC" w14:textId="77777777" w:rsidTr="00500BD0">
        <w:trPr>
          <w:trHeight w:val="276"/>
        </w:trPr>
        <w:tc>
          <w:tcPr>
            <w:tcW w:w="4395" w:type="dxa"/>
            <w:tcBorders>
              <w:top w:val="nil"/>
              <w:left w:val="nil"/>
              <w:bottom w:val="nil"/>
              <w:right w:val="nil"/>
            </w:tcBorders>
            <w:shd w:val="clear" w:color="auto" w:fill="auto"/>
            <w:hideMark/>
          </w:tcPr>
          <w:p w14:paraId="2274BB79"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Železničná spoločnosť Slovensko, a.s.</w:t>
            </w:r>
          </w:p>
        </w:tc>
        <w:tc>
          <w:tcPr>
            <w:tcW w:w="1160" w:type="dxa"/>
            <w:tcBorders>
              <w:top w:val="nil"/>
              <w:left w:val="nil"/>
              <w:bottom w:val="nil"/>
              <w:right w:val="nil"/>
            </w:tcBorders>
            <w:shd w:val="clear" w:color="auto" w:fill="auto"/>
            <w:vAlign w:val="center"/>
          </w:tcPr>
          <w:p w14:paraId="7348C388"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51 751</w:t>
            </w:r>
          </w:p>
        </w:tc>
        <w:tc>
          <w:tcPr>
            <w:tcW w:w="1160" w:type="dxa"/>
            <w:tcBorders>
              <w:top w:val="nil"/>
              <w:left w:val="nil"/>
              <w:bottom w:val="nil"/>
              <w:right w:val="nil"/>
            </w:tcBorders>
            <w:shd w:val="clear" w:color="auto" w:fill="auto"/>
            <w:vAlign w:val="center"/>
          </w:tcPr>
          <w:p w14:paraId="4982298C"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51 751</w:t>
            </w:r>
          </w:p>
        </w:tc>
        <w:tc>
          <w:tcPr>
            <w:tcW w:w="1160" w:type="dxa"/>
            <w:tcBorders>
              <w:top w:val="nil"/>
              <w:left w:val="nil"/>
              <w:bottom w:val="nil"/>
              <w:right w:val="nil"/>
            </w:tcBorders>
            <w:shd w:val="clear" w:color="auto" w:fill="auto"/>
            <w:vAlign w:val="center"/>
          </w:tcPr>
          <w:p w14:paraId="2180C47E"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51 752</w:t>
            </w:r>
          </w:p>
        </w:tc>
        <w:tc>
          <w:tcPr>
            <w:tcW w:w="1220" w:type="dxa"/>
            <w:tcBorders>
              <w:top w:val="nil"/>
              <w:left w:val="nil"/>
              <w:bottom w:val="nil"/>
              <w:right w:val="nil"/>
            </w:tcBorders>
            <w:shd w:val="clear" w:color="auto" w:fill="auto"/>
            <w:vAlign w:val="center"/>
          </w:tcPr>
          <w:p w14:paraId="63FEC71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w:t>
            </w:r>
          </w:p>
        </w:tc>
      </w:tr>
      <w:tr w:rsidR="006000EB" w:rsidRPr="0055657F" w14:paraId="0D2AD8E4" w14:textId="77777777" w:rsidTr="00500BD0">
        <w:trPr>
          <w:trHeight w:val="276"/>
        </w:trPr>
        <w:tc>
          <w:tcPr>
            <w:tcW w:w="4395" w:type="dxa"/>
            <w:tcBorders>
              <w:top w:val="nil"/>
              <w:left w:val="nil"/>
              <w:bottom w:val="nil"/>
              <w:right w:val="nil"/>
            </w:tcBorders>
            <w:shd w:val="clear" w:color="auto" w:fill="auto"/>
            <w:vAlign w:val="center"/>
            <w:hideMark/>
          </w:tcPr>
          <w:p w14:paraId="5C3AD14B" w14:textId="77777777" w:rsidR="006000EB" w:rsidRPr="0055657F" w:rsidRDefault="006000EB" w:rsidP="00500BD0">
            <w:pPr>
              <w:spacing w:after="0" w:line="240" w:lineRule="auto"/>
              <w:rPr>
                <w:b/>
                <w:bCs/>
                <w:color w:val="000000"/>
                <w:sz w:val="20"/>
                <w:szCs w:val="20"/>
                <w:lang w:eastAsia="sk-SK"/>
              </w:rPr>
            </w:pPr>
            <w:r w:rsidRPr="0055657F">
              <w:br w:type="page"/>
            </w:r>
            <w:r w:rsidRPr="0055657F">
              <w:rPr>
                <w:b/>
                <w:bCs/>
                <w:color w:val="000000"/>
                <w:sz w:val="20"/>
                <w:szCs w:val="20"/>
                <w:lang w:eastAsia="sk-SK"/>
              </w:rPr>
              <w:t xml:space="preserve">Iné (podniky štátnej správy, MF SR) </w:t>
            </w:r>
          </w:p>
        </w:tc>
        <w:tc>
          <w:tcPr>
            <w:tcW w:w="1160" w:type="dxa"/>
            <w:tcBorders>
              <w:top w:val="nil"/>
              <w:left w:val="nil"/>
              <w:bottom w:val="nil"/>
              <w:right w:val="nil"/>
            </w:tcBorders>
            <w:shd w:val="clear" w:color="auto" w:fill="auto"/>
            <w:vAlign w:val="center"/>
          </w:tcPr>
          <w:p w14:paraId="577C13F8"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2 355 099</w:t>
            </w:r>
          </w:p>
        </w:tc>
        <w:tc>
          <w:tcPr>
            <w:tcW w:w="1160" w:type="dxa"/>
            <w:tcBorders>
              <w:top w:val="nil"/>
              <w:left w:val="nil"/>
              <w:bottom w:val="nil"/>
              <w:right w:val="nil"/>
            </w:tcBorders>
            <w:shd w:val="clear" w:color="auto" w:fill="auto"/>
            <w:vAlign w:val="center"/>
          </w:tcPr>
          <w:p w14:paraId="4E16F63F"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2 426 413</w:t>
            </w:r>
          </w:p>
        </w:tc>
        <w:tc>
          <w:tcPr>
            <w:tcW w:w="1160" w:type="dxa"/>
            <w:tcBorders>
              <w:top w:val="nil"/>
              <w:left w:val="nil"/>
              <w:bottom w:val="nil"/>
              <w:right w:val="nil"/>
            </w:tcBorders>
            <w:shd w:val="clear" w:color="auto" w:fill="auto"/>
            <w:vAlign w:val="center"/>
          </w:tcPr>
          <w:p w14:paraId="61F1B0F7"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4 661 417</w:t>
            </w:r>
          </w:p>
        </w:tc>
        <w:tc>
          <w:tcPr>
            <w:tcW w:w="1220" w:type="dxa"/>
            <w:tcBorders>
              <w:top w:val="nil"/>
              <w:left w:val="nil"/>
              <w:bottom w:val="nil"/>
              <w:right w:val="nil"/>
            </w:tcBorders>
            <w:shd w:val="clear" w:color="auto" w:fill="auto"/>
            <w:vAlign w:val="center"/>
          </w:tcPr>
          <w:p w14:paraId="101EEB05"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2 235 004</w:t>
            </w:r>
          </w:p>
        </w:tc>
      </w:tr>
      <w:tr w:rsidR="006000EB" w:rsidRPr="0055657F" w14:paraId="13F78F2A" w14:textId="77777777" w:rsidTr="00500BD0">
        <w:trPr>
          <w:trHeight w:val="276"/>
        </w:trPr>
        <w:tc>
          <w:tcPr>
            <w:tcW w:w="4395" w:type="dxa"/>
            <w:tcBorders>
              <w:top w:val="nil"/>
              <w:left w:val="nil"/>
              <w:bottom w:val="nil"/>
              <w:right w:val="nil"/>
            </w:tcBorders>
            <w:shd w:val="clear" w:color="auto" w:fill="auto"/>
            <w:vAlign w:val="center"/>
          </w:tcPr>
          <w:p w14:paraId="3FCF4D8A" w14:textId="77777777" w:rsidR="006000EB" w:rsidRPr="0055657F" w:rsidRDefault="006000EB" w:rsidP="00500BD0">
            <w:pPr>
              <w:spacing w:after="0" w:line="240" w:lineRule="auto"/>
              <w:rPr>
                <w:bCs/>
                <w:color w:val="000000"/>
                <w:sz w:val="20"/>
                <w:szCs w:val="20"/>
                <w:lang w:eastAsia="sk-SK"/>
              </w:rPr>
            </w:pPr>
            <w:r w:rsidRPr="0055657F">
              <w:rPr>
                <w:bCs/>
                <w:color w:val="000000"/>
                <w:sz w:val="20"/>
                <w:szCs w:val="20"/>
                <w:lang w:eastAsia="sk-SK"/>
              </w:rPr>
              <w:t xml:space="preserve">            Slovenské elektrárne, a.s.</w:t>
            </w:r>
          </w:p>
        </w:tc>
        <w:tc>
          <w:tcPr>
            <w:tcW w:w="1160" w:type="dxa"/>
            <w:tcBorders>
              <w:top w:val="nil"/>
              <w:left w:val="nil"/>
              <w:bottom w:val="nil"/>
              <w:right w:val="nil"/>
            </w:tcBorders>
            <w:shd w:val="clear" w:color="auto" w:fill="auto"/>
            <w:vAlign w:val="center"/>
          </w:tcPr>
          <w:p w14:paraId="0EDE6F24" w14:textId="77777777" w:rsidR="006000EB" w:rsidRPr="0055657F" w:rsidRDefault="006000EB" w:rsidP="00500BD0">
            <w:pPr>
              <w:spacing w:after="0" w:line="240" w:lineRule="auto"/>
              <w:jc w:val="right"/>
              <w:rPr>
                <w:bCs/>
                <w:color w:val="000000"/>
                <w:sz w:val="20"/>
                <w:szCs w:val="20"/>
                <w:lang w:eastAsia="sk-SK"/>
              </w:rPr>
            </w:pPr>
            <w:r w:rsidRPr="0055657F">
              <w:rPr>
                <w:bCs/>
                <w:color w:val="000000"/>
                <w:sz w:val="20"/>
                <w:szCs w:val="20"/>
                <w:lang w:eastAsia="sk-SK"/>
              </w:rPr>
              <w:t>0</w:t>
            </w:r>
          </w:p>
        </w:tc>
        <w:tc>
          <w:tcPr>
            <w:tcW w:w="1160" w:type="dxa"/>
            <w:tcBorders>
              <w:top w:val="nil"/>
              <w:left w:val="nil"/>
              <w:bottom w:val="nil"/>
              <w:right w:val="nil"/>
            </w:tcBorders>
            <w:shd w:val="clear" w:color="auto" w:fill="auto"/>
            <w:vAlign w:val="center"/>
          </w:tcPr>
          <w:p w14:paraId="065A80EA" w14:textId="77777777" w:rsidR="006000EB" w:rsidRPr="0055657F" w:rsidRDefault="006000EB" w:rsidP="00500BD0">
            <w:pPr>
              <w:spacing w:after="0" w:line="240" w:lineRule="auto"/>
              <w:jc w:val="right"/>
              <w:rPr>
                <w:bCs/>
                <w:color w:val="000000"/>
                <w:sz w:val="20"/>
                <w:szCs w:val="20"/>
                <w:lang w:eastAsia="sk-SK"/>
              </w:rPr>
            </w:pPr>
            <w:r w:rsidRPr="0055657F">
              <w:rPr>
                <w:bCs/>
                <w:color w:val="000000"/>
                <w:sz w:val="20"/>
                <w:szCs w:val="20"/>
                <w:lang w:eastAsia="sk-SK"/>
              </w:rPr>
              <w:t>0</w:t>
            </w:r>
          </w:p>
        </w:tc>
        <w:tc>
          <w:tcPr>
            <w:tcW w:w="1160" w:type="dxa"/>
            <w:tcBorders>
              <w:top w:val="nil"/>
              <w:left w:val="nil"/>
              <w:bottom w:val="nil"/>
              <w:right w:val="nil"/>
            </w:tcBorders>
            <w:shd w:val="clear" w:color="auto" w:fill="auto"/>
            <w:vAlign w:val="center"/>
          </w:tcPr>
          <w:p w14:paraId="59103366" w14:textId="77777777" w:rsidR="006000EB" w:rsidRPr="0055657F" w:rsidRDefault="006000EB" w:rsidP="00500BD0">
            <w:pPr>
              <w:spacing w:after="0" w:line="240" w:lineRule="auto"/>
              <w:jc w:val="right"/>
              <w:rPr>
                <w:bCs/>
                <w:color w:val="000000"/>
                <w:sz w:val="20"/>
                <w:szCs w:val="20"/>
                <w:lang w:eastAsia="sk-SK"/>
              </w:rPr>
            </w:pPr>
            <w:r w:rsidRPr="0055657F">
              <w:rPr>
                <w:bCs/>
                <w:color w:val="000000"/>
                <w:sz w:val="20"/>
                <w:szCs w:val="20"/>
                <w:lang w:eastAsia="sk-SK"/>
              </w:rPr>
              <w:t>2 758 668</w:t>
            </w:r>
          </w:p>
        </w:tc>
        <w:tc>
          <w:tcPr>
            <w:tcW w:w="1220" w:type="dxa"/>
            <w:tcBorders>
              <w:top w:val="nil"/>
              <w:left w:val="nil"/>
              <w:bottom w:val="nil"/>
              <w:right w:val="nil"/>
            </w:tcBorders>
            <w:shd w:val="clear" w:color="auto" w:fill="auto"/>
            <w:vAlign w:val="center"/>
          </w:tcPr>
          <w:p w14:paraId="5D90B834" w14:textId="77777777" w:rsidR="006000EB" w:rsidRPr="0055657F" w:rsidRDefault="006000EB" w:rsidP="00500BD0">
            <w:pPr>
              <w:spacing w:after="0" w:line="240" w:lineRule="auto"/>
              <w:jc w:val="right"/>
              <w:rPr>
                <w:bCs/>
                <w:color w:val="000000"/>
                <w:sz w:val="20"/>
                <w:szCs w:val="20"/>
                <w:lang w:eastAsia="sk-SK"/>
              </w:rPr>
            </w:pPr>
            <w:r w:rsidRPr="0055657F">
              <w:rPr>
                <w:bCs/>
                <w:color w:val="000000"/>
                <w:sz w:val="20"/>
                <w:szCs w:val="20"/>
                <w:lang w:eastAsia="sk-SK"/>
              </w:rPr>
              <w:t>2 758 668</w:t>
            </w:r>
          </w:p>
        </w:tc>
      </w:tr>
      <w:tr w:rsidR="006000EB" w:rsidRPr="0055657F" w14:paraId="4B6DCC81" w14:textId="77777777" w:rsidTr="00500BD0">
        <w:trPr>
          <w:trHeight w:val="276"/>
        </w:trPr>
        <w:tc>
          <w:tcPr>
            <w:tcW w:w="4395" w:type="dxa"/>
            <w:tcBorders>
              <w:top w:val="nil"/>
              <w:left w:val="nil"/>
              <w:bottom w:val="nil"/>
              <w:right w:val="nil"/>
            </w:tcBorders>
            <w:shd w:val="clear" w:color="auto" w:fill="auto"/>
            <w:vAlign w:val="center"/>
            <w:hideMark/>
          </w:tcPr>
          <w:p w14:paraId="1B3C03CB"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MH Manažment, a.s.</w:t>
            </w:r>
          </w:p>
        </w:tc>
        <w:tc>
          <w:tcPr>
            <w:tcW w:w="1160" w:type="dxa"/>
            <w:tcBorders>
              <w:top w:val="nil"/>
              <w:left w:val="nil"/>
              <w:bottom w:val="nil"/>
              <w:right w:val="nil"/>
            </w:tcBorders>
            <w:shd w:val="clear" w:color="auto" w:fill="auto"/>
            <w:vAlign w:val="center"/>
          </w:tcPr>
          <w:p w14:paraId="686A4BC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976 822</w:t>
            </w:r>
          </w:p>
        </w:tc>
        <w:tc>
          <w:tcPr>
            <w:tcW w:w="1160" w:type="dxa"/>
            <w:tcBorders>
              <w:top w:val="nil"/>
              <w:left w:val="nil"/>
              <w:bottom w:val="nil"/>
              <w:right w:val="nil"/>
            </w:tcBorders>
            <w:shd w:val="clear" w:color="auto" w:fill="auto"/>
            <w:vAlign w:val="center"/>
          </w:tcPr>
          <w:p w14:paraId="50EAD522"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976 822</w:t>
            </w:r>
          </w:p>
        </w:tc>
        <w:tc>
          <w:tcPr>
            <w:tcW w:w="1160" w:type="dxa"/>
            <w:tcBorders>
              <w:top w:val="nil"/>
              <w:left w:val="nil"/>
              <w:bottom w:val="nil"/>
              <w:right w:val="nil"/>
            </w:tcBorders>
            <w:shd w:val="clear" w:color="auto" w:fill="auto"/>
            <w:vAlign w:val="center"/>
          </w:tcPr>
          <w:p w14:paraId="5BFF552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976 822</w:t>
            </w:r>
          </w:p>
        </w:tc>
        <w:tc>
          <w:tcPr>
            <w:tcW w:w="1220" w:type="dxa"/>
            <w:tcBorders>
              <w:top w:val="nil"/>
              <w:left w:val="nil"/>
              <w:bottom w:val="nil"/>
              <w:right w:val="nil"/>
            </w:tcBorders>
            <w:shd w:val="clear" w:color="auto" w:fill="auto"/>
            <w:vAlign w:val="center"/>
          </w:tcPr>
          <w:p w14:paraId="6D720D1C"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r>
      <w:tr w:rsidR="006000EB" w:rsidRPr="0055657F" w14:paraId="54AE07E4" w14:textId="77777777" w:rsidTr="00500BD0">
        <w:trPr>
          <w:trHeight w:val="276"/>
        </w:trPr>
        <w:tc>
          <w:tcPr>
            <w:tcW w:w="4395" w:type="dxa"/>
            <w:tcBorders>
              <w:top w:val="nil"/>
              <w:left w:val="nil"/>
              <w:bottom w:val="nil"/>
              <w:right w:val="nil"/>
            </w:tcBorders>
            <w:shd w:val="clear" w:color="auto" w:fill="auto"/>
            <w:vAlign w:val="center"/>
            <w:hideMark/>
          </w:tcPr>
          <w:p w14:paraId="4E4B48E7"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Slovenský plynárenský priemysel, a.s.</w:t>
            </w:r>
          </w:p>
        </w:tc>
        <w:tc>
          <w:tcPr>
            <w:tcW w:w="1160" w:type="dxa"/>
            <w:tcBorders>
              <w:top w:val="nil"/>
              <w:left w:val="nil"/>
              <w:bottom w:val="nil"/>
              <w:right w:val="nil"/>
            </w:tcBorders>
            <w:shd w:val="clear" w:color="auto" w:fill="auto"/>
            <w:vAlign w:val="center"/>
          </w:tcPr>
          <w:p w14:paraId="3938B02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242 820</w:t>
            </w:r>
          </w:p>
        </w:tc>
        <w:tc>
          <w:tcPr>
            <w:tcW w:w="1160" w:type="dxa"/>
            <w:tcBorders>
              <w:top w:val="nil"/>
              <w:left w:val="nil"/>
              <w:bottom w:val="nil"/>
              <w:right w:val="nil"/>
            </w:tcBorders>
            <w:shd w:val="clear" w:color="auto" w:fill="auto"/>
            <w:vAlign w:val="center"/>
          </w:tcPr>
          <w:p w14:paraId="4ECB2AD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232 622</w:t>
            </w:r>
          </w:p>
        </w:tc>
        <w:tc>
          <w:tcPr>
            <w:tcW w:w="1160" w:type="dxa"/>
            <w:tcBorders>
              <w:top w:val="nil"/>
              <w:left w:val="nil"/>
              <w:bottom w:val="nil"/>
              <w:right w:val="nil"/>
            </w:tcBorders>
            <w:shd w:val="clear" w:color="auto" w:fill="auto"/>
            <w:vAlign w:val="center"/>
          </w:tcPr>
          <w:p w14:paraId="6336CC3F"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544 250</w:t>
            </w:r>
          </w:p>
        </w:tc>
        <w:tc>
          <w:tcPr>
            <w:tcW w:w="1220" w:type="dxa"/>
            <w:tcBorders>
              <w:top w:val="nil"/>
              <w:left w:val="nil"/>
              <w:bottom w:val="nil"/>
              <w:right w:val="nil"/>
            </w:tcBorders>
            <w:shd w:val="clear" w:color="auto" w:fill="auto"/>
            <w:vAlign w:val="center"/>
          </w:tcPr>
          <w:p w14:paraId="484686C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311 628</w:t>
            </w:r>
          </w:p>
        </w:tc>
      </w:tr>
      <w:tr w:rsidR="006000EB" w:rsidRPr="0055657F" w14:paraId="269F1BC1" w14:textId="77777777" w:rsidTr="00500BD0">
        <w:trPr>
          <w:trHeight w:val="276"/>
        </w:trPr>
        <w:tc>
          <w:tcPr>
            <w:tcW w:w="4395" w:type="dxa"/>
            <w:tcBorders>
              <w:top w:val="nil"/>
              <w:left w:val="nil"/>
              <w:bottom w:val="nil"/>
              <w:right w:val="nil"/>
            </w:tcBorders>
            <w:shd w:val="clear" w:color="auto" w:fill="auto"/>
            <w:vAlign w:val="center"/>
            <w:hideMark/>
          </w:tcPr>
          <w:p w14:paraId="3371901E"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Slovenská záručná a rozvojová banka, a.s.</w:t>
            </w:r>
          </w:p>
        </w:tc>
        <w:tc>
          <w:tcPr>
            <w:tcW w:w="1160" w:type="dxa"/>
            <w:tcBorders>
              <w:top w:val="nil"/>
              <w:left w:val="nil"/>
              <w:bottom w:val="nil"/>
              <w:right w:val="nil"/>
            </w:tcBorders>
            <w:shd w:val="clear" w:color="auto" w:fill="auto"/>
            <w:vAlign w:val="center"/>
          </w:tcPr>
          <w:p w14:paraId="26B2A405"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125 405</w:t>
            </w:r>
          </w:p>
        </w:tc>
        <w:tc>
          <w:tcPr>
            <w:tcW w:w="1160" w:type="dxa"/>
            <w:tcBorders>
              <w:top w:val="nil"/>
              <w:left w:val="nil"/>
              <w:bottom w:val="nil"/>
              <w:right w:val="nil"/>
            </w:tcBorders>
            <w:shd w:val="clear" w:color="auto" w:fill="auto"/>
            <w:vAlign w:val="center"/>
          </w:tcPr>
          <w:p w14:paraId="2E4B147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140 697</w:t>
            </w:r>
          </w:p>
        </w:tc>
        <w:tc>
          <w:tcPr>
            <w:tcW w:w="1160" w:type="dxa"/>
            <w:tcBorders>
              <w:top w:val="nil"/>
              <w:left w:val="nil"/>
              <w:bottom w:val="nil"/>
              <w:right w:val="nil"/>
            </w:tcBorders>
            <w:shd w:val="clear" w:color="auto" w:fill="auto"/>
            <w:vAlign w:val="center"/>
          </w:tcPr>
          <w:p w14:paraId="115D8329"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110 525</w:t>
            </w:r>
          </w:p>
        </w:tc>
        <w:tc>
          <w:tcPr>
            <w:tcW w:w="1220" w:type="dxa"/>
            <w:tcBorders>
              <w:top w:val="nil"/>
              <w:left w:val="nil"/>
              <w:bottom w:val="nil"/>
              <w:right w:val="nil"/>
            </w:tcBorders>
            <w:shd w:val="clear" w:color="auto" w:fill="auto"/>
            <w:vAlign w:val="center"/>
          </w:tcPr>
          <w:p w14:paraId="4B7D7284"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-30 172</w:t>
            </w:r>
          </w:p>
        </w:tc>
      </w:tr>
      <w:tr w:rsidR="006000EB" w:rsidRPr="0055657F" w14:paraId="77AAFFF7" w14:textId="77777777" w:rsidTr="00500BD0">
        <w:trPr>
          <w:trHeight w:val="276"/>
        </w:trPr>
        <w:tc>
          <w:tcPr>
            <w:tcW w:w="4395" w:type="dxa"/>
            <w:tcBorders>
              <w:top w:val="nil"/>
              <w:left w:val="nil"/>
              <w:bottom w:val="nil"/>
              <w:right w:val="nil"/>
            </w:tcBorders>
            <w:shd w:val="clear" w:color="auto" w:fill="auto"/>
            <w:vAlign w:val="center"/>
            <w:hideMark/>
          </w:tcPr>
          <w:p w14:paraId="40F880DF"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Exportno-importná banka Slovenska</w:t>
            </w:r>
          </w:p>
        </w:tc>
        <w:tc>
          <w:tcPr>
            <w:tcW w:w="1160" w:type="dxa"/>
            <w:tcBorders>
              <w:top w:val="nil"/>
              <w:left w:val="nil"/>
              <w:bottom w:val="nil"/>
              <w:right w:val="nil"/>
            </w:tcBorders>
            <w:shd w:val="clear" w:color="auto" w:fill="auto"/>
            <w:vAlign w:val="center"/>
          </w:tcPr>
          <w:p w14:paraId="1874C8F9"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108 889</w:t>
            </w:r>
          </w:p>
        </w:tc>
        <w:tc>
          <w:tcPr>
            <w:tcW w:w="1160" w:type="dxa"/>
            <w:tcBorders>
              <w:top w:val="nil"/>
              <w:left w:val="nil"/>
              <w:bottom w:val="nil"/>
              <w:right w:val="nil"/>
            </w:tcBorders>
            <w:shd w:val="clear" w:color="auto" w:fill="auto"/>
            <w:vAlign w:val="center"/>
          </w:tcPr>
          <w:p w14:paraId="534EC9C1"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196 143</w:t>
            </w:r>
          </w:p>
        </w:tc>
        <w:tc>
          <w:tcPr>
            <w:tcW w:w="1160" w:type="dxa"/>
            <w:tcBorders>
              <w:top w:val="nil"/>
              <w:left w:val="nil"/>
              <w:bottom w:val="nil"/>
              <w:right w:val="nil"/>
            </w:tcBorders>
            <w:shd w:val="clear" w:color="auto" w:fill="auto"/>
            <w:vAlign w:val="center"/>
          </w:tcPr>
          <w:p w14:paraId="109ECE07"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131 790</w:t>
            </w:r>
          </w:p>
        </w:tc>
        <w:tc>
          <w:tcPr>
            <w:tcW w:w="1220" w:type="dxa"/>
            <w:tcBorders>
              <w:top w:val="nil"/>
              <w:left w:val="nil"/>
              <w:bottom w:val="nil"/>
              <w:right w:val="nil"/>
            </w:tcBorders>
            <w:shd w:val="clear" w:color="auto" w:fill="auto"/>
            <w:vAlign w:val="center"/>
          </w:tcPr>
          <w:p w14:paraId="37529F0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-64 353</w:t>
            </w:r>
          </w:p>
        </w:tc>
      </w:tr>
      <w:tr w:rsidR="006000EB" w:rsidRPr="0055657F" w14:paraId="68C83D28" w14:textId="77777777" w:rsidTr="00500BD0">
        <w:trPr>
          <w:trHeight w:val="276"/>
        </w:trPr>
        <w:tc>
          <w:tcPr>
            <w:tcW w:w="4395" w:type="dxa"/>
            <w:tcBorders>
              <w:top w:val="nil"/>
              <w:left w:val="nil"/>
              <w:bottom w:val="nil"/>
              <w:right w:val="nil"/>
            </w:tcBorders>
            <w:shd w:val="clear" w:color="auto" w:fill="auto"/>
            <w:vAlign w:val="center"/>
            <w:hideMark/>
          </w:tcPr>
          <w:p w14:paraId="762AAAAD"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Slovenská elektrizačná a prenos. sústava, a.s.</w:t>
            </w:r>
          </w:p>
        </w:tc>
        <w:tc>
          <w:tcPr>
            <w:tcW w:w="1160" w:type="dxa"/>
            <w:tcBorders>
              <w:top w:val="nil"/>
              <w:left w:val="nil"/>
              <w:bottom w:val="nil"/>
              <w:right w:val="nil"/>
            </w:tcBorders>
            <w:shd w:val="clear" w:color="auto" w:fill="auto"/>
            <w:vAlign w:val="center"/>
          </w:tcPr>
          <w:p w14:paraId="5DE2AA1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41 600</w:t>
            </w:r>
          </w:p>
        </w:tc>
        <w:tc>
          <w:tcPr>
            <w:tcW w:w="1160" w:type="dxa"/>
            <w:tcBorders>
              <w:top w:val="nil"/>
              <w:left w:val="nil"/>
              <w:bottom w:val="nil"/>
              <w:right w:val="nil"/>
            </w:tcBorders>
            <w:shd w:val="clear" w:color="auto" w:fill="auto"/>
            <w:vAlign w:val="center"/>
          </w:tcPr>
          <w:p w14:paraId="5BA4A001"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214 174</w:t>
            </w:r>
          </w:p>
        </w:tc>
        <w:tc>
          <w:tcPr>
            <w:tcW w:w="1160" w:type="dxa"/>
            <w:tcBorders>
              <w:top w:val="nil"/>
              <w:left w:val="nil"/>
              <w:bottom w:val="nil"/>
              <w:right w:val="nil"/>
            </w:tcBorders>
            <w:shd w:val="clear" w:color="auto" w:fill="auto"/>
            <w:vAlign w:val="center"/>
          </w:tcPr>
          <w:p w14:paraId="559B2A2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50 193</w:t>
            </w:r>
          </w:p>
        </w:tc>
        <w:tc>
          <w:tcPr>
            <w:tcW w:w="1220" w:type="dxa"/>
            <w:tcBorders>
              <w:top w:val="nil"/>
              <w:left w:val="nil"/>
              <w:bottom w:val="nil"/>
              <w:right w:val="nil"/>
            </w:tcBorders>
            <w:shd w:val="clear" w:color="auto" w:fill="auto"/>
            <w:vAlign w:val="center"/>
          </w:tcPr>
          <w:p w14:paraId="3CAD8B5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-163 981</w:t>
            </w:r>
          </w:p>
        </w:tc>
      </w:tr>
      <w:tr w:rsidR="006000EB" w:rsidRPr="0055657F" w14:paraId="4E1D483D" w14:textId="77777777" w:rsidTr="00500BD0">
        <w:trPr>
          <w:trHeight w:val="276"/>
        </w:trPr>
        <w:tc>
          <w:tcPr>
            <w:tcW w:w="4395" w:type="dxa"/>
            <w:tcBorders>
              <w:top w:val="nil"/>
              <w:left w:val="nil"/>
              <w:bottom w:val="nil"/>
              <w:right w:val="nil"/>
            </w:tcBorders>
            <w:shd w:val="clear" w:color="auto" w:fill="auto"/>
            <w:vAlign w:val="center"/>
            <w:hideMark/>
          </w:tcPr>
          <w:p w14:paraId="64DF2795"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Lesy SR, š.p.</w:t>
            </w:r>
          </w:p>
        </w:tc>
        <w:tc>
          <w:tcPr>
            <w:tcW w:w="1160" w:type="dxa"/>
            <w:tcBorders>
              <w:top w:val="nil"/>
              <w:left w:val="nil"/>
              <w:bottom w:val="nil"/>
              <w:right w:val="nil"/>
            </w:tcBorders>
            <w:shd w:val="clear" w:color="auto" w:fill="auto"/>
            <w:vAlign w:val="center"/>
          </w:tcPr>
          <w:p w14:paraId="5FFE693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47 596</w:t>
            </w:r>
          </w:p>
        </w:tc>
        <w:tc>
          <w:tcPr>
            <w:tcW w:w="1160" w:type="dxa"/>
            <w:tcBorders>
              <w:top w:val="nil"/>
              <w:left w:val="nil"/>
              <w:bottom w:val="nil"/>
              <w:right w:val="nil"/>
            </w:tcBorders>
            <w:shd w:val="clear" w:color="auto" w:fill="auto"/>
            <w:vAlign w:val="center"/>
          </w:tcPr>
          <w:p w14:paraId="3E17B7B4"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58 590</w:t>
            </w:r>
          </w:p>
        </w:tc>
        <w:tc>
          <w:tcPr>
            <w:tcW w:w="1160" w:type="dxa"/>
            <w:tcBorders>
              <w:top w:val="nil"/>
              <w:left w:val="nil"/>
              <w:bottom w:val="nil"/>
              <w:right w:val="nil"/>
            </w:tcBorders>
            <w:shd w:val="clear" w:color="auto" w:fill="auto"/>
            <w:vAlign w:val="center"/>
          </w:tcPr>
          <w:p w14:paraId="2EEF41DE"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49 227</w:t>
            </w:r>
          </w:p>
        </w:tc>
        <w:tc>
          <w:tcPr>
            <w:tcW w:w="1220" w:type="dxa"/>
            <w:tcBorders>
              <w:top w:val="nil"/>
              <w:left w:val="nil"/>
              <w:bottom w:val="nil"/>
              <w:right w:val="nil"/>
            </w:tcBorders>
            <w:shd w:val="clear" w:color="auto" w:fill="auto"/>
            <w:vAlign w:val="center"/>
          </w:tcPr>
          <w:p w14:paraId="2BBEB472"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-9 363</w:t>
            </w:r>
          </w:p>
        </w:tc>
      </w:tr>
      <w:tr w:rsidR="006000EB" w:rsidRPr="0055657F" w14:paraId="002FA2E4" w14:textId="77777777" w:rsidTr="00500BD0">
        <w:trPr>
          <w:trHeight w:val="276"/>
        </w:trPr>
        <w:tc>
          <w:tcPr>
            <w:tcW w:w="4395" w:type="dxa"/>
            <w:tcBorders>
              <w:top w:val="nil"/>
              <w:left w:val="nil"/>
              <w:bottom w:val="nil"/>
              <w:right w:val="nil"/>
            </w:tcBorders>
            <w:shd w:val="clear" w:color="auto" w:fill="auto"/>
            <w:vAlign w:val="center"/>
            <w:hideMark/>
          </w:tcPr>
          <w:p w14:paraId="5469294C"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MH Invest, s.r.o</w:t>
            </w:r>
          </w:p>
        </w:tc>
        <w:tc>
          <w:tcPr>
            <w:tcW w:w="1160" w:type="dxa"/>
            <w:tcBorders>
              <w:top w:val="nil"/>
              <w:left w:val="nil"/>
              <w:bottom w:val="nil"/>
              <w:right w:val="nil"/>
            </w:tcBorders>
            <w:shd w:val="clear" w:color="auto" w:fill="auto"/>
            <w:vAlign w:val="center"/>
          </w:tcPr>
          <w:p w14:paraId="616219F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290 639</w:t>
            </w:r>
          </w:p>
        </w:tc>
        <w:tc>
          <w:tcPr>
            <w:tcW w:w="1160" w:type="dxa"/>
            <w:tcBorders>
              <w:top w:val="nil"/>
              <w:left w:val="nil"/>
              <w:bottom w:val="nil"/>
              <w:right w:val="nil"/>
            </w:tcBorders>
            <w:shd w:val="clear" w:color="auto" w:fill="auto"/>
            <w:vAlign w:val="center"/>
          </w:tcPr>
          <w:p w14:paraId="0B8B9611"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544</w:t>
            </w:r>
          </w:p>
        </w:tc>
        <w:tc>
          <w:tcPr>
            <w:tcW w:w="1160" w:type="dxa"/>
            <w:tcBorders>
              <w:top w:val="nil"/>
              <w:left w:val="nil"/>
              <w:bottom w:val="nil"/>
              <w:right w:val="nil"/>
            </w:tcBorders>
            <w:shd w:val="clear" w:color="auto" w:fill="auto"/>
            <w:vAlign w:val="center"/>
          </w:tcPr>
          <w:p w14:paraId="0508C287"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18 458</w:t>
            </w:r>
          </w:p>
        </w:tc>
        <w:tc>
          <w:tcPr>
            <w:tcW w:w="1220" w:type="dxa"/>
            <w:tcBorders>
              <w:top w:val="nil"/>
              <w:left w:val="nil"/>
              <w:bottom w:val="nil"/>
              <w:right w:val="nil"/>
            </w:tcBorders>
            <w:shd w:val="clear" w:color="auto" w:fill="auto"/>
            <w:vAlign w:val="center"/>
          </w:tcPr>
          <w:p w14:paraId="3C1B58EF"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17 914</w:t>
            </w:r>
          </w:p>
        </w:tc>
      </w:tr>
      <w:tr w:rsidR="006000EB" w:rsidRPr="0055657F" w14:paraId="4970723E" w14:textId="77777777" w:rsidTr="00500BD0">
        <w:trPr>
          <w:trHeight w:val="276"/>
        </w:trPr>
        <w:tc>
          <w:tcPr>
            <w:tcW w:w="4395" w:type="dxa"/>
            <w:tcBorders>
              <w:top w:val="nil"/>
              <w:left w:val="nil"/>
              <w:bottom w:val="nil"/>
              <w:right w:val="nil"/>
            </w:tcBorders>
            <w:shd w:val="clear" w:color="auto" w:fill="auto"/>
            <w:vAlign w:val="center"/>
            <w:hideMark/>
          </w:tcPr>
          <w:p w14:paraId="3E88C50B"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Záruky MF SR</w:t>
            </w:r>
          </w:p>
        </w:tc>
        <w:tc>
          <w:tcPr>
            <w:tcW w:w="1160" w:type="dxa"/>
            <w:tcBorders>
              <w:top w:val="nil"/>
              <w:left w:val="nil"/>
              <w:bottom w:val="nil"/>
              <w:right w:val="nil"/>
            </w:tcBorders>
            <w:shd w:val="clear" w:color="auto" w:fill="auto"/>
            <w:vAlign w:val="center"/>
          </w:tcPr>
          <w:p w14:paraId="1FFC0407"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13 328</w:t>
            </w:r>
          </w:p>
        </w:tc>
        <w:tc>
          <w:tcPr>
            <w:tcW w:w="1160" w:type="dxa"/>
            <w:tcBorders>
              <w:top w:val="nil"/>
              <w:left w:val="nil"/>
              <w:bottom w:val="nil"/>
              <w:right w:val="nil"/>
            </w:tcBorders>
            <w:shd w:val="clear" w:color="auto" w:fill="auto"/>
            <w:vAlign w:val="center"/>
          </w:tcPr>
          <w:p w14:paraId="223337E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17 738</w:t>
            </w:r>
          </w:p>
        </w:tc>
        <w:tc>
          <w:tcPr>
            <w:tcW w:w="1160" w:type="dxa"/>
            <w:tcBorders>
              <w:top w:val="nil"/>
              <w:left w:val="nil"/>
              <w:bottom w:val="nil"/>
              <w:right w:val="nil"/>
            </w:tcBorders>
            <w:shd w:val="clear" w:color="auto" w:fill="auto"/>
            <w:vAlign w:val="center"/>
          </w:tcPr>
          <w:p w14:paraId="21F4EEC4"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12 184</w:t>
            </w:r>
          </w:p>
        </w:tc>
        <w:tc>
          <w:tcPr>
            <w:tcW w:w="1220" w:type="dxa"/>
            <w:tcBorders>
              <w:top w:val="nil"/>
              <w:left w:val="nil"/>
              <w:bottom w:val="nil"/>
              <w:right w:val="nil"/>
            </w:tcBorders>
            <w:shd w:val="clear" w:color="auto" w:fill="auto"/>
            <w:vAlign w:val="center"/>
          </w:tcPr>
          <w:p w14:paraId="4C78981D"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-5 554</w:t>
            </w:r>
          </w:p>
        </w:tc>
      </w:tr>
      <w:tr w:rsidR="006000EB" w:rsidRPr="0055657F" w14:paraId="627D4622" w14:textId="77777777" w:rsidTr="00500BD0">
        <w:trPr>
          <w:trHeight w:val="276"/>
        </w:trPr>
        <w:tc>
          <w:tcPr>
            <w:tcW w:w="4395" w:type="dxa"/>
            <w:tcBorders>
              <w:top w:val="nil"/>
              <w:left w:val="nil"/>
              <w:bottom w:val="nil"/>
              <w:right w:val="nil"/>
            </w:tcBorders>
            <w:shd w:val="clear" w:color="auto" w:fill="auto"/>
            <w:vAlign w:val="center"/>
            <w:hideMark/>
          </w:tcPr>
          <w:p w14:paraId="79DB88F7"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Národná diaľničná spoločnosť, a.s.</w:t>
            </w:r>
          </w:p>
        </w:tc>
        <w:tc>
          <w:tcPr>
            <w:tcW w:w="1160" w:type="dxa"/>
            <w:tcBorders>
              <w:top w:val="nil"/>
              <w:left w:val="nil"/>
              <w:bottom w:val="nil"/>
              <w:right w:val="nil"/>
            </w:tcBorders>
            <w:shd w:val="clear" w:color="auto" w:fill="auto"/>
            <w:vAlign w:val="center"/>
          </w:tcPr>
          <w:p w14:paraId="762260C4"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508 000</w:t>
            </w:r>
          </w:p>
        </w:tc>
        <w:tc>
          <w:tcPr>
            <w:tcW w:w="1160" w:type="dxa"/>
            <w:tcBorders>
              <w:top w:val="nil"/>
              <w:left w:val="nil"/>
              <w:bottom w:val="nil"/>
              <w:right w:val="nil"/>
            </w:tcBorders>
            <w:shd w:val="clear" w:color="auto" w:fill="auto"/>
            <w:vAlign w:val="center"/>
          </w:tcPr>
          <w:p w14:paraId="1FE734E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366 083</w:t>
            </w:r>
          </w:p>
        </w:tc>
        <w:tc>
          <w:tcPr>
            <w:tcW w:w="1160" w:type="dxa"/>
            <w:tcBorders>
              <w:top w:val="nil"/>
              <w:left w:val="nil"/>
              <w:bottom w:val="nil"/>
              <w:right w:val="nil"/>
            </w:tcBorders>
            <w:shd w:val="clear" w:color="auto" w:fill="auto"/>
            <w:vAlign w:val="center"/>
          </w:tcPr>
          <w:p w14:paraId="03E5DCA3"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9 300</w:t>
            </w:r>
          </w:p>
        </w:tc>
        <w:tc>
          <w:tcPr>
            <w:tcW w:w="1220" w:type="dxa"/>
            <w:tcBorders>
              <w:top w:val="nil"/>
              <w:left w:val="nil"/>
              <w:bottom w:val="nil"/>
              <w:right w:val="nil"/>
            </w:tcBorders>
            <w:shd w:val="clear" w:color="auto" w:fill="auto"/>
            <w:vAlign w:val="center"/>
          </w:tcPr>
          <w:p w14:paraId="244E14B6"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-356 783</w:t>
            </w:r>
          </w:p>
        </w:tc>
      </w:tr>
      <w:tr w:rsidR="006000EB" w:rsidRPr="0055657F" w14:paraId="7EA12DA3" w14:textId="77777777" w:rsidTr="00500BD0">
        <w:trPr>
          <w:trHeight w:val="276"/>
        </w:trPr>
        <w:tc>
          <w:tcPr>
            <w:tcW w:w="4395" w:type="dxa"/>
            <w:tcBorders>
              <w:top w:val="nil"/>
              <w:left w:val="nil"/>
              <w:bottom w:val="nil"/>
              <w:right w:val="nil"/>
            </w:tcBorders>
            <w:shd w:val="clear" w:color="auto" w:fill="auto"/>
            <w:vAlign w:val="center"/>
            <w:hideMark/>
          </w:tcPr>
          <w:p w14:paraId="7AF87325" w14:textId="77777777" w:rsidR="006000EB" w:rsidRPr="0055657F" w:rsidRDefault="006000EB" w:rsidP="00500BD0">
            <w:pPr>
              <w:spacing w:after="0" w:line="240" w:lineRule="auto"/>
              <w:ind w:firstLineChars="300" w:firstLine="600"/>
              <w:rPr>
                <w:color w:val="000000"/>
                <w:sz w:val="20"/>
                <w:szCs w:val="20"/>
                <w:lang w:eastAsia="sk-SK"/>
              </w:rPr>
            </w:pPr>
            <w:r w:rsidRPr="0055657F">
              <w:rPr>
                <w:color w:val="000000"/>
                <w:sz w:val="20"/>
                <w:szCs w:val="20"/>
                <w:lang w:eastAsia="sk-SK"/>
              </w:rPr>
              <w:t>Slovenská správa ciest</w:t>
            </w:r>
          </w:p>
        </w:tc>
        <w:tc>
          <w:tcPr>
            <w:tcW w:w="1160" w:type="dxa"/>
            <w:tcBorders>
              <w:top w:val="nil"/>
              <w:left w:val="nil"/>
              <w:bottom w:val="nil"/>
              <w:right w:val="nil"/>
            </w:tcBorders>
            <w:shd w:val="clear" w:color="auto" w:fill="auto"/>
            <w:vAlign w:val="center"/>
          </w:tcPr>
          <w:p w14:paraId="286648C1"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c>
          <w:tcPr>
            <w:tcW w:w="1160" w:type="dxa"/>
            <w:tcBorders>
              <w:top w:val="nil"/>
              <w:left w:val="nil"/>
              <w:bottom w:val="nil"/>
              <w:right w:val="nil"/>
            </w:tcBorders>
            <w:shd w:val="clear" w:color="auto" w:fill="auto"/>
            <w:vAlign w:val="center"/>
          </w:tcPr>
          <w:p w14:paraId="7701E6C2"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223 000</w:t>
            </w:r>
          </w:p>
        </w:tc>
        <w:tc>
          <w:tcPr>
            <w:tcW w:w="1160" w:type="dxa"/>
            <w:tcBorders>
              <w:top w:val="nil"/>
              <w:left w:val="nil"/>
              <w:bottom w:val="nil"/>
              <w:right w:val="nil"/>
            </w:tcBorders>
            <w:shd w:val="clear" w:color="auto" w:fill="auto"/>
            <w:vAlign w:val="center"/>
          </w:tcPr>
          <w:p w14:paraId="1EFE87BB"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0</w:t>
            </w:r>
          </w:p>
        </w:tc>
        <w:tc>
          <w:tcPr>
            <w:tcW w:w="1220" w:type="dxa"/>
            <w:tcBorders>
              <w:top w:val="nil"/>
              <w:left w:val="nil"/>
              <w:bottom w:val="nil"/>
              <w:right w:val="nil"/>
            </w:tcBorders>
            <w:shd w:val="clear" w:color="auto" w:fill="auto"/>
            <w:vAlign w:val="center"/>
          </w:tcPr>
          <w:p w14:paraId="25A9D01A" w14:textId="77777777" w:rsidR="006000EB" w:rsidRPr="0055657F" w:rsidRDefault="006000EB" w:rsidP="00500BD0">
            <w:pPr>
              <w:spacing w:after="0" w:line="240" w:lineRule="auto"/>
              <w:jc w:val="right"/>
              <w:rPr>
                <w:color w:val="000000"/>
                <w:sz w:val="20"/>
                <w:szCs w:val="20"/>
                <w:lang w:eastAsia="sk-SK"/>
              </w:rPr>
            </w:pPr>
            <w:r w:rsidRPr="0055657F">
              <w:rPr>
                <w:color w:val="000000"/>
                <w:sz w:val="20"/>
                <w:szCs w:val="20"/>
                <w:lang w:eastAsia="sk-SK"/>
              </w:rPr>
              <w:t>-223 000</w:t>
            </w:r>
          </w:p>
        </w:tc>
      </w:tr>
      <w:tr w:rsidR="006000EB" w:rsidRPr="0055657F" w14:paraId="1E27E865" w14:textId="77777777" w:rsidTr="00500BD0">
        <w:trPr>
          <w:trHeight w:val="276"/>
        </w:trPr>
        <w:tc>
          <w:tcPr>
            <w:tcW w:w="4395" w:type="dxa"/>
            <w:tcBorders>
              <w:top w:val="single" w:sz="4" w:space="0" w:color="auto"/>
              <w:left w:val="nil"/>
              <w:bottom w:val="single" w:sz="4" w:space="0" w:color="auto"/>
              <w:right w:val="nil"/>
            </w:tcBorders>
            <w:shd w:val="clear" w:color="000000" w:fill="BFBFBF"/>
            <w:noWrap/>
            <w:vAlign w:val="center"/>
            <w:hideMark/>
          </w:tcPr>
          <w:p w14:paraId="0860CF43" w14:textId="77777777" w:rsidR="006000EB" w:rsidRPr="0055657F" w:rsidRDefault="006000EB" w:rsidP="00500BD0">
            <w:pPr>
              <w:spacing w:after="0" w:line="240" w:lineRule="auto"/>
              <w:rPr>
                <w:b/>
                <w:bCs/>
                <w:color w:val="000000"/>
                <w:sz w:val="20"/>
                <w:szCs w:val="20"/>
                <w:lang w:eastAsia="sk-SK"/>
              </w:rPr>
            </w:pPr>
            <w:r w:rsidRPr="0055657F">
              <w:rPr>
                <w:b/>
                <w:bCs/>
                <w:color w:val="000000"/>
                <w:sz w:val="20"/>
                <w:szCs w:val="20"/>
                <w:lang w:eastAsia="sk-SK"/>
              </w:rPr>
              <w:t xml:space="preserve">Spolu  </w:t>
            </w:r>
          </w:p>
        </w:tc>
        <w:tc>
          <w:tcPr>
            <w:tcW w:w="1160" w:type="dxa"/>
            <w:tcBorders>
              <w:top w:val="single" w:sz="4" w:space="0" w:color="auto"/>
              <w:left w:val="nil"/>
              <w:bottom w:val="single" w:sz="4" w:space="0" w:color="auto"/>
              <w:right w:val="nil"/>
            </w:tcBorders>
            <w:shd w:val="clear" w:color="000000" w:fill="BFBFBF"/>
            <w:vAlign w:val="center"/>
          </w:tcPr>
          <w:p w14:paraId="04FBF95D"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12 762 166</w:t>
            </w:r>
          </w:p>
        </w:tc>
        <w:tc>
          <w:tcPr>
            <w:tcW w:w="1160" w:type="dxa"/>
            <w:tcBorders>
              <w:top w:val="single" w:sz="4" w:space="0" w:color="auto"/>
              <w:left w:val="nil"/>
              <w:bottom w:val="single" w:sz="4" w:space="0" w:color="auto"/>
              <w:right w:val="nil"/>
            </w:tcBorders>
            <w:shd w:val="clear" w:color="000000" w:fill="BFBFBF"/>
            <w:vAlign w:val="center"/>
          </w:tcPr>
          <w:p w14:paraId="519A04DB"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13 595 592</w:t>
            </w:r>
          </w:p>
        </w:tc>
        <w:tc>
          <w:tcPr>
            <w:tcW w:w="1160" w:type="dxa"/>
            <w:tcBorders>
              <w:top w:val="single" w:sz="4" w:space="0" w:color="auto"/>
              <w:left w:val="nil"/>
              <w:bottom w:val="single" w:sz="4" w:space="0" w:color="auto"/>
              <w:right w:val="nil"/>
            </w:tcBorders>
            <w:shd w:val="clear" w:color="000000" w:fill="BFBFBF"/>
            <w:vAlign w:val="center"/>
          </w:tcPr>
          <w:p w14:paraId="1CB91582"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16 750 503</w:t>
            </w:r>
          </w:p>
        </w:tc>
        <w:tc>
          <w:tcPr>
            <w:tcW w:w="1220" w:type="dxa"/>
            <w:tcBorders>
              <w:top w:val="single" w:sz="4" w:space="0" w:color="auto"/>
              <w:left w:val="nil"/>
              <w:bottom w:val="single" w:sz="4" w:space="0" w:color="auto"/>
              <w:right w:val="nil"/>
            </w:tcBorders>
            <w:shd w:val="clear" w:color="000000" w:fill="BFBFBF"/>
            <w:vAlign w:val="center"/>
          </w:tcPr>
          <w:p w14:paraId="037AEECD" w14:textId="77777777" w:rsidR="006000EB" w:rsidRPr="0055657F" w:rsidRDefault="006000EB" w:rsidP="00500BD0">
            <w:pPr>
              <w:spacing w:after="0" w:line="240" w:lineRule="auto"/>
              <w:jc w:val="right"/>
              <w:rPr>
                <w:b/>
                <w:bCs/>
                <w:color w:val="000000"/>
                <w:sz w:val="20"/>
                <w:szCs w:val="20"/>
                <w:lang w:eastAsia="sk-SK"/>
              </w:rPr>
            </w:pPr>
            <w:r w:rsidRPr="0055657F">
              <w:rPr>
                <w:b/>
                <w:bCs/>
                <w:color w:val="000000"/>
                <w:sz w:val="20"/>
                <w:szCs w:val="20"/>
                <w:lang w:eastAsia="sk-SK"/>
              </w:rPr>
              <w:t>3 154 911</w:t>
            </w:r>
          </w:p>
        </w:tc>
      </w:tr>
    </w:tbl>
    <w:p w14:paraId="7C0B2DD3" w14:textId="77777777" w:rsidR="006000EB" w:rsidRPr="006000EB" w:rsidRDefault="006000EB" w:rsidP="006000EB">
      <w:pPr>
        <w:spacing w:after="120" w:line="336" w:lineRule="auto"/>
        <w:jc w:val="right"/>
        <w:rPr>
          <w:sz w:val="18"/>
          <w:szCs w:val="18"/>
        </w:rPr>
      </w:pPr>
      <w:r w:rsidRPr="006000EB">
        <w:rPr>
          <w:sz w:val="18"/>
          <w:szCs w:val="18"/>
        </w:rPr>
        <w:t>Zdroj: Účtovné závierky subjektov</w:t>
      </w:r>
    </w:p>
    <w:p w14:paraId="53E9EE43" w14:textId="77777777" w:rsidR="006000EB" w:rsidRPr="0055657F" w:rsidRDefault="006000EB" w:rsidP="006000EB">
      <w:pPr>
        <w:spacing w:after="120" w:line="336" w:lineRule="auto"/>
        <w:jc w:val="both"/>
      </w:pPr>
      <w:r w:rsidRPr="006000EB">
        <w:rPr>
          <w:b/>
        </w:rPr>
        <w:t>Medzinárodné investičné arbitráže</w:t>
      </w:r>
      <w:r w:rsidRPr="0055657F">
        <w:t xml:space="preserve"> vznikajú domnelým porušením bilaterálnych investičných dohôd uzatváraných medzi suverénnymi štátmi. Predmetom sporov je náhrada škody za porušenie dohôd o podpore a ochrane investícií.</w:t>
      </w:r>
    </w:p>
    <w:p w14:paraId="50666EDC" w14:textId="77777777" w:rsidR="006000EB" w:rsidRPr="0055657F" w:rsidRDefault="006000EB" w:rsidP="006000EB">
      <w:pPr>
        <w:spacing w:after="120" w:line="336" w:lineRule="auto"/>
        <w:jc w:val="both"/>
      </w:pPr>
      <w:r w:rsidRPr="006000EB">
        <w:rPr>
          <w:b/>
        </w:rPr>
        <w:t>Ministerstvo financií SR</w:t>
      </w:r>
      <w:r w:rsidRPr="0055657F">
        <w:t xml:space="preserve"> viedlo ku koncu roka 2018 tri medzinárodné arbitráže. Najvýznamnejšou z nich bolo </w:t>
      </w:r>
      <w:r w:rsidRPr="006000EB">
        <w:rPr>
          <w:u w:val="single"/>
        </w:rPr>
        <w:t>arbitrážne konanie s EuroGas Inc. a Belmont Resources Inc.</w:t>
      </w:r>
      <w:r w:rsidRPr="0055657F">
        <w:t xml:space="preserve"> z roku 2014. Spor o náhradu škody viedli uvedené spoločnosti voči SR z dôvodu údajného protiprávneho odobratia povolenia na ťažbu mastenca. Arbitráž bola vedená podľa bilaterálnej investičnej dohody medzi SR a USA a bilaterálnej investičnej dohody medzi SR a Kanadou. V roku 2017 bol vydaný arbitrážny rozsudok, ktorým bola zamietnutá žaloba v plnom rozsahu. Žalobcovia však podali návrh na zrušenie tohto rozsudku, o ktorom sa bude rozhodovať v osobitnom zrušovacom konaní. Z dôvodu, že žalobca neuhradil ani v predĺženej lehote do decembra 2018 požadovaný preddavok na trovy konania sa očakáva, že dôjde k zastaveniu zrušovacieho konania. </w:t>
      </w:r>
    </w:p>
    <w:p w14:paraId="04B7C4B1" w14:textId="77777777" w:rsidR="006000EB" w:rsidRPr="0055657F" w:rsidRDefault="006000EB" w:rsidP="006000EB">
      <w:pPr>
        <w:spacing w:after="120" w:line="336" w:lineRule="auto"/>
        <w:jc w:val="both"/>
      </w:pPr>
      <w:r w:rsidRPr="0055657F">
        <w:t xml:space="preserve">Druhou otvorenou arbitrážou je </w:t>
      </w:r>
      <w:r w:rsidRPr="006000EB">
        <w:rPr>
          <w:u w:val="single"/>
        </w:rPr>
        <w:t>spor s poľskou spoločnosťou Spóldzielnia Pracy Muszynianka</w:t>
      </w:r>
      <w:r w:rsidRPr="0055657F">
        <w:t xml:space="preserve"> z údajného porušenia bilaterálnej investičnej dohody medzi Poľskom a Slovenskou republikou.</w:t>
      </w:r>
      <w:r w:rsidRPr="0055657F">
        <w:br/>
        <w:t>Spor iniciovala poľská spoločnosť v roku 2016 a ako dôvod má byť ústavný zákaz vývozu vody z územia SR, čím mala byť tejto spoločnosti spôsobená domnelá škoda vo výške 75 960 tis. eur.</w:t>
      </w:r>
      <w:r w:rsidRPr="0055657F">
        <w:br/>
        <w:t>V roku 2017 bola požadovaná čiastka na základe expertného posudku poľskej spoločnosti zvýšená na 202 790 tis. eur. V januári 2018 Slovenská republika podala pred arbitrážny tribunál písomnú obhajobu.</w:t>
      </w:r>
    </w:p>
    <w:p w14:paraId="19017AD1" w14:textId="77777777" w:rsidR="006000EB" w:rsidRPr="0055657F" w:rsidRDefault="006000EB" w:rsidP="006000EB">
      <w:pPr>
        <w:spacing w:after="120" w:line="336" w:lineRule="auto"/>
        <w:jc w:val="both"/>
      </w:pPr>
      <w:r w:rsidRPr="0055657F">
        <w:t>Počas roka 2018 boli zo strany Ministerstva financií SR predložené podania v rámci obhajoby, potenciálna škoda spoločnosti bola viackrát znížená až na 110 600 tis. eur zo strany samotnej spoločnosti. Vydanie konečného rozhodnutia arbitrážnym tribunálom sa očakáva najskôr koncom roka 2019.</w:t>
      </w:r>
    </w:p>
    <w:p w14:paraId="68D16676" w14:textId="22B704D2" w:rsidR="006000EB" w:rsidRPr="006000EB" w:rsidRDefault="006000EB" w:rsidP="006000EB">
      <w:pPr>
        <w:spacing w:after="120" w:line="336" w:lineRule="auto"/>
        <w:jc w:val="both"/>
        <w:rPr>
          <w:szCs w:val="22"/>
        </w:rPr>
      </w:pPr>
      <w:r w:rsidRPr="006000EB">
        <w:rPr>
          <w:u w:val="single"/>
        </w:rPr>
        <w:t>Pri medzinárodnej arbitráži so Zdravotnou poisťovňou Union, a.s.</w:t>
      </w:r>
      <w:r w:rsidRPr="0055657F">
        <w:t xml:space="preserve"> ide o spor Achmea vs. Slovenská republika, ktorý sa vedie z dôvodu zákazu zisku zdravotných poisťovní z roku 2007. V tejto arbitráži, vedenej podľa bilaterálnej investičnej dohody medzi SR a Holandským kráľovstvom, bol v decembri 2012 vydaný rozsudok, ktorým arbitrážny tribunál nariadil SR zaplatiť žalobcovi, holandskej spoločnosti Achmea B.V., odškodnenie vo výške 25 226 tis. eur plus úroky vo výške 3 466 tis. eur.</w:t>
      </w:r>
      <w:r>
        <w:t xml:space="preserve"> </w:t>
      </w:r>
      <w:r w:rsidRPr="006000EB">
        <w:t>SR</w:t>
      </w:r>
      <w:r>
        <w:t> </w:t>
      </w:r>
      <w:r w:rsidRPr="006000EB">
        <w:t>napadla</w:t>
      </w:r>
      <w:r w:rsidRPr="006000EB">
        <w:rPr>
          <w:szCs w:val="22"/>
        </w:rPr>
        <w:t xml:space="preserve"> tento rozsudok ako aj jurisdikčné rozhodnutie tribunálu pred nemeckými súdmi. Achmea taktiež paralelne požiadala Luxemburský súd o výkon rozhodnutia arbitrážneho tribunálu z decembra 2012 a zablokovanie majetku SR, pričom hodnota sporu určená Medzinárodným tribunálom bola 28 187 tis. eur. Súdny dvor EÚ rozhodol dňa 6. marca 2018 o predbežnej otázke vo veci neaplikovateľnosti arbitrážnej doložky v bilaterálnej investičnej zmluve medzi SR a Holandskom. Konanie o zrušení tohto rozsudku ako aj jurisdikčného rozhodnutia v tomto spore bolo právoplatne ukončené rozhodnutím Najvyššieho spolkového súdu v Nemecku dna 31.10.2018, čím bol arbitrážny rozsudok ako taký zrušený.</w:t>
      </w:r>
    </w:p>
    <w:p w14:paraId="4454A218" w14:textId="77777777" w:rsidR="006000EB" w:rsidRPr="006000EB" w:rsidRDefault="006000EB" w:rsidP="006000EB">
      <w:pPr>
        <w:spacing w:after="120" w:line="336" w:lineRule="auto"/>
        <w:jc w:val="both"/>
      </w:pPr>
      <w:r w:rsidRPr="006000EB">
        <w:t>Slovenskej republike hrozí ďalšia arbitráž, to znamená, že žaloba formálne ešte nebola podaná, no bola oznámená predžalobná výzva v prípade Quick Power Plant SE, Holandsko (QPP). Predmet sporu sa týka údajného nároku na akcie/práva k akciám spoločnosti TRANSPETROL, a.s., ktoré sa QPP pokúsila nadobudnúť. V súčasnosti prebieha objasňovanie skutkového stavu a nároku QPP pre prípad, ak by bola podaná proti SR žaloba.</w:t>
      </w:r>
    </w:p>
    <w:p w14:paraId="7DDB5BC4" w14:textId="77777777" w:rsidR="006000EB" w:rsidRPr="006000EB" w:rsidRDefault="006000EB" w:rsidP="006000EB">
      <w:pPr>
        <w:spacing w:after="120" w:line="336" w:lineRule="auto"/>
        <w:jc w:val="both"/>
      </w:pPr>
      <w:r w:rsidRPr="006000EB">
        <w:t xml:space="preserve">Ministerstvo financií SR dostalo oznámenie o hrozbe vzniku škody od dánskej spoločnosti Marius Pedersen, a to za údajné možné porušenie bilaterálnej investičnej dohody s Dánskom, a to novelou zákona o odpadoch. </w:t>
      </w:r>
    </w:p>
    <w:p w14:paraId="635C615E" w14:textId="77777777" w:rsidR="006000EB" w:rsidRPr="006000EB" w:rsidRDefault="006000EB" w:rsidP="006000EB">
      <w:pPr>
        <w:spacing w:after="120" w:line="336" w:lineRule="auto"/>
        <w:jc w:val="both"/>
        <w:rPr>
          <w:bCs/>
        </w:rPr>
      </w:pPr>
      <w:r w:rsidRPr="006000EB">
        <w:rPr>
          <w:bCs/>
        </w:rPr>
        <w:t>Tieto hroziace žaloby považuje Ministerstvo financií za bezpredmetné, nakoľko boli podané na základe bilaterálnych investičných dohôd medzi štátmi EÚ, ktorých arbitrážna doložka je v zmysle rozhodnutia Súdneho dvora EÚ v prípade Achmea neaplikovateľná a na základe postupu Európskej komisie má dôjsť k ukončeniu všetkých takýchto bilaterálnych investičných dohôd v rámci EÚ.</w:t>
      </w:r>
    </w:p>
    <w:p w14:paraId="6A103407" w14:textId="77777777" w:rsidR="006000EB" w:rsidRPr="006000EB" w:rsidRDefault="006000EB" w:rsidP="006000EB">
      <w:pPr>
        <w:spacing w:after="120" w:line="336" w:lineRule="auto"/>
        <w:jc w:val="both"/>
      </w:pPr>
      <w:r w:rsidRPr="006000EB">
        <w:t>Z</w:t>
      </w:r>
      <w:r w:rsidRPr="006000EB">
        <w:rPr>
          <w:b/>
        </w:rPr>
        <w:t xml:space="preserve"> ostatných súdnych sporov</w:t>
      </w:r>
      <w:r w:rsidRPr="006000EB">
        <w:t xml:space="preserve"> vykazuje najvyššiu hodnotu </w:t>
      </w:r>
      <w:r w:rsidRPr="006000EB">
        <w:rPr>
          <w:u w:val="single"/>
        </w:rPr>
        <w:t>Ministerstvo financií SR</w:t>
      </w:r>
      <w:r w:rsidRPr="006000EB">
        <w:t xml:space="preserve">, pričom ide najmä o náhradu škody uplatňovanej podľa zákona č. 514/2003 Z. z. o zodpovednosti za škodu spôsobenú pri výkone verejnej moci a o zmene niektorých zákonov, v ktorých Ministerstvo financií SR zastupuje pred súdom aj iné orgány verejnej moci. </w:t>
      </w:r>
      <w:r w:rsidRPr="0055657F">
        <w:t>Medziročný nárast bol spôsobený novým sporom, v ktorom si žalobca uplatňuje nárok na náhradu škody v úhrnnej výške 1 mld. eur.</w:t>
      </w:r>
    </w:p>
    <w:p w14:paraId="0AA8EB6E" w14:textId="77777777" w:rsidR="006000EB" w:rsidRPr="006000EB" w:rsidRDefault="006000EB" w:rsidP="006000EB">
      <w:pPr>
        <w:spacing w:after="120" w:line="336" w:lineRule="auto"/>
        <w:jc w:val="both"/>
        <w:rPr>
          <w:szCs w:val="22"/>
        </w:rPr>
      </w:pPr>
      <w:r w:rsidRPr="006000EB">
        <w:rPr>
          <w:szCs w:val="22"/>
          <w:u w:val="single"/>
        </w:rPr>
        <w:br w:type="page"/>
        <w:t>Kancelária Národnej rady SR</w:t>
      </w:r>
      <w:r w:rsidRPr="006000EB">
        <w:rPr>
          <w:szCs w:val="22"/>
        </w:rPr>
        <w:t xml:space="preserve"> </w:t>
      </w:r>
      <w:r w:rsidRPr="0055657F">
        <w:t>eviduje podmienené záväzky z existujúcich alebo hroziacich súdnych sporov, z čoho podstatnú časť tvoria žaloby za náhradu škody spôsobenú legislatívnou činnosťou</w:t>
      </w:r>
      <w:r w:rsidRPr="0055657F">
        <w:br/>
        <w:t>NR SR vrátane dvoch súdnych sporov o ,,zákaz zisku“ zdravotných poisťovní (spolu 580 014 tis. eur). Medziročne došlo k zníženiu hodnoty</w:t>
      </w:r>
      <w:r w:rsidRPr="006000EB">
        <w:rPr>
          <w:bCs/>
          <w:szCs w:val="22"/>
        </w:rPr>
        <w:t xml:space="preserve"> z dôvodu zastavenia jedného súdneho konania.</w:t>
      </w:r>
      <w:r w:rsidRPr="006000EB">
        <w:rPr>
          <w:szCs w:val="22"/>
        </w:rPr>
        <w:t xml:space="preserve"> </w:t>
      </w:r>
    </w:p>
    <w:p w14:paraId="0D5C8A3E" w14:textId="77777777" w:rsidR="006000EB" w:rsidRPr="006000EB" w:rsidRDefault="006000EB" w:rsidP="006000EB">
      <w:pPr>
        <w:spacing w:after="120" w:line="336" w:lineRule="auto"/>
        <w:jc w:val="both"/>
        <w:rPr>
          <w:bCs/>
          <w:szCs w:val="22"/>
        </w:rPr>
      </w:pPr>
      <w:r w:rsidRPr="006000EB">
        <w:rPr>
          <w:u w:val="single"/>
        </w:rPr>
        <w:t>Ministerstvo práce, sociálnych vecí a rodiny SR</w:t>
      </w:r>
      <w:r w:rsidRPr="0055657F">
        <w:t xml:space="preserve"> zaznamenalo úbytok hodnoty súdnych sporov o 20 471 tis. eur. Najvýznamnejší je spor s fyzickou osobou o náhradu škody vo výške 450 000 tis. eur, ktorá mala byť spôsobená údajnou nečinnosťou a nesprávnym úradným postupom. Naopak, z dôvodu prehodnotenia rizika iných súdnych sporov, bola znížená hodnota podmienených pasív samotného </w:t>
      </w:r>
      <w:r w:rsidRPr="006000EB">
        <w:rPr>
          <w:bCs/>
          <w:szCs w:val="22"/>
        </w:rPr>
        <w:t>Ministerstva práce, sociálnych vecí a rodiny SR o 20 470 tis. eur.</w:t>
      </w:r>
    </w:p>
    <w:p w14:paraId="3230379A" w14:textId="77777777" w:rsidR="006000EB" w:rsidRPr="0055657F" w:rsidRDefault="006000EB" w:rsidP="006000EB">
      <w:pPr>
        <w:spacing w:after="120" w:line="336" w:lineRule="auto"/>
        <w:jc w:val="both"/>
      </w:pPr>
      <w:r w:rsidRPr="006000EB">
        <w:rPr>
          <w:bCs/>
          <w:szCs w:val="22"/>
          <w:u w:val="single"/>
        </w:rPr>
        <w:t>Slo</w:t>
      </w:r>
      <w:r w:rsidRPr="006000EB">
        <w:rPr>
          <w:u w:val="single"/>
        </w:rPr>
        <w:t>venský pozemkový fond</w:t>
      </w:r>
      <w:r w:rsidRPr="0055657F">
        <w:t xml:space="preserve"> vykazuje podmienené záväzky z titulu 4 právnych sporov v úhrnnej výške 101 900 tis. eur, pričom ide o žaloby súkromných spoločností v ktorých si uplatňujú náhradu škody titulom údajne zmarenej investície z dôvodu, že fond vydal pozemky, na ktorých sa mali realizovať investičné projekty.</w:t>
      </w:r>
    </w:p>
    <w:p w14:paraId="7ED1E8EE" w14:textId="77777777" w:rsidR="006000EB" w:rsidRPr="0055657F" w:rsidRDefault="006000EB" w:rsidP="006000EB">
      <w:pPr>
        <w:spacing w:after="120" w:line="336" w:lineRule="auto"/>
        <w:jc w:val="both"/>
      </w:pPr>
      <w:r w:rsidRPr="006000EB">
        <w:rPr>
          <w:u w:val="single"/>
        </w:rPr>
        <w:t>Ministerstvo vnútra SR</w:t>
      </w:r>
      <w:r w:rsidRPr="0055657F">
        <w:t xml:space="preserve"> vykazuje podmienené pasíva zo súdny sporov najmä z titulu náhrady škody spôsobenej pri výkone verejnej moci.</w:t>
      </w:r>
    </w:p>
    <w:p w14:paraId="55E1F86F" w14:textId="77777777" w:rsidR="006000EB" w:rsidRPr="0055657F" w:rsidRDefault="006000EB" w:rsidP="006000EB">
      <w:pPr>
        <w:spacing w:after="120" w:line="336" w:lineRule="auto"/>
        <w:jc w:val="both"/>
      </w:pPr>
      <w:r w:rsidRPr="006000EB">
        <w:rPr>
          <w:u w:val="single"/>
        </w:rPr>
        <w:t>Ministerstvo hospodárstva SR</w:t>
      </w:r>
      <w:r w:rsidRPr="0055657F">
        <w:t xml:space="preserve"> eviduje podmienené záväzky zo súdnych sporov vo výške 84 858 tis. eur, pričom medziročné zvýšenie bolo spôsobené prehodnotením vytvorených rezerv na súdne spory. Tie naopak poklesli o 16 438 tis. eur. Najvyššiu čiastku (64 385 tis. eur) predstavuje žaloba o náhradu škody z titulu nesprávneho úradného postupu URSO za roky 2004-2006 pri vydávaní cenových rozhodnutí. </w:t>
      </w:r>
    </w:p>
    <w:p w14:paraId="59048B78" w14:textId="77777777" w:rsidR="006000EB" w:rsidRPr="0055657F" w:rsidRDefault="006000EB" w:rsidP="006000EB">
      <w:pPr>
        <w:spacing w:after="120" w:line="336" w:lineRule="auto"/>
        <w:jc w:val="both"/>
      </w:pPr>
      <w:r w:rsidRPr="006000EB">
        <w:rPr>
          <w:u w:val="single"/>
        </w:rPr>
        <w:t>Vodohospodárska výstavba, š. p.</w:t>
      </w:r>
      <w:r w:rsidRPr="0055657F">
        <w:t xml:space="preserve"> eviduje viaceré súdne spory, pričom väčšinu  z uvedenej sumy tvorí spor o náhradu škody za 33 000 tis. eur z dôvodu údajného porušenia nájomnej zmluvy a spory so Slovenskými elektrárňami vo výške 28 781 tis. eur o úhradu platieb podľa zmluvy o prevádzke Vodnej elektrárne Gabčíkovo. Vodohospodárska výstavba, š.p. vykazuje voči Slovenským elektrárňam aj podmienené aktíva, z titulu bezdôvodného obohatenia, ktoré malo vzniknúť úhradou platieb Slovenským elektrárňam, a.s. podľa neplatnej zmluvy o prevádzke Vodnej elektrárne Gabčíkovo. V súdnych sporoch sa naďalej pokračuje. Pre účely vyčíslenia čistého bohatstva je nutné znížiť túto hodnotu o podiel, ktorý pripadá na štát z dôvodu vlastníckeho podielu v SE, a.s. (34 %). </w:t>
      </w:r>
      <w:r w:rsidRPr="006000EB">
        <w:rPr>
          <w:b/>
        </w:rPr>
        <w:t>Výška tohto súdneho sporu pre účely čistého bohatstva tak predstavuje 9 786 tis. eur, čo je medziročne menej o 5 979 tis. eur.</w:t>
      </w:r>
    </w:p>
    <w:p w14:paraId="1E676FEF" w14:textId="77777777" w:rsidR="006000EB" w:rsidRPr="0055657F" w:rsidRDefault="006000EB" w:rsidP="006000EB">
      <w:pPr>
        <w:spacing w:after="120" w:line="336" w:lineRule="auto"/>
        <w:jc w:val="both"/>
      </w:pPr>
      <w:r w:rsidRPr="006000EB">
        <w:rPr>
          <w:u w:val="single"/>
        </w:rPr>
        <w:t>Železničná spoločnosť Slovensko, a.s.</w:t>
      </w:r>
      <w:r w:rsidRPr="0055657F">
        <w:t xml:space="preserve"> vedie dlhodobý súdny spor vo výške 51 752 tis. eur o náhradu škody, ktorá mala vzniknúť dodávateľovi železničnej spoločnosti zo zmlúv o stavbe, skúškach a zmluvách o dielo k prototypu rušňa radu 755. Rozsudkom zo dňa 16.04.2018 Okresný súd Bratislava III žalobu zamietol v celom rozsahu. Rozsudok nie je právoplatný.</w:t>
      </w:r>
    </w:p>
    <w:p w14:paraId="013DE88A" w14:textId="77777777" w:rsidR="006000EB" w:rsidRPr="0055657F" w:rsidRDefault="006000EB" w:rsidP="006000EB">
      <w:pPr>
        <w:spacing w:after="120" w:line="336" w:lineRule="auto"/>
        <w:jc w:val="both"/>
      </w:pPr>
      <w:r w:rsidRPr="0055657F">
        <w:t xml:space="preserve">Z </w:t>
      </w:r>
      <w:r w:rsidRPr="006000EB">
        <w:rPr>
          <w:b/>
        </w:rPr>
        <w:t>ostatných podmienených záväzkov</w:t>
      </w:r>
      <w:r w:rsidRPr="0055657F">
        <w:t xml:space="preserve"> vykazujú najvyššiu hodnotu </w:t>
      </w:r>
      <w:r w:rsidRPr="006000EB">
        <w:t>Slovenské elektrárne, a. s., ktoré sú do výpočtu podmienených záväzkov zahrnuté po prvý krát. Vo svojej účtovnej závierke vykázali podmienené pasíva (okrem iných) v podobe záložného práva na dlhodobý hmotný majetok a zásoby. Hodnota záložného práva medziročne vzrástla o 7 180 533 tis. eur z dôvodu prehodnotenia úverových zmlúv, na základe čoho bolo možné v roku 2018 zvýšiť hodnotu záložného práva v nových záložných zmluvách na majetok spoločnosti. Hodnota podmienených pasív potenciálne prislúchajúca štátu bola prenásobená podielom 34 %, čo tvorí 2 758 668 tis. eur a zároveň najvyšší vplyv na medziročný prírastok podmienených záväzkov.</w:t>
      </w:r>
    </w:p>
    <w:p w14:paraId="3F0E98E6" w14:textId="77777777" w:rsidR="006000EB" w:rsidRPr="006000EB" w:rsidRDefault="006000EB" w:rsidP="006000EB">
      <w:pPr>
        <w:spacing w:after="120" w:line="336" w:lineRule="auto"/>
        <w:jc w:val="both"/>
        <w:rPr>
          <w:szCs w:val="22"/>
        </w:rPr>
      </w:pPr>
      <w:r w:rsidRPr="006000EB">
        <w:rPr>
          <w:u w:val="single"/>
        </w:rPr>
        <w:t>MH Manažment, a.s.</w:t>
      </w:r>
      <w:r w:rsidRPr="0055657F">
        <w:t xml:space="preserve"> vykazuje možné plnenia z bývalých privatizačných zmlúv, ktoré boli do 31.12.2015 agendou Fondu národného majetku. </w:t>
      </w:r>
      <w:r w:rsidRPr="006000EB">
        <w:rPr>
          <w:szCs w:val="22"/>
        </w:rPr>
        <w:t xml:space="preserve">FNM sa zaviazal uhradiť nadobúdateľom privatizovaných spoločností určité straty na majetku, ktoré im môžu v budúcnosti vzniknúť v dôsledku </w:t>
      </w:r>
      <w:r w:rsidRPr="006000EB">
        <w:rPr>
          <w:bCs/>
          <w:iCs/>
          <w:szCs w:val="22"/>
        </w:rPr>
        <w:t>určitých rizík definovaných v privatizačných zmluvách</w:t>
      </w:r>
      <w:r w:rsidRPr="006000EB">
        <w:rPr>
          <w:szCs w:val="22"/>
        </w:rPr>
        <w:t>.</w:t>
      </w:r>
    </w:p>
    <w:p w14:paraId="2E0C9430" w14:textId="77777777" w:rsidR="006000EB" w:rsidRPr="006000EB" w:rsidRDefault="006000EB" w:rsidP="006000EB">
      <w:pPr>
        <w:spacing w:after="120" w:line="336" w:lineRule="auto"/>
        <w:jc w:val="both"/>
      </w:pPr>
      <w:r w:rsidRPr="006000EB">
        <w:rPr>
          <w:u w:val="single"/>
        </w:rPr>
        <w:t>Slovenský plynárenský priemysel, a.s.</w:t>
      </w:r>
      <w:r w:rsidRPr="006000EB">
        <w:t xml:space="preserve"> vykazuje podmienené pasíva v podobe finančných derivátov, používajúcich sa pri kontrahovaní zemného plynu na komoditných burzách.</w:t>
      </w:r>
    </w:p>
    <w:p w14:paraId="339DB235" w14:textId="77777777" w:rsidR="006000EB" w:rsidRPr="006000EB" w:rsidRDefault="006000EB" w:rsidP="006000EB">
      <w:pPr>
        <w:spacing w:after="120" w:line="336" w:lineRule="auto"/>
        <w:jc w:val="both"/>
      </w:pPr>
      <w:r w:rsidRPr="006000EB">
        <w:rPr>
          <w:u w:val="single"/>
        </w:rPr>
        <w:t>Exportno-importná banka Slovenska</w:t>
      </w:r>
      <w:r w:rsidRPr="006000EB">
        <w:t xml:space="preserve"> vykazuje v iných pasívach hodnotu poskytnutých záruk (48 507 tis. eur), potvrdených budúcich záruk (12 076 tis. eur) a neodvolateľné úverovú prísľuby (71 208 tis. eur).</w:t>
      </w:r>
    </w:p>
    <w:p w14:paraId="43CA5AA5" w14:textId="77777777" w:rsidR="006000EB" w:rsidRPr="006000EB" w:rsidRDefault="006000EB" w:rsidP="006000EB">
      <w:pPr>
        <w:spacing w:after="120" w:line="336" w:lineRule="auto"/>
        <w:jc w:val="both"/>
      </w:pPr>
      <w:r w:rsidRPr="006000EB">
        <w:t xml:space="preserve">Obdobne </w:t>
      </w:r>
      <w:r w:rsidRPr="006000EB">
        <w:rPr>
          <w:u w:val="single"/>
        </w:rPr>
        <w:t>Slovenská záručná a rozvojová banka Slovenska, a.s.</w:t>
      </w:r>
      <w:r w:rsidRPr="006000EB">
        <w:t xml:space="preserve"> vykazuje podmienené záväzky v hodnote 140 697 tis. eur z titulu poskytnutých záruk (v hodnote 87 706 tis. eur) a úverových prísľubov vo výške (52 991 tis. eur).</w:t>
      </w:r>
    </w:p>
    <w:p w14:paraId="4504390B" w14:textId="77777777" w:rsidR="006000EB" w:rsidRPr="006000EB" w:rsidRDefault="006000EB" w:rsidP="006000EB">
      <w:pPr>
        <w:spacing w:after="120" w:line="336" w:lineRule="auto"/>
        <w:jc w:val="both"/>
      </w:pPr>
      <w:r w:rsidRPr="006000EB">
        <w:rPr>
          <w:u w:val="single"/>
        </w:rPr>
        <w:t>Slovenská elektrizačná a prenosová sústava, a.s.</w:t>
      </w:r>
      <w:r w:rsidRPr="006000EB">
        <w:t xml:space="preserve"> vykazuje za svoju skupinu</w:t>
      </w:r>
      <w:r w:rsidRPr="0055657F">
        <w:rPr>
          <w:rStyle w:val="Odkaznapoznmkupodiarou"/>
          <w:rFonts w:eastAsiaTheme="majorEastAsia"/>
          <w:szCs w:val="22"/>
        </w:rPr>
        <w:footnoteReference w:id="36"/>
      </w:r>
      <w:r w:rsidRPr="006000EB">
        <w:t xml:space="preserve"> záväzky zo zmlúv, ktoré majú plnenie až po 31.12.2018 na nákup dlhodobého majetku.</w:t>
      </w:r>
    </w:p>
    <w:p w14:paraId="4E0D3150" w14:textId="77777777" w:rsidR="006000EB" w:rsidRPr="006000EB" w:rsidRDefault="006000EB" w:rsidP="006000EB">
      <w:pPr>
        <w:spacing w:after="120" w:line="336" w:lineRule="auto"/>
        <w:jc w:val="both"/>
      </w:pPr>
      <w:r w:rsidRPr="006000EB">
        <w:rPr>
          <w:u w:val="single"/>
        </w:rPr>
        <w:t>Lesy Slovenskej republiky, š. p.</w:t>
      </w:r>
      <w:r w:rsidRPr="006000EB">
        <w:t xml:space="preserve"> dlhodobo vykazujú hodnotu majetku, ktorá je právne neusporiadaná (napr. pozemky a stavby), a ktoré môžu byť predmetom vrátenia pôvodným vlastníkom. Odhadovaná hodnota je 49 227 tis. eur.</w:t>
      </w:r>
    </w:p>
    <w:p w14:paraId="6B29AD7D" w14:textId="77777777" w:rsidR="006000EB" w:rsidRPr="006000EB" w:rsidRDefault="006000EB" w:rsidP="006000EB">
      <w:pPr>
        <w:spacing w:after="120" w:line="336" w:lineRule="auto"/>
        <w:jc w:val="both"/>
      </w:pPr>
      <w:r w:rsidRPr="006000EB">
        <w:t>Pokles hodnoty pri Národnej diaľničnej spoločnosti, a.s. bol spôsobený nižším objemom zmluvných záväzkov s plnením v nasledujúcich obdobiach a u Slovenskej správy ciest nevykázaním podmienených pasív z minulosti.</w:t>
      </w:r>
    </w:p>
    <w:p w14:paraId="38F19609" w14:textId="4CB075C4" w:rsidR="006000EB" w:rsidRPr="006000EB" w:rsidRDefault="006000EB" w:rsidP="006000EB">
      <w:pPr>
        <w:spacing w:after="120" w:line="336" w:lineRule="auto"/>
        <w:jc w:val="both"/>
        <w:rPr>
          <w:bCs/>
        </w:rPr>
      </w:pPr>
      <w:r w:rsidRPr="006000EB">
        <w:rPr>
          <w:bCs/>
        </w:rPr>
        <w:t>Pre účely súhrnnej výročnej správy SR za rok 2018 realizovalo MF SR hlbšiu analýzu podmienených záväzkov za zdravotnícke zariadenia rôznych právnych foriem z dôvodu, že ide o špecifickú oblasť v ktorej potenciálne môžu vznikať podmienené záväzky napr. zo súdnych sporov z dôvodu oneskorených úhrad dodávateľom resp. neuhraden</w:t>
      </w:r>
      <w:r w:rsidR="009A1229">
        <w:rPr>
          <w:bCs/>
        </w:rPr>
        <w:t>í</w:t>
      </w:r>
      <w:r w:rsidRPr="006000EB">
        <w:rPr>
          <w:bCs/>
        </w:rPr>
        <w:t>m záväzkov alebo súdne spory s fyzickými osobami – pacientmi pri poskytovaní zdravotnej starostlivosti. Analýza bola vykonaná pre porovnateľnosť a pre vyhodnotenie významnosti aj nad údajmi roku 2017. Keďže údaje o podmienených záväzkoch nie sú v účtovných závierkach naprieč všetkým právnym formám subjektov štandardizované, bolo z časti automatickým a z časti manuálnym spôsobom analyzovaných 89 účtovných závierok zdravotníckych zariadení za rok 2017 a 87 účtovných závierok zdravotníckych zariadení za rok 2018.</w:t>
      </w:r>
    </w:p>
    <w:p w14:paraId="2715BA67" w14:textId="77777777" w:rsidR="006000EB" w:rsidRPr="0055657F" w:rsidRDefault="006000EB" w:rsidP="006000EB">
      <w:pPr>
        <w:pStyle w:val="Odsekzoznamu"/>
        <w:numPr>
          <w:ilvl w:val="0"/>
          <w:numId w:val="24"/>
        </w:numPr>
      </w:pPr>
      <w:r w:rsidRPr="0055657F">
        <w:br w:type="page"/>
      </w:r>
    </w:p>
    <w:p w14:paraId="079CC0D0" w14:textId="77777777" w:rsidR="006000EB" w:rsidRPr="006000EB" w:rsidRDefault="006000EB" w:rsidP="006000EB">
      <w:pPr>
        <w:spacing w:after="120" w:line="336" w:lineRule="auto"/>
        <w:jc w:val="both"/>
        <w:rPr>
          <w:bCs/>
        </w:rPr>
      </w:pPr>
      <w:r w:rsidRPr="006000EB">
        <w:rPr>
          <w:bCs/>
        </w:rPr>
        <w:t>Hodnota podmienených záväzkov zdravotníckych zariadení podľa právnych foriem je uvedená v nasledovnej tabuľke:</w:t>
      </w:r>
    </w:p>
    <w:tbl>
      <w:tblPr>
        <w:tblW w:w="9036" w:type="dxa"/>
        <w:tblCellMar>
          <w:left w:w="70" w:type="dxa"/>
          <w:right w:w="70" w:type="dxa"/>
        </w:tblCellMar>
        <w:tblLook w:val="04A0" w:firstRow="1" w:lastRow="0" w:firstColumn="1" w:lastColumn="0" w:noHBand="0" w:noVBand="1"/>
      </w:tblPr>
      <w:tblGrid>
        <w:gridCol w:w="3544"/>
        <w:gridCol w:w="160"/>
        <w:gridCol w:w="1683"/>
        <w:gridCol w:w="1418"/>
        <w:gridCol w:w="974"/>
        <w:gridCol w:w="1257"/>
      </w:tblGrid>
      <w:tr w:rsidR="006000EB" w:rsidRPr="001A356F" w14:paraId="6F026A4A" w14:textId="77777777" w:rsidTr="003D4C66">
        <w:trPr>
          <w:trHeight w:val="420"/>
        </w:trPr>
        <w:tc>
          <w:tcPr>
            <w:tcW w:w="9036" w:type="dxa"/>
            <w:gridSpan w:val="6"/>
            <w:tcBorders>
              <w:top w:val="nil"/>
              <w:left w:val="nil"/>
              <w:bottom w:val="single" w:sz="4" w:space="0" w:color="auto"/>
              <w:right w:val="nil"/>
            </w:tcBorders>
            <w:shd w:val="clear" w:color="000000" w:fill="000000"/>
            <w:noWrap/>
            <w:vAlign w:val="center"/>
            <w:hideMark/>
          </w:tcPr>
          <w:p w14:paraId="239D924D" w14:textId="41D85BD4" w:rsidR="006000EB" w:rsidRPr="001A356F" w:rsidRDefault="006000EB" w:rsidP="001A356F">
            <w:pPr>
              <w:spacing w:after="0" w:line="240" w:lineRule="auto"/>
              <w:ind w:left="2"/>
              <w:rPr>
                <w:b/>
                <w:bCs/>
                <w:color w:val="FFFFFF"/>
                <w:sz w:val="20"/>
                <w:szCs w:val="20"/>
                <w:lang w:eastAsia="sk-SK"/>
              </w:rPr>
            </w:pPr>
            <w:r w:rsidRPr="001A356F">
              <w:rPr>
                <w:bCs/>
                <w:sz w:val="20"/>
                <w:szCs w:val="20"/>
              </w:rPr>
              <w:t xml:space="preserve"> </w:t>
            </w:r>
            <w:r w:rsidRPr="001A356F">
              <w:rPr>
                <w:sz w:val="20"/>
                <w:szCs w:val="20"/>
              </w:rPr>
              <w:br w:type="page"/>
            </w:r>
            <w:r w:rsidRPr="001A356F">
              <w:rPr>
                <w:b/>
                <w:bCs/>
                <w:color w:val="FFFFFF"/>
                <w:sz w:val="20"/>
                <w:szCs w:val="20"/>
                <w:lang w:eastAsia="sk-SK"/>
              </w:rPr>
              <w:t xml:space="preserve">Podmienené záväzky zdravotníckych zariadení podľa právnej formy                       </w:t>
            </w:r>
            <w:r w:rsidR="003D4C66" w:rsidRPr="001A356F">
              <w:rPr>
                <w:b/>
                <w:bCs/>
                <w:color w:val="FFFFFF"/>
                <w:sz w:val="20"/>
                <w:szCs w:val="20"/>
                <w:lang w:eastAsia="sk-SK"/>
              </w:rPr>
              <w:t xml:space="preserve">                    v tis. eur</w:t>
            </w:r>
          </w:p>
        </w:tc>
      </w:tr>
      <w:tr w:rsidR="006000EB" w:rsidRPr="001A356F" w14:paraId="1726662C" w14:textId="77777777" w:rsidTr="00500BD0">
        <w:trPr>
          <w:trHeight w:val="300"/>
        </w:trPr>
        <w:tc>
          <w:tcPr>
            <w:tcW w:w="5387" w:type="dxa"/>
            <w:gridSpan w:val="3"/>
            <w:tcBorders>
              <w:top w:val="nil"/>
              <w:left w:val="nil"/>
              <w:bottom w:val="single" w:sz="4" w:space="0" w:color="auto"/>
              <w:right w:val="nil"/>
            </w:tcBorders>
            <w:shd w:val="clear" w:color="000000" w:fill="BFBFBF"/>
            <w:vAlign w:val="bottom"/>
            <w:hideMark/>
          </w:tcPr>
          <w:p w14:paraId="4AB47C50"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 </w:t>
            </w:r>
          </w:p>
        </w:tc>
        <w:tc>
          <w:tcPr>
            <w:tcW w:w="1418" w:type="dxa"/>
            <w:tcBorders>
              <w:top w:val="nil"/>
              <w:left w:val="nil"/>
              <w:bottom w:val="single" w:sz="4" w:space="0" w:color="auto"/>
              <w:right w:val="nil"/>
            </w:tcBorders>
            <w:shd w:val="clear" w:color="000000" w:fill="BFBFBF"/>
            <w:vAlign w:val="bottom"/>
            <w:hideMark/>
          </w:tcPr>
          <w:p w14:paraId="0911E467"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2017</w:t>
            </w:r>
          </w:p>
        </w:tc>
        <w:tc>
          <w:tcPr>
            <w:tcW w:w="974" w:type="dxa"/>
            <w:tcBorders>
              <w:top w:val="nil"/>
              <w:left w:val="nil"/>
              <w:bottom w:val="single" w:sz="4" w:space="0" w:color="auto"/>
              <w:right w:val="nil"/>
            </w:tcBorders>
            <w:shd w:val="clear" w:color="000000" w:fill="BFBFBF"/>
            <w:vAlign w:val="bottom"/>
            <w:hideMark/>
          </w:tcPr>
          <w:p w14:paraId="0E740702"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2018</w:t>
            </w:r>
          </w:p>
        </w:tc>
        <w:tc>
          <w:tcPr>
            <w:tcW w:w="1257" w:type="dxa"/>
            <w:tcBorders>
              <w:top w:val="nil"/>
              <w:left w:val="nil"/>
              <w:bottom w:val="single" w:sz="4" w:space="0" w:color="auto"/>
              <w:right w:val="nil"/>
            </w:tcBorders>
            <w:shd w:val="clear" w:color="000000" w:fill="BFBFBF"/>
            <w:vAlign w:val="bottom"/>
            <w:hideMark/>
          </w:tcPr>
          <w:p w14:paraId="143D8510" w14:textId="77777777" w:rsidR="006000EB" w:rsidRPr="001A356F" w:rsidRDefault="006000EB" w:rsidP="00500BD0">
            <w:pPr>
              <w:spacing w:after="0" w:line="240" w:lineRule="auto"/>
              <w:jc w:val="center"/>
              <w:rPr>
                <w:b/>
                <w:bCs/>
                <w:sz w:val="20"/>
                <w:szCs w:val="20"/>
                <w:lang w:eastAsia="sk-SK"/>
              </w:rPr>
            </w:pPr>
            <w:r w:rsidRPr="001A356F">
              <w:rPr>
                <w:b/>
                <w:bCs/>
                <w:sz w:val="20"/>
                <w:szCs w:val="20"/>
                <w:lang w:eastAsia="sk-SK"/>
              </w:rPr>
              <w:t>Δ 2018-2017</w:t>
            </w:r>
          </w:p>
        </w:tc>
      </w:tr>
      <w:tr w:rsidR="006000EB" w:rsidRPr="001A356F" w14:paraId="7C513387" w14:textId="77777777" w:rsidTr="00500BD0">
        <w:trPr>
          <w:trHeight w:val="300"/>
        </w:trPr>
        <w:tc>
          <w:tcPr>
            <w:tcW w:w="5387" w:type="dxa"/>
            <w:gridSpan w:val="3"/>
            <w:tcBorders>
              <w:top w:val="single" w:sz="4" w:space="0" w:color="auto"/>
              <w:left w:val="nil"/>
              <w:bottom w:val="nil"/>
              <w:right w:val="nil"/>
            </w:tcBorders>
            <w:vAlign w:val="center"/>
            <w:hideMark/>
          </w:tcPr>
          <w:p w14:paraId="372A51AB"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Ústredná správa </w:t>
            </w:r>
          </w:p>
        </w:tc>
        <w:tc>
          <w:tcPr>
            <w:tcW w:w="1418" w:type="dxa"/>
            <w:tcBorders>
              <w:top w:val="single" w:sz="4" w:space="0" w:color="auto"/>
              <w:left w:val="nil"/>
              <w:bottom w:val="nil"/>
              <w:right w:val="nil"/>
            </w:tcBorders>
            <w:noWrap/>
            <w:vAlign w:val="center"/>
          </w:tcPr>
          <w:p w14:paraId="6D8BE2FD"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414</w:t>
            </w:r>
          </w:p>
        </w:tc>
        <w:tc>
          <w:tcPr>
            <w:tcW w:w="974" w:type="dxa"/>
            <w:tcBorders>
              <w:top w:val="single" w:sz="4" w:space="0" w:color="auto"/>
              <w:left w:val="nil"/>
              <w:bottom w:val="nil"/>
              <w:right w:val="nil"/>
            </w:tcBorders>
            <w:noWrap/>
            <w:vAlign w:val="center"/>
          </w:tcPr>
          <w:p w14:paraId="2A8FE3E5"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5 164</w:t>
            </w:r>
          </w:p>
        </w:tc>
        <w:tc>
          <w:tcPr>
            <w:tcW w:w="1257" w:type="dxa"/>
            <w:tcBorders>
              <w:top w:val="single" w:sz="4" w:space="0" w:color="auto"/>
              <w:left w:val="nil"/>
              <w:bottom w:val="nil"/>
              <w:right w:val="nil"/>
            </w:tcBorders>
            <w:vAlign w:val="center"/>
          </w:tcPr>
          <w:p w14:paraId="6D2695E4"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4 750</w:t>
            </w:r>
          </w:p>
        </w:tc>
      </w:tr>
      <w:tr w:rsidR="006000EB" w:rsidRPr="001A356F" w14:paraId="6697D1F2" w14:textId="77777777" w:rsidTr="00500BD0">
        <w:trPr>
          <w:trHeight w:val="300"/>
        </w:trPr>
        <w:tc>
          <w:tcPr>
            <w:tcW w:w="5387" w:type="dxa"/>
            <w:gridSpan w:val="3"/>
            <w:tcBorders>
              <w:left w:val="nil"/>
              <w:bottom w:val="nil"/>
              <w:right w:val="nil"/>
            </w:tcBorders>
            <w:vAlign w:val="center"/>
          </w:tcPr>
          <w:p w14:paraId="5232AADE" w14:textId="77777777" w:rsidR="006000EB" w:rsidRPr="001A356F" w:rsidRDefault="006000EB" w:rsidP="00500BD0">
            <w:pPr>
              <w:spacing w:after="0" w:line="336" w:lineRule="auto"/>
              <w:jc w:val="center"/>
              <w:rPr>
                <w:color w:val="000000"/>
                <w:sz w:val="20"/>
                <w:szCs w:val="20"/>
                <w:lang w:eastAsia="sk-SK"/>
              </w:rPr>
            </w:pPr>
            <w:r w:rsidRPr="001A356F">
              <w:rPr>
                <w:color w:val="000000"/>
                <w:sz w:val="20"/>
                <w:szCs w:val="20"/>
                <w:lang w:eastAsia="sk-SK"/>
              </w:rPr>
              <w:t xml:space="preserve">z toho: rozpočtové a príspevkové organizácie </w:t>
            </w:r>
          </w:p>
        </w:tc>
        <w:tc>
          <w:tcPr>
            <w:tcW w:w="1418" w:type="dxa"/>
            <w:tcBorders>
              <w:left w:val="nil"/>
              <w:bottom w:val="nil"/>
              <w:right w:val="nil"/>
            </w:tcBorders>
            <w:noWrap/>
            <w:vAlign w:val="center"/>
          </w:tcPr>
          <w:p w14:paraId="7CD1E4FB"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414</w:t>
            </w:r>
          </w:p>
        </w:tc>
        <w:tc>
          <w:tcPr>
            <w:tcW w:w="974" w:type="dxa"/>
            <w:tcBorders>
              <w:left w:val="nil"/>
              <w:bottom w:val="nil"/>
              <w:right w:val="nil"/>
            </w:tcBorders>
            <w:noWrap/>
            <w:vAlign w:val="center"/>
          </w:tcPr>
          <w:p w14:paraId="1B4A6553"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4 756</w:t>
            </w:r>
          </w:p>
        </w:tc>
        <w:tc>
          <w:tcPr>
            <w:tcW w:w="1257" w:type="dxa"/>
            <w:tcBorders>
              <w:left w:val="nil"/>
              <w:bottom w:val="nil"/>
              <w:right w:val="nil"/>
            </w:tcBorders>
            <w:vAlign w:val="center"/>
          </w:tcPr>
          <w:p w14:paraId="101DE99C"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4 342</w:t>
            </w:r>
          </w:p>
        </w:tc>
      </w:tr>
      <w:tr w:rsidR="006000EB" w:rsidRPr="001A356F" w14:paraId="5DD6C737" w14:textId="77777777" w:rsidTr="00500BD0">
        <w:trPr>
          <w:trHeight w:val="300"/>
        </w:trPr>
        <w:tc>
          <w:tcPr>
            <w:tcW w:w="5387" w:type="dxa"/>
            <w:gridSpan w:val="3"/>
            <w:tcBorders>
              <w:left w:val="nil"/>
              <w:bottom w:val="nil"/>
              <w:right w:val="nil"/>
            </w:tcBorders>
            <w:vAlign w:val="center"/>
          </w:tcPr>
          <w:p w14:paraId="695E2DAB"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                         neziskové organizácie</w:t>
            </w:r>
          </w:p>
        </w:tc>
        <w:tc>
          <w:tcPr>
            <w:tcW w:w="1418" w:type="dxa"/>
            <w:tcBorders>
              <w:left w:val="nil"/>
              <w:bottom w:val="nil"/>
              <w:right w:val="nil"/>
            </w:tcBorders>
            <w:noWrap/>
            <w:vAlign w:val="center"/>
          </w:tcPr>
          <w:p w14:paraId="5D0AE385"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0</w:t>
            </w:r>
          </w:p>
        </w:tc>
        <w:tc>
          <w:tcPr>
            <w:tcW w:w="974" w:type="dxa"/>
            <w:tcBorders>
              <w:left w:val="nil"/>
              <w:bottom w:val="nil"/>
              <w:right w:val="nil"/>
            </w:tcBorders>
            <w:noWrap/>
            <w:vAlign w:val="center"/>
          </w:tcPr>
          <w:p w14:paraId="05C73C76"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408</w:t>
            </w:r>
          </w:p>
        </w:tc>
        <w:tc>
          <w:tcPr>
            <w:tcW w:w="1257" w:type="dxa"/>
            <w:tcBorders>
              <w:left w:val="nil"/>
              <w:bottom w:val="nil"/>
              <w:right w:val="nil"/>
            </w:tcBorders>
            <w:vAlign w:val="center"/>
          </w:tcPr>
          <w:p w14:paraId="476737DC"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408</w:t>
            </w:r>
          </w:p>
        </w:tc>
      </w:tr>
      <w:tr w:rsidR="006000EB" w:rsidRPr="001A356F" w14:paraId="2DFD9F73" w14:textId="77777777" w:rsidTr="00500BD0">
        <w:trPr>
          <w:trHeight w:val="300"/>
        </w:trPr>
        <w:tc>
          <w:tcPr>
            <w:tcW w:w="3544" w:type="dxa"/>
            <w:tcBorders>
              <w:left w:val="nil"/>
              <w:bottom w:val="nil"/>
              <w:right w:val="nil"/>
            </w:tcBorders>
            <w:vAlign w:val="center"/>
          </w:tcPr>
          <w:p w14:paraId="13A57016"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                         podnikateľské subjekty</w:t>
            </w:r>
          </w:p>
        </w:tc>
        <w:tc>
          <w:tcPr>
            <w:tcW w:w="160" w:type="dxa"/>
            <w:tcBorders>
              <w:left w:val="nil"/>
              <w:bottom w:val="nil"/>
              <w:right w:val="nil"/>
            </w:tcBorders>
            <w:noWrap/>
            <w:vAlign w:val="center"/>
          </w:tcPr>
          <w:p w14:paraId="4CC9AD12" w14:textId="77777777" w:rsidR="006000EB" w:rsidRPr="001A356F" w:rsidRDefault="006000EB" w:rsidP="00500BD0">
            <w:pPr>
              <w:spacing w:after="0" w:line="336" w:lineRule="auto"/>
              <w:jc w:val="right"/>
              <w:rPr>
                <w:color w:val="000000"/>
                <w:sz w:val="20"/>
                <w:szCs w:val="20"/>
                <w:lang w:eastAsia="sk-SK"/>
              </w:rPr>
            </w:pPr>
          </w:p>
        </w:tc>
        <w:tc>
          <w:tcPr>
            <w:tcW w:w="1683" w:type="dxa"/>
            <w:tcBorders>
              <w:left w:val="nil"/>
              <w:bottom w:val="nil"/>
              <w:right w:val="nil"/>
            </w:tcBorders>
            <w:noWrap/>
            <w:vAlign w:val="center"/>
          </w:tcPr>
          <w:p w14:paraId="70016467" w14:textId="77777777" w:rsidR="006000EB" w:rsidRPr="001A356F" w:rsidRDefault="006000EB" w:rsidP="00500BD0">
            <w:pPr>
              <w:spacing w:after="0" w:line="336" w:lineRule="auto"/>
              <w:jc w:val="right"/>
              <w:rPr>
                <w:color w:val="000000"/>
                <w:sz w:val="20"/>
                <w:szCs w:val="20"/>
                <w:lang w:eastAsia="sk-SK"/>
              </w:rPr>
            </w:pPr>
          </w:p>
        </w:tc>
        <w:tc>
          <w:tcPr>
            <w:tcW w:w="1418" w:type="dxa"/>
            <w:tcBorders>
              <w:left w:val="nil"/>
              <w:bottom w:val="nil"/>
              <w:right w:val="nil"/>
            </w:tcBorders>
            <w:noWrap/>
            <w:vAlign w:val="center"/>
          </w:tcPr>
          <w:p w14:paraId="0075AD98"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0</w:t>
            </w:r>
          </w:p>
        </w:tc>
        <w:tc>
          <w:tcPr>
            <w:tcW w:w="974" w:type="dxa"/>
            <w:tcBorders>
              <w:left w:val="nil"/>
              <w:bottom w:val="nil"/>
              <w:right w:val="nil"/>
            </w:tcBorders>
            <w:noWrap/>
            <w:vAlign w:val="center"/>
          </w:tcPr>
          <w:p w14:paraId="3D916288"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0</w:t>
            </w:r>
          </w:p>
        </w:tc>
        <w:tc>
          <w:tcPr>
            <w:tcW w:w="1257" w:type="dxa"/>
            <w:tcBorders>
              <w:left w:val="nil"/>
              <w:bottom w:val="nil"/>
              <w:right w:val="nil"/>
            </w:tcBorders>
            <w:vAlign w:val="center"/>
          </w:tcPr>
          <w:p w14:paraId="0D7DCBBC"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0</w:t>
            </w:r>
          </w:p>
        </w:tc>
      </w:tr>
      <w:tr w:rsidR="006000EB" w:rsidRPr="001A356F" w14:paraId="2D8C10B2" w14:textId="77777777" w:rsidTr="00500BD0">
        <w:trPr>
          <w:trHeight w:val="300"/>
        </w:trPr>
        <w:tc>
          <w:tcPr>
            <w:tcW w:w="3544" w:type="dxa"/>
            <w:tcBorders>
              <w:left w:val="nil"/>
              <w:bottom w:val="nil"/>
              <w:right w:val="nil"/>
            </w:tcBorders>
            <w:vAlign w:val="center"/>
          </w:tcPr>
          <w:p w14:paraId="75DAC26F"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Miestna územná samospráva </w:t>
            </w:r>
          </w:p>
        </w:tc>
        <w:tc>
          <w:tcPr>
            <w:tcW w:w="160" w:type="dxa"/>
            <w:tcBorders>
              <w:left w:val="nil"/>
              <w:bottom w:val="nil"/>
              <w:right w:val="nil"/>
            </w:tcBorders>
            <w:noWrap/>
            <w:vAlign w:val="center"/>
          </w:tcPr>
          <w:p w14:paraId="64621D59" w14:textId="77777777" w:rsidR="006000EB" w:rsidRPr="001A356F" w:rsidRDefault="006000EB" w:rsidP="00500BD0">
            <w:pPr>
              <w:spacing w:after="0" w:line="336" w:lineRule="auto"/>
              <w:jc w:val="right"/>
              <w:rPr>
                <w:color w:val="000000"/>
                <w:sz w:val="20"/>
                <w:szCs w:val="20"/>
                <w:lang w:eastAsia="sk-SK"/>
              </w:rPr>
            </w:pPr>
          </w:p>
        </w:tc>
        <w:tc>
          <w:tcPr>
            <w:tcW w:w="1683" w:type="dxa"/>
            <w:tcBorders>
              <w:left w:val="nil"/>
              <w:bottom w:val="nil"/>
              <w:right w:val="nil"/>
            </w:tcBorders>
            <w:noWrap/>
            <w:vAlign w:val="center"/>
          </w:tcPr>
          <w:p w14:paraId="230CD772" w14:textId="77777777" w:rsidR="006000EB" w:rsidRPr="001A356F" w:rsidRDefault="006000EB" w:rsidP="00500BD0">
            <w:pPr>
              <w:spacing w:after="0" w:line="336" w:lineRule="auto"/>
              <w:jc w:val="right"/>
              <w:rPr>
                <w:color w:val="000000"/>
                <w:sz w:val="20"/>
                <w:szCs w:val="20"/>
                <w:lang w:eastAsia="sk-SK"/>
              </w:rPr>
            </w:pPr>
          </w:p>
        </w:tc>
        <w:tc>
          <w:tcPr>
            <w:tcW w:w="1418" w:type="dxa"/>
            <w:tcBorders>
              <w:left w:val="nil"/>
              <w:bottom w:val="nil"/>
              <w:right w:val="nil"/>
            </w:tcBorders>
            <w:noWrap/>
            <w:vAlign w:val="center"/>
          </w:tcPr>
          <w:p w14:paraId="3EB1EA69" w14:textId="77777777" w:rsidR="006000EB" w:rsidRPr="001A356F" w:rsidRDefault="006000EB" w:rsidP="00500BD0">
            <w:pPr>
              <w:spacing w:after="0" w:line="336" w:lineRule="auto"/>
              <w:ind w:right="356"/>
              <w:jc w:val="right"/>
              <w:rPr>
                <w:color w:val="000000"/>
                <w:sz w:val="20"/>
                <w:szCs w:val="20"/>
                <w:lang w:eastAsia="sk-SK"/>
              </w:rPr>
            </w:pPr>
            <w:r w:rsidRPr="001A356F">
              <w:rPr>
                <w:color w:val="000000"/>
                <w:sz w:val="20"/>
                <w:szCs w:val="20"/>
                <w:lang w:eastAsia="sk-SK"/>
              </w:rPr>
              <w:t>430</w:t>
            </w:r>
          </w:p>
        </w:tc>
        <w:tc>
          <w:tcPr>
            <w:tcW w:w="974" w:type="dxa"/>
            <w:tcBorders>
              <w:left w:val="nil"/>
              <w:bottom w:val="nil"/>
              <w:right w:val="nil"/>
            </w:tcBorders>
            <w:noWrap/>
            <w:vAlign w:val="center"/>
          </w:tcPr>
          <w:p w14:paraId="4A7A8840"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1 709</w:t>
            </w:r>
          </w:p>
        </w:tc>
        <w:tc>
          <w:tcPr>
            <w:tcW w:w="1257" w:type="dxa"/>
            <w:tcBorders>
              <w:left w:val="nil"/>
              <w:bottom w:val="nil"/>
              <w:right w:val="nil"/>
            </w:tcBorders>
            <w:vAlign w:val="center"/>
          </w:tcPr>
          <w:p w14:paraId="59C9CB60"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1 279</w:t>
            </w:r>
          </w:p>
        </w:tc>
      </w:tr>
      <w:tr w:rsidR="006000EB" w:rsidRPr="001A356F" w14:paraId="0052D8FE" w14:textId="77777777" w:rsidTr="00500BD0">
        <w:trPr>
          <w:trHeight w:val="300"/>
        </w:trPr>
        <w:tc>
          <w:tcPr>
            <w:tcW w:w="5387" w:type="dxa"/>
            <w:gridSpan w:val="3"/>
            <w:tcBorders>
              <w:left w:val="nil"/>
              <w:bottom w:val="nil"/>
              <w:right w:val="nil"/>
            </w:tcBorders>
            <w:vAlign w:val="center"/>
          </w:tcPr>
          <w:p w14:paraId="716948F0" w14:textId="77777777" w:rsidR="006000EB" w:rsidRPr="001A356F" w:rsidRDefault="006000EB" w:rsidP="00500BD0">
            <w:pPr>
              <w:spacing w:after="0" w:line="336" w:lineRule="auto"/>
              <w:jc w:val="center"/>
              <w:rPr>
                <w:color w:val="000000"/>
                <w:sz w:val="20"/>
                <w:szCs w:val="20"/>
                <w:lang w:eastAsia="sk-SK"/>
              </w:rPr>
            </w:pPr>
            <w:r w:rsidRPr="001A356F">
              <w:rPr>
                <w:color w:val="000000"/>
                <w:sz w:val="20"/>
                <w:szCs w:val="20"/>
                <w:lang w:eastAsia="sk-SK"/>
              </w:rPr>
              <w:t>z toho: rozpočtové a príspevkové organizácie</w:t>
            </w:r>
          </w:p>
        </w:tc>
        <w:tc>
          <w:tcPr>
            <w:tcW w:w="1418" w:type="dxa"/>
            <w:tcBorders>
              <w:left w:val="nil"/>
              <w:bottom w:val="nil"/>
              <w:right w:val="nil"/>
            </w:tcBorders>
            <w:noWrap/>
            <w:vAlign w:val="center"/>
          </w:tcPr>
          <w:p w14:paraId="6F201BF1"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0</w:t>
            </w:r>
          </w:p>
        </w:tc>
        <w:tc>
          <w:tcPr>
            <w:tcW w:w="974" w:type="dxa"/>
            <w:tcBorders>
              <w:left w:val="nil"/>
              <w:bottom w:val="nil"/>
              <w:right w:val="nil"/>
            </w:tcBorders>
            <w:noWrap/>
            <w:vAlign w:val="center"/>
          </w:tcPr>
          <w:p w14:paraId="3DDCD706"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1 279</w:t>
            </w:r>
          </w:p>
        </w:tc>
        <w:tc>
          <w:tcPr>
            <w:tcW w:w="1257" w:type="dxa"/>
            <w:tcBorders>
              <w:left w:val="nil"/>
              <w:bottom w:val="nil"/>
              <w:right w:val="nil"/>
            </w:tcBorders>
            <w:vAlign w:val="center"/>
          </w:tcPr>
          <w:p w14:paraId="5C31DF5D"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1 279</w:t>
            </w:r>
          </w:p>
        </w:tc>
      </w:tr>
      <w:tr w:rsidR="006000EB" w:rsidRPr="001A356F" w14:paraId="754C9950" w14:textId="77777777" w:rsidTr="00500BD0">
        <w:trPr>
          <w:trHeight w:val="300"/>
        </w:trPr>
        <w:tc>
          <w:tcPr>
            <w:tcW w:w="3544" w:type="dxa"/>
            <w:tcBorders>
              <w:left w:val="nil"/>
              <w:bottom w:val="nil"/>
              <w:right w:val="nil"/>
            </w:tcBorders>
            <w:vAlign w:val="center"/>
          </w:tcPr>
          <w:p w14:paraId="055B3276"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                          neziskové organizácie</w:t>
            </w:r>
          </w:p>
        </w:tc>
        <w:tc>
          <w:tcPr>
            <w:tcW w:w="160" w:type="dxa"/>
            <w:tcBorders>
              <w:left w:val="nil"/>
              <w:bottom w:val="nil"/>
              <w:right w:val="nil"/>
            </w:tcBorders>
            <w:noWrap/>
            <w:vAlign w:val="center"/>
          </w:tcPr>
          <w:p w14:paraId="16AB9676" w14:textId="77777777" w:rsidR="006000EB" w:rsidRPr="001A356F" w:rsidRDefault="006000EB" w:rsidP="00500BD0">
            <w:pPr>
              <w:spacing w:after="0" w:line="336" w:lineRule="auto"/>
              <w:jc w:val="right"/>
              <w:rPr>
                <w:color w:val="000000"/>
                <w:sz w:val="20"/>
                <w:szCs w:val="20"/>
                <w:lang w:eastAsia="sk-SK"/>
              </w:rPr>
            </w:pPr>
          </w:p>
        </w:tc>
        <w:tc>
          <w:tcPr>
            <w:tcW w:w="1683" w:type="dxa"/>
            <w:tcBorders>
              <w:left w:val="nil"/>
              <w:bottom w:val="nil"/>
              <w:right w:val="nil"/>
            </w:tcBorders>
            <w:noWrap/>
            <w:vAlign w:val="center"/>
          </w:tcPr>
          <w:p w14:paraId="4FB7FA8E" w14:textId="77777777" w:rsidR="006000EB" w:rsidRPr="001A356F" w:rsidRDefault="006000EB" w:rsidP="00500BD0">
            <w:pPr>
              <w:spacing w:after="0" w:line="336" w:lineRule="auto"/>
              <w:jc w:val="right"/>
              <w:rPr>
                <w:color w:val="000000"/>
                <w:sz w:val="20"/>
                <w:szCs w:val="20"/>
                <w:lang w:eastAsia="sk-SK"/>
              </w:rPr>
            </w:pPr>
          </w:p>
        </w:tc>
        <w:tc>
          <w:tcPr>
            <w:tcW w:w="1418" w:type="dxa"/>
            <w:tcBorders>
              <w:left w:val="nil"/>
              <w:bottom w:val="nil"/>
              <w:right w:val="nil"/>
            </w:tcBorders>
            <w:noWrap/>
            <w:vAlign w:val="center"/>
          </w:tcPr>
          <w:p w14:paraId="6013EA65"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0</w:t>
            </w:r>
          </w:p>
        </w:tc>
        <w:tc>
          <w:tcPr>
            <w:tcW w:w="974" w:type="dxa"/>
            <w:tcBorders>
              <w:left w:val="nil"/>
              <w:bottom w:val="nil"/>
              <w:right w:val="nil"/>
            </w:tcBorders>
            <w:noWrap/>
            <w:vAlign w:val="center"/>
          </w:tcPr>
          <w:p w14:paraId="77140DE3"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0</w:t>
            </w:r>
          </w:p>
        </w:tc>
        <w:tc>
          <w:tcPr>
            <w:tcW w:w="1257" w:type="dxa"/>
            <w:tcBorders>
              <w:left w:val="nil"/>
              <w:bottom w:val="nil"/>
              <w:right w:val="nil"/>
            </w:tcBorders>
            <w:vAlign w:val="center"/>
          </w:tcPr>
          <w:p w14:paraId="5765BE91"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0</w:t>
            </w:r>
          </w:p>
        </w:tc>
      </w:tr>
      <w:tr w:rsidR="006000EB" w:rsidRPr="001A356F" w14:paraId="6951EDAE" w14:textId="77777777" w:rsidTr="00500BD0">
        <w:trPr>
          <w:trHeight w:val="300"/>
        </w:trPr>
        <w:tc>
          <w:tcPr>
            <w:tcW w:w="3544" w:type="dxa"/>
            <w:tcBorders>
              <w:top w:val="nil"/>
              <w:left w:val="nil"/>
              <w:bottom w:val="single" w:sz="4" w:space="0" w:color="auto"/>
              <w:right w:val="nil"/>
            </w:tcBorders>
            <w:vAlign w:val="center"/>
          </w:tcPr>
          <w:p w14:paraId="16A28DB2" w14:textId="77777777" w:rsidR="006000EB" w:rsidRPr="001A356F" w:rsidRDefault="006000EB" w:rsidP="00500BD0">
            <w:pPr>
              <w:spacing w:after="0" w:line="336" w:lineRule="auto"/>
              <w:rPr>
                <w:color w:val="000000"/>
                <w:sz w:val="20"/>
                <w:szCs w:val="20"/>
                <w:lang w:eastAsia="sk-SK"/>
              </w:rPr>
            </w:pPr>
            <w:r w:rsidRPr="001A356F">
              <w:rPr>
                <w:color w:val="000000"/>
                <w:sz w:val="20"/>
                <w:szCs w:val="20"/>
                <w:lang w:eastAsia="sk-SK"/>
              </w:rPr>
              <w:t xml:space="preserve">                          podnikateľské subjekty</w:t>
            </w:r>
          </w:p>
        </w:tc>
        <w:tc>
          <w:tcPr>
            <w:tcW w:w="160" w:type="dxa"/>
            <w:tcBorders>
              <w:top w:val="nil"/>
              <w:left w:val="nil"/>
              <w:bottom w:val="single" w:sz="4" w:space="0" w:color="auto"/>
              <w:right w:val="nil"/>
            </w:tcBorders>
            <w:vAlign w:val="center"/>
          </w:tcPr>
          <w:p w14:paraId="7522B469" w14:textId="77777777" w:rsidR="006000EB" w:rsidRPr="001A356F" w:rsidRDefault="006000EB" w:rsidP="00500BD0">
            <w:pPr>
              <w:spacing w:after="0" w:line="336" w:lineRule="auto"/>
              <w:jc w:val="right"/>
              <w:rPr>
                <w:color w:val="000000"/>
                <w:sz w:val="20"/>
                <w:szCs w:val="20"/>
                <w:lang w:eastAsia="sk-SK"/>
              </w:rPr>
            </w:pPr>
          </w:p>
        </w:tc>
        <w:tc>
          <w:tcPr>
            <w:tcW w:w="1683" w:type="dxa"/>
            <w:tcBorders>
              <w:top w:val="nil"/>
              <w:left w:val="nil"/>
              <w:bottom w:val="single" w:sz="4" w:space="0" w:color="auto"/>
              <w:right w:val="nil"/>
            </w:tcBorders>
            <w:vAlign w:val="center"/>
          </w:tcPr>
          <w:p w14:paraId="4F701CAD" w14:textId="77777777" w:rsidR="006000EB" w:rsidRPr="001A356F" w:rsidRDefault="006000EB" w:rsidP="00500BD0">
            <w:pPr>
              <w:spacing w:after="0" w:line="336" w:lineRule="auto"/>
              <w:jc w:val="right"/>
              <w:rPr>
                <w:color w:val="000000"/>
                <w:sz w:val="20"/>
                <w:szCs w:val="20"/>
                <w:lang w:eastAsia="sk-SK"/>
              </w:rPr>
            </w:pPr>
          </w:p>
        </w:tc>
        <w:tc>
          <w:tcPr>
            <w:tcW w:w="1418" w:type="dxa"/>
            <w:tcBorders>
              <w:top w:val="nil"/>
              <w:left w:val="nil"/>
              <w:bottom w:val="single" w:sz="4" w:space="0" w:color="auto"/>
              <w:right w:val="nil"/>
            </w:tcBorders>
            <w:vAlign w:val="center"/>
          </w:tcPr>
          <w:p w14:paraId="1B08EE7E" w14:textId="77777777" w:rsidR="006000EB" w:rsidRPr="001A356F" w:rsidRDefault="006000EB" w:rsidP="00500BD0">
            <w:pPr>
              <w:spacing w:after="0" w:line="336" w:lineRule="auto"/>
              <w:ind w:right="373"/>
              <w:jc w:val="right"/>
              <w:rPr>
                <w:color w:val="000000"/>
                <w:sz w:val="20"/>
                <w:szCs w:val="20"/>
                <w:lang w:eastAsia="sk-SK"/>
              </w:rPr>
            </w:pPr>
            <w:r w:rsidRPr="001A356F">
              <w:rPr>
                <w:color w:val="000000"/>
                <w:sz w:val="20"/>
                <w:szCs w:val="20"/>
                <w:lang w:eastAsia="sk-SK"/>
              </w:rPr>
              <w:t>430</w:t>
            </w:r>
          </w:p>
        </w:tc>
        <w:tc>
          <w:tcPr>
            <w:tcW w:w="974" w:type="dxa"/>
            <w:tcBorders>
              <w:top w:val="nil"/>
              <w:left w:val="nil"/>
              <w:bottom w:val="single" w:sz="4" w:space="0" w:color="auto"/>
              <w:right w:val="nil"/>
            </w:tcBorders>
            <w:vAlign w:val="center"/>
          </w:tcPr>
          <w:p w14:paraId="40B222DA" w14:textId="77777777" w:rsidR="006000EB" w:rsidRPr="001A356F" w:rsidRDefault="006000EB" w:rsidP="00500BD0">
            <w:pPr>
              <w:spacing w:after="0" w:line="336" w:lineRule="auto"/>
              <w:ind w:right="232"/>
              <w:jc w:val="right"/>
              <w:rPr>
                <w:color w:val="000000"/>
                <w:sz w:val="20"/>
                <w:szCs w:val="20"/>
                <w:lang w:eastAsia="sk-SK"/>
              </w:rPr>
            </w:pPr>
            <w:r w:rsidRPr="001A356F">
              <w:rPr>
                <w:color w:val="000000"/>
                <w:sz w:val="20"/>
                <w:szCs w:val="20"/>
                <w:lang w:eastAsia="sk-SK"/>
              </w:rPr>
              <w:t>430</w:t>
            </w:r>
          </w:p>
        </w:tc>
        <w:tc>
          <w:tcPr>
            <w:tcW w:w="1257" w:type="dxa"/>
            <w:tcBorders>
              <w:top w:val="nil"/>
              <w:left w:val="nil"/>
              <w:bottom w:val="single" w:sz="4" w:space="0" w:color="auto"/>
              <w:right w:val="nil"/>
            </w:tcBorders>
            <w:vAlign w:val="center"/>
          </w:tcPr>
          <w:p w14:paraId="0CEFDF30" w14:textId="77777777" w:rsidR="006000EB" w:rsidRPr="001A356F" w:rsidRDefault="006000EB" w:rsidP="00500BD0">
            <w:pPr>
              <w:spacing w:after="0" w:line="336" w:lineRule="auto"/>
              <w:jc w:val="right"/>
              <w:rPr>
                <w:color w:val="000000"/>
                <w:sz w:val="20"/>
                <w:szCs w:val="20"/>
                <w:lang w:eastAsia="sk-SK"/>
              </w:rPr>
            </w:pPr>
            <w:r w:rsidRPr="001A356F">
              <w:rPr>
                <w:color w:val="000000"/>
                <w:sz w:val="20"/>
                <w:szCs w:val="20"/>
                <w:lang w:eastAsia="sk-SK"/>
              </w:rPr>
              <w:t>0</w:t>
            </w:r>
          </w:p>
        </w:tc>
      </w:tr>
      <w:tr w:rsidR="006000EB" w:rsidRPr="001A356F" w14:paraId="564DA06F" w14:textId="77777777" w:rsidTr="00500BD0">
        <w:trPr>
          <w:trHeight w:val="300"/>
        </w:trPr>
        <w:tc>
          <w:tcPr>
            <w:tcW w:w="5387" w:type="dxa"/>
            <w:gridSpan w:val="3"/>
            <w:tcBorders>
              <w:top w:val="single" w:sz="4" w:space="0" w:color="auto"/>
              <w:left w:val="nil"/>
              <w:bottom w:val="single" w:sz="4" w:space="0" w:color="auto"/>
              <w:right w:val="nil"/>
            </w:tcBorders>
            <w:shd w:val="clear" w:color="000000" w:fill="BFBFBF"/>
            <w:noWrap/>
            <w:vAlign w:val="center"/>
            <w:hideMark/>
          </w:tcPr>
          <w:p w14:paraId="071823BA" w14:textId="77777777" w:rsidR="006000EB" w:rsidRPr="001A356F" w:rsidRDefault="006000EB" w:rsidP="00500BD0">
            <w:pPr>
              <w:spacing w:after="0" w:line="240" w:lineRule="auto"/>
              <w:rPr>
                <w:b/>
                <w:bCs/>
                <w:color w:val="000000"/>
                <w:sz w:val="20"/>
                <w:szCs w:val="20"/>
                <w:lang w:eastAsia="sk-SK"/>
              </w:rPr>
            </w:pPr>
            <w:r w:rsidRPr="001A356F">
              <w:rPr>
                <w:b/>
                <w:bCs/>
                <w:color w:val="000000"/>
                <w:sz w:val="20"/>
                <w:szCs w:val="20"/>
                <w:lang w:eastAsia="sk-SK"/>
              </w:rPr>
              <w:t>Spolu</w:t>
            </w:r>
          </w:p>
        </w:tc>
        <w:tc>
          <w:tcPr>
            <w:tcW w:w="1418" w:type="dxa"/>
            <w:tcBorders>
              <w:top w:val="single" w:sz="4" w:space="0" w:color="auto"/>
              <w:left w:val="nil"/>
              <w:bottom w:val="single" w:sz="4" w:space="0" w:color="auto"/>
              <w:right w:val="nil"/>
            </w:tcBorders>
            <w:shd w:val="clear" w:color="000000" w:fill="BFBFBF"/>
            <w:noWrap/>
            <w:vAlign w:val="center"/>
          </w:tcPr>
          <w:p w14:paraId="441F3F2E" w14:textId="77777777" w:rsidR="006000EB" w:rsidRPr="001A356F" w:rsidRDefault="006000EB" w:rsidP="00500BD0">
            <w:pPr>
              <w:spacing w:after="0" w:line="240" w:lineRule="auto"/>
              <w:ind w:right="373"/>
              <w:jc w:val="right"/>
              <w:rPr>
                <w:b/>
                <w:bCs/>
                <w:color w:val="000000"/>
                <w:sz w:val="20"/>
                <w:szCs w:val="20"/>
                <w:lang w:eastAsia="sk-SK"/>
              </w:rPr>
            </w:pPr>
            <w:r w:rsidRPr="001A356F">
              <w:rPr>
                <w:b/>
                <w:bCs/>
                <w:color w:val="000000"/>
                <w:sz w:val="20"/>
                <w:szCs w:val="20"/>
                <w:lang w:eastAsia="sk-SK"/>
              </w:rPr>
              <w:t>844</w:t>
            </w:r>
          </w:p>
        </w:tc>
        <w:tc>
          <w:tcPr>
            <w:tcW w:w="974" w:type="dxa"/>
            <w:tcBorders>
              <w:top w:val="single" w:sz="4" w:space="0" w:color="auto"/>
              <w:left w:val="nil"/>
              <w:bottom w:val="single" w:sz="4" w:space="0" w:color="auto"/>
              <w:right w:val="nil"/>
            </w:tcBorders>
            <w:shd w:val="clear" w:color="000000" w:fill="BFBFBF"/>
            <w:noWrap/>
            <w:vAlign w:val="center"/>
          </w:tcPr>
          <w:p w14:paraId="7DC7B2C8" w14:textId="77777777" w:rsidR="006000EB" w:rsidRPr="001A356F" w:rsidRDefault="006000EB" w:rsidP="00500BD0">
            <w:pPr>
              <w:spacing w:after="0" w:line="240" w:lineRule="auto"/>
              <w:ind w:right="232"/>
              <w:jc w:val="right"/>
              <w:rPr>
                <w:b/>
                <w:bCs/>
                <w:color w:val="000000"/>
                <w:sz w:val="20"/>
                <w:szCs w:val="20"/>
                <w:lang w:eastAsia="sk-SK"/>
              </w:rPr>
            </w:pPr>
            <w:r w:rsidRPr="001A356F">
              <w:rPr>
                <w:b/>
                <w:bCs/>
                <w:color w:val="000000"/>
                <w:sz w:val="20"/>
                <w:szCs w:val="20"/>
                <w:lang w:eastAsia="sk-SK"/>
              </w:rPr>
              <w:t>6 873</w:t>
            </w:r>
          </w:p>
        </w:tc>
        <w:tc>
          <w:tcPr>
            <w:tcW w:w="1257" w:type="dxa"/>
            <w:tcBorders>
              <w:top w:val="single" w:sz="4" w:space="0" w:color="auto"/>
              <w:left w:val="nil"/>
              <w:bottom w:val="single" w:sz="4" w:space="0" w:color="auto"/>
              <w:right w:val="nil"/>
            </w:tcBorders>
            <w:shd w:val="clear" w:color="000000" w:fill="BFBFBF"/>
            <w:noWrap/>
            <w:vAlign w:val="center"/>
          </w:tcPr>
          <w:p w14:paraId="71229226" w14:textId="77777777" w:rsidR="006000EB" w:rsidRPr="001A356F" w:rsidRDefault="006000EB" w:rsidP="00500BD0">
            <w:pPr>
              <w:spacing w:after="0" w:line="240" w:lineRule="auto"/>
              <w:jc w:val="right"/>
              <w:rPr>
                <w:b/>
                <w:bCs/>
                <w:color w:val="000000"/>
                <w:sz w:val="20"/>
                <w:szCs w:val="20"/>
                <w:lang w:eastAsia="sk-SK"/>
              </w:rPr>
            </w:pPr>
            <w:r w:rsidRPr="001A356F">
              <w:rPr>
                <w:b/>
                <w:bCs/>
                <w:color w:val="000000"/>
                <w:sz w:val="20"/>
                <w:szCs w:val="20"/>
                <w:lang w:eastAsia="sk-SK"/>
              </w:rPr>
              <w:t>6 029</w:t>
            </w:r>
          </w:p>
        </w:tc>
      </w:tr>
    </w:tbl>
    <w:p w14:paraId="7B109A10" w14:textId="77777777" w:rsidR="006000EB" w:rsidRPr="006000EB" w:rsidRDefault="006000EB" w:rsidP="006000EB">
      <w:pPr>
        <w:spacing w:after="120" w:line="336" w:lineRule="auto"/>
        <w:jc w:val="right"/>
        <w:rPr>
          <w:sz w:val="18"/>
          <w:szCs w:val="18"/>
        </w:rPr>
      </w:pPr>
      <w:r w:rsidRPr="006000EB">
        <w:rPr>
          <w:sz w:val="18"/>
          <w:szCs w:val="18"/>
        </w:rPr>
        <w:t>Zdroj: Účtovné závierky subjektov</w:t>
      </w:r>
    </w:p>
    <w:p w14:paraId="46F34C8D" w14:textId="77777777" w:rsidR="006000EB" w:rsidRPr="006000EB" w:rsidRDefault="006000EB" w:rsidP="006000EB">
      <w:pPr>
        <w:spacing w:before="120" w:after="120" w:line="336" w:lineRule="auto"/>
        <w:jc w:val="both"/>
        <w:rPr>
          <w:bCs/>
        </w:rPr>
      </w:pPr>
      <w:r w:rsidRPr="006000EB">
        <w:rPr>
          <w:bCs/>
        </w:rPr>
        <w:t>Z hodnoty roku 2018 tvoria prebiehajúce a hroziace súdne spory 6 101 tis. eur, z toho najviac u Fakultnej nemocnice Trnava (3 141 tis. eur, ústredná príspevková organizácia), Nemocnice s poliklinikou Prievidza (1 279 tis. eur, príspevková organizácia VUC Trenčín) a u Fakultnej nemocnice Nitra (1 000 tis. eur, ústredná príspevková organizácia).</w:t>
      </w:r>
    </w:p>
    <w:p w14:paraId="7ECC970F" w14:textId="7CE0715F" w:rsidR="006000EB" w:rsidRPr="006000EB" w:rsidRDefault="006000EB" w:rsidP="006000EB">
      <w:pPr>
        <w:spacing w:before="120" w:after="120" w:line="336" w:lineRule="auto"/>
        <w:jc w:val="both"/>
        <w:rPr>
          <w:bCs/>
        </w:rPr>
      </w:pPr>
      <w:r w:rsidRPr="006000EB">
        <w:rPr>
          <w:bCs/>
        </w:rPr>
        <w:t xml:space="preserve">Z </w:t>
      </w:r>
      <w:r w:rsidRPr="00BA29DB">
        <w:rPr>
          <w:bCs/>
        </w:rPr>
        <w:t xml:space="preserve">uvedeného </w:t>
      </w:r>
      <w:r w:rsidR="00F12B19" w:rsidRPr="00BA29DB">
        <w:rPr>
          <w:bCs/>
        </w:rPr>
        <w:t>možno konštatovať</w:t>
      </w:r>
      <w:r w:rsidRPr="00BA29DB">
        <w:rPr>
          <w:bCs/>
        </w:rPr>
        <w:t xml:space="preserve">, že zdravotnícke zariadenia sa </w:t>
      </w:r>
      <w:r w:rsidR="00F12B19" w:rsidRPr="00BA29DB">
        <w:rPr>
          <w:bCs/>
        </w:rPr>
        <w:t xml:space="preserve">nepodieľajú významnou sumou v pomere k celkovej hodnote podmienených záväzkov </w:t>
      </w:r>
      <w:r w:rsidRPr="00BA29DB">
        <w:rPr>
          <w:bCs/>
        </w:rPr>
        <w:t xml:space="preserve">a nepredstavujú významné riziko potreby finančných prostriedkov v budúcnosti nad rámec riadnych záväzkov </w:t>
      </w:r>
      <w:r w:rsidRPr="006000EB">
        <w:rPr>
          <w:bCs/>
        </w:rPr>
        <w:t>uvádzaných v súvahách závierok týchto subjektov.</w:t>
      </w:r>
    </w:p>
    <w:p w14:paraId="09CC127D" w14:textId="77777777" w:rsidR="006000EB" w:rsidRPr="006000EB" w:rsidRDefault="006000EB" w:rsidP="006000EB">
      <w:pPr>
        <w:spacing w:after="120" w:line="336" w:lineRule="auto"/>
        <w:jc w:val="both"/>
        <w:rPr>
          <w:b/>
        </w:rPr>
      </w:pPr>
      <w:r w:rsidRPr="006000EB">
        <w:rPr>
          <w:b/>
        </w:rPr>
        <w:t>Z dôvodu abstrahovania od vzájomných vzťahov v rámci podmienených záväzkov (vzájomné súdne spory a poskytnuté záruky) je ich hodnota pre účely vyčíslenia čistého bohatstva znížená z hodnoty 17 257 719 tis. eur na hodnotu 17 082 706 tis. eur.</w:t>
      </w:r>
    </w:p>
    <w:p w14:paraId="47531D84" w14:textId="77777777" w:rsidR="008117A9" w:rsidRDefault="00933D4A" w:rsidP="009876A0">
      <w:pPr>
        <w:pStyle w:val="Nadpis3"/>
        <w:numPr>
          <w:ilvl w:val="2"/>
          <w:numId w:val="21"/>
        </w:numPr>
      </w:pPr>
      <w:bookmarkStart w:id="78" w:name="_Toc495990500"/>
      <w:bookmarkStart w:id="79" w:name="_Toc23264812"/>
      <w:r>
        <w:t xml:space="preserve">Iné aktíva </w:t>
      </w:r>
      <w:bookmarkEnd w:id="78"/>
      <w:r>
        <w:t>ako súčasť čistého bohatstva</w:t>
      </w:r>
      <w:bookmarkEnd w:id="79"/>
    </w:p>
    <w:p w14:paraId="1B4017E5" w14:textId="77777777" w:rsidR="00700A8C" w:rsidRPr="00933D4A" w:rsidRDefault="00700A8C" w:rsidP="00700A8C">
      <w:pPr>
        <w:spacing w:after="120" w:line="336" w:lineRule="auto"/>
        <w:jc w:val="both"/>
      </w:pPr>
      <w:r w:rsidRPr="00933D4A">
        <w:t xml:space="preserve">Pod </w:t>
      </w:r>
      <w:r>
        <w:t>inými aktívami ako súčasť</w:t>
      </w:r>
      <w:r w:rsidRPr="00933D4A">
        <w:t xml:space="preserve"> č</w:t>
      </w:r>
      <w:r>
        <w:t>istého bohatstva sa k 31.12.2018</w:t>
      </w:r>
      <w:r w:rsidRPr="00933D4A">
        <w:t xml:space="preserve"> vykazovali najmä </w:t>
      </w:r>
      <w:r>
        <w:t xml:space="preserve">podsúvahové ocenenie štátnych lesov a </w:t>
      </w:r>
      <w:r w:rsidRPr="00933D4A">
        <w:t xml:space="preserve">pohľadávky po lehote splatnosti v štádiu </w:t>
      </w:r>
      <w:r>
        <w:t xml:space="preserve">ich </w:t>
      </w:r>
      <w:r w:rsidRPr="00933D4A">
        <w:t>vymáhania.</w:t>
      </w:r>
      <w:r>
        <w:t xml:space="preserve"> Iné aktíva dosiahli v súhrnnej výške 9 285 535</w:t>
      </w:r>
      <w:r w:rsidRPr="00933D4A">
        <w:t xml:space="preserve"> tis. eur.</w:t>
      </w:r>
    </w:p>
    <w:p w14:paraId="04E15C60" w14:textId="4D79ECFF" w:rsidR="00700A8C" w:rsidRDefault="00700A8C" w:rsidP="00700A8C">
      <w:pPr>
        <w:spacing w:after="120" w:line="336" w:lineRule="auto"/>
        <w:jc w:val="both"/>
      </w:pPr>
      <w:r>
        <w:t>Od</w:t>
      </w:r>
      <w:r w:rsidRPr="00933D4A">
        <w:t xml:space="preserve"> rok</w:t>
      </w:r>
      <w:r>
        <w:t>u</w:t>
      </w:r>
      <w:r w:rsidRPr="00933D4A">
        <w:t xml:space="preserve"> 2017 je súčasťou podmienených aktív aj hodnota lesných porastov uvedená v poznámkach účtovnej závierky štátneho podniku Lesy Slovenskej republiky, š.</w:t>
      </w:r>
      <w:r w:rsidR="004F05BD">
        <w:t xml:space="preserve"> </w:t>
      </w:r>
      <w:r w:rsidRPr="00933D4A">
        <w:t>p.</w:t>
      </w:r>
      <w:r>
        <w:t xml:space="preserve">, ktorá je pravidelne aktualizovaná znalcom Národného lesníckeho centra. Toto aktívum tvorí najväčšiu položku iných aktív verejnej správy. </w:t>
      </w:r>
    </w:p>
    <w:p w14:paraId="78A0634A" w14:textId="2447A0AB" w:rsidR="000B5079" w:rsidRDefault="00700A8C" w:rsidP="001A356F">
      <w:pPr>
        <w:spacing w:after="120" w:line="336" w:lineRule="auto"/>
        <w:jc w:val="both"/>
      </w:pPr>
      <w:r>
        <w:t>Druhým najväčším podmieneným aktívom sú pohľadávky v správe Slovenskej konsolidačnej, a.s., ktorá ich na základe príslušnej legislatívy vymáha a uplatňuje si exekučné nároky v mene oprávnených subjektov (najčastejšie štátnych úradov</w:t>
      </w:r>
      <w:r w:rsidRPr="00454812">
        <w:t>). Skutočný výťažok z týchto častokrát nedobytných pohľadávok bol v roku 2018 a 2017 približne 10 mil. eur.</w:t>
      </w:r>
      <w:r w:rsidR="000B5079">
        <w:br w:type="page"/>
      </w:r>
    </w:p>
    <w:tbl>
      <w:tblPr>
        <w:tblW w:w="9072" w:type="dxa"/>
        <w:tblInd w:w="70" w:type="dxa"/>
        <w:tblLayout w:type="fixed"/>
        <w:tblCellMar>
          <w:left w:w="70" w:type="dxa"/>
          <w:right w:w="70" w:type="dxa"/>
        </w:tblCellMar>
        <w:tblLook w:val="04A0" w:firstRow="1" w:lastRow="0" w:firstColumn="1" w:lastColumn="0" w:noHBand="0" w:noVBand="1"/>
      </w:tblPr>
      <w:tblGrid>
        <w:gridCol w:w="3932"/>
        <w:gridCol w:w="179"/>
        <w:gridCol w:w="1134"/>
        <w:gridCol w:w="1276"/>
        <w:gridCol w:w="1276"/>
        <w:gridCol w:w="1275"/>
      </w:tblGrid>
      <w:tr w:rsidR="00700A8C" w:rsidRPr="001A356F" w14:paraId="4E24E905" w14:textId="77777777" w:rsidTr="000B5079">
        <w:trPr>
          <w:trHeight w:val="420"/>
        </w:trPr>
        <w:tc>
          <w:tcPr>
            <w:tcW w:w="9072" w:type="dxa"/>
            <w:gridSpan w:val="6"/>
            <w:tcBorders>
              <w:top w:val="nil"/>
              <w:left w:val="nil"/>
              <w:bottom w:val="single" w:sz="4" w:space="0" w:color="auto"/>
              <w:right w:val="nil"/>
            </w:tcBorders>
            <w:shd w:val="clear" w:color="000000" w:fill="000000"/>
            <w:noWrap/>
            <w:vAlign w:val="center"/>
            <w:hideMark/>
          </w:tcPr>
          <w:p w14:paraId="51E4B5F2" w14:textId="074C742C" w:rsidR="00700A8C" w:rsidRPr="001A356F" w:rsidRDefault="00700A8C" w:rsidP="001A356F">
            <w:pPr>
              <w:spacing w:after="0" w:line="240" w:lineRule="auto"/>
              <w:rPr>
                <w:b/>
                <w:bCs/>
                <w:color w:val="FFFFFF"/>
                <w:sz w:val="20"/>
                <w:szCs w:val="20"/>
                <w:lang w:eastAsia="sk-SK"/>
              </w:rPr>
            </w:pPr>
            <w:r w:rsidRPr="001A356F">
              <w:rPr>
                <w:b/>
                <w:bCs/>
                <w:color w:val="FFFFFF"/>
                <w:sz w:val="20"/>
                <w:szCs w:val="20"/>
                <w:lang w:eastAsia="sk-SK"/>
              </w:rPr>
              <w:t xml:space="preserve">Podmienené aktíva podľa zložiek verejného sektora                                                     </w:t>
            </w:r>
            <w:r w:rsidR="000B5079" w:rsidRPr="001A356F">
              <w:rPr>
                <w:b/>
                <w:bCs/>
                <w:color w:val="FFFFFF"/>
                <w:sz w:val="20"/>
                <w:szCs w:val="20"/>
                <w:lang w:eastAsia="sk-SK"/>
              </w:rPr>
              <w:t xml:space="preserve">                     </w:t>
            </w:r>
            <w:r w:rsidRPr="001A356F">
              <w:rPr>
                <w:b/>
                <w:bCs/>
                <w:color w:val="FFFFFF"/>
                <w:sz w:val="20"/>
                <w:szCs w:val="20"/>
                <w:lang w:eastAsia="sk-SK"/>
              </w:rPr>
              <w:t xml:space="preserve">v </w:t>
            </w:r>
            <w:r w:rsidR="000B5079" w:rsidRPr="001A356F">
              <w:rPr>
                <w:b/>
                <w:bCs/>
                <w:color w:val="FFFFFF"/>
                <w:sz w:val="20"/>
                <w:szCs w:val="20"/>
                <w:lang w:eastAsia="sk-SK"/>
              </w:rPr>
              <w:t>tis. eur</w:t>
            </w:r>
          </w:p>
        </w:tc>
      </w:tr>
      <w:tr w:rsidR="00700A8C" w:rsidRPr="001A356F" w14:paraId="25D93B71" w14:textId="77777777" w:rsidTr="000432A6">
        <w:trPr>
          <w:trHeight w:val="300"/>
        </w:trPr>
        <w:tc>
          <w:tcPr>
            <w:tcW w:w="3932" w:type="dxa"/>
            <w:tcBorders>
              <w:top w:val="nil"/>
              <w:left w:val="nil"/>
              <w:bottom w:val="single" w:sz="4" w:space="0" w:color="auto"/>
              <w:right w:val="nil"/>
            </w:tcBorders>
            <w:shd w:val="clear" w:color="000000" w:fill="BFBFBF"/>
            <w:vAlign w:val="bottom"/>
            <w:hideMark/>
          </w:tcPr>
          <w:p w14:paraId="790C3210" w14:textId="77777777" w:rsidR="00700A8C" w:rsidRPr="001A356F" w:rsidRDefault="00700A8C" w:rsidP="00700A8C">
            <w:pPr>
              <w:spacing w:after="0" w:line="240" w:lineRule="auto"/>
              <w:rPr>
                <w:b/>
                <w:bCs/>
                <w:sz w:val="20"/>
                <w:szCs w:val="20"/>
                <w:lang w:eastAsia="sk-SK"/>
              </w:rPr>
            </w:pPr>
            <w:r w:rsidRPr="001A356F">
              <w:rPr>
                <w:b/>
                <w:bCs/>
                <w:sz w:val="20"/>
                <w:szCs w:val="20"/>
                <w:lang w:eastAsia="sk-SK"/>
              </w:rPr>
              <w:t> </w:t>
            </w:r>
          </w:p>
        </w:tc>
        <w:tc>
          <w:tcPr>
            <w:tcW w:w="179" w:type="dxa"/>
            <w:tcBorders>
              <w:top w:val="nil"/>
              <w:left w:val="nil"/>
              <w:bottom w:val="single" w:sz="4" w:space="0" w:color="auto"/>
              <w:right w:val="nil"/>
            </w:tcBorders>
            <w:shd w:val="clear" w:color="000000" w:fill="BFBFBF"/>
            <w:vAlign w:val="bottom"/>
          </w:tcPr>
          <w:p w14:paraId="63E99A6E" w14:textId="77777777" w:rsidR="00700A8C" w:rsidRPr="001A356F" w:rsidRDefault="00700A8C" w:rsidP="00700A8C">
            <w:pPr>
              <w:spacing w:after="0" w:line="240" w:lineRule="auto"/>
              <w:jc w:val="right"/>
              <w:rPr>
                <w:b/>
                <w:bCs/>
                <w:sz w:val="20"/>
                <w:szCs w:val="20"/>
                <w:lang w:eastAsia="sk-SK"/>
              </w:rPr>
            </w:pPr>
          </w:p>
        </w:tc>
        <w:tc>
          <w:tcPr>
            <w:tcW w:w="1134" w:type="dxa"/>
            <w:tcBorders>
              <w:top w:val="nil"/>
              <w:left w:val="nil"/>
              <w:bottom w:val="single" w:sz="4" w:space="0" w:color="auto"/>
              <w:right w:val="nil"/>
            </w:tcBorders>
            <w:shd w:val="clear" w:color="000000" w:fill="BFBFBF"/>
            <w:vAlign w:val="bottom"/>
            <w:hideMark/>
          </w:tcPr>
          <w:p w14:paraId="13D6494D" w14:textId="77777777" w:rsidR="00700A8C" w:rsidRPr="001A356F" w:rsidRDefault="00700A8C" w:rsidP="00700A8C">
            <w:pPr>
              <w:spacing w:after="0" w:line="240" w:lineRule="auto"/>
              <w:jc w:val="center"/>
              <w:rPr>
                <w:b/>
                <w:bCs/>
                <w:sz w:val="20"/>
                <w:szCs w:val="20"/>
                <w:lang w:eastAsia="sk-SK"/>
              </w:rPr>
            </w:pPr>
            <w:r w:rsidRPr="001A356F">
              <w:rPr>
                <w:b/>
                <w:bCs/>
                <w:sz w:val="20"/>
                <w:szCs w:val="20"/>
                <w:lang w:eastAsia="sk-SK"/>
              </w:rPr>
              <w:t xml:space="preserve">   2016</w:t>
            </w:r>
          </w:p>
        </w:tc>
        <w:tc>
          <w:tcPr>
            <w:tcW w:w="1276" w:type="dxa"/>
            <w:tcBorders>
              <w:top w:val="nil"/>
              <w:left w:val="nil"/>
              <w:bottom w:val="single" w:sz="4" w:space="0" w:color="auto"/>
              <w:right w:val="nil"/>
            </w:tcBorders>
            <w:shd w:val="clear" w:color="000000" w:fill="BFBFBF"/>
            <w:vAlign w:val="bottom"/>
            <w:hideMark/>
          </w:tcPr>
          <w:p w14:paraId="1EC6D28F" w14:textId="77777777" w:rsidR="00700A8C" w:rsidRPr="001A356F" w:rsidRDefault="00700A8C" w:rsidP="00700A8C">
            <w:pPr>
              <w:spacing w:after="0" w:line="240" w:lineRule="auto"/>
              <w:jc w:val="center"/>
              <w:rPr>
                <w:b/>
                <w:bCs/>
                <w:sz w:val="20"/>
                <w:szCs w:val="20"/>
                <w:lang w:eastAsia="sk-SK"/>
              </w:rPr>
            </w:pPr>
            <w:r w:rsidRPr="001A356F">
              <w:rPr>
                <w:b/>
                <w:bCs/>
                <w:sz w:val="20"/>
                <w:szCs w:val="20"/>
                <w:lang w:eastAsia="sk-SK"/>
              </w:rPr>
              <w:t xml:space="preserve">    2017</w:t>
            </w:r>
          </w:p>
        </w:tc>
        <w:tc>
          <w:tcPr>
            <w:tcW w:w="1276" w:type="dxa"/>
            <w:tcBorders>
              <w:top w:val="nil"/>
              <w:left w:val="nil"/>
              <w:bottom w:val="single" w:sz="4" w:space="0" w:color="auto"/>
              <w:right w:val="nil"/>
            </w:tcBorders>
            <w:shd w:val="clear" w:color="000000" w:fill="BFBFBF"/>
            <w:vAlign w:val="bottom"/>
            <w:hideMark/>
          </w:tcPr>
          <w:p w14:paraId="4C888BA5" w14:textId="77777777" w:rsidR="00700A8C" w:rsidRPr="001A356F" w:rsidRDefault="00700A8C" w:rsidP="00700A8C">
            <w:pPr>
              <w:spacing w:after="0" w:line="240" w:lineRule="auto"/>
              <w:jc w:val="center"/>
              <w:rPr>
                <w:b/>
                <w:bCs/>
                <w:sz w:val="20"/>
                <w:szCs w:val="20"/>
                <w:lang w:eastAsia="sk-SK"/>
              </w:rPr>
            </w:pPr>
            <w:r w:rsidRPr="001A356F">
              <w:rPr>
                <w:b/>
                <w:bCs/>
                <w:sz w:val="20"/>
                <w:szCs w:val="20"/>
                <w:lang w:eastAsia="sk-SK"/>
              </w:rPr>
              <w:t xml:space="preserve">    2018</w:t>
            </w:r>
          </w:p>
        </w:tc>
        <w:tc>
          <w:tcPr>
            <w:tcW w:w="1275" w:type="dxa"/>
            <w:tcBorders>
              <w:top w:val="nil"/>
              <w:left w:val="nil"/>
              <w:bottom w:val="single" w:sz="4" w:space="0" w:color="auto"/>
              <w:right w:val="nil"/>
            </w:tcBorders>
            <w:shd w:val="clear" w:color="000000" w:fill="BFBFBF"/>
            <w:vAlign w:val="bottom"/>
            <w:hideMark/>
          </w:tcPr>
          <w:p w14:paraId="2D620EA9" w14:textId="77777777" w:rsidR="00700A8C" w:rsidRPr="001A356F" w:rsidRDefault="00700A8C" w:rsidP="00700A8C">
            <w:pPr>
              <w:spacing w:after="0" w:line="240" w:lineRule="auto"/>
              <w:jc w:val="right"/>
              <w:rPr>
                <w:b/>
                <w:bCs/>
                <w:sz w:val="20"/>
                <w:szCs w:val="20"/>
                <w:lang w:eastAsia="sk-SK"/>
              </w:rPr>
            </w:pPr>
            <w:r w:rsidRPr="001A356F">
              <w:rPr>
                <w:b/>
                <w:color w:val="000000"/>
                <w:sz w:val="20"/>
                <w:szCs w:val="20"/>
                <w:lang w:eastAsia="sk-SK"/>
              </w:rPr>
              <w:t>Δ</w:t>
            </w:r>
            <w:r w:rsidRPr="001A356F">
              <w:rPr>
                <w:b/>
                <w:bCs/>
                <w:sz w:val="20"/>
                <w:szCs w:val="20"/>
                <w:lang w:eastAsia="sk-SK"/>
              </w:rPr>
              <w:t xml:space="preserve"> 2018-2017</w:t>
            </w:r>
          </w:p>
        </w:tc>
      </w:tr>
      <w:tr w:rsidR="00700A8C" w:rsidRPr="001A356F" w14:paraId="3C23F567" w14:textId="77777777" w:rsidTr="000432A6">
        <w:trPr>
          <w:trHeight w:val="300"/>
        </w:trPr>
        <w:tc>
          <w:tcPr>
            <w:tcW w:w="3932" w:type="dxa"/>
            <w:tcBorders>
              <w:top w:val="single" w:sz="4" w:space="0" w:color="auto"/>
              <w:left w:val="nil"/>
              <w:bottom w:val="nil"/>
              <w:right w:val="nil"/>
            </w:tcBorders>
            <w:vAlign w:val="center"/>
            <w:hideMark/>
          </w:tcPr>
          <w:p w14:paraId="19CA33EC" w14:textId="77777777" w:rsidR="00700A8C" w:rsidRPr="001A356F" w:rsidRDefault="00700A8C" w:rsidP="00700A8C">
            <w:pPr>
              <w:spacing w:after="0" w:line="240" w:lineRule="auto"/>
              <w:rPr>
                <w:color w:val="000000"/>
                <w:sz w:val="20"/>
                <w:szCs w:val="20"/>
                <w:lang w:eastAsia="sk-SK"/>
              </w:rPr>
            </w:pPr>
            <w:r w:rsidRPr="001A356F">
              <w:rPr>
                <w:color w:val="000000"/>
                <w:sz w:val="20"/>
                <w:szCs w:val="20"/>
                <w:lang w:eastAsia="sk-SK"/>
              </w:rPr>
              <w:t>Ústredná správa a ostatné subjekty</w:t>
            </w:r>
          </w:p>
        </w:tc>
        <w:tc>
          <w:tcPr>
            <w:tcW w:w="179" w:type="dxa"/>
            <w:tcBorders>
              <w:top w:val="single" w:sz="4" w:space="0" w:color="auto"/>
              <w:left w:val="nil"/>
              <w:bottom w:val="nil"/>
              <w:right w:val="nil"/>
            </w:tcBorders>
            <w:vAlign w:val="center"/>
          </w:tcPr>
          <w:p w14:paraId="7D369E5A" w14:textId="77777777" w:rsidR="00700A8C" w:rsidRPr="001A356F" w:rsidRDefault="00700A8C" w:rsidP="00700A8C">
            <w:pPr>
              <w:spacing w:after="0" w:line="240" w:lineRule="auto"/>
              <w:jc w:val="right"/>
              <w:rPr>
                <w:color w:val="000000"/>
                <w:sz w:val="20"/>
                <w:szCs w:val="20"/>
                <w:lang w:eastAsia="sk-SK"/>
              </w:rPr>
            </w:pPr>
          </w:p>
        </w:tc>
        <w:tc>
          <w:tcPr>
            <w:tcW w:w="1134" w:type="dxa"/>
            <w:tcBorders>
              <w:top w:val="single" w:sz="4" w:space="0" w:color="auto"/>
              <w:left w:val="nil"/>
              <w:bottom w:val="nil"/>
              <w:right w:val="nil"/>
            </w:tcBorders>
            <w:vAlign w:val="center"/>
          </w:tcPr>
          <w:p w14:paraId="3365D6AF"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4 992 997</w:t>
            </w:r>
          </w:p>
        </w:tc>
        <w:tc>
          <w:tcPr>
            <w:tcW w:w="1276" w:type="dxa"/>
            <w:tcBorders>
              <w:top w:val="single" w:sz="4" w:space="0" w:color="auto"/>
              <w:left w:val="nil"/>
              <w:bottom w:val="nil"/>
              <w:right w:val="nil"/>
            </w:tcBorders>
            <w:vAlign w:val="center"/>
          </w:tcPr>
          <w:p w14:paraId="64E9D84E"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8 885 463</w:t>
            </w:r>
          </w:p>
        </w:tc>
        <w:tc>
          <w:tcPr>
            <w:tcW w:w="1276" w:type="dxa"/>
            <w:tcBorders>
              <w:top w:val="single" w:sz="4" w:space="0" w:color="auto"/>
              <w:left w:val="nil"/>
              <w:bottom w:val="nil"/>
              <w:right w:val="nil"/>
            </w:tcBorders>
            <w:vAlign w:val="center"/>
          </w:tcPr>
          <w:p w14:paraId="7A1C1547"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9 229 958</w:t>
            </w:r>
          </w:p>
        </w:tc>
        <w:tc>
          <w:tcPr>
            <w:tcW w:w="1275" w:type="dxa"/>
            <w:tcBorders>
              <w:top w:val="single" w:sz="4" w:space="0" w:color="auto"/>
              <w:left w:val="nil"/>
              <w:bottom w:val="nil"/>
              <w:right w:val="nil"/>
            </w:tcBorders>
            <w:vAlign w:val="center"/>
          </w:tcPr>
          <w:p w14:paraId="2269490B" w14:textId="77777777" w:rsidR="00700A8C" w:rsidRPr="001A356F" w:rsidRDefault="00700A8C" w:rsidP="00700A8C">
            <w:pPr>
              <w:spacing w:after="0" w:line="240" w:lineRule="auto"/>
              <w:jc w:val="right"/>
              <w:rPr>
                <w:color w:val="000000"/>
                <w:sz w:val="20"/>
                <w:szCs w:val="20"/>
                <w:lang w:eastAsia="sk-SK"/>
              </w:rPr>
            </w:pPr>
            <w:r w:rsidRPr="001A356F">
              <w:rPr>
                <w:color w:val="000000"/>
                <w:sz w:val="20"/>
                <w:szCs w:val="20"/>
                <w:lang w:eastAsia="sk-SK"/>
              </w:rPr>
              <w:t>334 329</w:t>
            </w:r>
          </w:p>
        </w:tc>
      </w:tr>
      <w:tr w:rsidR="00700A8C" w:rsidRPr="001A356F" w14:paraId="30C576CD" w14:textId="77777777" w:rsidTr="000432A6">
        <w:trPr>
          <w:trHeight w:val="300"/>
        </w:trPr>
        <w:tc>
          <w:tcPr>
            <w:tcW w:w="3932" w:type="dxa"/>
            <w:tcBorders>
              <w:left w:val="nil"/>
              <w:bottom w:val="nil"/>
              <w:right w:val="nil"/>
            </w:tcBorders>
            <w:vAlign w:val="center"/>
            <w:hideMark/>
          </w:tcPr>
          <w:p w14:paraId="4A8A320E" w14:textId="77777777" w:rsidR="00700A8C" w:rsidRPr="001A356F" w:rsidRDefault="00700A8C" w:rsidP="00700A8C">
            <w:pPr>
              <w:spacing w:after="0" w:line="240" w:lineRule="auto"/>
              <w:rPr>
                <w:color w:val="000000"/>
                <w:sz w:val="20"/>
                <w:szCs w:val="20"/>
                <w:lang w:eastAsia="sk-SK"/>
              </w:rPr>
            </w:pPr>
            <w:r w:rsidRPr="001A356F">
              <w:rPr>
                <w:color w:val="000000"/>
                <w:sz w:val="20"/>
                <w:szCs w:val="20"/>
                <w:lang w:eastAsia="sk-SK"/>
              </w:rPr>
              <w:t>Obce a ich účtovné jednotky</w:t>
            </w:r>
          </w:p>
        </w:tc>
        <w:tc>
          <w:tcPr>
            <w:tcW w:w="179" w:type="dxa"/>
            <w:tcBorders>
              <w:left w:val="nil"/>
              <w:bottom w:val="nil"/>
              <w:right w:val="nil"/>
            </w:tcBorders>
            <w:vAlign w:val="center"/>
          </w:tcPr>
          <w:p w14:paraId="32AF216C" w14:textId="77777777" w:rsidR="00700A8C" w:rsidRPr="001A356F" w:rsidRDefault="00700A8C" w:rsidP="00700A8C">
            <w:pPr>
              <w:spacing w:after="0" w:line="240" w:lineRule="auto"/>
              <w:jc w:val="right"/>
              <w:rPr>
                <w:color w:val="000000"/>
                <w:sz w:val="20"/>
                <w:szCs w:val="20"/>
                <w:lang w:eastAsia="sk-SK"/>
              </w:rPr>
            </w:pPr>
          </w:p>
        </w:tc>
        <w:tc>
          <w:tcPr>
            <w:tcW w:w="1134" w:type="dxa"/>
            <w:tcBorders>
              <w:left w:val="nil"/>
              <w:bottom w:val="nil"/>
              <w:right w:val="nil"/>
            </w:tcBorders>
            <w:vAlign w:val="center"/>
          </w:tcPr>
          <w:p w14:paraId="03A1FA04"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125 363</w:t>
            </w:r>
          </w:p>
        </w:tc>
        <w:tc>
          <w:tcPr>
            <w:tcW w:w="1276" w:type="dxa"/>
            <w:tcBorders>
              <w:left w:val="nil"/>
              <w:bottom w:val="nil"/>
              <w:right w:val="nil"/>
            </w:tcBorders>
            <w:vAlign w:val="center"/>
          </w:tcPr>
          <w:p w14:paraId="78010D64"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128 998</w:t>
            </w:r>
          </w:p>
        </w:tc>
        <w:tc>
          <w:tcPr>
            <w:tcW w:w="1276" w:type="dxa"/>
            <w:tcBorders>
              <w:left w:val="nil"/>
              <w:bottom w:val="nil"/>
              <w:right w:val="nil"/>
            </w:tcBorders>
            <w:vAlign w:val="center"/>
          </w:tcPr>
          <w:p w14:paraId="5B6BC065"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48 684</w:t>
            </w:r>
          </w:p>
        </w:tc>
        <w:tc>
          <w:tcPr>
            <w:tcW w:w="1275" w:type="dxa"/>
            <w:tcBorders>
              <w:left w:val="nil"/>
              <w:bottom w:val="nil"/>
              <w:right w:val="nil"/>
            </w:tcBorders>
            <w:vAlign w:val="center"/>
          </w:tcPr>
          <w:p w14:paraId="4FC0C153" w14:textId="77777777" w:rsidR="00700A8C" w:rsidRPr="001A356F" w:rsidRDefault="00700A8C" w:rsidP="00700A8C">
            <w:pPr>
              <w:spacing w:after="0" w:line="240" w:lineRule="auto"/>
              <w:jc w:val="right"/>
              <w:rPr>
                <w:color w:val="000000"/>
                <w:sz w:val="20"/>
                <w:szCs w:val="20"/>
                <w:lang w:eastAsia="sk-SK"/>
              </w:rPr>
            </w:pPr>
            <w:r w:rsidRPr="001A356F">
              <w:rPr>
                <w:color w:val="000000"/>
                <w:sz w:val="20"/>
                <w:szCs w:val="20"/>
                <w:lang w:eastAsia="sk-SK"/>
              </w:rPr>
              <w:t>-80 314</w:t>
            </w:r>
          </w:p>
        </w:tc>
      </w:tr>
      <w:tr w:rsidR="00700A8C" w:rsidRPr="001A356F" w14:paraId="4FD5A005" w14:textId="77777777" w:rsidTr="000432A6">
        <w:trPr>
          <w:trHeight w:val="300"/>
        </w:trPr>
        <w:tc>
          <w:tcPr>
            <w:tcW w:w="3932" w:type="dxa"/>
            <w:tcBorders>
              <w:top w:val="nil"/>
              <w:left w:val="nil"/>
              <w:bottom w:val="nil"/>
              <w:right w:val="nil"/>
            </w:tcBorders>
            <w:vAlign w:val="center"/>
            <w:hideMark/>
          </w:tcPr>
          <w:p w14:paraId="226B74A9" w14:textId="77777777" w:rsidR="00700A8C" w:rsidRPr="001A356F" w:rsidRDefault="00700A8C" w:rsidP="00700A8C">
            <w:pPr>
              <w:spacing w:after="0" w:line="240" w:lineRule="auto"/>
              <w:rPr>
                <w:color w:val="000000"/>
                <w:sz w:val="20"/>
                <w:szCs w:val="20"/>
                <w:lang w:eastAsia="sk-SK"/>
              </w:rPr>
            </w:pPr>
            <w:r w:rsidRPr="001A356F">
              <w:rPr>
                <w:color w:val="000000"/>
                <w:sz w:val="20"/>
                <w:szCs w:val="20"/>
                <w:lang w:eastAsia="sk-SK"/>
              </w:rPr>
              <w:t>Vyššie územné celky a ich účtovné jednotky</w:t>
            </w:r>
          </w:p>
        </w:tc>
        <w:tc>
          <w:tcPr>
            <w:tcW w:w="179" w:type="dxa"/>
            <w:tcBorders>
              <w:top w:val="nil"/>
              <w:left w:val="nil"/>
              <w:bottom w:val="nil"/>
              <w:right w:val="nil"/>
            </w:tcBorders>
            <w:vAlign w:val="center"/>
          </w:tcPr>
          <w:p w14:paraId="0F67373D" w14:textId="77777777" w:rsidR="00700A8C" w:rsidRPr="001A356F" w:rsidRDefault="00700A8C" w:rsidP="00700A8C">
            <w:pPr>
              <w:spacing w:after="0" w:line="240" w:lineRule="auto"/>
              <w:jc w:val="right"/>
              <w:rPr>
                <w:color w:val="000000"/>
                <w:sz w:val="20"/>
                <w:szCs w:val="20"/>
                <w:lang w:eastAsia="sk-SK"/>
              </w:rPr>
            </w:pPr>
          </w:p>
        </w:tc>
        <w:tc>
          <w:tcPr>
            <w:tcW w:w="1134" w:type="dxa"/>
            <w:tcBorders>
              <w:top w:val="nil"/>
              <w:left w:val="nil"/>
              <w:bottom w:val="nil"/>
              <w:right w:val="nil"/>
            </w:tcBorders>
            <w:vAlign w:val="center"/>
          </w:tcPr>
          <w:p w14:paraId="05BEC959"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3 399</w:t>
            </w:r>
          </w:p>
        </w:tc>
        <w:tc>
          <w:tcPr>
            <w:tcW w:w="1276" w:type="dxa"/>
            <w:tcBorders>
              <w:top w:val="nil"/>
              <w:left w:val="nil"/>
              <w:bottom w:val="nil"/>
              <w:right w:val="nil"/>
            </w:tcBorders>
            <w:vAlign w:val="center"/>
          </w:tcPr>
          <w:p w14:paraId="033F18ED"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3 054</w:t>
            </w:r>
          </w:p>
        </w:tc>
        <w:tc>
          <w:tcPr>
            <w:tcW w:w="1276" w:type="dxa"/>
            <w:tcBorders>
              <w:top w:val="nil"/>
              <w:left w:val="nil"/>
              <w:bottom w:val="nil"/>
              <w:right w:val="nil"/>
            </w:tcBorders>
            <w:vAlign w:val="center"/>
          </w:tcPr>
          <w:p w14:paraId="26ABFB6A" w14:textId="77777777" w:rsidR="00700A8C" w:rsidRPr="001A356F" w:rsidRDefault="00700A8C" w:rsidP="00700A8C">
            <w:pPr>
              <w:spacing w:after="0" w:line="240" w:lineRule="auto"/>
              <w:jc w:val="right"/>
              <w:rPr>
                <w:sz w:val="20"/>
                <w:szCs w:val="20"/>
                <w:lang w:eastAsia="sk-SK"/>
              </w:rPr>
            </w:pPr>
            <w:r w:rsidRPr="001A356F">
              <w:rPr>
                <w:sz w:val="20"/>
                <w:szCs w:val="20"/>
                <w:lang w:eastAsia="sk-SK"/>
              </w:rPr>
              <w:t>6 893</w:t>
            </w:r>
          </w:p>
        </w:tc>
        <w:tc>
          <w:tcPr>
            <w:tcW w:w="1275" w:type="dxa"/>
            <w:tcBorders>
              <w:top w:val="nil"/>
              <w:left w:val="nil"/>
              <w:bottom w:val="nil"/>
              <w:right w:val="nil"/>
            </w:tcBorders>
            <w:vAlign w:val="center"/>
          </w:tcPr>
          <w:p w14:paraId="2ED8D7A5" w14:textId="77777777" w:rsidR="00700A8C" w:rsidRPr="001A356F" w:rsidRDefault="00700A8C" w:rsidP="00700A8C">
            <w:pPr>
              <w:spacing w:after="0" w:line="240" w:lineRule="auto"/>
              <w:jc w:val="right"/>
              <w:rPr>
                <w:color w:val="000000"/>
                <w:sz w:val="20"/>
                <w:szCs w:val="20"/>
                <w:lang w:eastAsia="sk-SK"/>
              </w:rPr>
            </w:pPr>
            <w:r w:rsidRPr="001A356F">
              <w:rPr>
                <w:color w:val="000000"/>
                <w:sz w:val="20"/>
                <w:szCs w:val="20"/>
                <w:lang w:eastAsia="sk-SK"/>
              </w:rPr>
              <w:t>3 839</w:t>
            </w:r>
          </w:p>
        </w:tc>
      </w:tr>
      <w:tr w:rsidR="00700A8C" w:rsidRPr="001A356F" w14:paraId="005729F7" w14:textId="77777777" w:rsidTr="000432A6">
        <w:trPr>
          <w:trHeight w:val="255"/>
        </w:trPr>
        <w:tc>
          <w:tcPr>
            <w:tcW w:w="3932" w:type="dxa"/>
            <w:tcBorders>
              <w:top w:val="single" w:sz="4" w:space="0" w:color="auto"/>
              <w:left w:val="nil"/>
              <w:bottom w:val="single" w:sz="4" w:space="0" w:color="auto"/>
              <w:right w:val="nil"/>
            </w:tcBorders>
            <w:shd w:val="clear" w:color="000000" w:fill="BFBFBF"/>
            <w:noWrap/>
            <w:vAlign w:val="center"/>
            <w:hideMark/>
          </w:tcPr>
          <w:p w14:paraId="5168B9CE" w14:textId="77777777" w:rsidR="00700A8C" w:rsidRPr="001A356F" w:rsidRDefault="00700A8C" w:rsidP="00700A8C">
            <w:pPr>
              <w:spacing w:after="0" w:line="240" w:lineRule="auto"/>
              <w:rPr>
                <w:b/>
                <w:bCs/>
                <w:color w:val="000000"/>
                <w:sz w:val="20"/>
                <w:szCs w:val="20"/>
                <w:lang w:eastAsia="sk-SK"/>
              </w:rPr>
            </w:pPr>
            <w:r w:rsidRPr="001A356F">
              <w:rPr>
                <w:b/>
                <w:bCs/>
                <w:color w:val="000000"/>
                <w:sz w:val="20"/>
                <w:szCs w:val="20"/>
                <w:lang w:eastAsia="sk-SK"/>
              </w:rPr>
              <w:t>Spolu</w:t>
            </w:r>
          </w:p>
        </w:tc>
        <w:tc>
          <w:tcPr>
            <w:tcW w:w="179" w:type="dxa"/>
            <w:tcBorders>
              <w:top w:val="single" w:sz="4" w:space="0" w:color="auto"/>
              <w:left w:val="nil"/>
              <w:bottom w:val="single" w:sz="4" w:space="0" w:color="auto"/>
              <w:right w:val="nil"/>
            </w:tcBorders>
            <w:shd w:val="clear" w:color="000000" w:fill="BFBFBF"/>
            <w:noWrap/>
            <w:vAlign w:val="center"/>
          </w:tcPr>
          <w:p w14:paraId="39ACF372" w14:textId="77777777" w:rsidR="00700A8C" w:rsidRPr="001A356F" w:rsidRDefault="00700A8C" w:rsidP="00700A8C">
            <w:pPr>
              <w:spacing w:after="0" w:line="240" w:lineRule="auto"/>
              <w:jc w:val="right"/>
              <w:rPr>
                <w:b/>
                <w:bCs/>
                <w:color w:val="000000"/>
                <w:sz w:val="20"/>
                <w:szCs w:val="20"/>
                <w:lang w:eastAsia="sk-SK"/>
              </w:rPr>
            </w:pPr>
          </w:p>
        </w:tc>
        <w:tc>
          <w:tcPr>
            <w:tcW w:w="1134" w:type="dxa"/>
            <w:tcBorders>
              <w:top w:val="single" w:sz="4" w:space="0" w:color="auto"/>
              <w:left w:val="nil"/>
              <w:bottom w:val="single" w:sz="4" w:space="0" w:color="auto"/>
              <w:right w:val="nil"/>
            </w:tcBorders>
            <w:shd w:val="clear" w:color="000000" w:fill="BFBFBF"/>
            <w:noWrap/>
            <w:vAlign w:val="center"/>
          </w:tcPr>
          <w:p w14:paraId="3B042D90" w14:textId="77777777" w:rsidR="00700A8C" w:rsidRPr="001A356F" w:rsidRDefault="00700A8C" w:rsidP="00700A8C">
            <w:pPr>
              <w:spacing w:after="0" w:line="240" w:lineRule="auto"/>
              <w:jc w:val="right"/>
              <w:rPr>
                <w:b/>
                <w:bCs/>
                <w:sz w:val="20"/>
                <w:szCs w:val="20"/>
                <w:lang w:eastAsia="sk-SK"/>
              </w:rPr>
            </w:pPr>
            <w:r w:rsidRPr="001A356F">
              <w:rPr>
                <w:b/>
                <w:bCs/>
                <w:sz w:val="20"/>
                <w:szCs w:val="20"/>
                <w:lang w:eastAsia="sk-SK"/>
              </w:rPr>
              <w:t>5 121 759</w:t>
            </w:r>
          </w:p>
        </w:tc>
        <w:tc>
          <w:tcPr>
            <w:tcW w:w="1276" w:type="dxa"/>
            <w:tcBorders>
              <w:top w:val="single" w:sz="4" w:space="0" w:color="auto"/>
              <w:left w:val="nil"/>
              <w:bottom w:val="single" w:sz="4" w:space="0" w:color="auto"/>
              <w:right w:val="nil"/>
            </w:tcBorders>
            <w:shd w:val="clear" w:color="000000" w:fill="BFBFBF"/>
            <w:noWrap/>
            <w:vAlign w:val="center"/>
          </w:tcPr>
          <w:p w14:paraId="2A54BC4A" w14:textId="77777777" w:rsidR="00700A8C" w:rsidRPr="001A356F" w:rsidRDefault="00700A8C" w:rsidP="00700A8C">
            <w:pPr>
              <w:spacing w:after="0" w:line="240" w:lineRule="auto"/>
              <w:jc w:val="right"/>
              <w:rPr>
                <w:b/>
                <w:bCs/>
                <w:sz w:val="20"/>
                <w:szCs w:val="20"/>
                <w:lang w:eastAsia="sk-SK"/>
              </w:rPr>
            </w:pPr>
            <w:r w:rsidRPr="001A356F">
              <w:rPr>
                <w:b/>
                <w:bCs/>
                <w:sz w:val="20"/>
                <w:szCs w:val="20"/>
                <w:lang w:eastAsia="sk-SK"/>
              </w:rPr>
              <w:t>9 027 681</w:t>
            </w:r>
          </w:p>
        </w:tc>
        <w:tc>
          <w:tcPr>
            <w:tcW w:w="1276" w:type="dxa"/>
            <w:tcBorders>
              <w:top w:val="single" w:sz="4" w:space="0" w:color="auto"/>
              <w:left w:val="nil"/>
              <w:bottom w:val="single" w:sz="4" w:space="0" w:color="auto"/>
              <w:right w:val="nil"/>
            </w:tcBorders>
            <w:shd w:val="clear" w:color="000000" w:fill="BFBFBF"/>
            <w:noWrap/>
            <w:vAlign w:val="center"/>
          </w:tcPr>
          <w:p w14:paraId="0FC82798" w14:textId="77777777" w:rsidR="00700A8C" w:rsidRPr="001A356F" w:rsidRDefault="00700A8C" w:rsidP="00700A8C">
            <w:pPr>
              <w:spacing w:after="0" w:line="240" w:lineRule="auto"/>
              <w:jc w:val="right"/>
              <w:rPr>
                <w:b/>
                <w:bCs/>
                <w:sz w:val="20"/>
                <w:szCs w:val="20"/>
                <w:lang w:eastAsia="sk-SK"/>
              </w:rPr>
            </w:pPr>
            <w:r w:rsidRPr="001A356F">
              <w:rPr>
                <w:b/>
                <w:bCs/>
                <w:sz w:val="20"/>
                <w:szCs w:val="20"/>
                <w:lang w:eastAsia="sk-SK"/>
              </w:rPr>
              <w:t>9 285 535</w:t>
            </w:r>
          </w:p>
        </w:tc>
        <w:tc>
          <w:tcPr>
            <w:tcW w:w="1275" w:type="dxa"/>
            <w:tcBorders>
              <w:top w:val="single" w:sz="4" w:space="0" w:color="auto"/>
              <w:left w:val="nil"/>
              <w:bottom w:val="single" w:sz="4" w:space="0" w:color="auto"/>
              <w:right w:val="nil"/>
            </w:tcBorders>
            <w:shd w:val="clear" w:color="000000" w:fill="BFBFBF"/>
            <w:noWrap/>
            <w:vAlign w:val="center"/>
          </w:tcPr>
          <w:p w14:paraId="0CA3BB5A" w14:textId="77777777" w:rsidR="00700A8C" w:rsidRPr="001A356F" w:rsidRDefault="00700A8C" w:rsidP="00700A8C">
            <w:pPr>
              <w:spacing w:after="0" w:line="240" w:lineRule="auto"/>
              <w:jc w:val="right"/>
              <w:rPr>
                <w:b/>
                <w:bCs/>
                <w:color w:val="000000"/>
                <w:sz w:val="20"/>
                <w:szCs w:val="20"/>
                <w:lang w:eastAsia="sk-SK"/>
              </w:rPr>
            </w:pPr>
            <w:r w:rsidRPr="001A356F">
              <w:rPr>
                <w:b/>
                <w:bCs/>
                <w:color w:val="000000"/>
                <w:sz w:val="20"/>
                <w:szCs w:val="20"/>
                <w:lang w:eastAsia="sk-SK"/>
              </w:rPr>
              <w:t>257 854</w:t>
            </w:r>
          </w:p>
        </w:tc>
      </w:tr>
    </w:tbl>
    <w:p w14:paraId="2AF19A09" w14:textId="77777777" w:rsidR="00700A8C" w:rsidRPr="00700A8C" w:rsidRDefault="00700A8C" w:rsidP="00700A8C">
      <w:pPr>
        <w:spacing w:after="120" w:line="336" w:lineRule="auto"/>
        <w:jc w:val="right"/>
        <w:rPr>
          <w:sz w:val="18"/>
          <w:szCs w:val="18"/>
        </w:rPr>
      </w:pPr>
      <w:r w:rsidRPr="00700A8C">
        <w:rPr>
          <w:sz w:val="18"/>
          <w:szCs w:val="18"/>
        </w:rPr>
        <w:t>Zdroj: Účtovné závierky subjektov</w:t>
      </w:r>
    </w:p>
    <w:p w14:paraId="11AF12AE" w14:textId="77777777" w:rsidR="00700A8C" w:rsidRPr="00700A8C" w:rsidRDefault="00700A8C" w:rsidP="006000EB">
      <w:pPr>
        <w:spacing w:after="120" w:line="336" w:lineRule="auto"/>
        <w:jc w:val="both"/>
      </w:pPr>
      <w:r w:rsidRPr="00700A8C">
        <w:t>Z podmienených aktív vykazuje najvyššiu hodnotu štátny podnik Lesy SR, š. p. z dôvodu ocenenia lesného porastu, ktoré podnik obhospodaruje na pozemkoch vo vlastníctve štátu, ktoré boli k 1.1.2010 jednotne ocenené podľa vyhlášky MS SR č. 492/2004 Z. z. o stanovení všeobecnej hodnoty podniku. Hodnota lesných porastov bola od 1.1.2010 evidovaná na podsúvahovom účte, pričom každoročne je táto hodnota aktualizovaná spolu so spresňovaním hodnoty lesných pozemkov vo vlastníctve štátu. Medziročne bola podsúvahová hodnota lesných porastov vyššia o 118 629 tis. eur.</w:t>
      </w:r>
    </w:p>
    <w:p w14:paraId="046C630C" w14:textId="77777777" w:rsidR="00700A8C" w:rsidRPr="00700A8C" w:rsidRDefault="00700A8C" w:rsidP="006000EB">
      <w:pPr>
        <w:spacing w:after="120" w:line="336" w:lineRule="auto"/>
        <w:jc w:val="both"/>
      </w:pPr>
      <w:r w:rsidRPr="00700A8C">
        <w:t>Slovenská konsolidačná, a. s. (SKo, a. s.), ktorá je zo zákona č. 374/2014 Z. z. o pohľadávkach štátu a o zmene a doplnení niektorých zákonov poverenou osobou pre konsolidáciu pohľadávok verejného sektora vykazuje druhú najväčšiu hodnotu podmienených aktív v hodnote 3 274 989 tis. eur. Medziročný pokles podmienených aktív bol spôsobený poklesom pohľadávok SKo, a.s. ukončením ich správy resp. vymáhania inkasom alebo trvalým odpisom. Časť nominálnej hodnoty pohľadávok SKo,a.s. je pre účely čistého bohatstva eliminovaná, nakoľko je predmetom účtovnej konsolidácie vo verejnej správy, čo zabezpečuje vykázanie pohľadávok len jednou hodnotou.</w:t>
      </w:r>
    </w:p>
    <w:p w14:paraId="4D2081ED" w14:textId="77777777" w:rsidR="00700A8C" w:rsidRPr="00700A8C" w:rsidRDefault="00700A8C" w:rsidP="006000EB">
      <w:pPr>
        <w:spacing w:after="120" w:line="336" w:lineRule="auto"/>
        <w:jc w:val="both"/>
      </w:pPr>
      <w:r w:rsidRPr="00700A8C">
        <w:rPr>
          <w:b/>
        </w:rPr>
        <w:t xml:space="preserve">Zo súdnych sporov a iných právnych úkonov </w:t>
      </w:r>
      <w:r w:rsidRPr="00700A8C">
        <w:t xml:space="preserve">boli významné konkurzné konania, exekučné rozhodnutia a súdne spory evidované </w:t>
      </w:r>
      <w:r w:rsidRPr="00700A8C">
        <w:rPr>
          <w:u w:val="single"/>
        </w:rPr>
        <w:t>Ministerstvom financií SR</w:t>
      </w:r>
      <w:r w:rsidRPr="00700A8C">
        <w:t xml:space="preserve"> vo výške 394 105 tis. eur. </w:t>
      </w:r>
    </w:p>
    <w:p w14:paraId="6C995DD1" w14:textId="5493EE1B" w:rsidR="00700A8C" w:rsidRPr="00BC5FCD" w:rsidRDefault="00700A8C" w:rsidP="006000EB">
      <w:pPr>
        <w:spacing w:after="120" w:line="336" w:lineRule="auto"/>
        <w:jc w:val="both"/>
        <w:rPr>
          <w:szCs w:val="22"/>
        </w:rPr>
      </w:pPr>
      <w:r w:rsidRPr="00700A8C">
        <w:rPr>
          <w:u w:val="single"/>
        </w:rPr>
        <w:t>Vodohospodárska výstavba, š. p</w:t>
      </w:r>
      <w:r w:rsidRPr="00700A8C">
        <w:t xml:space="preserve">. vykazuje z celkovej hodnoty aktívnych súdnych sporov 407 787 tis. eur súdne spory voči Slovenským elektrárňam, a. s. </w:t>
      </w:r>
      <w:r w:rsidRPr="00BC5FCD">
        <w:t>o bezdôvodné</w:t>
      </w:r>
      <w:r w:rsidRPr="00700A8C">
        <w:t xml:space="preserve"> obohatenie.</w:t>
      </w:r>
      <w:r w:rsidR="004F05BD">
        <w:t xml:space="preserve"> </w:t>
      </w:r>
      <w:r w:rsidRPr="00BC5FCD">
        <w:rPr>
          <w:szCs w:val="22"/>
        </w:rPr>
        <w:t>Spor sa týka platieb, ktoré platila Vodohospodárska výstavba, š.</w:t>
      </w:r>
      <w:r w:rsidR="004F05BD">
        <w:rPr>
          <w:szCs w:val="22"/>
        </w:rPr>
        <w:t xml:space="preserve"> </w:t>
      </w:r>
      <w:r w:rsidRPr="00BC5FCD">
        <w:rPr>
          <w:szCs w:val="22"/>
        </w:rPr>
        <w:t>p. elektrárňam od roku 2006 na základe zmlúv na užíva</w:t>
      </w:r>
      <w:r>
        <w:rPr>
          <w:szCs w:val="22"/>
        </w:rPr>
        <w:t>nie Vodnej elektrárne Gabčíkovo, ktoré sú podľa štátneho podniku neplatné.</w:t>
      </w:r>
      <w:r w:rsidRPr="00BC5FCD">
        <w:rPr>
          <w:szCs w:val="22"/>
        </w:rPr>
        <w:t xml:space="preserve"> </w:t>
      </w:r>
    </w:p>
    <w:p w14:paraId="52B109F8" w14:textId="77777777" w:rsidR="00700A8C" w:rsidRDefault="00700A8C" w:rsidP="006000EB">
      <w:pPr>
        <w:spacing w:after="120" w:line="336" w:lineRule="auto"/>
        <w:jc w:val="both"/>
        <w:rPr>
          <w:szCs w:val="22"/>
        </w:rPr>
      </w:pPr>
      <w:r w:rsidRPr="006F4C27">
        <w:rPr>
          <w:b/>
          <w:szCs w:val="22"/>
        </w:rPr>
        <w:t>Z ostatných položiek podmienených aktív</w:t>
      </w:r>
      <w:r>
        <w:rPr>
          <w:szCs w:val="22"/>
        </w:rPr>
        <w:t xml:space="preserve"> je významná hodnota pohľadávok spoločnosti</w:t>
      </w:r>
      <w:r>
        <w:rPr>
          <w:szCs w:val="22"/>
        </w:rPr>
        <w:br/>
      </w:r>
      <w:r w:rsidRPr="003C4BDB">
        <w:rPr>
          <w:szCs w:val="22"/>
          <w:u w:val="single"/>
        </w:rPr>
        <w:t>Debitum, a.</w:t>
      </w:r>
      <w:r>
        <w:rPr>
          <w:szCs w:val="22"/>
          <w:u w:val="single"/>
        </w:rPr>
        <w:t xml:space="preserve"> </w:t>
      </w:r>
      <w:r w:rsidRPr="003C4BDB">
        <w:rPr>
          <w:szCs w:val="22"/>
          <w:u w:val="single"/>
        </w:rPr>
        <w:t>s.</w:t>
      </w:r>
      <w:r>
        <w:rPr>
          <w:szCs w:val="22"/>
        </w:rPr>
        <w:t xml:space="preserve">, ktorá v roku 2018 realizovala oddlžovanie zdravotníckych zariadení a do svojej podsúvahy prevzala pohľadávky na poistnom uhradené Sociálnej poisťovni. Zároveň táto hodnota je pre účely čistého bohatstva eliminovaná, pretože záväzky stále ,,držia“ na súvahe zdravotnícke zariadenia a k ich odpusteniu môže dôjsť až v budúcnosti pri splnení určitých podmienok. </w:t>
      </w:r>
    </w:p>
    <w:p w14:paraId="6CD8506C" w14:textId="77777777" w:rsidR="00700A8C" w:rsidRPr="00C71882" w:rsidRDefault="00700A8C" w:rsidP="006000EB">
      <w:pPr>
        <w:spacing w:after="120" w:line="336" w:lineRule="auto"/>
        <w:jc w:val="both"/>
        <w:rPr>
          <w:szCs w:val="22"/>
        </w:rPr>
      </w:pPr>
      <w:r w:rsidRPr="006A5E59">
        <w:rPr>
          <w:szCs w:val="22"/>
          <w:u w:val="single"/>
        </w:rPr>
        <w:t>Slovenský plynárenský priemysel, a.</w:t>
      </w:r>
      <w:r>
        <w:rPr>
          <w:szCs w:val="22"/>
          <w:u w:val="single"/>
        </w:rPr>
        <w:t xml:space="preserve"> </w:t>
      </w:r>
      <w:r w:rsidRPr="006A5E59">
        <w:rPr>
          <w:szCs w:val="22"/>
          <w:u w:val="single"/>
        </w:rPr>
        <w:t>s.</w:t>
      </w:r>
      <w:r>
        <w:rPr>
          <w:szCs w:val="22"/>
          <w:u w:val="single"/>
        </w:rPr>
        <w:t xml:space="preserve"> (SPP, a. s.)</w:t>
      </w:r>
      <w:r w:rsidRPr="00C71882">
        <w:rPr>
          <w:szCs w:val="22"/>
        </w:rPr>
        <w:t xml:space="preserve"> vykazuje poskytnuté záruky, ktoré vystavili materské spoločnosti zákazníkov. SPP, a.s. si tak v prípade neplnenia povinností zo strany zákazníkov môže uplatňovať plnenie u ich materských spoločností.</w:t>
      </w:r>
    </w:p>
    <w:p w14:paraId="41923D90" w14:textId="77777777" w:rsidR="00700A8C" w:rsidRDefault="00700A8C" w:rsidP="006000EB">
      <w:pPr>
        <w:spacing w:after="120" w:line="336" w:lineRule="auto"/>
        <w:jc w:val="both"/>
        <w:rPr>
          <w:szCs w:val="22"/>
        </w:rPr>
      </w:pPr>
      <w:r w:rsidRPr="006A5E59">
        <w:rPr>
          <w:szCs w:val="22"/>
          <w:u w:val="single"/>
        </w:rPr>
        <w:t>Skupina Slovenskej elektrizačnej prenosovej sústavy, a.</w:t>
      </w:r>
      <w:r>
        <w:rPr>
          <w:szCs w:val="22"/>
          <w:u w:val="single"/>
        </w:rPr>
        <w:t xml:space="preserve"> </w:t>
      </w:r>
      <w:r w:rsidRPr="006A5E59">
        <w:rPr>
          <w:szCs w:val="22"/>
          <w:u w:val="single"/>
        </w:rPr>
        <w:t>s.</w:t>
      </w:r>
      <w:r>
        <w:rPr>
          <w:szCs w:val="22"/>
          <w:u w:val="single"/>
        </w:rPr>
        <w:t xml:space="preserve"> (SEPS, a. s.)</w:t>
      </w:r>
      <w:r>
        <w:rPr>
          <w:szCs w:val="22"/>
        </w:rPr>
        <w:t xml:space="preserve"> vykázala </w:t>
      </w:r>
      <w:r w:rsidRPr="00461960">
        <w:rPr>
          <w:szCs w:val="22"/>
        </w:rPr>
        <w:t xml:space="preserve">v konsolidovanej účtovnej závierke ako podmienené aktíva sumu prijatých bankových záruk vo výške </w:t>
      </w:r>
      <w:r>
        <w:rPr>
          <w:szCs w:val="22"/>
        </w:rPr>
        <w:t>115 475</w:t>
      </w:r>
      <w:r w:rsidRPr="00461960">
        <w:rPr>
          <w:szCs w:val="22"/>
        </w:rPr>
        <w:t> tis. eur. Bankové záruky sú uzatvárané v prospech skupiny SEPS, a.</w:t>
      </w:r>
      <w:r>
        <w:rPr>
          <w:szCs w:val="22"/>
        </w:rPr>
        <w:t xml:space="preserve"> </w:t>
      </w:r>
      <w:r w:rsidRPr="00461960">
        <w:rPr>
          <w:szCs w:val="22"/>
        </w:rPr>
        <w:t>s. účastníkmi krátkodobého trhu s elektrickou energiou, ktoré chránia skupinu pred ich prípadnou platobnou neschopnosťou.</w:t>
      </w:r>
    </w:p>
    <w:p w14:paraId="2250A0BF" w14:textId="77777777" w:rsidR="00700A8C" w:rsidRDefault="00700A8C" w:rsidP="00700A8C">
      <w:pPr>
        <w:spacing w:after="120" w:line="336" w:lineRule="auto"/>
        <w:jc w:val="both"/>
        <w:rPr>
          <w:szCs w:val="22"/>
        </w:rPr>
      </w:pPr>
      <w:r w:rsidRPr="007E0B89">
        <w:rPr>
          <w:szCs w:val="22"/>
          <w:u w:val="single"/>
        </w:rPr>
        <w:t>MH Manažment, a.s.</w:t>
      </w:r>
      <w:r>
        <w:rPr>
          <w:szCs w:val="22"/>
        </w:rPr>
        <w:t xml:space="preserve"> vykazuje podmienené aktívum zo zmluvy o predaji štátneho podielu v Slovak Telekom, a.s. Platba vo výške 87 000 tis. eur je uložená a viazaná na účte, pričom vyplatenie týchto prostriedkov závisí od ukončenia Sporu vo veci hlasových služieb a Sporu s Európskou komisiou.</w:t>
      </w:r>
    </w:p>
    <w:tbl>
      <w:tblPr>
        <w:tblW w:w="9073" w:type="dxa"/>
        <w:tblLayout w:type="fixed"/>
        <w:tblCellMar>
          <w:left w:w="70" w:type="dxa"/>
          <w:right w:w="70" w:type="dxa"/>
        </w:tblCellMar>
        <w:tblLook w:val="04A0" w:firstRow="1" w:lastRow="0" w:firstColumn="1" w:lastColumn="0" w:noHBand="0" w:noVBand="1"/>
      </w:tblPr>
      <w:tblGrid>
        <w:gridCol w:w="4395"/>
        <w:gridCol w:w="1134"/>
        <w:gridCol w:w="1134"/>
        <w:gridCol w:w="1134"/>
        <w:gridCol w:w="1276"/>
      </w:tblGrid>
      <w:tr w:rsidR="00700A8C" w:rsidRPr="007F76A3" w14:paraId="7300F77F" w14:textId="77777777" w:rsidTr="000B5079">
        <w:trPr>
          <w:trHeight w:val="420"/>
        </w:trPr>
        <w:tc>
          <w:tcPr>
            <w:tcW w:w="9073" w:type="dxa"/>
            <w:gridSpan w:val="5"/>
            <w:tcBorders>
              <w:top w:val="nil"/>
              <w:left w:val="nil"/>
              <w:bottom w:val="nil"/>
              <w:right w:val="nil"/>
            </w:tcBorders>
            <w:shd w:val="clear" w:color="000000" w:fill="000000"/>
            <w:noWrap/>
            <w:vAlign w:val="center"/>
            <w:hideMark/>
          </w:tcPr>
          <w:p w14:paraId="0A33744A" w14:textId="538CED46" w:rsidR="00700A8C" w:rsidRPr="007F76A3" w:rsidRDefault="00700A8C" w:rsidP="007F76A3">
            <w:pPr>
              <w:spacing w:after="0" w:line="240" w:lineRule="auto"/>
              <w:rPr>
                <w:b/>
                <w:bCs/>
                <w:color w:val="FFFFFF"/>
                <w:sz w:val="20"/>
                <w:szCs w:val="20"/>
                <w:lang w:eastAsia="sk-SK"/>
              </w:rPr>
            </w:pPr>
            <w:r w:rsidRPr="007F76A3">
              <w:rPr>
                <w:b/>
                <w:bCs/>
                <w:color w:val="FFFFFF"/>
                <w:sz w:val="20"/>
                <w:szCs w:val="20"/>
                <w:lang w:eastAsia="sk-SK"/>
              </w:rPr>
              <w:t xml:space="preserve">Prehľad najväčších podmienených aktív                                                      </w:t>
            </w:r>
            <w:r w:rsidR="007F76A3">
              <w:rPr>
                <w:b/>
                <w:bCs/>
                <w:color w:val="FFFFFF"/>
                <w:sz w:val="20"/>
                <w:szCs w:val="20"/>
                <w:lang w:eastAsia="sk-SK"/>
              </w:rPr>
              <w:t xml:space="preserve">      </w:t>
            </w:r>
            <w:r w:rsidR="000B5079" w:rsidRPr="007F76A3">
              <w:rPr>
                <w:b/>
                <w:bCs/>
                <w:color w:val="FFFFFF"/>
                <w:sz w:val="20"/>
                <w:szCs w:val="20"/>
                <w:lang w:eastAsia="sk-SK"/>
              </w:rPr>
              <w:t xml:space="preserve">                                </w:t>
            </w:r>
            <w:r w:rsidRPr="007F76A3">
              <w:rPr>
                <w:b/>
                <w:bCs/>
                <w:color w:val="FFFFFF"/>
                <w:sz w:val="20"/>
                <w:szCs w:val="20"/>
                <w:lang w:eastAsia="sk-SK"/>
              </w:rPr>
              <w:t xml:space="preserve">v </w:t>
            </w:r>
            <w:r w:rsidR="000B5079" w:rsidRPr="007F76A3">
              <w:rPr>
                <w:b/>
                <w:bCs/>
                <w:color w:val="FFFFFF"/>
                <w:sz w:val="20"/>
                <w:szCs w:val="20"/>
                <w:lang w:eastAsia="sk-SK"/>
              </w:rPr>
              <w:t>tis. eur</w:t>
            </w:r>
          </w:p>
        </w:tc>
      </w:tr>
      <w:tr w:rsidR="00700A8C" w:rsidRPr="007F76A3" w14:paraId="79B71A5E" w14:textId="77777777" w:rsidTr="000432A6">
        <w:trPr>
          <w:trHeight w:val="300"/>
        </w:trPr>
        <w:tc>
          <w:tcPr>
            <w:tcW w:w="4395" w:type="dxa"/>
            <w:tcBorders>
              <w:top w:val="single" w:sz="4" w:space="0" w:color="auto"/>
              <w:left w:val="nil"/>
              <w:bottom w:val="single" w:sz="4" w:space="0" w:color="auto"/>
              <w:right w:val="nil"/>
            </w:tcBorders>
            <w:shd w:val="clear" w:color="000000" w:fill="BFBFBF"/>
            <w:vAlign w:val="center"/>
            <w:hideMark/>
          </w:tcPr>
          <w:p w14:paraId="0723C152" w14:textId="77777777" w:rsidR="00700A8C" w:rsidRPr="007F76A3" w:rsidRDefault="00700A8C" w:rsidP="000432A6">
            <w:pPr>
              <w:spacing w:after="0" w:line="240" w:lineRule="auto"/>
              <w:rPr>
                <w:color w:val="000000"/>
                <w:sz w:val="20"/>
                <w:szCs w:val="20"/>
                <w:lang w:eastAsia="sk-SK"/>
              </w:rPr>
            </w:pPr>
            <w:r w:rsidRPr="007F76A3">
              <w:rPr>
                <w:color w:val="000000"/>
                <w:sz w:val="20"/>
                <w:szCs w:val="20"/>
                <w:lang w:eastAsia="sk-SK"/>
              </w:rPr>
              <w:t> </w:t>
            </w:r>
          </w:p>
        </w:tc>
        <w:tc>
          <w:tcPr>
            <w:tcW w:w="1134" w:type="dxa"/>
            <w:tcBorders>
              <w:top w:val="single" w:sz="4" w:space="0" w:color="auto"/>
              <w:left w:val="nil"/>
              <w:bottom w:val="single" w:sz="4" w:space="0" w:color="auto"/>
              <w:right w:val="nil"/>
            </w:tcBorders>
            <w:shd w:val="clear" w:color="000000" w:fill="BFBFBF"/>
            <w:vAlign w:val="bottom"/>
            <w:hideMark/>
          </w:tcPr>
          <w:p w14:paraId="01BC15C6" w14:textId="77777777" w:rsidR="00700A8C" w:rsidRPr="007F76A3" w:rsidRDefault="00700A8C" w:rsidP="000432A6">
            <w:pPr>
              <w:spacing w:after="0" w:line="240" w:lineRule="auto"/>
              <w:jc w:val="center"/>
              <w:rPr>
                <w:b/>
                <w:bCs/>
                <w:sz w:val="20"/>
                <w:szCs w:val="20"/>
                <w:lang w:eastAsia="sk-SK"/>
              </w:rPr>
            </w:pPr>
            <w:r w:rsidRPr="007F76A3">
              <w:rPr>
                <w:b/>
                <w:bCs/>
                <w:sz w:val="20"/>
                <w:szCs w:val="20"/>
                <w:lang w:eastAsia="sk-SK"/>
              </w:rPr>
              <w:t xml:space="preserve">    2016</w:t>
            </w:r>
          </w:p>
        </w:tc>
        <w:tc>
          <w:tcPr>
            <w:tcW w:w="1134" w:type="dxa"/>
            <w:tcBorders>
              <w:top w:val="single" w:sz="4" w:space="0" w:color="auto"/>
              <w:left w:val="nil"/>
              <w:bottom w:val="single" w:sz="4" w:space="0" w:color="auto"/>
              <w:right w:val="nil"/>
            </w:tcBorders>
            <w:shd w:val="clear" w:color="000000" w:fill="BFBFBF"/>
            <w:vAlign w:val="bottom"/>
            <w:hideMark/>
          </w:tcPr>
          <w:p w14:paraId="279BFC23" w14:textId="77777777" w:rsidR="00700A8C" w:rsidRPr="007F76A3" w:rsidRDefault="00700A8C" w:rsidP="000432A6">
            <w:pPr>
              <w:spacing w:after="0" w:line="240" w:lineRule="auto"/>
              <w:jc w:val="center"/>
              <w:rPr>
                <w:b/>
                <w:bCs/>
                <w:sz w:val="20"/>
                <w:szCs w:val="20"/>
                <w:lang w:eastAsia="sk-SK"/>
              </w:rPr>
            </w:pPr>
            <w:r w:rsidRPr="007F76A3">
              <w:rPr>
                <w:b/>
                <w:bCs/>
                <w:sz w:val="20"/>
                <w:szCs w:val="20"/>
                <w:lang w:eastAsia="sk-SK"/>
              </w:rPr>
              <w:t xml:space="preserve">    2017</w:t>
            </w:r>
          </w:p>
        </w:tc>
        <w:tc>
          <w:tcPr>
            <w:tcW w:w="1134" w:type="dxa"/>
            <w:tcBorders>
              <w:top w:val="single" w:sz="4" w:space="0" w:color="auto"/>
              <w:left w:val="nil"/>
              <w:bottom w:val="single" w:sz="4" w:space="0" w:color="auto"/>
              <w:right w:val="nil"/>
            </w:tcBorders>
            <w:shd w:val="clear" w:color="000000" w:fill="BFBFBF"/>
            <w:vAlign w:val="bottom"/>
            <w:hideMark/>
          </w:tcPr>
          <w:p w14:paraId="26248ED4" w14:textId="77777777" w:rsidR="00700A8C" w:rsidRPr="007F76A3" w:rsidRDefault="00700A8C" w:rsidP="000432A6">
            <w:pPr>
              <w:spacing w:after="0" w:line="240" w:lineRule="auto"/>
              <w:jc w:val="center"/>
              <w:rPr>
                <w:b/>
                <w:bCs/>
                <w:sz w:val="20"/>
                <w:szCs w:val="20"/>
                <w:lang w:eastAsia="sk-SK"/>
              </w:rPr>
            </w:pPr>
            <w:r w:rsidRPr="007F76A3">
              <w:rPr>
                <w:b/>
                <w:bCs/>
                <w:sz w:val="20"/>
                <w:szCs w:val="20"/>
                <w:lang w:eastAsia="sk-SK"/>
              </w:rPr>
              <w:t xml:space="preserve">    2018</w:t>
            </w:r>
          </w:p>
        </w:tc>
        <w:tc>
          <w:tcPr>
            <w:tcW w:w="1276" w:type="dxa"/>
            <w:tcBorders>
              <w:top w:val="single" w:sz="4" w:space="0" w:color="auto"/>
              <w:left w:val="nil"/>
              <w:bottom w:val="single" w:sz="4" w:space="0" w:color="auto"/>
              <w:right w:val="nil"/>
            </w:tcBorders>
            <w:shd w:val="clear" w:color="000000" w:fill="BFBFBF"/>
            <w:vAlign w:val="bottom"/>
            <w:hideMark/>
          </w:tcPr>
          <w:p w14:paraId="638829C3" w14:textId="77777777" w:rsidR="00700A8C" w:rsidRPr="007F76A3" w:rsidRDefault="00700A8C" w:rsidP="000432A6">
            <w:pPr>
              <w:spacing w:after="0" w:line="240" w:lineRule="auto"/>
              <w:jc w:val="right"/>
              <w:rPr>
                <w:b/>
                <w:bCs/>
                <w:sz w:val="20"/>
                <w:szCs w:val="20"/>
                <w:lang w:eastAsia="sk-SK"/>
              </w:rPr>
            </w:pPr>
            <w:r w:rsidRPr="007F76A3">
              <w:rPr>
                <w:b/>
                <w:bCs/>
                <w:sz w:val="20"/>
                <w:szCs w:val="20"/>
                <w:lang w:eastAsia="sk-SK"/>
              </w:rPr>
              <w:t>Δ 2018-2017</w:t>
            </w:r>
          </w:p>
        </w:tc>
      </w:tr>
      <w:tr w:rsidR="00700A8C" w:rsidRPr="007F76A3" w14:paraId="4DB9C525" w14:textId="77777777" w:rsidTr="000432A6">
        <w:trPr>
          <w:trHeight w:val="300"/>
        </w:trPr>
        <w:tc>
          <w:tcPr>
            <w:tcW w:w="4395" w:type="dxa"/>
            <w:tcBorders>
              <w:top w:val="nil"/>
              <w:left w:val="nil"/>
              <w:bottom w:val="nil"/>
              <w:right w:val="nil"/>
            </w:tcBorders>
            <w:noWrap/>
            <w:vAlign w:val="center"/>
            <w:hideMark/>
          </w:tcPr>
          <w:p w14:paraId="007B8402" w14:textId="77777777" w:rsidR="00700A8C" w:rsidRPr="007F76A3" w:rsidRDefault="00700A8C" w:rsidP="000432A6">
            <w:pPr>
              <w:spacing w:after="0" w:line="336" w:lineRule="auto"/>
              <w:rPr>
                <w:b/>
                <w:bCs/>
                <w:color w:val="000000"/>
                <w:sz w:val="20"/>
                <w:szCs w:val="20"/>
                <w:lang w:eastAsia="sk-SK"/>
              </w:rPr>
            </w:pPr>
            <w:r w:rsidRPr="007F76A3">
              <w:rPr>
                <w:b/>
                <w:bCs/>
                <w:color w:val="000000"/>
                <w:sz w:val="20"/>
                <w:szCs w:val="20"/>
                <w:lang w:eastAsia="sk-SK"/>
              </w:rPr>
              <w:t>Pohľadávky v správe SKo, a.s.</w:t>
            </w:r>
          </w:p>
        </w:tc>
        <w:tc>
          <w:tcPr>
            <w:tcW w:w="1134" w:type="dxa"/>
            <w:tcBorders>
              <w:top w:val="nil"/>
              <w:left w:val="nil"/>
              <w:bottom w:val="nil"/>
              <w:right w:val="nil"/>
            </w:tcBorders>
            <w:vAlign w:val="center"/>
          </w:tcPr>
          <w:p w14:paraId="1D83FDF2" w14:textId="77777777" w:rsidR="00700A8C" w:rsidRPr="007F76A3" w:rsidRDefault="00700A8C" w:rsidP="000432A6">
            <w:pPr>
              <w:spacing w:after="0" w:line="336" w:lineRule="auto"/>
              <w:jc w:val="right"/>
              <w:rPr>
                <w:b/>
                <w:bCs/>
                <w:color w:val="000000"/>
                <w:sz w:val="20"/>
                <w:szCs w:val="20"/>
                <w:lang w:eastAsia="sk-SK"/>
              </w:rPr>
            </w:pPr>
            <w:r w:rsidRPr="007F76A3">
              <w:rPr>
                <w:b/>
                <w:bCs/>
                <w:color w:val="000000"/>
                <w:sz w:val="20"/>
                <w:szCs w:val="20"/>
                <w:lang w:eastAsia="sk-SK"/>
              </w:rPr>
              <w:t>3 504 230</w:t>
            </w:r>
          </w:p>
        </w:tc>
        <w:tc>
          <w:tcPr>
            <w:tcW w:w="1134" w:type="dxa"/>
            <w:tcBorders>
              <w:top w:val="nil"/>
              <w:left w:val="nil"/>
              <w:bottom w:val="nil"/>
              <w:right w:val="nil"/>
            </w:tcBorders>
            <w:vAlign w:val="center"/>
          </w:tcPr>
          <w:p w14:paraId="6BB1EFC0" w14:textId="77777777" w:rsidR="00700A8C" w:rsidRPr="007F76A3" w:rsidRDefault="00700A8C" w:rsidP="000432A6">
            <w:pPr>
              <w:spacing w:after="0" w:line="336" w:lineRule="auto"/>
              <w:jc w:val="right"/>
              <w:rPr>
                <w:b/>
                <w:bCs/>
                <w:color w:val="000000"/>
                <w:sz w:val="20"/>
                <w:szCs w:val="20"/>
                <w:lang w:eastAsia="sk-SK"/>
              </w:rPr>
            </w:pPr>
            <w:r w:rsidRPr="007F76A3">
              <w:rPr>
                <w:b/>
                <w:bCs/>
                <w:color w:val="000000"/>
                <w:sz w:val="20"/>
                <w:szCs w:val="20"/>
                <w:lang w:eastAsia="sk-SK"/>
              </w:rPr>
              <w:t>3 407 584</w:t>
            </w:r>
          </w:p>
        </w:tc>
        <w:tc>
          <w:tcPr>
            <w:tcW w:w="1134" w:type="dxa"/>
            <w:tcBorders>
              <w:top w:val="nil"/>
              <w:left w:val="nil"/>
              <w:bottom w:val="nil"/>
              <w:right w:val="nil"/>
            </w:tcBorders>
            <w:vAlign w:val="center"/>
          </w:tcPr>
          <w:p w14:paraId="24477EFE" w14:textId="77777777" w:rsidR="00700A8C" w:rsidRPr="007F76A3" w:rsidRDefault="00700A8C" w:rsidP="000432A6">
            <w:pPr>
              <w:spacing w:after="0" w:line="336" w:lineRule="auto"/>
              <w:jc w:val="right"/>
              <w:rPr>
                <w:b/>
                <w:bCs/>
                <w:color w:val="000000"/>
                <w:sz w:val="20"/>
                <w:szCs w:val="20"/>
                <w:lang w:eastAsia="sk-SK"/>
              </w:rPr>
            </w:pPr>
            <w:r w:rsidRPr="007F76A3">
              <w:rPr>
                <w:b/>
                <w:bCs/>
                <w:color w:val="000000"/>
                <w:sz w:val="20"/>
                <w:szCs w:val="20"/>
                <w:lang w:eastAsia="sk-SK"/>
              </w:rPr>
              <w:t>3 274 989</w:t>
            </w:r>
          </w:p>
        </w:tc>
        <w:tc>
          <w:tcPr>
            <w:tcW w:w="1276" w:type="dxa"/>
            <w:tcBorders>
              <w:top w:val="nil"/>
              <w:left w:val="nil"/>
              <w:bottom w:val="nil"/>
              <w:right w:val="nil"/>
            </w:tcBorders>
            <w:vAlign w:val="center"/>
          </w:tcPr>
          <w:p w14:paraId="65DF973C" w14:textId="77777777" w:rsidR="00700A8C" w:rsidRPr="007F76A3" w:rsidRDefault="00700A8C" w:rsidP="000432A6">
            <w:pPr>
              <w:spacing w:after="0" w:line="336" w:lineRule="auto"/>
              <w:jc w:val="right"/>
              <w:rPr>
                <w:b/>
                <w:bCs/>
                <w:color w:val="000000"/>
                <w:sz w:val="20"/>
                <w:szCs w:val="20"/>
                <w:lang w:eastAsia="sk-SK"/>
              </w:rPr>
            </w:pPr>
            <w:r w:rsidRPr="007F76A3">
              <w:rPr>
                <w:b/>
                <w:bCs/>
                <w:color w:val="000000"/>
                <w:sz w:val="20"/>
                <w:szCs w:val="20"/>
                <w:lang w:eastAsia="sk-SK"/>
              </w:rPr>
              <w:t>-132 595</w:t>
            </w:r>
          </w:p>
        </w:tc>
      </w:tr>
      <w:tr w:rsidR="00700A8C" w:rsidRPr="007F76A3" w14:paraId="17D4100F" w14:textId="77777777" w:rsidTr="000432A6">
        <w:trPr>
          <w:trHeight w:val="300"/>
        </w:trPr>
        <w:tc>
          <w:tcPr>
            <w:tcW w:w="4395" w:type="dxa"/>
            <w:tcBorders>
              <w:top w:val="nil"/>
              <w:left w:val="nil"/>
              <w:bottom w:val="nil"/>
              <w:right w:val="nil"/>
            </w:tcBorders>
            <w:vAlign w:val="center"/>
          </w:tcPr>
          <w:p w14:paraId="6ACCE8F1" w14:textId="77777777" w:rsidR="00700A8C" w:rsidRPr="007F76A3" w:rsidRDefault="00700A8C" w:rsidP="000432A6">
            <w:pPr>
              <w:spacing w:after="0" w:line="336" w:lineRule="auto"/>
              <w:rPr>
                <w:b/>
                <w:color w:val="000000"/>
                <w:sz w:val="20"/>
                <w:szCs w:val="20"/>
                <w:lang w:eastAsia="sk-SK"/>
              </w:rPr>
            </w:pPr>
            <w:r w:rsidRPr="007F76A3">
              <w:rPr>
                <w:b/>
                <w:color w:val="000000"/>
                <w:sz w:val="20"/>
                <w:szCs w:val="20"/>
                <w:lang w:eastAsia="sk-SK"/>
              </w:rPr>
              <w:t xml:space="preserve">Súdne spory </w:t>
            </w:r>
          </w:p>
        </w:tc>
        <w:tc>
          <w:tcPr>
            <w:tcW w:w="1134" w:type="dxa"/>
            <w:tcBorders>
              <w:top w:val="nil"/>
              <w:left w:val="nil"/>
              <w:bottom w:val="nil"/>
              <w:right w:val="nil"/>
            </w:tcBorders>
            <w:vAlign w:val="center"/>
          </w:tcPr>
          <w:p w14:paraId="521150D9"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819 070</w:t>
            </w:r>
          </w:p>
        </w:tc>
        <w:tc>
          <w:tcPr>
            <w:tcW w:w="1134" w:type="dxa"/>
            <w:tcBorders>
              <w:top w:val="nil"/>
              <w:left w:val="nil"/>
              <w:bottom w:val="nil"/>
              <w:right w:val="nil"/>
            </w:tcBorders>
            <w:vAlign w:val="center"/>
          </w:tcPr>
          <w:p w14:paraId="7D5772DD"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847 680</w:t>
            </w:r>
          </w:p>
        </w:tc>
        <w:tc>
          <w:tcPr>
            <w:tcW w:w="1134" w:type="dxa"/>
            <w:tcBorders>
              <w:top w:val="nil"/>
              <w:left w:val="nil"/>
              <w:bottom w:val="nil"/>
              <w:right w:val="nil"/>
            </w:tcBorders>
            <w:vAlign w:val="center"/>
          </w:tcPr>
          <w:p w14:paraId="1EDE86EB"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825 417</w:t>
            </w:r>
          </w:p>
        </w:tc>
        <w:tc>
          <w:tcPr>
            <w:tcW w:w="1276" w:type="dxa"/>
            <w:tcBorders>
              <w:top w:val="nil"/>
              <w:left w:val="nil"/>
              <w:bottom w:val="nil"/>
              <w:right w:val="nil"/>
            </w:tcBorders>
            <w:vAlign w:val="center"/>
          </w:tcPr>
          <w:p w14:paraId="59EA97F2"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-22 263</w:t>
            </w:r>
          </w:p>
        </w:tc>
      </w:tr>
      <w:tr w:rsidR="00700A8C" w:rsidRPr="007F76A3" w14:paraId="482352F2" w14:textId="77777777" w:rsidTr="000432A6">
        <w:trPr>
          <w:trHeight w:val="300"/>
        </w:trPr>
        <w:tc>
          <w:tcPr>
            <w:tcW w:w="4395" w:type="dxa"/>
            <w:tcBorders>
              <w:top w:val="nil"/>
              <w:left w:val="nil"/>
              <w:bottom w:val="nil"/>
              <w:right w:val="nil"/>
            </w:tcBorders>
            <w:vAlign w:val="center"/>
          </w:tcPr>
          <w:p w14:paraId="3D78CD91"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 xml:space="preserve">Vodohospodárska výstavba, š. p. </w:t>
            </w:r>
          </w:p>
        </w:tc>
        <w:tc>
          <w:tcPr>
            <w:tcW w:w="1134" w:type="dxa"/>
            <w:tcBorders>
              <w:top w:val="nil"/>
              <w:left w:val="nil"/>
              <w:bottom w:val="nil"/>
              <w:right w:val="nil"/>
            </w:tcBorders>
            <w:vAlign w:val="center"/>
          </w:tcPr>
          <w:p w14:paraId="5E72FD67"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407 877</w:t>
            </w:r>
          </w:p>
        </w:tc>
        <w:tc>
          <w:tcPr>
            <w:tcW w:w="1134" w:type="dxa"/>
            <w:tcBorders>
              <w:top w:val="nil"/>
              <w:left w:val="nil"/>
              <w:bottom w:val="nil"/>
              <w:right w:val="nil"/>
            </w:tcBorders>
            <w:vAlign w:val="center"/>
          </w:tcPr>
          <w:p w14:paraId="7C704E6D"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410 824</w:t>
            </w:r>
          </w:p>
        </w:tc>
        <w:tc>
          <w:tcPr>
            <w:tcW w:w="1134" w:type="dxa"/>
            <w:tcBorders>
              <w:top w:val="nil"/>
              <w:left w:val="nil"/>
              <w:bottom w:val="nil"/>
              <w:right w:val="nil"/>
            </w:tcBorders>
            <w:vAlign w:val="center"/>
          </w:tcPr>
          <w:p w14:paraId="7B7DAF05"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407 787</w:t>
            </w:r>
          </w:p>
        </w:tc>
        <w:tc>
          <w:tcPr>
            <w:tcW w:w="1276" w:type="dxa"/>
            <w:tcBorders>
              <w:top w:val="nil"/>
              <w:left w:val="nil"/>
              <w:bottom w:val="nil"/>
              <w:right w:val="nil"/>
            </w:tcBorders>
            <w:vAlign w:val="center"/>
          </w:tcPr>
          <w:p w14:paraId="1FB043BC"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-3 037</w:t>
            </w:r>
          </w:p>
        </w:tc>
      </w:tr>
      <w:tr w:rsidR="00700A8C" w:rsidRPr="007F76A3" w14:paraId="571C7BA8" w14:textId="77777777" w:rsidTr="000432A6">
        <w:trPr>
          <w:trHeight w:val="300"/>
        </w:trPr>
        <w:tc>
          <w:tcPr>
            <w:tcW w:w="4395" w:type="dxa"/>
            <w:tcBorders>
              <w:top w:val="nil"/>
              <w:left w:val="nil"/>
              <w:bottom w:val="nil"/>
              <w:right w:val="nil"/>
            </w:tcBorders>
            <w:vAlign w:val="center"/>
          </w:tcPr>
          <w:p w14:paraId="0E31EAFA"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Ministerstvo financií SR</w:t>
            </w:r>
          </w:p>
        </w:tc>
        <w:tc>
          <w:tcPr>
            <w:tcW w:w="1134" w:type="dxa"/>
            <w:tcBorders>
              <w:top w:val="nil"/>
              <w:left w:val="nil"/>
              <w:bottom w:val="nil"/>
              <w:right w:val="nil"/>
            </w:tcBorders>
            <w:vAlign w:val="center"/>
          </w:tcPr>
          <w:p w14:paraId="2C10433A"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394 105</w:t>
            </w:r>
          </w:p>
        </w:tc>
        <w:tc>
          <w:tcPr>
            <w:tcW w:w="1134" w:type="dxa"/>
            <w:tcBorders>
              <w:top w:val="nil"/>
              <w:left w:val="nil"/>
              <w:bottom w:val="nil"/>
              <w:right w:val="nil"/>
            </w:tcBorders>
            <w:vAlign w:val="center"/>
          </w:tcPr>
          <w:p w14:paraId="06EFC9B6"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389 065</w:t>
            </w:r>
          </w:p>
        </w:tc>
        <w:tc>
          <w:tcPr>
            <w:tcW w:w="1134" w:type="dxa"/>
            <w:tcBorders>
              <w:top w:val="nil"/>
              <w:left w:val="nil"/>
              <w:bottom w:val="nil"/>
              <w:right w:val="nil"/>
            </w:tcBorders>
            <w:vAlign w:val="center"/>
          </w:tcPr>
          <w:p w14:paraId="381A0317"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380 928</w:t>
            </w:r>
          </w:p>
        </w:tc>
        <w:tc>
          <w:tcPr>
            <w:tcW w:w="1276" w:type="dxa"/>
            <w:tcBorders>
              <w:top w:val="nil"/>
              <w:left w:val="nil"/>
              <w:bottom w:val="nil"/>
              <w:right w:val="nil"/>
            </w:tcBorders>
            <w:vAlign w:val="center"/>
          </w:tcPr>
          <w:p w14:paraId="58F55721"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-8 137</w:t>
            </w:r>
          </w:p>
        </w:tc>
      </w:tr>
      <w:tr w:rsidR="00700A8C" w:rsidRPr="007F76A3" w14:paraId="49240DD5" w14:textId="77777777" w:rsidTr="000432A6">
        <w:trPr>
          <w:trHeight w:val="300"/>
        </w:trPr>
        <w:tc>
          <w:tcPr>
            <w:tcW w:w="4395" w:type="dxa"/>
            <w:tcBorders>
              <w:top w:val="nil"/>
              <w:left w:val="nil"/>
              <w:bottom w:val="nil"/>
              <w:right w:val="nil"/>
            </w:tcBorders>
            <w:vAlign w:val="center"/>
          </w:tcPr>
          <w:p w14:paraId="7AC0C0BB" w14:textId="63339C0F" w:rsidR="00700A8C" w:rsidRPr="007F76A3" w:rsidRDefault="00700A8C" w:rsidP="00700A8C">
            <w:pPr>
              <w:spacing w:after="0" w:line="336" w:lineRule="auto"/>
              <w:ind w:firstLineChars="178" w:firstLine="356"/>
              <w:rPr>
                <w:color w:val="000000"/>
                <w:sz w:val="20"/>
                <w:szCs w:val="20"/>
                <w:lang w:eastAsia="sk-SK"/>
              </w:rPr>
            </w:pPr>
            <w:r w:rsidRPr="007F76A3">
              <w:rPr>
                <w:color w:val="000000"/>
                <w:sz w:val="20"/>
                <w:szCs w:val="20"/>
                <w:lang w:eastAsia="sk-SK"/>
              </w:rPr>
              <w:t>MH Manažment, a.s.</w:t>
            </w:r>
          </w:p>
        </w:tc>
        <w:tc>
          <w:tcPr>
            <w:tcW w:w="1134" w:type="dxa"/>
            <w:tcBorders>
              <w:top w:val="nil"/>
              <w:left w:val="nil"/>
              <w:bottom w:val="nil"/>
              <w:right w:val="nil"/>
            </w:tcBorders>
            <w:vAlign w:val="center"/>
          </w:tcPr>
          <w:p w14:paraId="4FAECAEE"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0</w:t>
            </w:r>
          </w:p>
        </w:tc>
        <w:tc>
          <w:tcPr>
            <w:tcW w:w="1134" w:type="dxa"/>
            <w:tcBorders>
              <w:top w:val="nil"/>
              <w:left w:val="nil"/>
              <w:bottom w:val="nil"/>
              <w:right w:val="nil"/>
            </w:tcBorders>
            <w:vAlign w:val="center"/>
          </w:tcPr>
          <w:p w14:paraId="7FABF62E"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33 865</w:t>
            </w:r>
          </w:p>
        </w:tc>
        <w:tc>
          <w:tcPr>
            <w:tcW w:w="1134" w:type="dxa"/>
            <w:tcBorders>
              <w:top w:val="nil"/>
              <w:left w:val="nil"/>
              <w:bottom w:val="nil"/>
              <w:right w:val="nil"/>
            </w:tcBorders>
            <w:vAlign w:val="center"/>
          </w:tcPr>
          <w:p w14:paraId="03104E3B"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31 805</w:t>
            </w:r>
          </w:p>
        </w:tc>
        <w:tc>
          <w:tcPr>
            <w:tcW w:w="1276" w:type="dxa"/>
            <w:tcBorders>
              <w:top w:val="nil"/>
              <w:left w:val="nil"/>
              <w:bottom w:val="nil"/>
              <w:right w:val="nil"/>
            </w:tcBorders>
            <w:vAlign w:val="center"/>
          </w:tcPr>
          <w:p w14:paraId="2395E94E"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-2 060</w:t>
            </w:r>
          </w:p>
        </w:tc>
      </w:tr>
      <w:tr w:rsidR="00700A8C" w:rsidRPr="007F76A3" w14:paraId="74A16B2E" w14:textId="77777777" w:rsidTr="000432A6">
        <w:trPr>
          <w:trHeight w:val="300"/>
        </w:trPr>
        <w:tc>
          <w:tcPr>
            <w:tcW w:w="4395" w:type="dxa"/>
            <w:tcBorders>
              <w:top w:val="nil"/>
              <w:left w:val="nil"/>
              <w:bottom w:val="nil"/>
              <w:right w:val="nil"/>
            </w:tcBorders>
            <w:vAlign w:val="center"/>
          </w:tcPr>
          <w:p w14:paraId="07339394"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Ministerstvo vnútra SR</w:t>
            </w:r>
          </w:p>
        </w:tc>
        <w:tc>
          <w:tcPr>
            <w:tcW w:w="1134" w:type="dxa"/>
            <w:tcBorders>
              <w:top w:val="nil"/>
              <w:left w:val="nil"/>
              <w:bottom w:val="nil"/>
              <w:right w:val="nil"/>
            </w:tcBorders>
            <w:vAlign w:val="center"/>
          </w:tcPr>
          <w:p w14:paraId="60B13728"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17 088</w:t>
            </w:r>
          </w:p>
        </w:tc>
        <w:tc>
          <w:tcPr>
            <w:tcW w:w="1134" w:type="dxa"/>
            <w:tcBorders>
              <w:top w:val="nil"/>
              <w:left w:val="nil"/>
              <w:bottom w:val="nil"/>
              <w:right w:val="nil"/>
            </w:tcBorders>
            <w:vAlign w:val="center"/>
          </w:tcPr>
          <w:p w14:paraId="099DE1AF"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13 926</w:t>
            </w:r>
          </w:p>
        </w:tc>
        <w:tc>
          <w:tcPr>
            <w:tcW w:w="1134" w:type="dxa"/>
            <w:tcBorders>
              <w:top w:val="nil"/>
              <w:left w:val="nil"/>
              <w:bottom w:val="nil"/>
              <w:right w:val="nil"/>
            </w:tcBorders>
            <w:vAlign w:val="center"/>
          </w:tcPr>
          <w:p w14:paraId="08E7BC7C"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4 897</w:t>
            </w:r>
          </w:p>
        </w:tc>
        <w:tc>
          <w:tcPr>
            <w:tcW w:w="1276" w:type="dxa"/>
            <w:tcBorders>
              <w:top w:val="nil"/>
              <w:left w:val="nil"/>
              <w:bottom w:val="nil"/>
              <w:right w:val="nil"/>
            </w:tcBorders>
            <w:vAlign w:val="center"/>
          </w:tcPr>
          <w:p w14:paraId="3D36A695"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-9 029</w:t>
            </w:r>
          </w:p>
        </w:tc>
      </w:tr>
      <w:tr w:rsidR="00700A8C" w:rsidRPr="007F76A3" w14:paraId="18D5E9B3" w14:textId="77777777" w:rsidTr="000432A6">
        <w:trPr>
          <w:trHeight w:val="300"/>
        </w:trPr>
        <w:tc>
          <w:tcPr>
            <w:tcW w:w="4395" w:type="dxa"/>
            <w:tcBorders>
              <w:top w:val="nil"/>
              <w:left w:val="nil"/>
              <w:bottom w:val="nil"/>
              <w:right w:val="nil"/>
            </w:tcBorders>
            <w:vAlign w:val="center"/>
          </w:tcPr>
          <w:p w14:paraId="6F99C7BB" w14:textId="77777777" w:rsidR="00700A8C" w:rsidRPr="007F76A3" w:rsidRDefault="00700A8C" w:rsidP="000432A6">
            <w:pPr>
              <w:spacing w:after="0" w:line="336" w:lineRule="auto"/>
              <w:rPr>
                <w:b/>
                <w:color w:val="000000"/>
                <w:sz w:val="20"/>
                <w:szCs w:val="20"/>
                <w:lang w:eastAsia="sk-SK"/>
              </w:rPr>
            </w:pPr>
            <w:r w:rsidRPr="007F76A3">
              <w:rPr>
                <w:b/>
                <w:color w:val="000000"/>
                <w:sz w:val="20"/>
                <w:szCs w:val="20"/>
                <w:lang w:eastAsia="sk-SK"/>
              </w:rPr>
              <w:t>Iné (štátne podniky)</w:t>
            </w:r>
          </w:p>
        </w:tc>
        <w:tc>
          <w:tcPr>
            <w:tcW w:w="1134" w:type="dxa"/>
            <w:tcBorders>
              <w:top w:val="nil"/>
              <w:left w:val="nil"/>
              <w:bottom w:val="nil"/>
              <w:right w:val="nil"/>
            </w:tcBorders>
            <w:vAlign w:val="center"/>
          </w:tcPr>
          <w:p w14:paraId="7990533B"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546 632</w:t>
            </w:r>
          </w:p>
        </w:tc>
        <w:tc>
          <w:tcPr>
            <w:tcW w:w="1134" w:type="dxa"/>
            <w:tcBorders>
              <w:top w:val="nil"/>
              <w:left w:val="nil"/>
              <w:bottom w:val="nil"/>
              <w:right w:val="nil"/>
            </w:tcBorders>
            <w:vAlign w:val="center"/>
          </w:tcPr>
          <w:p w14:paraId="30D5F9D7"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4 481 519</w:t>
            </w:r>
          </w:p>
        </w:tc>
        <w:tc>
          <w:tcPr>
            <w:tcW w:w="1134" w:type="dxa"/>
            <w:tcBorders>
              <w:top w:val="nil"/>
              <w:left w:val="nil"/>
              <w:bottom w:val="nil"/>
              <w:right w:val="nil"/>
            </w:tcBorders>
            <w:vAlign w:val="center"/>
          </w:tcPr>
          <w:p w14:paraId="1BDE8D3E"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4 576 066</w:t>
            </w:r>
          </w:p>
        </w:tc>
        <w:tc>
          <w:tcPr>
            <w:tcW w:w="1276" w:type="dxa"/>
            <w:tcBorders>
              <w:top w:val="nil"/>
              <w:left w:val="nil"/>
              <w:bottom w:val="nil"/>
              <w:right w:val="nil"/>
            </w:tcBorders>
            <w:vAlign w:val="center"/>
          </w:tcPr>
          <w:p w14:paraId="43DD38B9" w14:textId="77777777" w:rsidR="00700A8C" w:rsidRPr="007F76A3" w:rsidRDefault="00700A8C" w:rsidP="000432A6">
            <w:pPr>
              <w:spacing w:after="0" w:line="336" w:lineRule="auto"/>
              <w:jc w:val="right"/>
              <w:rPr>
                <w:b/>
                <w:color w:val="000000"/>
                <w:sz w:val="20"/>
                <w:szCs w:val="20"/>
                <w:lang w:eastAsia="sk-SK"/>
              </w:rPr>
            </w:pPr>
            <w:r w:rsidRPr="007F76A3">
              <w:rPr>
                <w:b/>
                <w:color w:val="000000"/>
                <w:sz w:val="20"/>
                <w:szCs w:val="20"/>
                <w:lang w:eastAsia="sk-SK"/>
              </w:rPr>
              <w:t>94 547</w:t>
            </w:r>
          </w:p>
        </w:tc>
      </w:tr>
      <w:tr w:rsidR="00700A8C" w:rsidRPr="007F76A3" w14:paraId="6D774523" w14:textId="77777777" w:rsidTr="000432A6">
        <w:trPr>
          <w:trHeight w:val="300"/>
        </w:trPr>
        <w:tc>
          <w:tcPr>
            <w:tcW w:w="4395" w:type="dxa"/>
            <w:tcBorders>
              <w:top w:val="nil"/>
              <w:left w:val="nil"/>
              <w:bottom w:val="nil"/>
              <w:right w:val="nil"/>
            </w:tcBorders>
            <w:vAlign w:val="center"/>
          </w:tcPr>
          <w:p w14:paraId="61733F5B" w14:textId="4A22702D"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Lesy SR, š.</w:t>
            </w:r>
            <w:r w:rsidR="004F05BD" w:rsidRPr="007F76A3">
              <w:rPr>
                <w:color w:val="000000"/>
                <w:sz w:val="20"/>
                <w:szCs w:val="20"/>
                <w:lang w:eastAsia="sk-SK"/>
              </w:rPr>
              <w:t xml:space="preserve"> </w:t>
            </w:r>
            <w:r w:rsidRPr="007F76A3">
              <w:rPr>
                <w:color w:val="000000"/>
                <w:sz w:val="20"/>
                <w:szCs w:val="20"/>
                <w:lang w:eastAsia="sk-SK"/>
              </w:rPr>
              <w:t>p.</w:t>
            </w:r>
          </w:p>
        </w:tc>
        <w:tc>
          <w:tcPr>
            <w:tcW w:w="1134" w:type="dxa"/>
            <w:tcBorders>
              <w:top w:val="nil"/>
              <w:left w:val="nil"/>
              <w:bottom w:val="nil"/>
              <w:right w:val="nil"/>
            </w:tcBorders>
            <w:vAlign w:val="center"/>
          </w:tcPr>
          <w:p w14:paraId="1D528344"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44 947</w:t>
            </w:r>
          </w:p>
        </w:tc>
        <w:tc>
          <w:tcPr>
            <w:tcW w:w="1134" w:type="dxa"/>
            <w:tcBorders>
              <w:top w:val="nil"/>
              <w:left w:val="nil"/>
              <w:bottom w:val="nil"/>
              <w:right w:val="nil"/>
            </w:tcBorders>
            <w:vAlign w:val="center"/>
          </w:tcPr>
          <w:p w14:paraId="01828F30"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4 077 768</w:t>
            </w:r>
          </w:p>
        </w:tc>
        <w:tc>
          <w:tcPr>
            <w:tcW w:w="1134" w:type="dxa"/>
            <w:tcBorders>
              <w:top w:val="nil"/>
              <w:left w:val="nil"/>
              <w:bottom w:val="nil"/>
              <w:right w:val="nil"/>
            </w:tcBorders>
            <w:vAlign w:val="center"/>
          </w:tcPr>
          <w:p w14:paraId="08BBE2DB"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4 196 397</w:t>
            </w:r>
          </w:p>
        </w:tc>
        <w:tc>
          <w:tcPr>
            <w:tcW w:w="1276" w:type="dxa"/>
            <w:tcBorders>
              <w:top w:val="nil"/>
              <w:left w:val="nil"/>
              <w:bottom w:val="nil"/>
              <w:right w:val="nil"/>
            </w:tcBorders>
            <w:vAlign w:val="center"/>
          </w:tcPr>
          <w:p w14:paraId="2AFAAACD"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118 929</w:t>
            </w:r>
          </w:p>
        </w:tc>
      </w:tr>
      <w:tr w:rsidR="00700A8C" w:rsidRPr="007F76A3" w14:paraId="05F1B078" w14:textId="77777777" w:rsidTr="000432A6">
        <w:trPr>
          <w:trHeight w:val="300"/>
        </w:trPr>
        <w:tc>
          <w:tcPr>
            <w:tcW w:w="4395" w:type="dxa"/>
            <w:tcBorders>
              <w:top w:val="nil"/>
              <w:left w:val="nil"/>
              <w:bottom w:val="nil"/>
              <w:right w:val="nil"/>
            </w:tcBorders>
            <w:vAlign w:val="center"/>
          </w:tcPr>
          <w:p w14:paraId="13A43CED"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Slovenská elektrizačná prenosová sústava, a.s.</w:t>
            </w:r>
          </w:p>
        </w:tc>
        <w:tc>
          <w:tcPr>
            <w:tcW w:w="1134" w:type="dxa"/>
            <w:tcBorders>
              <w:top w:val="nil"/>
              <w:left w:val="nil"/>
              <w:bottom w:val="nil"/>
              <w:right w:val="nil"/>
            </w:tcBorders>
            <w:vAlign w:val="center"/>
          </w:tcPr>
          <w:p w14:paraId="1EC20CDE"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106 227</w:t>
            </w:r>
          </w:p>
        </w:tc>
        <w:tc>
          <w:tcPr>
            <w:tcW w:w="1134" w:type="dxa"/>
            <w:tcBorders>
              <w:top w:val="nil"/>
              <w:left w:val="nil"/>
              <w:bottom w:val="nil"/>
              <w:right w:val="nil"/>
            </w:tcBorders>
            <w:vAlign w:val="center"/>
          </w:tcPr>
          <w:p w14:paraId="1574600A"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107 004</w:t>
            </w:r>
          </w:p>
        </w:tc>
        <w:tc>
          <w:tcPr>
            <w:tcW w:w="1134" w:type="dxa"/>
            <w:tcBorders>
              <w:top w:val="nil"/>
              <w:left w:val="nil"/>
              <w:bottom w:val="nil"/>
              <w:right w:val="nil"/>
            </w:tcBorders>
            <w:vAlign w:val="center"/>
          </w:tcPr>
          <w:p w14:paraId="2C952CBC"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115 475</w:t>
            </w:r>
          </w:p>
        </w:tc>
        <w:tc>
          <w:tcPr>
            <w:tcW w:w="1276" w:type="dxa"/>
            <w:tcBorders>
              <w:top w:val="nil"/>
              <w:left w:val="nil"/>
              <w:bottom w:val="nil"/>
              <w:right w:val="nil"/>
            </w:tcBorders>
            <w:vAlign w:val="center"/>
          </w:tcPr>
          <w:p w14:paraId="71E1FE9D"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8 471</w:t>
            </w:r>
          </w:p>
        </w:tc>
      </w:tr>
      <w:tr w:rsidR="00700A8C" w:rsidRPr="007F76A3" w14:paraId="0B6F14B1" w14:textId="77777777" w:rsidTr="000432A6">
        <w:trPr>
          <w:trHeight w:val="300"/>
        </w:trPr>
        <w:tc>
          <w:tcPr>
            <w:tcW w:w="4395" w:type="dxa"/>
            <w:tcBorders>
              <w:top w:val="nil"/>
              <w:left w:val="nil"/>
              <w:bottom w:val="nil"/>
              <w:right w:val="nil"/>
            </w:tcBorders>
            <w:vAlign w:val="center"/>
          </w:tcPr>
          <w:p w14:paraId="240BA092"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Slovenský plynárenský priemysel</w:t>
            </w:r>
          </w:p>
        </w:tc>
        <w:tc>
          <w:tcPr>
            <w:tcW w:w="1134" w:type="dxa"/>
            <w:tcBorders>
              <w:top w:val="nil"/>
              <w:left w:val="nil"/>
              <w:bottom w:val="nil"/>
              <w:right w:val="nil"/>
            </w:tcBorders>
            <w:vAlign w:val="center"/>
          </w:tcPr>
          <w:p w14:paraId="6D1BC49F"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201 835</w:t>
            </w:r>
          </w:p>
        </w:tc>
        <w:tc>
          <w:tcPr>
            <w:tcW w:w="1134" w:type="dxa"/>
            <w:tcBorders>
              <w:top w:val="nil"/>
              <w:left w:val="nil"/>
              <w:bottom w:val="nil"/>
              <w:right w:val="nil"/>
            </w:tcBorders>
            <w:vAlign w:val="center"/>
          </w:tcPr>
          <w:p w14:paraId="5D5301D2"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101 343</w:t>
            </w:r>
          </w:p>
        </w:tc>
        <w:tc>
          <w:tcPr>
            <w:tcW w:w="1134" w:type="dxa"/>
            <w:tcBorders>
              <w:top w:val="nil"/>
              <w:left w:val="nil"/>
              <w:bottom w:val="nil"/>
              <w:right w:val="nil"/>
            </w:tcBorders>
            <w:vAlign w:val="center"/>
          </w:tcPr>
          <w:p w14:paraId="5479AB15"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90 194</w:t>
            </w:r>
          </w:p>
        </w:tc>
        <w:tc>
          <w:tcPr>
            <w:tcW w:w="1276" w:type="dxa"/>
            <w:tcBorders>
              <w:top w:val="nil"/>
              <w:left w:val="nil"/>
              <w:bottom w:val="nil"/>
              <w:right w:val="nil"/>
            </w:tcBorders>
            <w:vAlign w:val="center"/>
          </w:tcPr>
          <w:p w14:paraId="5AA51DA4"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-11 149</w:t>
            </w:r>
          </w:p>
        </w:tc>
      </w:tr>
      <w:tr w:rsidR="00700A8C" w:rsidRPr="007F76A3" w14:paraId="78364718" w14:textId="77777777" w:rsidTr="000432A6">
        <w:trPr>
          <w:trHeight w:val="300"/>
        </w:trPr>
        <w:tc>
          <w:tcPr>
            <w:tcW w:w="4395" w:type="dxa"/>
            <w:tcBorders>
              <w:top w:val="nil"/>
              <w:left w:val="nil"/>
              <w:bottom w:val="nil"/>
              <w:right w:val="nil"/>
            </w:tcBorders>
            <w:vAlign w:val="center"/>
          </w:tcPr>
          <w:p w14:paraId="3F79844C"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MH Manažment, a.s.</w:t>
            </w:r>
          </w:p>
        </w:tc>
        <w:tc>
          <w:tcPr>
            <w:tcW w:w="1134" w:type="dxa"/>
            <w:tcBorders>
              <w:top w:val="nil"/>
              <w:left w:val="nil"/>
              <w:bottom w:val="nil"/>
              <w:right w:val="nil"/>
            </w:tcBorders>
            <w:noWrap/>
            <w:vAlign w:val="center"/>
          </w:tcPr>
          <w:p w14:paraId="33D521B7"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100 000</w:t>
            </w:r>
          </w:p>
        </w:tc>
        <w:tc>
          <w:tcPr>
            <w:tcW w:w="1134" w:type="dxa"/>
            <w:tcBorders>
              <w:top w:val="nil"/>
              <w:left w:val="nil"/>
              <w:bottom w:val="nil"/>
              <w:right w:val="nil"/>
            </w:tcBorders>
            <w:noWrap/>
            <w:vAlign w:val="center"/>
          </w:tcPr>
          <w:p w14:paraId="127B359C"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100 000</w:t>
            </w:r>
          </w:p>
        </w:tc>
        <w:tc>
          <w:tcPr>
            <w:tcW w:w="1134" w:type="dxa"/>
            <w:tcBorders>
              <w:top w:val="nil"/>
              <w:left w:val="nil"/>
              <w:bottom w:val="nil"/>
              <w:right w:val="nil"/>
            </w:tcBorders>
            <w:noWrap/>
            <w:vAlign w:val="center"/>
          </w:tcPr>
          <w:p w14:paraId="1BC46A21"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87 000</w:t>
            </w:r>
          </w:p>
        </w:tc>
        <w:tc>
          <w:tcPr>
            <w:tcW w:w="1276" w:type="dxa"/>
            <w:tcBorders>
              <w:top w:val="nil"/>
              <w:left w:val="nil"/>
              <w:bottom w:val="nil"/>
              <w:right w:val="nil"/>
            </w:tcBorders>
            <w:vAlign w:val="center"/>
          </w:tcPr>
          <w:p w14:paraId="59284044"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-13 000</w:t>
            </w:r>
          </w:p>
        </w:tc>
      </w:tr>
      <w:tr w:rsidR="00700A8C" w:rsidRPr="007F76A3" w14:paraId="66309895" w14:textId="77777777" w:rsidTr="000432A6">
        <w:trPr>
          <w:trHeight w:val="300"/>
        </w:trPr>
        <w:tc>
          <w:tcPr>
            <w:tcW w:w="4395" w:type="dxa"/>
            <w:tcBorders>
              <w:top w:val="nil"/>
              <w:left w:val="nil"/>
              <w:bottom w:val="nil"/>
              <w:right w:val="nil"/>
            </w:tcBorders>
            <w:vAlign w:val="center"/>
          </w:tcPr>
          <w:p w14:paraId="55524E1E" w14:textId="77777777" w:rsidR="00700A8C" w:rsidRPr="007F76A3" w:rsidRDefault="00700A8C" w:rsidP="000432A6">
            <w:pPr>
              <w:spacing w:after="0" w:line="336" w:lineRule="auto"/>
              <w:ind w:firstLineChars="178" w:firstLine="356"/>
              <w:rPr>
                <w:color w:val="000000"/>
                <w:sz w:val="20"/>
                <w:szCs w:val="20"/>
                <w:lang w:eastAsia="sk-SK"/>
              </w:rPr>
            </w:pPr>
            <w:r w:rsidRPr="007F76A3">
              <w:rPr>
                <w:color w:val="000000"/>
                <w:sz w:val="20"/>
                <w:szCs w:val="20"/>
                <w:lang w:eastAsia="sk-SK"/>
              </w:rPr>
              <w:t>Exportno-importná banka</w:t>
            </w:r>
          </w:p>
        </w:tc>
        <w:tc>
          <w:tcPr>
            <w:tcW w:w="1134" w:type="dxa"/>
            <w:tcBorders>
              <w:top w:val="nil"/>
              <w:left w:val="nil"/>
              <w:bottom w:val="nil"/>
              <w:right w:val="nil"/>
            </w:tcBorders>
            <w:noWrap/>
            <w:vAlign w:val="center"/>
          </w:tcPr>
          <w:p w14:paraId="518BAC0A"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93 623</w:t>
            </w:r>
          </w:p>
        </w:tc>
        <w:tc>
          <w:tcPr>
            <w:tcW w:w="1134" w:type="dxa"/>
            <w:tcBorders>
              <w:top w:val="nil"/>
              <w:left w:val="nil"/>
              <w:bottom w:val="nil"/>
              <w:right w:val="nil"/>
            </w:tcBorders>
            <w:noWrap/>
            <w:vAlign w:val="center"/>
          </w:tcPr>
          <w:p w14:paraId="7653DEFC"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95 404</w:t>
            </w:r>
          </w:p>
        </w:tc>
        <w:tc>
          <w:tcPr>
            <w:tcW w:w="1134" w:type="dxa"/>
            <w:tcBorders>
              <w:top w:val="nil"/>
              <w:left w:val="nil"/>
              <w:bottom w:val="nil"/>
              <w:right w:val="nil"/>
            </w:tcBorders>
            <w:noWrap/>
            <w:vAlign w:val="center"/>
          </w:tcPr>
          <w:p w14:paraId="0A9E6435"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87 000</w:t>
            </w:r>
          </w:p>
        </w:tc>
        <w:tc>
          <w:tcPr>
            <w:tcW w:w="1276" w:type="dxa"/>
            <w:tcBorders>
              <w:top w:val="nil"/>
              <w:left w:val="nil"/>
              <w:bottom w:val="nil"/>
              <w:right w:val="nil"/>
            </w:tcBorders>
            <w:vAlign w:val="center"/>
          </w:tcPr>
          <w:p w14:paraId="79770610" w14:textId="77777777" w:rsidR="00700A8C" w:rsidRPr="007F76A3" w:rsidRDefault="00700A8C" w:rsidP="000432A6">
            <w:pPr>
              <w:spacing w:after="0" w:line="336" w:lineRule="auto"/>
              <w:jc w:val="right"/>
              <w:rPr>
                <w:color w:val="000000"/>
                <w:sz w:val="20"/>
                <w:szCs w:val="20"/>
                <w:lang w:eastAsia="sk-SK"/>
              </w:rPr>
            </w:pPr>
            <w:r w:rsidRPr="007F76A3">
              <w:rPr>
                <w:color w:val="000000"/>
                <w:sz w:val="20"/>
                <w:szCs w:val="20"/>
                <w:lang w:eastAsia="sk-SK"/>
              </w:rPr>
              <w:t>-8 404</w:t>
            </w:r>
          </w:p>
        </w:tc>
      </w:tr>
      <w:tr w:rsidR="00700A8C" w:rsidRPr="007F76A3" w14:paraId="0F732678" w14:textId="77777777" w:rsidTr="000432A6">
        <w:trPr>
          <w:trHeight w:val="300"/>
        </w:trPr>
        <w:tc>
          <w:tcPr>
            <w:tcW w:w="4395" w:type="dxa"/>
            <w:tcBorders>
              <w:top w:val="single" w:sz="4" w:space="0" w:color="auto"/>
              <w:left w:val="nil"/>
              <w:bottom w:val="single" w:sz="4" w:space="0" w:color="auto"/>
              <w:right w:val="nil"/>
            </w:tcBorders>
            <w:shd w:val="clear" w:color="000000" w:fill="BFBFBF"/>
            <w:noWrap/>
            <w:vAlign w:val="center"/>
            <w:hideMark/>
          </w:tcPr>
          <w:p w14:paraId="715A873C" w14:textId="77777777" w:rsidR="00700A8C" w:rsidRPr="007F76A3" w:rsidRDefault="00700A8C" w:rsidP="000432A6">
            <w:pPr>
              <w:spacing w:after="0" w:line="240" w:lineRule="auto"/>
              <w:rPr>
                <w:b/>
                <w:bCs/>
                <w:color w:val="000000"/>
                <w:sz w:val="20"/>
                <w:szCs w:val="20"/>
                <w:lang w:eastAsia="sk-SK"/>
              </w:rPr>
            </w:pPr>
            <w:r w:rsidRPr="007F76A3">
              <w:rPr>
                <w:b/>
                <w:bCs/>
                <w:color w:val="000000"/>
                <w:sz w:val="20"/>
                <w:szCs w:val="20"/>
                <w:lang w:eastAsia="sk-SK"/>
              </w:rPr>
              <w:t>Spolu</w:t>
            </w:r>
          </w:p>
        </w:tc>
        <w:tc>
          <w:tcPr>
            <w:tcW w:w="1134" w:type="dxa"/>
            <w:tcBorders>
              <w:top w:val="single" w:sz="4" w:space="0" w:color="auto"/>
              <w:left w:val="nil"/>
              <w:bottom w:val="single" w:sz="4" w:space="0" w:color="auto"/>
              <w:right w:val="nil"/>
            </w:tcBorders>
            <w:shd w:val="clear" w:color="000000" w:fill="BFBFBF"/>
            <w:vAlign w:val="center"/>
          </w:tcPr>
          <w:p w14:paraId="3902F358" w14:textId="77777777" w:rsidR="00700A8C" w:rsidRPr="007F76A3" w:rsidRDefault="00700A8C" w:rsidP="000432A6">
            <w:pPr>
              <w:spacing w:after="0" w:line="240" w:lineRule="auto"/>
              <w:jc w:val="right"/>
              <w:rPr>
                <w:b/>
                <w:bCs/>
                <w:color w:val="000000"/>
                <w:sz w:val="20"/>
                <w:szCs w:val="20"/>
                <w:lang w:eastAsia="sk-SK"/>
              </w:rPr>
            </w:pPr>
            <w:r w:rsidRPr="007F76A3">
              <w:rPr>
                <w:b/>
                <w:bCs/>
                <w:color w:val="000000"/>
                <w:sz w:val="20"/>
                <w:szCs w:val="20"/>
                <w:lang w:eastAsia="sk-SK"/>
              </w:rPr>
              <w:t>4 869 932</w:t>
            </w:r>
          </w:p>
        </w:tc>
        <w:tc>
          <w:tcPr>
            <w:tcW w:w="1134" w:type="dxa"/>
            <w:tcBorders>
              <w:top w:val="single" w:sz="4" w:space="0" w:color="auto"/>
              <w:left w:val="nil"/>
              <w:bottom w:val="single" w:sz="4" w:space="0" w:color="auto"/>
              <w:right w:val="nil"/>
            </w:tcBorders>
            <w:shd w:val="clear" w:color="000000" w:fill="BFBFBF"/>
            <w:vAlign w:val="center"/>
          </w:tcPr>
          <w:p w14:paraId="413E5C32" w14:textId="77777777" w:rsidR="00700A8C" w:rsidRPr="007F76A3" w:rsidRDefault="00700A8C" w:rsidP="000432A6">
            <w:pPr>
              <w:spacing w:after="0" w:line="240" w:lineRule="auto"/>
              <w:jc w:val="right"/>
              <w:rPr>
                <w:b/>
                <w:bCs/>
                <w:color w:val="000000"/>
                <w:sz w:val="20"/>
                <w:szCs w:val="20"/>
                <w:lang w:eastAsia="sk-SK"/>
              </w:rPr>
            </w:pPr>
            <w:r w:rsidRPr="007F76A3">
              <w:rPr>
                <w:b/>
                <w:bCs/>
                <w:color w:val="000000"/>
                <w:sz w:val="20"/>
                <w:szCs w:val="20"/>
                <w:lang w:eastAsia="sk-SK"/>
              </w:rPr>
              <w:t>8 736 783</w:t>
            </w:r>
          </w:p>
        </w:tc>
        <w:tc>
          <w:tcPr>
            <w:tcW w:w="1134" w:type="dxa"/>
            <w:tcBorders>
              <w:top w:val="single" w:sz="4" w:space="0" w:color="auto"/>
              <w:left w:val="nil"/>
              <w:bottom w:val="single" w:sz="4" w:space="0" w:color="auto"/>
              <w:right w:val="nil"/>
            </w:tcBorders>
            <w:shd w:val="clear" w:color="000000" w:fill="BFBFBF"/>
            <w:vAlign w:val="center"/>
          </w:tcPr>
          <w:p w14:paraId="1063D337" w14:textId="77777777" w:rsidR="00700A8C" w:rsidRPr="007F76A3" w:rsidRDefault="00700A8C" w:rsidP="000432A6">
            <w:pPr>
              <w:spacing w:after="0" w:line="240" w:lineRule="auto"/>
              <w:jc w:val="right"/>
              <w:rPr>
                <w:b/>
                <w:bCs/>
                <w:color w:val="000000"/>
                <w:sz w:val="20"/>
                <w:szCs w:val="20"/>
                <w:lang w:eastAsia="sk-SK"/>
              </w:rPr>
            </w:pPr>
            <w:r w:rsidRPr="007F76A3">
              <w:rPr>
                <w:b/>
                <w:bCs/>
                <w:color w:val="000000"/>
                <w:sz w:val="20"/>
                <w:szCs w:val="20"/>
                <w:lang w:eastAsia="sk-SK"/>
              </w:rPr>
              <w:t>8 676 472</w:t>
            </w:r>
          </w:p>
        </w:tc>
        <w:tc>
          <w:tcPr>
            <w:tcW w:w="1276" w:type="dxa"/>
            <w:tcBorders>
              <w:top w:val="single" w:sz="4" w:space="0" w:color="auto"/>
              <w:left w:val="nil"/>
              <w:bottom w:val="single" w:sz="4" w:space="0" w:color="auto"/>
              <w:right w:val="nil"/>
            </w:tcBorders>
            <w:shd w:val="clear" w:color="000000" w:fill="BFBFBF"/>
            <w:vAlign w:val="center"/>
          </w:tcPr>
          <w:p w14:paraId="60AAB1C8" w14:textId="77777777" w:rsidR="00700A8C" w:rsidRPr="007F76A3" w:rsidRDefault="00700A8C" w:rsidP="000432A6">
            <w:pPr>
              <w:spacing w:after="0" w:line="240" w:lineRule="auto"/>
              <w:jc w:val="right"/>
              <w:rPr>
                <w:b/>
                <w:bCs/>
                <w:color w:val="000000"/>
                <w:sz w:val="20"/>
                <w:szCs w:val="20"/>
                <w:lang w:eastAsia="sk-SK"/>
              </w:rPr>
            </w:pPr>
            <w:r w:rsidRPr="007F76A3">
              <w:rPr>
                <w:b/>
                <w:bCs/>
                <w:color w:val="000000"/>
                <w:sz w:val="20"/>
                <w:szCs w:val="20"/>
                <w:lang w:eastAsia="sk-SK"/>
              </w:rPr>
              <w:t>-60 311</w:t>
            </w:r>
          </w:p>
        </w:tc>
      </w:tr>
    </w:tbl>
    <w:p w14:paraId="4F9770C8" w14:textId="77777777" w:rsidR="00700A8C" w:rsidRPr="00996C4F" w:rsidRDefault="00700A8C" w:rsidP="006000EB">
      <w:pPr>
        <w:spacing w:after="120" w:line="336" w:lineRule="auto"/>
        <w:jc w:val="right"/>
        <w:rPr>
          <w:sz w:val="18"/>
          <w:szCs w:val="18"/>
        </w:rPr>
      </w:pPr>
      <w:r w:rsidRPr="00996C4F">
        <w:rPr>
          <w:sz w:val="18"/>
          <w:szCs w:val="18"/>
        </w:rPr>
        <w:t>Zdroj: Účtovné závierky subjektov</w:t>
      </w:r>
    </w:p>
    <w:p w14:paraId="7FCE826B" w14:textId="77777777" w:rsidR="00700A8C" w:rsidRDefault="00700A8C" w:rsidP="006000EB">
      <w:pPr>
        <w:spacing w:after="120" w:line="336" w:lineRule="auto"/>
        <w:jc w:val="both"/>
        <w:rPr>
          <w:szCs w:val="22"/>
        </w:rPr>
      </w:pPr>
      <w:r w:rsidRPr="00BF4614">
        <w:rPr>
          <w:szCs w:val="22"/>
        </w:rPr>
        <w:t>Pre koncept čistého bohatstva musia byť celkové podmienené aktíva verejného sektora upravené o nasledovné položky. Časť vyčíslenej spornej sumy, o ktorú sa súdi Vodohospodárska výstavba, š.</w:t>
      </w:r>
      <w:r>
        <w:rPr>
          <w:szCs w:val="22"/>
        </w:rPr>
        <w:t xml:space="preserve"> </w:t>
      </w:r>
      <w:r w:rsidRPr="00BF4614">
        <w:rPr>
          <w:szCs w:val="22"/>
        </w:rPr>
        <w:t>p. so Slovenskými elektrárňami, a.s., bola od celkových podmienených aktív odpočítaná</w:t>
      </w:r>
      <w:r>
        <w:rPr>
          <w:szCs w:val="22"/>
        </w:rPr>
        <w:t xml:space="preserve"> (138 648 tis. eur)</w:t>
      </w:r>
      <w:r w:rsidRPr="00BF4614">
        <w:rPr>
          <w:szCs w:val="22"/>
        </w:rPr>
        <w:t>. Táto časť zodpovedá 34 % vlastníckemu podielu štátu v SE, a.s. Z pohľadu verejného sektora ide o vzájomnú konsolidáciu. Odpočítané</w:t>
      </w:r>
      <w:r>
        <w:rPr>
          <w:szCs w:val="22"/>
        </w:rPr>
        <w:t xml:space="preserve"> boli tiež prijaté záruky EXIM B</w:t>
      </w:r>
      <w:r w:rsidRPr="00BF4614">
        <w:rPr>
          <w:szCs w:val="22"/>
        </w:rPr>
        <w:t>anky</w:t>
      </w:r>
      <w:r>
        <w:rPr>
          <w:szCs w:val="22"/>
        </w:rPr>
        <w:t xml:space="preserve"> (140 378 tis. eur), </w:t>
      </w:r>
      <w:r w:rsidRPr="00BF4614">
        <w:rPr>
          <w:szCs w:val="22"/>
        </w:rPr>
        <w:t>SEPS, a.</w:t>
      </w:r>
      <w:r>
        <w:rPr>
          <w:szCs w:val="22"/>
        </w:rPr>
        <w:t> </w:t>
      </w:r>
      <w:r w:rsidRPr="00BF4614">
        <w:rPr>
          <w:szCs w:val="22"/>
        </w:rPr>
        <w:t>s.</w:t>
      </w:r>
      <w:r>
        <w:rPr>
          <w:szCs w:val="22"/>
        </w:rPr>
        <w:t xml:space="preserve"> (115 475 tis. eur)</w:t>
      </w:r>
      <w:r w:rsidRPr="00BF4614">
        <w:rPr>
          <w:szCs w:val="22"/>
        </w:rPr>
        <w:t xml:space="preserve"> a SPP, a.s.</w:t>
      </w:r>
      <w:r>
        <w:rPr>
          <w:szCs w:val="22"/>
        </w:rPr>
        <w:t xml:space="preserve"> (90 194 tis. eur).</w:t>
      </w:r>
    </w:p>
    <w:p w14:paraId="53ABF35C" w14:textId="61FB0EA6" w:rsidR="001D3593" w:rsidRPr="00EF63AB" w:rsidRDefault="00700A8C" w:rsidP="006000EB">
      <w:pPr>
        <w:spacing w:after="120" w:line="336" w:lineRule="auto"/>
        <w:jc w:val="both"/>
        <w:rPr>
          <w:color w:val="FF0000"/>
          <w:szCs w:val="22"/>
          <w:highlight w:val="yellow"/>
        </w:rPr>
      </w:pPr>
      <w:r w:rsidRPr="00BF4614">
        <w:rPr>
          <w:szCs w:val="22"/>
        </w:rPr>
        <w:t>V týchto prípadoch,</w:t>
      </w:r>
      <w:r>
        <w:rPr>
          <w:szCs w:val="22"/>
        </w:rPr>
        <w:t xml:space="preserve"> ak by boli záruky realizované, </w:t>
      </w:r>
      <w:r w:rsidRPr="00BF4614">
        <w:rPr>
          <w:szCs w:val="22"/>
        </w:rPr>
        <w:t>vlastné imanie a čisté bohatstvo by nevzrástlo, pretože príjmy z realizovaných záruk by len nahradili existujúce</w:t>
      </w:r>
      <w:r>
        <w:rPr>
          <w:szCs w:val="22"/>
        </w:rPr>
        <w:t xml:space="preserve"> bilančné aktíva (úvery u EXIM B</w:t>
      </w:r>
      <w:r w:rsidRPr="00BF4614">
        <w:rPr>
          <w:szCs w:val="22"/>
        </w:rPr>
        <w:t>anky a obchodné pohľadávky u SEPS, a.</w:t>
      </w:r>
      <w:r>
        <w:rPr>
          <w:szCs w:val="22"/>
        </w:rPr>
        <w:t xml:space="preserve"> </w:t>
      </w:r>
      <w:r w:rsidRPr="00BF4614">
        <w:rPr>
          <w:szCs w:val="22"/>
        </w:rPr>
        <w:t>s. a SPP, a.</w:t>
      </w:r>
      <w:r>
        <w:rPr>
          <w:szCs w:val="22"/>
        </w:rPr>
        <w:t xml:space="preserve"> </w:t>
      </w:r>
      <w:r w:rsidRPr="00BF4614">
        <w:rPr>
          <w:szCs w:val="22"/>
        </w:rPr>
        <w:t>s.). Tieto podmienené aktíva teda nepredstavujú potenciálny zdroj zvýšenia vlastného imania verejného sektora. Pri pohľadávkach v správe SKo, a.s. bola upravená výška menovitej hodnoty o pohľadávky, ktoré boli predmetom konsolidačných úprav v rámci ústrednej správy</w:t>
      </w:r>
      <w:r>
        <w:rPr>
          <w:szCs w:val="22"/>
        </w:rPr>
        <w:t xml:space="preserve"> (2 553 380 tis. eur)</w:t>
      </w:r>
      <w:r w:rsidRPr="00BF4614">
        <w:rPr>
          <w:szCs w:val="22"/>
        </w:rPr>
        <w:t>. Prevod splatných pohľadávok, ktoré odovzdávajú resp. odpredávajú organizácie ústrednej správy Slovenskej konsolidačnej, a.s. sa eliminuje a k pohľadávkam sa tvorí opravná položka. Akt prevodu pohľadávok znamená dôvod na zníženie ich účtovnej ho</w:t>
      </w:r>
      <w:r>
        <w:rPr>
          <w:szCs w:val="22"/>
        </w:rPr>
        <w:t>dnoty, čo má negatívny vplyv na </w:t>
      </w:r>
      <w:r w:rsidRPr="00BF4614">
        <w:rPr>
          <w:szCs w:val="22"/>
        </w:rPr>
        <w:t xml:space="preserve">vlastné imanie a tým aj čisté bohatstvo. Zároveň tieto precenené pohľadávky nemôžu byť v pôvodnej hodnote na strane podmienených aktív. </w:t>
      </w:r>
      <w:r>
        <w:rPr>
          <w:szCs w:val="22"/>
        </w:rPr>
        <w:t>Ďalšou</w:t>
      </w:r>
      <w:r w:rsidRPr="00BF4614">
        <w:rPr>
          <w:szCs w:val="22"/>
        </w:rPr>
        <w:t xml:space="preserve"> </w:t>
      </w:r>
      <w:r w:rsidRPr="00F44C4B">
        <w:rPr>
          <w:szCs w:val="22"/>
        </w:rPr>
        <w:t xml:space="preserve">úpravou pre výpočet čistého bohatstva je </w:t>
      </w:r>
      <w:r>
        <w:rPr>
          <w:szCs w:val="22"/>
        </w:rPr>
        <w:t xml:space="preserve">eliminácia podsúvahovej hodnoty </w:t>
      </w:r>
      <w:r w:rsidRPr="00F44C4B">
        <w:rPr>
          <w:szCs w:val="22"/>
        </w:rPr>
        <w:t>pohľadáv</w:t>
      </w:r>
      <w:r>
        <w:rPr>
          <w:szCs w:val="22"/>
        </w:rPr>
        <w:t>o</w:t>
      </w:r>
      <w:r w:rsidRPr="00F44C4B">
        <w:rPr>
          <w:szCs w:val="22"/>
        </w:rPr>
        <w:t xml:space="preserve">k </w:t>
      </w:r>
      <w:r>
        <w:rPr>
          <w:szCs w:val="22"/>
        </w:rPr>
        <w:t xml:space="preserve">spoločnosti Debitum, a. s. </w:t>
      </w:r>
      <w:r w:rsidRPr="00F44C4B">
        <w:rPr>
          <w:szCs w:val="22"/>
        </w:rPr>
        <w:t xml:space="preserve">vo výške </w:t>
      </w:r>
      <w:r>
        <w:rPr>
          <w:szCs w:val="22"/>
        </w:rPr>
        <w:t>198 278 tis. eur.</w:t>
      </w:r>
      <w:r w:rsidR="007F76A3">
        <w:rPr>
          <w:szCs w:val="22"/>
        </w:rPr>
        <w:t xml:space="preserve"> </w:t>
      </w:r>
      <w:r w:rsidRPr="00EB4D8A">
        <w:rPr>
          <w:b/>
        </w:rPr>
        <w:t xml:space="preserve">Z dôvodu </w:t>
      </w:r>
      <w:r>
        <w:rPr>
          <w:b/>
        </w:rPr>
        <w:t xml:space="preserve">abstrahovania od </w:t>
      </w:r>
      <w:r w:rsidRPr="00EB4D8A">
        <w:rPr>
          <w:b/>
        </w:rPr>
        <w:t xml:space="preserve">vzájomných vzťahov </w:t>
      </w:r>
      <w:r>
        <w:rPr>
          <w:b/>
        </w:rPr>
        <w:t>v rámci</w:t>
      </w:r>
      <w:r w:rsidRPr="00EB4D8A">
        <w:rPr>
          <w:b/>
        </w:rPr>
        <w:t xml:space="preserve"> </w:t>
      </w:r>
      <w:r>
        <w:rPr>
          <w:b/>
        </w:rPr>
        <w:t>iných aktív</w:t>
      </w:r>
      <w:r w:rsidRPr="00EB4D8A">
        <w:rPr>
          <w:b/>
        </w:rPr>
        <w:t xml:space="preserve"> (vzájomné súdne spory</w:t>
      </w:r>
      <w:r>
        <w:rPr>
          <w:b/>
        </w:rPr>
        <w:t>, vystavené záruky, pohľadávky) je ich hodnota</w:t>
      </w:r>
      <w:r w:rsidRPr="00EB4D8A">
        <w:rPr>
          <w:b/>
        </w:rPr>
        <w:t xml:space="preserve"> pre účely </w:t>
      </w:r>
      <w:r>
        <w:rPr>
          <w:b/>
        </w:rPr>
        <w:t xml:space="preserve">vyčíslenia </w:t>
      </w:r>
      <w:r w:rsidRPr="00EB4D8A">
        <w:rPr>
          <w:b/>
        </w:rPr>
        <w:t xml:space="preserve">čistého bohatstva </w:t>
      </w:r>
      <w:r>
        <w:rPr>
          <w:b/>
        </w:rPr>
        <w:t>znížená z hodnoty 9 285 535 tis. eur na hodnotu 6 049 108</w:t>
      </w:r>
      <w:r w:rsidRPr="00EB4D8A">
        <w:rPr>
          <w:b/>
        </w:rPr>
        <w:t xml:space="preserve"> tis. eur.</w:t>
      </w:r>
      <w:bookmarkEnd w:id="64"/>
      <w:bookmarkEnd w:id="65"/>
      <w:bookmarkEnd w:id="66"/>
      <w:bookmarkEnd w:id="67"/>
      <w:bookmarkEnd w:id="68"/>
      <w:bookmarkEnd w:id="69"/>
    </w:p>
    <w:p w14:paraId="06A3F98D" w14:textId="77777777" w:rsidR="007A3FF8" w:rsidRPr="00EF63AB" w:rsidRDefault="007A3FF8">
      <w:pPr>
        <w:rPr>
          <w:color w:val="FF0000"/>
          <w:szCs w:val="22"/>
          <w:highlight w:val="yellow"/>
        </w:rPr>
        <w:sectPr w:rsidR="007A3FF8" w:rsidRPr="00EF63AB" w:rsidSect="0059547C">
          <w:headerReference w:type="default" r:id="rId24"/>
          <w:footerReference w:type="default" r:id="rId25"/>
          <w:pgSz w:w="11906" w:h="16838" w:code="9"/>
          <w:pgMar w:top="1418" w:right="1134" w:bottom="1418" w:left="1134" w:header="709" w:footer="709" w:gutter="567"/>
          <w:pgNumType w:start="1"/>
          <w:cols w:space="708"/>
          <w:docGrid w:linePitch="360"/>
        </w:sectPr>
      </w:pPr>
      <w:bookmarkStart w:id="80" w:name="_Toc370908644"/>
      <w:bookmarkStart w:id="81" w:name="_Toc401920038"/>
    </w:p>
    <w:p w14:paraId="5BA943A1" w14:textId="77777777" w:rsidR="00352012" w:rsidRPr="00527688" w:rsidRDefault="00352012" w:rsidP="0009732B">
      <w:pPr>
        <w:pStyle w:val="Nadpis1"/>
        <w:numPr>
          <w:ilvl w:val="0"/>
          <w:numId w:val="0"/>
        </w:numPr>
        <w:ind w:left="714" w:hanging="714"/>
        <w:rPr>
          <w:rFonts w:eastAsia="Times New Roman"/>
          <w:sz w:val="22"/>
          <w:szCs w:val="22"/>
        </w:rPr>
      </w:pPr>
      <w:bookmarkStart w:id="82" w:name="_Toc465255058"/>
      <w:bookmarkStart w:id="83" w:name="_Toc495990501"/>
      <w:bookmarkStart w:id="84" w:name="_Toc23264813"/>
      <w:r w:rsidRPr="00527688">
        <w:t>Zoznam skratiek</w:t>
      </w:r>
      <w:bookmarkEnd w:id="82"/>
      <w:bookmarkEnd w:id="83"/>
      <w:bookmarkEnd w:id="84"/>
      <w:r w:rsidRPr="00527688">
        <w:t xml:space="preserve"> </w:t>
      </w:r>
      <w:bookmarkEnd w:id="80"/>
      <w:bookmarkEnd w:id="81"/>
    </w:p>
    <w:p w14:paraId="0794542E" w14:textId="77777777" w:rsidR="00352012" w:rsidRPr="00527688" w:rsidRDefault="00352012" w:rsidP="00352012">
      <w:pPr>
        <w:spacing w:after="120" w:line="312" w:lineRule="auto"/>
        <w:jc w:val="both"/>
        <w:rPr>
          <w:szCs w:val="22"/>
        </w:rPr>
      </w:pPr>
      <w:r w:rsidRPr="00527688">
        <w:rPr>
          <w:b/>
          <w:szCs w:val="22"/>
        </w:rPr>
        <w:t>CKS</w:t>
      </w:r>
      <w:r w:rsidRPr="00527688">
        <w:rPr>
          <w:szCs w:val="22"/>
        </w:rPr>
        <w:t xml:space="preserve"> – Centrálny konsolidačný systém </w:t>
      </w:r>
    </w:p>
    <w:p w14:paraId="606E1045" w14:textId="77777777" w:rsidR="00352012" w:rsidRPr="00527688" w:rsidRDefault="00352012" w:rsidP="00352012">
      <w:pPr>
        <w:spacing w:after="120" w:line="312" w:lineRule="auto"/>
        <w:jc w:val="both"/>
        <w:rPr>
          <w:szCs w:val="22"/>
        </w:rPr>
      </w:pPr>
      <w:r w:rsidRPr="00527688">
        <w:rPr>
          <w:b/>
          <w:szCs w:val="22"/>
        </w:rPr>
        <w:t>DPH</w:t>
      </w:r>
      <w:r w:rsidRPr="00527688">
        <w:rPr>
          <w:szCs w:val="22"/>
        </w:rPr>
        <w:t xml:space="preserve"> – daň z pridanej hodnoty</w:t>
      </w:r>
    </w:p>
    <w:p w14:paraId="797323AB" w14:textId="77777777" w:rsidR="00352012" w:rsidRPr="00527688" w:rsidRDefault="00352012" w:rsidP="00352012">
      <w:pPr>
        <w:spacing w:after="120" w:line="312" w:lineRule="auto"/>
        <w:jc w:val="both"/>
        <w:rPr>
          <w:szCs w:val="22"/>
        </w:rPr>
      </w:pPr>
      <w:r w:rsidRPr="00527688">
        <w:rPr>
          <w:b/>
          <w:szCs w:val="22"/>
        </w:rPr>
        <w:t>EFSF</w:t>
      </w:r>
      <w:r w:rsidRPr="00527688">
        <w:rPr>
          <w:szCs w:val="22"/>
        </w:rPr>
        <w:t xml:space="preserve"> – Európsky nástroj finančnej stability </w:t>
      </w:r>
    </w:p>
    <w:p w14:paraId="512C59F2" w14:textId="77777777" w:rsidR="00352012" w:rsidRPr="00527688" w:rsidRDefault="00352012" w:rsidP="00352012">
      <w:pPr>
        <w:spacing w:after="120" w:line="312" w:lineRule="auto"/>
        <w:jc w:val="both"/>
        <w:rPr>
          <w:szCs w:val="22"/>
        </w:rPr>
      </w:pPr>
      <w:r w:rsidRPr="00527688">
        <w:rPr>
          <w:b/>
          <w:szCs w:val="22"/>
        </w:rPr>
        <w:t>ESM</w:t>
      </w:r>
      <w:r w:rsidRPr="00527688">
        <w:rPr>
          <w:szCs w:val="22"/>
        </w:rPr>
        <w:t xml:space="preserve"> – Európsky mechanizmus pre stabilitu</w:t>
      </w:r>
      <w:r w:rsidRPr="00527688">
        <w:rPr>
          <w:b/>
          <w:szCs w:val="22"/>
        </w:rPr>
        <w:t xml:space="preserve"> </w:t>
      </w:r>
    </w:p>
    <w:p w14:paraId="2D837873" w14:textId="77777777" w:rsidR="00352012" w:rsidRPr="00527688" w:rsidRDefault="00352012" w:rsidP="00352012">
      <w:pPr>
        <w:spacing w:after="120" w:line="312" w:lineRule="auto"/>
        <w:jc w:val="both"/>
        <w:rPr>
          <w:szCs w:val="22"/>
        </w:rPr>
      </w:pPr>
      <w:r w:rsidRPr="00527688">
        <w:rPr>
          <w:b/>
          <w:szCs w:val="22"/>
        </w:rPr>
        <w:t>ESA 2010</w:t>
      </w:r>
      <w:r w:rsidRPr="00527688">
        <w:rPr>
          <w:szCs w:val="22"/>
        </w:rPr>
        <w:t xml:space="preserve"> - Európsky systém národných a regionálnych účtov 2010</w:t>
      </w:r>
    </w:p>
    <w:p w14:paraId="27B09DF5" w14:textId="77777777" w:rsidR="00352012" w:rsidRPr="00527688" w:rsidRDefault="00352012" w:rsidP="00352012">
      <w:pPr>
        <w:spacing w:after="120" w:line="312" w:lineRule="auto"/>
        <w:jc w:val="both"/>
        <w:rPr>
          <w:szCs w:val="22"/>
        </w:rPr>
      </w:pPr>
      <w:r w:rsidRPr="00527688">
        <w:rPr>
          <w:b/>
          <w:szCs w:val="22"/>
        </w:rPr>
        <w:t>EUROSTAT</w:t>
      </w:r>
      <w:r w:rsidRPr="00527688">
        <w:rPr>
          <w:szCs w:val="22"/>
        </w:rPr>
        <w:t xml:space="preserve"> – Štatistický úrad Európskeho spoločenstva </w:t>
      </w:r>
    </w:p>
    <w:p w14:paraId="3DA8931A" w14:textId="77777777" w:rsidR="00352012" w:rsidRPr="00527688" w:rsidRDefault="00352012" w:rsidP="00352012">
      <w:pPr>
        <w:spacing w:after="120" w:line="312" w:lineRule="auto"/>
        <w:jc w:val="both"/>
        <w:rPr>
          <w:szCs w:val="22"/>
        </w:rPr>
      </w:pPr>
      <w:r w:rsidRPr="00527688">
        <w:rPr>
          <w:b/>
          <w:szCs w:val="22"/>
        </w:rPr>
        <w:t>FNM SR</w:t>
      </w:r>
      <w:r w:rsidRPr="00527688">
        <w:rPr>
          <w:szCs w:val="22"/>
        </w:rPr>
        <w:t xml:space="preserve"> – Fond národného majetku Slovenskej republiky</w:t>
      </w:r>
    </w:p>
    <w:p w14:paraId="072010C9" w14:textId="77777777" w:rsidR="00352012" w:rsidRPr="00527688" w:rsidRDefault="00352012" w:rsidP="00352012">
      <w:pPr>
        <w:spacing w:after="120" w:line="312" w:lineRule="auto"/>
        <w:jc w:val="both"/>
        <w:rPr>
          <w:szCs w:val="22"/>
        </w:rPr>
      </w:pPr>
      <w:r w:rsidRPr="00527688">
        <w:rPr>
          <w:b/>
          <w:szCs w:val="22"/>
        </w:rPr>
        <w:t>GNI</w:t>
      </w:r>
      <w:r w:rsidRPr="00527688">
        <w:rPr>
          <w:szCs w:val="22"/>
        </w:rPr>
        <w:t xml:space="preserve"> – Hrubý národný príjem</w:t>
      </w:r>
    </w:p>
    <w:p w14:paraId="7430954E" w14:textId="77777777" w:rsidR="00352012" w:rsidRPr="00527688" w:rsidRDefault="00352012" w:rsidP="00352012">
      <w:pPr>
        <w:spacing w:after="120" w:line="312" w:lineRule="auto"/>
        <w:jc w:val="both"/>
        <w:rPr>
          <w:szCs w:val="22"/>
        </w:rPr>
      </w:pPr>
      <w:r w:rsidRPr="00527688">
        <w:rPr>
          <w:b/>
          <w:szCs w:val="22"/>
        </w:rPr>
        <w:t>HDP</w:t>
      </w:r>
      <w:r w:rsidRPr="00527688">
        <w:rPr>
          <w:szCs w:val="22"/>
        </w:rPr>
        <w:t xml:space="preserve"> – hrubý domáci produkt</w:t>
      </w:r>
    </w:p>
    <w:p w14:paraId="06DCCA93" w14:textId="77777777" w:rsidR="00352012" w:rsidRPr="00527688" w:rsidRDefault="00352012" w:rsidP="00352012">
      <w:pPr>
        <w:spacing w:after="120" w:line="312" w:lineRule="auto"/>
        <w:rPr>
          <w:szCs w:val="22"/>
        </w:rPr>
      </w:pPr>
      <w:r w:rsidRPr="00527688">
        <w:rPr>
          <w:b/>
          <w:szCs w:val="22"/>
        </w:rPr>
        <w:t>IPSAS</w:t>
      </w:r>
      <w:r w:rsidRPr="00527688">
        <w:rPr>
          <w:szCs w:val="22"/>
        </w:rPr>
        <w:t xml:space="preserve"> - Medzinárodné účtovné štandardy pre verejný sektor</w:t>
      </w:r>
    </w:p>
    <w:p w14:paraId="5F5418FB" w14:textId="77777777" w:rsidR="00352012" w:rsidRPr="00527688" w:rsidRDefault="00352012" w:rsidP="00352012">
      <w:pPr>
        <w:spacing w:after="120" w:line="312" w:lineRule="auto"/>
        <w:jc w:val="both"/>
        <w:rPr>
          <w:szCs w:val="22"/>
        </w:rPr>
      </w:pPr>
      <w:r w:rsidRPr="00527688">
        <w:rPr>
          <w:b/>
          <w:szCs w:val="22"/>
        </w:rPr>
        <w:t>KÚZ</w:t>
      </w:r>
      <w:r w:rsidRPr="00527688">
        <w:rPr>
          <w:szCs w:val="22"/>
        </w:rPr>
        <w:t xml:space="preserve"> – konsolidovaná účtovná závierka</w:t>
      </w:r>
    </w:p>
    <w:p w14:paraId="384F3C23" w14:textId="77777777" w:rsidR="00352012" w:rsidRPr="00527688" w:rsidRDefault="00352012" w:rsidP="00352012">
      <w:pPr>
        <w:spacing w:after="120" w:line="312" w:lineRule="auto"/>
        <w:jc w:val="both"/>
        <w:rPr>
          <w:szCs w:val="22"/>
        </w:rPr>
      </w:pPr>
      <w:r w:rsidRPr="00527688">
        <w:rPr>
          <w:b/>
          <w:szCs w:val="22"/>
        </w:rPr>
        <w:t>MF</w:t>
      </w:r>
      <w:r w:rsidRPr="00527688">
        <w:rPr>
          <w:szCs w:val="22"/>
        </w:rPr>
        <w:t> </w:t>
      </w:r>
      <w:r w:rsidRPr="00527688">
        <w:rPr>
          <w:b/>
          <w:szCs w:val="22"/>
        </w:rPr>
        <w:t>SR</w:t>
      </w:r>
      <w:r w:rsidRPr="00527688">
        <w:rPr>
          <w:szCs w:val="22"/>
        </w:rPr>
        <w:t xml:space="preserve"> – Ministerstvo financií Slovenskej republiky</w:t>
      </w:r>
    </w:p>
    <w:p w14:paraId="52C2D438" w14:textId="77777777" w:rsidR="00352012" w:rsidRPr="00527688" w:rsidRDefault="00352012" w:rsidP="00352012">
      <w:pPr>
        <w:spacing w:after="120" w:line="312" w:lineRule="auto"/>
        <w:jc w:val="both"/>
        <w:rPr>
          <w:szCs w:val="22"/>
        </w:rPr>
      </w:pPr>
      <w:r w:rsidRPr="00527688">
        <w:rPr>
          <w:b/>
          <w:szCs w:val="22"/>
        </w:rPr>
        <w:t>MMF</w:t>
      </w:r>
      <w:r w:rsidRPr="00527688">
        <w:rPr>
          <w:szCs w:val="22"/>
        </w:rPr>
        <w:t xml:space="preserve"> – Medzinárodný menový fond</w:t>
      </w:r>
    </w:p>
    <w:p w14:paraId="17544974" w14:textId="3D9A6BEF" w:rsidR="00352012" w:rsidRDefault="00352012" w:rsidP="00352012">
      <w:pPr>
        <w:spacing w:after="120" w:line="312" w:lineRule="auto"/>
        <w:jc w:val="both"/>
        <w:rPr>
          <w:szCs w:val="22"/>
        </w:rPr>
      </w:pPr>
      <w:r w:rsidRPr="00527688">
        <w:rPr>
          <w:b/>
          <w:szCs w:val="22"/>
        </w:rPr>
        <w:t>OECD</w:t>
      </w:r>
      <w:r w:rsidRPr="00527688">
        <w:rPr>
          <w:szCs w:val="22"/>
        </w:rPr>
        <w:t xml:space="preserve"> – Organizácia pre hospodársku spoluprácu a</w:t>
      </w:r>
      <w:r w:rsidR="00C2563F">
        <w:rPr>
          <w:szCs w:val="22"/>
        </w:rPr>
        <w:t> </w:t>
      </w:r>
      <w:r w:rsidRPr="00527688">
        <w:rPr>
          <w:szCs w:val="22"/>
        </w:rPr>
        <w:t>rozvoj</w:t>
      </w:r>
    </w:p>
    <w:p w14:paraId="71BD9609" w14:textId="2C55128A" w:rsidR="00C2563F" w:rsidRPr="00527688" w:rsidRDefault="00C2563F" w:rsidP="00352012">
      <w:pPr>
        <w:spacing w:after="120" w:line="312" w:lineRule="auto"/>
        <w:jc w:val="both"/>
        <w:rPr>
          <w:szCs w:val="22"/>
        </w:rPr>
      </w:pPr>
      <w:r w:rsidRPr="00C2563F">
        <w:rPr>
          <w:b/>
          <w:szCs w:val="22"/>
        </w:rPr>
        <w:t>OP</w:t>
      </w:r>
      <w:r>
        <w:rPr>
          <w:szCs w:val="22"/>
        </w:rPr>
        <w:t xml:space="preserve"> – operačný program</w:t>
      </w:r>
    </w:p>
    <w:p w14:paraId="1792AA34" w14:textId="77777777" w:rsidR="00352012" w:rsidRPr="00527688" w:rsidRDefault="00352012" w:rsidP="00352012">
      <w:pPr>
        <w:spacing w:after="120" w:line="312" w:lineRule="auto"/>
        <w:jc w:val="both"/>
        <w:rPr>
          <w:szCs w:val="22"/>
        </w:rPr>
      </w:pPr>
      <w:r w:rsidRPr="00527688">
        <w:rPr>
          <w:b/>
          <w:szCs w:val="22"/>
        </w:rPr>
        <w:t>OS</w:t>
      </w:r>
      <w:r w:rsidRPr="00527688">
        <w:rPr>
          <w:szCs w:val="22"/>
        </w:rPr>
        <w:t xml:space="preserve"> – obchodné spoločnosti</w:t>
      </w:r>
    </w:p>
    <w:p w14:paraId="7098562B" w14:textId="77777777" w:rsidR="00352012" w:rsidRPr="00527688" w:rsidRDefault="00352012" w:rsidP="00352012">
      <w:pPr>
        <w:spacing w:after="120" w:line="312" w:lineRule="auto"/>
        <w:jc w:val="both"/>
        <w:rPr>
          <w:szCs w:val="22"/>
        </w:rPr>
      </w:pPr>
      <w:r w:rsidRPr="00527688">
        <w:rPr>
          <w:b/>
          <w:szCs w:val="22"/>
        </w:rPr>
        <w:t>OSN</w:t>
      </w:r>
      <w:r w:rsidRPr="00527688">
        <w:rPr>
          <w:szCs w:val="22"/>
        </w:rPr>
        <w:t xml:space="preserve"> – Organizácia spojených národov</w:t>
      </w:r>
    </w:p>
    <w:p w14:paraId="1F2EA230" w14:textId="77777777" w:rsidR="00352012" w:rsidRPr="00527688" w:rsidRDefault="00352012" w:rsidP="00352012">
      <w:pPr>
        <w:spacing w:after="120" w:line="312" w:lineRule="auto"/>
        <w:jc w:val="both"/>
        <w:rPr>
          <w:szCs w:val="22"/>
        </w:rPr>
      </w:pPr>
      <w:r w:rsidRPr="00527688">
        <w:rPr>
          <w:b/>
          <w:szCs w:val="22"/>
        </w:rPr>
        <w:t xml:space="preserve">PPP </w:t>
      </w:r>
      <w:r w:rsidRPr="00527688">
        <w:rPr>
          <w:szCs w:val="22"/>
        </w:rPr>
        <w:t>– projekt verejno-súkromného partnerstva</w:t>
      </w:r>
    </w:p>
    <w:p w14:paraId="5B10DAEF" w14:textId="77777777" w:rsidR="00352012" w:rsidRPr="00527688" w:rsidRDefault="00352012" w:rsidP="00352012">
      <w:pPr>
        <w:spacing w:after="120" w:line="312" w:lineRule="auto"/>
        <w:jc w:val="both"/>
        <w:rPr>
          <w:szCs w:val="22"/>
        </w:rPr>
      </w:pPr>
      <w:r w:rsidRPr="00527688">
        <w:rPr>
          <w:b/>
          <w:szCs w:val="22"/>
        </w:rPr>
        <w:t>PO</w:t>
      </w:r>
      <w:r w:rsidRPr="00527688">
        <w:rPr>
          <w:szCs w:val="22"/>
        </w:rPr>
        <w:t xml:space="preserve"> – príspevkové organizácie</w:t>
      </w:r>
    </w:p>
    <w:p w14:paraId="30ABF850" w14:textId="77777777" w:rsidR="00352012" w:rsidRPr="00527688" w:rsidRDefault="00352012" w:rsidP="00352012">
      <w:pPr>
        <w:spacing w:after="120" w:line="312" w:lineRule="auto"/>
        <w:jc w:val="both"/>
        <w:rPr>
          <w:szCs w:val="22"/>
        </w:rPr>
      </w:pPr>
      <w:r w:rsidRPr="00527688">
        <w:rPr>
          <w:b/>
          <w:szCs w:val="22"/>
        </w:rPr>
        <w:t>RO</w:t>
      </w:r>
      <w:r w:rsidRPr="00527688">
        <w:rPr>
          <w:szCs w:val="22"/>
        </w:rPr>
        <w:t xml:space="preserve"> – rozpočtové organizácie</w:t>
      </w:r>
    </w:p>
    <w:p w14:paraId="5061E7B5" w14:textId="77777777" w:rsidR="00BF11BC" w:rsidRPr="00527688" w:rsidRDefault="00BF11BC" w:rsidP="00352012">
      <w:pPr>
        <w:spacing w:after="120" w:line="312" w:lineRule="auto"/>
        <w:jc w:val="both"/>
        <w:rPr>
          <w:b/>
          <w:szCs w:val="22"/>
        </w:rPr>
      </w:pPr>
      <w:r w:rsidRPr="00527688">
        <w:rPr>
          <w:b/>
          <w:szCs w:val="22"/>
        </w:rPr>
        <w:t>SDR</w:t>
      </w:r>
      <w:r w:rsidR="009F6BD6" w:rsidRPr="00527688">
        <w:rPr>
          <w:b/>
          <w:szCs w:val="22"/>
        </w:rPr>
        <w:t xml:space="preserve"> – </w:t>
      </w:r>
      <w:r w:rsidR="009F6BD6" w:rsidRPr="00527688">
        <w:rPr>
          <w:szCs w:val="22"/>
        </w:rPr>
        <w:t>špeciálne práva čerpania</w:t>
      </w:r>
      <w:r w:rsidR="005E7ABD" w:rsidRPr="00527688">
        <w:rPr>
          <w:szCs w:val="22"/>
        </w:rPr>
        <w:t>, jednotná menová a účtovná jednotka používaná v rámci Medzinárodného menového fondu</w:t>
      </w:r>
    </w:p>
    <w:p w14:paraId="5702F201" w14:textId="77777777" w:rsidR="00352012" w:rsidRPr="00527688" w:rsidRDefault="00352012" w:rsidP="00352012">
      <w:pPr>
        <w:spacing w:after="120" w:line="312" w:lineRule="auto"/>
        <w:jc w:val="both"/>
        <w:rPr>
          <w:szCs w:val="22"/>
        </w:rPr>
      </w:pPr>
      <w:r w:rsidRPr="00527688">
        <w:rPr>
          <w:b/>
          <w:szCs w:val="22"/>
        </w:rPr>
        <w:t>SVS</w:t>
      </w:r>
      <w:r w:rsidRPr="00527688">
        <w:rPr>
          <w:szCs w:val="22"/>
        </w:rPr>
        <w:t xml:space="preserve"> – Súhrnná výročná správa SR</w:t>
      </w:r>
    </w:p>
    <w:p w14:paraId="270AF5BE" w14:textId="77777777" w:rsidR="00352012" w:rsidRPr="00527688" w:rsidRDefault="00352012" w:rsidP="00352012">
      <w:pPr>
        <w:spacing w:after="120" w:line="312" w:lineRule="auto"/>
        <w:jc w:val="both"/>
        <w:rPr>
          <w:szCs w:val="22"/>
        </w:rPr>
      </w:pPr>
      <w:r w:rsidRPr="00527688">
        <w:rPr>
          <w:b/>
          <w:szCs w:val="22"/>
        </w:rPr>
        <w:t>SZČO</w:t>
      </w:r>
      <w:r w:rsidRPr="00527688">
        <w:rPr>
          <w:szCs w:val="22"/>
        </w:rPr>
        <w:t xml:space="preserve"> – samostatne zárobkovo činná osoba</w:t>
      </w:r>
    </w:p>
    <w:p w14:paraId="6A824AA5" w14:textId="77777777" w:rsidR="00352012" w:rsidRPr="00527688" w:rsidRDefault="00352012" w:rsidP="00352012">
      <w:pPr>
        <w:spacing w:after="120" w:line="312" w:lineRule="auto"/>
        <w:jc w:val="both"/>
        <w:rPr>
          <w:szCs w:val="22"/>
        </w:rPr>
      </w:pPr>
      <w:r w:rsidRPr="00527688">
        <w:rPr>
          <w:b/>
          <w:szCs w:val="22"/>
        </w:rPr>
        <w:t>ŠÚ</w:t>
      </w:r>
      <w:r w:rsidRPr="00527688">
        <w:rPr>
          <w:szCs w:val="22"/>
        </w:rPr>
        <w:t> </w:t>
      </w:r>
      <w:r w:rsidRPr="00527688">
        <w:rPr>
          <w:b/>
          <w:szCs w:val="22"/>
        </w:rPr>
        <w:t>SR</w:t>
      </w:r>
      <w:r w:rsidRPr="00527688">
        <w:rPr>
          <w:szCs w:val="22"/>
        </w:rPr>
        <w:t xml:space="preserve"> – Štatistický úrad Slovenskej republiky</w:t>
      </w:r>
    </w:p>
    <w:p w14:paraId="237686DE" w14:textId="77777777" w:rsidR="00352012" w:rsidRPr="00527688" w:rsidRDefault="00352012" w:rsidP="00352012">
      <w:pPr>
        <w:spacing w:after="120" w:line="312" w:lineRule="auto"/>
        <w:jc w:val="both"/>
        <w:rPr>
          <w:szCs w:val="22"/>
        </w:rPr>
      </w:pPr>
      <w:r w:rsidRPr="00527688">
        <w:rPr>
          <w:b/>
          <w:szCs w:val="22"/>
        </w:rPr>
        <w:t xml:space="preserve">ŠZÚ </w:t>
      </w:r>
      <w:r w:rsidRPr="00527688">
        <w:rPr>
          <w:szCs w:val="22"/>
        </w:rPr>
        <w:t>– Štátny záverečný účet SR</w:t>
      </w:r>
    </w:p>
    <w:p w14:paraId="1520ADD8" w14:textId="77777777" w:rsidR="00352012" w:rsidRPr="00527688" w:rsidRDefault="00352012" w:rsidP="00352012">
      <w:pPr>
        <w:spacing w:after="120" w:line="312" w:lineRule="auto"/>
        <w:jc w:val="both"/>
        <w:rPr>
          <w:szCs w:val="22"/>
        </w:rPr>
      </w:pPr>
      <w:r w:rsidRPr="00527688">
        <w:rPr>
          <w:b/>
          <w:szCs w:val="22"/>
        </w:rPr>
        <w:t xml:space="preserve">ÚJ </w:t>
      </w:r>
      <w:r w:rsidRPr="00527688">
        <w:rPr>
          <w:szCs w:val="22"/>
        </w:rPr>
        <w:t>– účtovná jednotka</w:t>
      </w:r>
    </w:p>
    <w:p w14:paraId="21B9FDFA" w14:textId="77777777" w:rsidR="00352012" w:rsidRPr="00527688" w:rsidRDefault="00352012" w:rsidP="00352012">
      <w:pPr>
        <w:spacing w:after="120" w:line="312" w:lineRule="auto"/>
        <w:jc w:val="both"/>
        <w:rPr>
          <w:szCs w:val="22"/>
        </w:rPr>
      </w:pPr>
      <w:r w:rsidRPr="00527688">
        <w:rPr>
          <w:b/>
          <w:szCs w:val="22"/>
        </w:rPr>
        <w:t>VÚC</w:t>
      </w:r>
      <w:r w:rsidRPr="00527688">
        <w:rPr>
          <w:szCs w:val="22"/>
        </w:rPr>
        <w:t xml:space="preserve"> – vyššie územné celky</w:t>
      </w:r>
    </w:p>
    <w:p w14:paraId="775136BC" w14:textId="77777777" w:rsidR="00352012" w:rsidRPr="00527688" w:rsidRDefault="00352012" w:rsidP="00352012">
      <w:pPr>
        <w:spacing w:after="120" w:line="312" w:lineRule="auto"/>
        <w:jc w:val="both"/>
        <w:rPr>
          <w:szCs w:val="22"/>
        </w:rPr>
      </w:pPr>
      <w:r w:rsidRPr="00527688">
        <w:rPr>
          <w:b/>
          <w:szCs w:val="22"/>
        </w:rPr>
        <w:t>ústavný zákon o rozpočtovej zodpovednosti</w:t>
      </w:r>
      <w:r w:rsidRPr="00527688">
        <w:rPr>
          <w:szCs w:val="22"/>
        </w:rPr>
        <w:t xml:space="preserve"> </w:t>
      </w:r>
      <w:r w:rsidRPr="00527688">
        <w:rPr>
          <w:b/>
          <w:szCs w:val="22"/>
        </w:rPr>
        <w:t>-</w:t>
      </w:r>
      <w:r w:rsidRPr="00527688">
        <w:rPr>
          <w:szCs w:val="22"/>
        </w:rPr>
        <w:t xml:space="preserve"> ústavný zákon č. 493/2011 Z. z. o rozpočtovej zodpovednosti</w:t>
      </w:r>
    </w:p>
    <w:p w14:paraId="01ADBF1D" w14:textId="64B827CB" w:rsidR="00352012" w:rsidRPr="00527688" w:rsidRDefault="00352012" w:rsidP="00352012">
      <w:pPr>
        <w:spacing w:after="120" w:line="312" w:lineRule="auto"/>
        <w:jc w:val="both"/>
        <w:rPr>
          <w:szCs w:val="22"/>
        </w:rPr>
      </w:pPr>
      <w:r w:rsidRPr="00527688">
        <w:rPr>
          <w:b/>
          <w:szCs w:val="22"/>
        </w:rPr>
        <w:t>zákon o rozpočtových pravidlách verejnej správy (rozpočtové pravidlá</w:t>
      </w:r>
      <w:r w:rsidRPr="00527688">
        <w:rPr>
          <w:szCs w:val="22"/>
        </w:rPr>
        <w:t xml:space="preserve">) </w:t>
      </w:r>
      <w:r w:rsidRPr="00527688">
        <w:rPr>
          <w:b/>
          <w:szCs w:val="22"/>
        </w:rPr>
        <w:t>-</w:t>
      </w:r>
      <w:r w:rsidR="00E17549">
        <w:rPr>
          <w:szCs w:val="22"/>
        </w:rPr>
        <w:t xml:space="preserve"> zákon č. </w:t>
      </w:r>
      <w:r w:rsidRPr="00527688">
        <w:rPr>
          <w:szCs w:val="22"/>
        </w:rPr>
        <w:t>523/2004 Z. z. o rozpočtový</w:t>
      </w:r>
      <w:r w:rsidR="00E17549">
        <w:rPr>
          <w:szCs w:val="22"/>
        </w:rPr>
        <w:t xml:space="preserve">ch pravidlách verejnej správy a o </w:t>
      </w:r>
      <w:r w:rsidRPr="00527688">
        <w:rPr>
          <w:szCs w:val="22"/>
        </w:rPr>
        <w:t>zmene a</w:t>
      </w:r>
      <w:r w:rsidR="00E17549">
        <w:rPr>
          <w:szCs w:val="22"/>
        </w:rPr>
        <w:t xml:space="preserve"> </w:t>
      </w:r>
      <w:r w:rsidRPr="00527688">
        <w:rPr>
          <w:szCs w:val="22"/>
        </w:rPr>
        <w:t>doplnení niektorých zákonov v znení neskorších predpisov</w:t>
      </w:r>
    </w:p>
    <w:p w14:paraId="018975E9" w14:textId="77777777" w:rsidR="00352012" w:rsidRPr="00527688" w:rsidRDefault="00352012" w:rsidP="00352012">
      <w:pPr>
        <w:spacing w:after="120" w:line="312" w:lineRule="auto"/>
        <w:jc w:val="both"/>
        <w:rPr>
          <w:szCs w:val="22"/>
        </w:rPr>
      </w:pPr>
      <w:r w:rsidRPr="00527688">
        <w:rPr>
          <w:b/>
          <w:szCs w:val="22"/>
        </w:rPr>
        <w:t>zákon o účtovníctve</w:t>
      </w:r>
      <w:r w:rsidRPr="00527688">
        <w:rPr>
          <w:szCs w:val="22"/>
        </w:rPr>
        <w:t xml:space="preserve"> </w:t>
      </w:r>
      <w:r w:rsidRPr="00527688">
        <w:rPr>
          <w:b/>
          <w:szCs w:val="22"/>
        </w:rPr>
        <w:t>-</w:t>
      </w:r>
      <w:r w:rsidRPr="00527688">
        <w:rPr>
          <w:szCs w:val="22"/>
        </w:rPr>
        <w:t xml:space="preserve"> Zákon č. 431/2002 Z. z. o účtovníctve v znení neskorších predpisov</w:t>
      </w:r>
    </w:p>
    <w:p w14:paraId="117D0BDF" w14:textId="77777777" w:rsidR="00352012" w:rsidRPr="00527688" w:rsidRDefault="00352012" w:rsidP="00352012">
      <w:pPr>
        <w:spacing w:after="120" w:line="312" w:lineRule="auto"/>
        <w:jc w:val="both"/>
        <w:rPr>
          <w:bCs/>
          <w:szCs w:val="22"/>
        </w:rPr>
      </w:pPr>
      <w:r w:rsidRPr="00527688">
        <w:rPr>
          <w:b/>
          <w:szCs w:val="22"/>
        </w:rPr>
        <w:t xml:space="preserve">zákon </w:t>
      </w:r>
      <w:r w:rsidRPr="00527688">
        <w:rPr>
          <w:b/>
          <w:bCs/>
          <w:szCs w:val="22"/>
        </w:rPr>
        <w:t>o organizácii vlády a ústrednej štátnej správy</w:t>
      </w:r>
      <w:r w:rsidRPr="00527688">
        <w:rPr>
          <w:bCs/>
          <w:szCs w:val="22"/>
        </w:rPr>
        <w:t xml:space="preserve"> - </w:t>
      </w:r>
      <w:r w:rsidRPr="00527688">
        <w:rPr>
          <w:szCs w:val="22"/>
        </w:rPr>
        <w:t xml:space="preserve">zákon č. </w:t>
      </w:r>
      <w:r w:rsidRPr="00527688">
        <w:rPr>
          <w:bCs/>
          <w:szCs w:val="22"/>
        </w:rPr>
        <w:t>575/2001 Z. z. o organizácii činnosti vlády a organizácii ústrednej štátnej správy v znení neskorších predpisov</w:t>
      </w:r>
    </w:p>
    <w:p w14:paraId="053D122C" w14:textId="77777777" w:rsidR="00352012" w:rsidRPr="00527688" w:rsidRDefault="00352012" w:rsidP="00352012">
      <w:pPr>
        <w:spacing w:after="120" w:line="312" w:lineRule="auto"/>
        <w:jc w:val="both"/>
        <w:rPr>
          <w:bCs/>
          <w:szCs w:val="22"/>
        </w:rPr>
      </w:pPr>
      <w:r w:rsidRPr="00527688">
        <w:rPr>
          <w:b/>
          <w:szCs w:val="22"/>
        </w:rPr>
        <w:t xml:space="preserve">zákon </w:t>
      </w:r>
      <w:r w:rsidRPr="00527688">
        <w:rPr>
          <w:b/>
          <w:bCs/>
          <w:szCs w:val="22"/>
        </w:rPr>
        <w:t>o obecnom zriadení</w:t>
      </w:r>
      <w:r w:rsidRPr="00527688">
        <w:rPr>
          <w:bCs/>
          <w:szCs w:val="22"/>
        </w:rPr>
        <w:t xml:space="preserve"> </w:t>
      </w:r>
      <w:r w:rsidRPr="00527688">
        <w:rPr>
          <w:b/>
          <w:bCs/>
          <w:szCs w:val="22"/>
        </w:rPr>
        <w:t>-</w:t>
      </w:r>
      <w:r w:rsidRPr="00527688">
        <w:rPr>
          <w:bCs/>
          <w:szCs w:val="22"/>
        </w:rPr>
        <w:t xml:space="preserve"> </w:t>
      </w:r>
      <w:r w:rsidRPr="00527688">
        <w:rPr>
          <w:szCs w:val="22"/>
        </w:rPr>
        <w:t xml:space="preserve">zákon </w:t>
      </w:r>
      <w:r w:rsidRPr="00527688">
        <w:rPr>
          <w:bCs/>
          <w:szCs w:val="22"/>
        </w:rPr>
        <w:t>Slovenskej národnej rady č. 369/</w:t>
      </w:r>
      <w:r w:rsidRPr="00527688">
        <w:rPr>
          <w:szCs w:val="22"/>
        </w:rPr>
        <w:t xml:space="preserve">1990 Zb. </w:t>
      </w:r>
      <w:r w:rsidRPr="00527688">
        <w:rPr>
          <w:bCs/>
          <w:szCs w:val="22"/>
        </w:rPr>
        <w:t>o obecnom zriadení v znení neskorších predpisov</w:t>
      </w:r>
    </w:p>
    <w:p w14:paraId="12EED020" w14:textId="0B9568A2" w:rsidR="00352012" w:rsidRPr="00527688" w:rsidRDefault="00352012" w:rsidP="00352012">
      <w:pPr>
        <w:spacing w:after="120" w:line="312" w:lineRule="auto"/>
        <w:jc w:val="both"/>
        <w:rPr>
          <w:bCs/>
          <w:szCs w:val="22"/>
        </w:rPr>
      </w:pPr>
      <w:r w:rsidRPr="00527688">
        <w:rPr>
          <w:b/>
          <w:bCs/>
          <w:szCs w:val="22"/>
        </w:rPr>
        <w:t>zákon o samosprávnych krajoch</w:t>
      </w:r>
      <w:r w:rsidRPr="00527688">
        <w:rPr>
          <w:bCs/>
          <w:szCs w:val="22"/>
        </w:rPr>
        <w:t xml:space="preserve"> </w:t>
      </w:r>
      <w:r w:rsidRPr="00527688">
        <w:rPr>
          <w:b/>
          <w:bCs/>
          <w:szCs w:val="22"/>
        </w:rPr>
        <w:t>-</w:t>
      </w:r>
      <w:r w:rsidR="00E17549">
        <w:rPr>
          <w:bCs/>
          <w:szCs w:val="22"/>
        </w:rPr>
        <w:t xml:space="preserve"> zákon č. </w:t>
      </w:r>
      <w:r w:rsidRPr="00527688">
        <w:rPr>
          <w:bCs/>
          <w:szCs w:val="22"/>
        </w:rPr>
        <w:t>302/2001 Z. z. o samospráve vyšších územných celkov v znení neskorších predpisov</w:t>
      </w:r>
    </w:p>
    <w:p w14:paraId="6EB312C0" w14:textId="724AC73A" w:rsidR="00352012" w:rsidRPr="00527688" w:rsidRDefault="00352012" w:rsidP="00352012">
      <w:pPr>
        <w:spacing w:after="120" w:line="312" w:lineRule="auto"/>
        <w:jc w:val="both"/>
        <w:rPr>
          <w:bCs/>
          <w:szCs w:val="22"/>
        </w:rPr>
      </w:pPr>
      <w:r w:rsidRPr="00527688">
        <w:rPr>
          <w:b/>
          <w:szCs w:val="22"/>
        </w:rPr>
        <w:t>zákon o Sociálnej poisťovni</w:t>
      </w:r>
      <w:r w:rsidRPr="00527688">
        <w:rPr>
          <w:szCs w:val="22"/>
        </w:rPr>
        <w:t xml:space="preserve"> </w:t>
      </w:r>
      <w:r w:rsidRPr="00527688">
        <w:rPr>
          <w:bCs/>
          <w:szCs w:val="22"/>
        </w:rPr>
        <w:t xml:space="preserve">– </w:t>
      </w:r>
      <w:r w:rsidRPr="00527688">
        <w:rPr>
          <w:szCs w:val="22"/>
        </w:rPr>
        <w:t>zákon č.</w:t>
      </w:r>
      <w:r w:rsidR="00E17549">
        <w:rPr>
          <w:szCs w:val="22"/>
        </w:rPr>
        <w:t> </w:t>
      </w:r>
      <w:r w:rsidRPr="00527688">
        <w:rPr>
          <w:szCs w:val="22"/>
        </w:rPr>
        <w:t xml:space="preserve">274/1994 Z. z. o Sociálnej poisťovni </w:t>
      </w:r>
      <w:r w:rsidRPr="00527688">
        <w:rPr>
          <w:bCs/>
          <w:szCs w:val="22"/>
        </w:rPr>
        <w:t>v znení neskorších predpisov</w:t>
      </w:r>
    </w:p>
    <w:p w14:paraId="66E34BCF" w14:textId="7B92CC91" w:rsidR="00352012" w:rsidRPr="00527688" w:rsidRDefault="00352012" w:rsidP="00352012">
      <w:pPr>
        <w:spacing w:after="120" w:line="312" w:lineRule="auto"/>
        <w:jc w:val="both"/>
        <w:rPr>
          <w:bCs/>
          <w:szCs w:val="22"/>
        </w:rPr>
      </w:pPr>
      <w:r w:rsidRPr="00527688">
        <w:rPr>
          <w:b/>
          <w:szCs w:val="22"/>
        </w:rPr>
        <w:t xml:space="preserve">zákon </w:t>
      </w:r>
      <w:r w:rsidRPr="00527688">
        <w:rPr>
          <w:b/>
          <w:bCs/>
          <w:szCs w:val="22"/>
        </w:rPr>
        <w:t>o zdravotných poisťovniach</w:t>
      </w:r>
      <w:r w:rsidRPr="00527688">
        <w:rPr>
          <w:bCs/>
          <w:szCs w:val="22"/>
        </w:rPr>
        <w:t xml:space="preserve"> </w:t>
      </w:r>
      <w:r w:rsidRPr="00527688">
        <w:rPr>
          <w:b/>
          <w:bCs/>
          <w:szCs w:val="22"/>
        </w:rPr>
        <w:t>-</w:t>
      </w:r>
      <w:r w:rsidRPr="00527688">
        <w:rPr>
          <w:bCs/>
          <w:szCs w:val="22"/>
        </w:rPr>
        <w:t xml:space="preserve"> </w:t>
      </w:r>
      <w:r w:rsidRPr="00527688">
        <w:rPr>
          <w:szCs w:val="22"/>
        </w:rPr>
        <w:t>zákon č.</w:t>
      </w:r>
      <w:r w:rsidR="00E17549">
        <w:rPr>
          <w:szCs w:val="22"/>
        </w:rPr>
        <w:t> </w:t>
      </w:r>
      <w:r w:rsidRPr="00527688">
        <w:rPr>
          <w:bCs/>
          <w:szCs w:val="22"/>
        </w:rPr>
        <w:t>581/</w:t>
      </w:r>
      <w:r w:rsidRPr="00527688">
        <w:rPr>
          <w:szCs w:val="22"/>
        </w:rPr>
        <w:t xml:space="preserve">2004 Z. z. </w:t>
      </w:r>
      <w:r w:rsidRPr="00527688">
        <w:rPr>
          <w:bCs/>
          <w:szCs w:val="22"/>
        </w:rPr>
        <w:t>o zdravotných poisťovniach, dohľade nad</w:t>
      </w:r>
      <w:r w:rsidR="00E17549">
        <w:rPr>
          <w:bCs/>
          <w:szCs w:val="22"/>
        </w:rPr>
        <w:t xml:space="preserve"> zdravotnou starostlivosťou a o </w:t>
      </w:r>
      <w:r w:rsidRPr="00527688">
        <w:rPr>
          <w:bCs/>
          <w:szCs w:val="22"/>
        </w:rPr>
        <w:t>zmene a doplnení niektorých zákonov v znení neskorších predpisov</w:t>
      </w:r>
    </w:p>
    <w:p w14:paraId="38E0448D" w14:textId="3A125E61" w:rsidR="00352012" w:rsidRPr="00527688" w:rsidRDefault="00352012" w:rsidP="00352012">
      <w:pPr>
        <w:spacing w:after="120" w:line="312" w:lineRule="auto"/>
        <w:jc w:val="both"/>
        <w:rPr>
          <w:bCs/>
          <w:szCs w:val="22"/>
        </w:rPr>
      </w:pPr>
      <w:r w:rsidRPr="00527688">
        <w:rPr>
          <w:b/>
          <w:bCs/>
          <w:szCs w:val="22"/>
        </w:rPr>
        <w:t>zákon o audítoroch -</w:t>
      </w:r>
      <w:r w:rsidRPr="00527688">
        <w:rPr>
          <w:bCs/>
          <w:szCs w:val="22"/>
        </w:rPr>
        <w:t xml:space="preserve"> </w:t>
      </w:r>
      <w:r w:rsidRPr="00527688">
        <w:rPr>
          <w:szCs w:val="22"/>
        </w:rPr>
        <w:t xml:space="preserve">zákon č. 540/2007 Z. z. </w:t>
      </w:r>
      <w:r w:rsidR="00E17549">
        <w:rPr>
          <w:bCs/>
          <w:szCs w:val="22"/>
        </w:rPr>
        <w:t>o </w:t>
      </w:r>
      <w:r w:rsidRPr="00527688">
        <w:rPr>
          <w:bCs/>
          <w:szCs w:val="22"/>
        </w:rPr>
        <w:t>audítoroch, audite a dohľade nad výkonom auditu a o zmene a doplnení zákona č.431/2002 Z. z. o účtovníctve v znení neskorších predpisov</w:t>
      </w:r>
    </w:p>
    <w:p w14:paraId="0EB2B4D6" w14:textId="77777777" w:rsidR="007A3FF8" w:rsidRPr="00527688" w:rsidRDefault="007A3FF8">
      <w:pPr>
        <w:rPr>
          <w:szCs w:val="22"/>
        </w:rPr>
      </w:pPr>
      <w:r w:rsidRPr="00527688">
        <w:rPr>
          <w:szCs w:val="22"/>
        </w:rPr>
        <w:br w:type="page"/>
      </w:r>
    </w:p>
    <w:p w14:paraId="78D02086" w14:textId="77777777" w:rsidR="007A3FF8" w:rsidRPr="00527688" w:rsidRDefault="007A3FF8" w:rsidP="007A3FF8">
      <w:pPr>
        <w:rPr>
          <w:rFonts w:eastAsiaTheme="majorEastAsia"/>
          <w:b/>
          <w:bCs/>
          <w:sz w:val="26"/>
          <w:szCs w:val="22"/>
        </w:rPr>
        <w:sectPr w:rsidR="007A3FF8" w:rsidRPr="00527688" w:rsidSect="00DD0C52">
          <w:pgSz w:w="11906" w:h="16838" w:code="9"/>
          <w:pgMar w:top="1418" w:right="1134" w:bottom="1418" w:left="1134" w:header="709" w:footer="709" w:gutter="567"/>
          <w:cols w:num="2" w:space="708"/>
          <w:docGrid w:linePitch="360"/>
        </w:sectPr>
      </w:pPr>
    </w:p>
    <w:p w14:paraId="637CAA04" w14:textId="77777777" w:rsidR="007A3FF8" w:rsidRPr="00527688" w:rsidRDefault="007A3FF8" w:rsidP="007A3FF8">
      <w:pPr>
        <w:pStyle w:val="Nadpis1"/>
        <w:numPr>
          <w:ilvl w:val="0"/>
          <w:numId w:val="0"/>
        </w:numPr>
      </w:pPr>
      <w:bookmarkStart w:id="85" w:name="_Toc370908645"/>
      <w:bookmarkStart w:id="86" w:name="_Toc401920039"/>
      <w:bookmarkStart w:id="87" w:name="_Toc465255059"/>
      <w:bookmarkStart w:id="88" w:name="_Toc495990502"/>
      <w:bookmarkStart w:id="89" w:name="_Toc23264814"/>
      <w:r w:rsidRPr="00527688">
        <w:t>Slovník odborných pojmov</w:t>
      </w:r>
      <w:bookmarkEnd w:id="85"/>
      <w:bookmarkEnd w:id="86"/>
      <w:bookmarkEnd w:id="87"/>
      <w:bookmarkEnd w:id="88"/>
      <w:bookmarkEnd w:id="89"/>
    </w:p>
    <w:p w14:paraId="409346AD" w14:textId="77777777" w:rsidR="007A3FF8" w:rsidRPr="00527688" w:rsidRDefault="007A3FF8" w:rsidP="00542E12">
      <w:pPr>
        <w:pStyle w:val="Nadpis1"/>
        <w:numPr>
          <w:ilvl w:val="0"/>
          <w:numId w:val="20"/>
        </w:numPr>
        <w:sectPr w:rsidR="007A3FF8" w:rsidRPr="00527688" w:rsidSect="00DD0C52">
          <w:pgSz w:w="11906" w:h="16838" w:code="9"/>
          <w:pgMar w:top="1418" w:right="1134" w:bottom="1418" w:left="1134" w:header="709" w:footer="709" w:gutter="567"/>
          <w:cols w:num="2" w:space="708"/>
          <w:docGrid w:linePitch="360"/>
        </w:sect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A2E69" w:rsidRPr="008A615C" w14:paraId="6186BA65" w14:textId="77777777" w:rsidTr="00B206B3">
        <w:trPr>
          <w:trHeight w:val="156"/>
        </w:trPr>
        <w:tc>
          <w:tcPr>
            <w:tcW w:w="9214" w:type="dxa"/>
            <w:shd w:val="clear" w:color="auto" w:fill="BFBFBF" w:themeFill="background1" w:themeFillShade="BF"/>
            <w:vAlign w:val="center"/>
          </w:tcPr>
          <w:p w14:paraId="6D0B31E9" w14:textId="77777777" w:rsidR="007A3FF8" w:rsidRPr="008A615C" w:rsidRDefault="007A3FF8" w:rsidP="004B7DC7">
            <w:pPr>
              <w:spacing w:line="312" w:lineRule="auto"/>
              <w:rPr>
                <w:b/>
                <w:sz w:val="22"/>
                <w:szCs w:val="22"/>
              </w:rPr>
            </w:pPr>
            <w:r w:rsidRPr="008A615C">
              <w:rPr>
                <w:b/>
                <w:sz w:val="22"/>
                <w:szCs w:val="22"/>
              </w:rPr>
              <w:t xml:space="preserve">1. kapitola: Hospodárenie verejnej správy v metodike ESA 2010 </w:t>
            </w:r>
          </w:p>
        </w:tc>
      </w:tr>
      <w:tr w:rsidR="00BA2E69" w:rsidRPr="008A615C" w14:paraId="6B9A0B67" w14:textId="77777777" w:rsidTr="00B206B3">
        <w:trPr>
          <w:trHeight w:val="156"/>
        </w:trPr>
        <w:tc>
          <w:tcPr>
            <w:tcW w:w="9214" w:type="dxa"/>
            <w:vAlign w:val="center"/>
          </w:tcPr>
          <w:p w14:paraId="08A98D2F" w14:textId="08255D15" w:rsidR="007A3FF8" w:rsidRPr="008A615C" w:rsidRDefault="007A3FF8" w:rsidP="00F74144">
            <w:pPr>
              <w:autoSpaceDE w:val="0"/>
              <w:autoSpaceDN w:val="0"/>
              <w:adjustRightInd w:val="0"/>
              <w:spacing w:before="240" w:after="120" w:line="312" w:lineRule="auto"/>
              <w:jc w:val="both"/>
              <w:rPr>
                <w:sz w:val="22"/>
                <w:szCs w:val="22"/>
              </w:rPr>
            </w:pPr>
            <w:r w:rsidRPr="008A615C">
              <w:rPr>
                <w:b/>
                <w:sz w:val="22"/>
                <w:szCs w:val="22"/>
              </w:rPr>
              <w:t>Súhrnná výročná správa SR</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súhrnný dokument, ktorý obsahuje údaje o príjmoch, výdavkoch a výsledku rozpočtového hospodárenia subjektov verejnej správy a o stave dlhu verejnej správy k 31. decembru rozpočtového roka v jednotnej metodike platnej pre Európsku úniu vykázané Európskej komisii do 1. októbra bežného roka, súhrnnú účtovnú závierku verejnej správy Slovenskej republiky, údaje ustanovené osobitným predpisom, ktorým je ústavný zákon o rozpočtovej zodpovednosti a ďalšie údaje o hospodárení Slovenskej republiky (§ 29a zákona o rozpočtových pravidlách verejnej správy)</w:t>
            </w:r>
            <w:r w:rsidR="00F74144">
              <w:rPr>
                <w:sz w:val="22"/>
                <w:szCs w:val="22"/>
              </w:rPr>
              <w:t>.</w:t>
            </w:r>
          </w:p>
        </w:tc>
      </w:tr>
      <w:tr w:rsidR="00BA2E69" w:rsidRPr="008A615C" w14:paraId="1791A0AF" w14:textId="77777777" w:rsidTr="00B206B3">
        <w:trPr>
          <w:trHeight w:val="156"/>
        </w:trPr>
        <w:tc>
          <w:tcPr>
            <w:tcW w:w="9214" w:type="dxa"/>
            <w:vAlign w:val="center"/>
          </w:tcPr>
          <w:p w14:paraId="0FB46BA0" w14:textId="1C70AD1F" w:rsidR="007A3FF8" w:rsidRPr="008A615C" w:rsidRDefault="007A3FF8" w:rsidP="004B7DC7">
            <w:pPr>
              <w:spacing w:after="120" w:line="312" w:lineRule="auto"/>
              <w:jc w:val="both"/>
              <w:rPr>
                <w:sz w:val="22"/>
                <w:szCs w:val="22"/>
              </w:rPr>
            </w:pPr>
            <w:r w:rsidRPr="008A615C">
              <w:rPr>
                <w:b/>
                <w:sz w:val="22"/>
                <w:szCs w:val="22"/>
              </w:rPr>
              <w:t>Štátny záverečný účet SR</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správa o rozpočtovom hospodárení Slovenskej republiky, ktorá obsahuje výsledky rozpočtového hospodárenia subjektov verejnej správy za príslušný rozpočtový rok v jednotnej metodike platnej pre Európsku úniu vykázané Európskej komisii do 1. apríla bežného roka, vyhodnotenie zamerania a opatrení rozpočtovej politiky, údaje o príjmoch, výdavkoch a výsledku rozpočtového hospodárenia štátneho rozpočtu a ďalšie údaje o plnení rozpočtu verejnej správy. (§ 29 zákona o rozpočtových pravidlách verejnej správy)</w:t>
            </w:r>
            <w:r w:rsidR="00F74144">
              <w:rPr>
                <w:sz w:val="22"/>
                <w:szCs w:val="22"/>
              </w:rPr>
              <w:t>.</w:t>
            </w:r>
          </w:p>
        </w:tc>
      </w:tr>
      <w:tr w:rsidR="00BA2E69" w:rsidRPr="008A615C" w14:paraId="26867E7D" w14:textId="77777777" w:rsidTr="00B206B3">
        <w:trPr>
          <w:trHeight w:val="156"/>
        </w:trPr>
        <w:tc>
          <w:tcPr>
            <w:tcW w:w="9214" w:type="dxa"/>
          </w:tcPr>
          <w:p w14:paraId="48CE1EF5" w14:textId="77777777" w:rsidR="007A3FF8" w:rsidRPr="008A615C" w:rsidRDefault="007A3FF8" w:rsidP="004B7DC7">
            <w:pPr>
              <w:spacing w:after="120" w:line="312" w:lineRule="auto"/>
              <w:jc w:val="both"/>
              <w:rPr>
                <w:sz w:val="22"/>
                <w:szCs w:val="22"/>
              </w:rPr>
            </w:pPr>
            <w:r w:rsidRPr="008A615C">
              <w:rPr>
                <w:b/>
                <w:sz w:val="22"/>
                <w:szCs w:val="22"/>
              </w:rPr>
              <w:t xml:space="preserve">ESA 2010 </w:t>
            </w:r>
            <w:r w:rsidR="00D7068F" w:rsidRPr="008A615C">
              <w:rPr>
                <w:b/>
                <w:sz w:val="22"/>
                <w:szCs w:val="22"/>
              </w:rPr>
              <w:t>–</w:t>
            </w:r>
            <w:r w:rsidR="00D7068F" w:rsidRPr="008A615C">
              <w:rPr>
                <w:sz w:val="22"/>
                <w:szCs w:val="22"/>
              </w:rPr>
              <w:t xml:space="preserve"> </w:t>
            </w:r>
            <w:r w:rsidRPr="008A615C">
              <w:rPr>
                <w:sz w:val="22"/>
                <w:szCs w:val="22"/>
              </w:rPr>
              <w:t>Európsky systém národných a regionálnych účtov 2010 je medzinárodne kompatibilný rámec pre systematické a podrobné opísanie národnej ekonomiky, jeho súčastí a jeho vzťahov s ostatnými národnými ekonomikami. Je založený na Systéme národných účtov 2008 (SNÚ 2008). SNÚ bol vypracovaný v súčinnosti štatistických orgánov OSN, EÚ, OECD, MMF a Svetovej banky a predstavuje celosvetový štandard v oblasti uplatňovania národných účtov. ESA 2010 sa zaviedla Nariadením Rady (ES) 549/2013 z 21. mája 2013 o Európskom systéme národných a regionálnych účtov v spoločenstve a reálne sa začala uplatňovať od septembra 2014. ESA 2010 je revíziou ESA 95. Nové štandardy priniesli v oblasti verejných financií zmeny dôležité pre vykazovanie salda a dlhu verejnej správy. Popis implementácie metodiky ESA 2010 a najvýznamnejších metodologických zmien je uvedený v kapitole 1.5. v Súhrnnej výročnej správe SR za rok 2013.</w:t>
            </w:r>
          </w:p>
        </w:tc>
      </w:tr>
      <w:tr w:rsidR="00BA2E69" w:rsidRPr="008A615C" w14:paraId="2E5B8551" w14:textId="77777777" w:rsidTr="00B206B3">
        <w:trPr>
          <w:trHeight w:val="156"/>
        </w:trPr>
        <w:tc>
          <w:tcPr>
            <w:tcW w:w="9214" w:type="dxa"/>
          </w:tcPr>
          <w:p w14:paraId="10AF40F4" w14:textId="508BA8F2" w:rsidR="007A3FF8" w:rsidRPr="008A615C" w:rsidRDefault="007A3FF8" w:rsidP="004B7DC7">
            <w:pPr>
              <w:spacing w:after="120" w:line="312" w:lineRule="auto"/>
              <w:jc w:val="both"/>
              <w:rPr>
                <w:sz w:val="22"/>
                <w:szCs w:val="22"/>
              </w:rPr>
            </w:pPr>
            <w:r w:rsidRPr="008A615C">
              <w:rPr>
                <w:b/>
                <w:sz w:val="22"/>
                <w:szCs w:val="22"/>
              </w:rPr>
              <w:t>Aprílová notifikácia</w:t>
            </w:r>
            <w:r w:rsidRPr="008A615C">
              <w:rPr>
                <w:sz w:val="22"/>
                <w:szCs w:val="22"/>
              </w:rPr>
              <w:t xml:space="preserve"> – Podľa nariadenia Komisie 479/2009 členské štáty vykazujú Komisii (Eurostatu) plánované a aktuálne schodky a dlh sektora verejnej správy dvakrát ročne, prvý krát do 1. apríla bežného roka (roka n) a druhý krát do 1. októbra roka n. Zároveň členské štáty oznámia Eurostatu, ktoré vnútroštátne orgány sú zodpovedné za vykazovanie postupu pri nadmernom schodku. Do 1. apríla roka n členské štáty oznámia Eurostatu plánovaný sch</w:t>
            </w:r>
            <w:r w:rsidR="00DA1AAF">
              <w:rPr>
                <w:sz w:val="22"/>
                <w:szCs w:val="22"/>
              </w:rPr>
              <w:t>odok verejnej správy za rok n a </w:t>
            </w:r>
            <w:r w:rsidRPr="008A615C">
              <w:rPr>
                <w:sz w:val="22"/>
                <w:szCs w:val="22"/>
              </w:rPr>
              <w:t>aktualizovaný odhad ich skutočného schodku verejných financií za rok n – 1 a ich skutočné schodky verejných financií za roky n – 2, n – 3 a n – 4.</w:t>
            </w:r>
          </w:p>
        </w:tc>
      </w:tr>
      <w:tr w:rsidR="00BA2E69" w:rsidRPr="008A615C" w14:paraId="59020CAE" w14:textId="77777777" w:rsidTr="00B206B3">
        <w:trPr>
          <w:trHeight w:val="156"/>
        </w:trPr>
        <w:tc>
          <w:tcPr>
            <w:tcW w:w="9214" w:type="dxa"/>
          </w:tcPr>
          <w:p w14:paraId="08164281" w14:textId="1DC94E4B" w:rsidR="007A3FF8" w:rsidRPr="008A615C" w:rsidRDefault="007A3FF8" w:rsidP="004B7DC7">
            <w:pPr>
              <w:spacing w:after="120" w:line="312" w:lineRule="auto"/>
              <w:jc w:val="both"/>
              <w:rPr>
                <w:sz w:val="22"/>
                <w:szCs w:val="22"/>
              </w:rPr>
            </w:pPr>
            <w:r w:rsidRPr="008A615C">
              <w:rPr>
                <w:b/>
                <w:sz w:val="22"/>
                <w:szCs w:val="22"/>
              </w:rPr>
              <w:t xml:space="preserve">Októbrová notifikácia – </w:t>
            </w:r>
            <w:r w:rsidRPr="008A615C">
              <w:rPr>
                <w:sz w:val="22"/>
                <w:szCs w:val="22"/>
              </w:rPr>
              <w:t>aktualizácia aprílovej notifikácie, ktorá je nutná vzhľadom na to, že viacero údajov za verejnú správu je dostupných až po termíne aprílovej notifikácie (tie sú nahradené odhadmi). Ani októbrovú notifikáciu však nemožno považovať z</w:t>
            </w:r>
            <w:r w:rsidR="00DA1AAF">
              <w:rPr>
                <w:sz w:val="22"/>
                <w:szCs w:val="22"/>
              </w:rPr>
              <w:t>a zdroj definitívnych údajov za </w:t>
            </w:r>
            <w:r w:rsidRPr="008A615C">
              <w:rPr>
                <w:sz w:val="22"/>
                <w:szCs w:val="22"/>
              </w:rPr>
              <w:t>verejnú správu, pretože akruálne výnosy niektorých daňových príjmov (DPPO a DPFO) sú známe za rok n – 1 až na začiatku n + 1. Aj po tomto termíne sú v príp</w:t>
            </w:r>
            <w:r w:rsidR="00DA1AAF">
              <w:rPr>
                <w:sz w:val="22"/>
                <w:szCs w:val="22"/>
              </w:rPr>
              <w:t>ade údajov za verejnú správu (a </w:t>
            </w:r>
            <w:r w:rsidRPr="008A615C">
              <w:rPr>
                <w:sz w:val="22"/>
                <w:szCs w:val="22"/>
              </w:rPr>
              <w:t>národné účty vo všeobecnosti) pomerne časté revízie údajov za minulé roky. Revízie sa robia jednak kvôli úpravám či spresneným interpretáciám samotnej metodiky ESA a tiež kvôli tomu, že samotné krajiny (národné štatistické úrady) môžu v minulých údajoch odhaliť nezrovnalosti, ktoré v rámci revízií napravia.</w:t>
            </w:r>
          </w:p>
        </w:tc>
      </w:tr>
      <w:tr w:rsidR="00BA2E69" w:rsidRPr="008A615C" w14:paraId="1800B319" w14:textId="77777777" w:rsidTr="00B206B3">
        <w:trPr>
          <w:trHeight w:val="156"/>
        </w:trPr>
        <w:tc>
          <w:tcPr>
            <w:tcW w:w="9214" w:type="dxa"/>
          </w:tcPr>
          <w:p w14:paraId="3EAD436E" w14:textId="77777777" w:rsidR="007A3FF8" w:rsidRPr="008A615C" w:rsidRDefault="007A3FF8" w:rsidP="004B7DC7">
            <w:pPr>
              <w:spacing w:after="120" w:line="312" w:lineRule="auto"/>
              <w:jc w:val="both"/>
              <w:rPr>
                <w:sz w:val="22"/>
                <w:szCs w:val="22"/>
              </w:rPr>
            </w:pPr>
            <w:r w:rsidRPr="008A615C">
              <w:rPr>
                <w:b/>
                <w:sz w:val="22"/>
                <w:szCs w:val="22"/>
              </w:rPr>
              <w:t xml:space="preserve">Verejná správa </w:t>
            </w:r>
            <w:r w:rsidR="00D7068F" w:rsidRPr="008A615C">
              <w:rPr>
                <w:b/>
                <w:sz w:val="22"/>
                <w:szCs w:val="22"/>
              </w:rPr>
              <w:t>–</w:t>
            </w:r>
            <w:r w:rsidR="00D7068F" w:rsidRPr="008A615C">
              <w:rPr>
                <w:sz w:val="22"/>
                <w:szCs w:val="22"/>
              </w:rPr>
              <w:t xml:space="preserve"> </w:t>
            </w:r>
            <w:r w:rsidRPr="008A615C">
              <w:rPr>
                <w:sz w:val="22"/>
                <w:szCs w:val="22"/>
              </w:rPr>
              <w:t>koncept, ktorý definujú národné účty (ESA 2010). Národné účty členia národné hospodárstvo (S.1) na päť inštitucionálnych sektorov: nefinančné korporácie (S.11), finančné korporácie (S.12), verejná správa (S.13), domácnosti (S.14) a neziskové inštitúcie slúžiace domácnostiam (S.15). Inštitucionálny sektor tvorí zoskupenie inštitucionálnych jednotiek, ktoré majú podobný charakter a ekonomické správanie (odvetvie produkčnej činnosti). Inštitucionálna jednotka je ekonomická jednotka oprávnená vlastniť výrobky a aktíva, prijímajúca záväzky a zaoberajúca sa ekonomickou činnosťou a transakciami s inými jednotkami vo vlastnom mene. Sektor verejnej správy tvoria inštitucionálne jednotky (subjekty) patriace do verejnej správy.</w:t>
            </w:r>
          </w:p>
        </w:tc>
      </w:tr>
      <w:tr w:rsidR="00BA2E69" w:rsidRPr="008A615C" w14:paraId="4AFD51A5" w14:textId="77777777" w:rsidTr="00B206B3">
        <w:trPr>
          <w:trHeight w:val="156"/>
        </w:trPr>
        <w:tc>
          <w:tcPr>
            <w:tcW w:w="9214" w:type="dxa"/>
          </w:tcPr>
          <w:p w14:paraId="6DE37B47" w14:textId="77777777" w:rsidR="007A3FF8" w:rsidRPr="008A615C" w:rsidRDefault="007A3FF8" w:rsidP="004B7DC7">
            <w:pPr>
              <w:spacing w:after="120" w:line="312" w:lineRule="auto"/>
              <w:jc w:val="both"/>
              <w:rPr>
                <w:sz w:val="22"/>
                <w:szCs w:val="22"/>
              </w:rPr>
            </w:pPr>
            <w:r w:rsidRPr="008A615C">
              <w:rPr>
                <w:b/>
                <w:sz w:val="22"/>
                <w:szCs w:val="22"/>
              </w:rPr>
              <w:t>Verejné financie –</w:t>
            </w:r>
            <w:r w:rsidRPr="008A615C">
              <w:rPr>
                <w:sz w:val="22"/>
                <w:szCs w:val="22"/>
              </w:rPr>
              <w:t xml:space="preserve"> alebo financie verejného sektora, je všeobecne zaužívaný výraz v ekonómii označujúci súhrn rozpočtov subjektov pod verejnou kontrolou alebo patriacich do verejného sektora. Verejný sektor môže byť definovaný rôzne v závislosti od cieľov analýzy a kritérií zaradenia subjektov do verejného sektora. Ak nie je uvedené inak, verejné financie sa v krajinách EÚ najčastejšie hodnotia na základe údajov národných účtov v metodike ESA 2010, ktorá definuje subjekt verejnej správy. V tejto publikácii sú použité tri koncepty hodnotenia verejných financií, ktoré sa od seba líšia rôznym pokrytím subjektov: verejná správa (ESA 2010), súhrnný celok verejnej správy a verejný sektor.</w:t>
            </w:r>
          </w:p>
        </w:tc>
      </w:tr>
      <w:tr w:rsidR="00BA2E69" w:rsidRPr="008A615C" w14:paraId="6A973221" w14:textId="77777777" w:rsidTr="00B206B3">
        <w:trPr>
          <w:trHeight w:val="156"/>
        </w:trPr>
        <w:tc>
          <w:tcPr>
            <w:tcW w:w="9214" w:type="dxa"/>
          </w:tcPr>
          <w:p w14:paraId="733214B5" w14:textId="77777777" w:rsidR="007A3FF8" w:rsidRPr="008A615C" w:rsidRDefault="007A3FF8" w:rsidP="004B7DC7">
            <w:pPr>
              <w:autoSpaceDE w:val="0"/>
              <w:autoSpaceDN w:val="0"/>
              <w:adjustRightInd w:val="0"/>
              <w:spacing w:line="312" w:lineRule="auto"/>
              <w:jc w:val="both"/>
              <w:rPr>
                <w:sz w:val="22"/>
                <w:szCs w:val="22"/>
              </w:rPr>
            </w:pPr>
            <w:r w:rsidRPr="008A615C">
              <w:rPr>
                <w:b/>
                <w:sz w:val="22"/>
                <w:szCs w:val="22"/>
              </w:rPr>
              <w:t>Subjekty verejnej správy SR</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právnické osoby zapísané v registri organizácií vedenom Štatistickým úradom Slovenskej republiky, ktoré sú zaradené v súlade s metodiko</w:t>
            </w:r>
            <w:r w:rsidR="00E44CC8">
              <w:rPr>
                <w:sz w:val="22"/>
                <w:szCs w:val="22"/>
              </w:rPr>
              <w:t xml:space="preserve">u ESA v ústrednej správe, </w:t>
            </w:r>
            <w:r w:rsidR="00E44CC8" w:rsidRPr="00DA1AAF">
              <w:rPr>
                <w:sz w:val="22"/>
                <w:szCs w:val="22"/>
              </w:rPr>
              <w:t>miestne</w:t>
            </w:r>
            <w:r w:rsidRPr="00DA1AAF">
              <w:rPr>
                <w:sz w:val="22"/>
                <w:szCs w:val="22"/>
              </w:rPr>
              <w:t xml:space="preserve">j samospráve </w:t>
            </w:r>
            <w:r w:rsidRPr="008A615C">
              <w:rPr>
                <w:sz w:val="22"/>
                <w:szCs w:val="22"/>
              </w:rPr>
              <w:t>a vo fondoch sociálneho a zdravotnéh</w:t>
            </w:r>
            <w:r w:rsidR="00403232" w:rsidRPr="008A615C">
              <w:rPr>
                <w:sz w:val="22"/>
                <w:szCs w:val="22"/>
              </w:rPr>
              <w:t>o poistenia. (§ 3 ods. 1 zákona</w:t>
            </w:r>
            <w:r w:rsidR="00403232" w:rsidRPr="008A615C">
              <w:rPr>
                <w:sz w:val="22"/>
                <w:szCs w:val="22"/>
              </w:rPr>
              <w:br/>
            </w:r>
            <w:r w:rsidRPr="008A615C">
              <w:rPr>
                <w:sz w:val="22"/>
                <w:szCs w:val="22"/>
              </w:rPr>
              <w:t>o rozpočtových pravidlách verejnej správy)</w:t>
            </w:r>
          </w:p>
          <w:p w14:paraId="635167ED" w14:textId="77777777" w:rsidR="007A3FF8" w:rsidRPr="008A615C" w:rsidRDefault="007A3FF8" w:rsidP="00684536">
            <w:pPr>
              <w:numPr>
                <w:ilvl w:val="0"/>
                <w:numId w:val="12"/>
              </w:numPr>
              <w:autoSpaceDE w:val="0"/>
              <w:autoSpaceDN w:val="0"/>
              <w:adjustRightInd w:val="0"/>
              <w:spacing w:line="312" w:lineRule="auto"/>
              <w:jc w:val="both"/>
              <w:rPr>
                <w:sz w:val="22"/>
                <w:szCs w:val="22"/>
              </w:rPr>
            </w:pPr>
            <w:r w:rsidRPr="008A615C">
              <w:rPr>
                <w:sz w:val="22"/>
                <w:szCs w:val="22"/>
              </w:rPr>
              <w:t xml:space="preserve">Ústrednú správu tvoria ministerstvá a ostatné ústredné orgány štátnej správy. Ich počet, organizáciu a pôsobnosť ustanovuje zákon </w:t>
            </w:r>
            <w:r w:rsidRPr="008A615C">
              <w:rPr>
                <w:bCs/>
                <w:sz w:val="22"/>
                <w:szCs w:val="22"/>
              </w:rPr>
              <w:t>o organizácii vlády a ústrednej štátnej správy. V ústrednej správe sú zaradené aj ďalšie subjekty (</w:t>
            </w:r>
            <w:r w:rsidRPr="008A615C">
              <w:rPr>
                <w:sz w:val="22"/>
                <w:szCs w:val="22"/>
              </w:rPr>
              <w:t>vysoké školy, Rozhlas a televízia Slovenska, Fond národného majetku Slovenskej republiky, Slovenský pozemkový fond, štátne fondy, Slovenská konsolidačná, a.s., Úrad pre dohľad nad výkonom auditu, Slovenské národné stredisko pre ľudské práva, Ústav pamäti národa, Úrad pre dohľad nad zdravotnou starostlivosťou, Kancelária rady pre rozpočtovú zodpovednosť, Tlačová agentúra SR, Audiovizuálny fond), ktoré hospodária s väčším či menším objemom verejných prostriedkov a ktorých pôsobnosť upravujú osobitné právne predpisy.</w:t>
            </w:r>
          </w:p>
          <w:p w14:paraId="450CD8D2" w14:textId="77777777" w:rsidR="007A3FF8" w:rsidRPr="008A615C" w:rsidRDefault="00E77626" w:rsidP="00684536">
            <w:pPr>
              <w:numPr>
                <w:ilvl w:val="0"/>
                <w:numId w:val="12"/>
              </w:numPr>
              <w:autoSpaceDE w:val="0"/>
              <w:autoSpaceDN w:val="0"/>
              <w:adjustRightInd w:val="0"/>
              <w:spacing w:line="312" w:lineRule="auto"/>
              <w:jc w:val="both"/>
              <w:rPr>
                <w:sz w:val="22"/>
                <w:szCs w:val="22"/>
              </w:rPr>
            </w:pPr>
            <w:r w:rsidRPr="00DA1AAF">
              <w:rPr>
                <w:bCs/>
                <w:sz w:val="22"/>
                <w:szCs w:val="22"/>
              </w:rPr>
              <w:t>Miestnu</w:t>
            </w:r>
            <w:r w:rsidR="007A3FF8" w:rsidRPr="00DA1AAF">
              <w:rPr>
                <w:bCs/>
                <w:sz w:val="22"/>
                <w:szCs w:val="22"/>
              </w:rPr>
              <w:t xml:space="preserve"> samosprávu predstavujú obce a vyššie územné celky – samosprávne kraje</w:t>
            </w:r>
            <w:r w:rsidRPr="00DA1AAF">
              <w:rPr>
                <w:bCs/>
                <w:sz w:val="22"/>
                <w:szCs w:val="22"/>
              </w:rPr>
              <w:t xml:space="preserve"> a ďalšie subjekty miestnej samosprávy</w:t>
            </w:r>
            <w:r w:rsidR="007A3FF8" w:rsidRPr="00DA1AAF">
              <w:rPr>
                <w:bCs/>
                <w:sz w:val="22"/>
                <w:szCs w:val="22"/>
              </w:rPr>
              <w:t>. Obec</w:t>
            </w:r>
            <w:r w:rsidR="007A3FF8" w:rsidRPr="00DA1AAF">
              <w:rPr>
                <w:i/>
                <w:sz w:val="22"/>
                <w:szCs w:val="22"/>
              </w:rPr>
              <w:t xml:space="preserve"> </w:t>
            </w:r>
            <w:r w:rsidR="007A3FF8" w:rsidRPr="00DA1AAF">
              <w:rPr>
                <w:sz w:val="22"/>
                <w:szCs w:val="22"/>
              </w:rPr>
              <w:t xml:space="preserve">je samostatným </w:t>
            </w:r>
            <w:r w:rsidR="007A3FF8" w:rsidRPr="0092014B">
              <w:rPr>
                <w:sz w:val="22"/>
                <w:szCs w:val="22"/>
              </w:rPr>
              <w:t>územným samosprávnym</w:t>
            </w:r>
            <w:r w:rsidR="007A3FF8" w:rsidRPr="008A615C">
              <w:rPr>
                <w:sz w:val="22"/>
                <w:szCs w:val="22"/>
              </w:rPr>
              <w:t xml:space="preserve"> a správnym celkom Slovenskej republiky, združuje osoby, ktoré majú na jej území trvalý pobyt, samostatn</w:t>
            </w:r>
            <w:r w:rsidR="00E44CC8">
              <w:rPr>
                <w:sz w:val="22"/>
                <w:szCs w:val="22"/>
              </w:rPr>
              <w:t xml:space="preserve">e hospodári s vlastným majetkom </w:t>
            </w:r>
            <w:r w:rsidR="007A3FF8" w:rsidRPr="008A615C">
              <w:rPr>
                <w:sz w:val="22"/>
                <w:szCs w:val="22"/>
              </w:rPr>
              <w:t>a s vlastnými príjmami a jej základnou úlohou pri výk</w:t>
            </w:r>
            <w:r w:rsidR="00E44CC8">
              <w:rPr>
                <w:sz w:val="22"/>
                <w:szCs w:val="22"/>
              </w:rPr>
              <w:t xml:space="preserve">one samosprávy je starostlivosť </w:t>
            </w:r>
            <w:r w:rsidR="007A3FF8" w:rsidRPr="008A615C">
              <w:rPr>
                <w:sz w:val="22"/>
                <w:szCs w:val="22"/>
              </w:rPr>
              <w:t>o všestranný rozvoj jej územia a o potreby jej obyvateľov. V Slovenskej republike je zriadených osem samosprávnych krajov, ktoré sú právnickými osobami samostatne hospodáriacimi s vlastným majetkom a s vlastnými príjma</w:t>
            </w:r>
            <w:r w:rsidR="00BB3660" w:rsidRPr="008A615C">
              <w:rPr>
                <w:sz w:val="22"/>
                <w:szCs w:val="22"/>
              </w:rPr>
              <w:t>mi; zabezpečujú a chránia práva</w:t>
            </w:r>
            <w:r w:rsidR="00E44CC8">
              <w:rPr>
                <w:sz w:val="22"/>
                <w:szCs w:val="22"/>
              </w:rPr>
              <w:t xml:space="preserve"> </w:t>
            </w:r>
            <w:r w:rsidR="007A3FF8" w:rsidRPr="008A615C">
              <w:rPr>
                <w:sz w:val="22"/>
                <w:szCs w:val="22"/>
              </w:rPr>
              <w:t xml:space="preserve">a záujmy svojich obyvateľov. Základnou legislatívou, ktorá upravuje pôsobnosť samospráv je zákon </w:t>
            </w:r>
            <w:r w:rsidR="007A3FF8" w:rsidRPr="008A615C">
              <w:rPr>
                <w:bCs/>
                <w:sz w:val="22"/>
                <w:szCs w:val="22"/>
              </w:rPr>
              <w:t>o obecnom zriadení a zákon o samosprávnych krajoch.</w:t>
            </w:r>
          </w:p>
          <w:p w14:paraId="18E6D572" w14:textId="77777777" w:rsidR="007A3FF8" w:rsidRPr="008A615C" w:rsidRDefault="007A3FF8" w:rsidP="00684536">
            <w:pPr>
              <w:numPr>
                <w:ilvl w:val="0"/>
                <w:numId w:val="12"/>
              </w:numPr>
              <w:autoSpaceDE w:val="0"/>
              <w:autoSpaceDN w:val="0"/>
              <w:adjustRightInd w:val="0"/>
              <w:spacing w:after="120" w:line="312" w:lineRule="auto"/>
              <w:ind w:left="714" w:hanging="357"/>
              <w:jc w:val="both"/>
              <w:rPr>
                <w:sz w:val="22"/>
                <w:szCs w:val="22"/>
              </w:rPr>
            </w:pPr>
            <w:r w:rsidRPr="008A615C">
              <w:rPr>
                <w:sz w:val="22"/>
                <w:szCs w:val="22"/>
              </w:rPr>
              <w:t xml:space="preserve">Fondy sociálneho a zdravotného poistenia tvoria Sociálna poisťovňa zriadená zákonom o Sociálnej poisťovni a zdravotné poisťovne (v súčasnosti tri, z toho jedna štátna a dve súkromné), ktorých pôsobnosť ustanovuje zákon </w:t>
            </w:r>
            <w:r w:rsidRPr="008A615C">
              <w:rPr>
                <w:bCs/>
                <w:sz w:val="22"/>
                <w:szCs w:val="22"/>
              </w:rPr>
              <w:t>o zdravotných poisťovniach.</w:t>
            </w:r>
          </w:p>
        </w:tc>
      </w:tr>
      <w:tr w:rsidR="00BA2E69" w:rsidRPr="008A615C" w14:paraId="37CF44DD" w14:textId="77777777" w:rsidTr="00B206B3">
        <w:trPr>
          <w:trHeight w:val="156"/>
        </w:trPr>
        <w:tc>
          <w:tcPr>
            <w:tcW w:w="9214" w:type="dxa"/>
          </w:tcPr>
          <w:p w14:paraId="456B1346" w14:textId="4B3B55A6" w:rsidR="007A3FF8" w:rsidRPr="008A615C" w:rsidRDefault="007A3FF8" w:rsidP="00DA1AAF">
            <w:pPr>
              <w:spacing w:after="120" w:line="312" w:lineRule="auto"/>
              <w:jc w:val="both"/>
              <w:rPr>
                <w:sz w:val="22"/>
                <w:szCs w:val="22"/>
              </w:rPr>
            </w:pPr>
            <w:r w:rsidRPr="008A615C">
              <w:rPr>
                <w:b/>
                <w:sz w:val="22"/>
                <w:szCs w:val="22"/>
              </w:rPr>
              <w:t>Rozpočet verejnej správy</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strednodobý ekonomický nástroj finančnej politiky štátu. Zostavuje sa každoročne na tri rozpočtové roky. Rozpočtový rok je zhodný s kalendárnym rokom. Rozpočet verejnej správy tvoria štátny rozpočet na príslušný rozpočtový rok a nasledujúce dva roky a súhrn rozpočtov ostatných subjektov verejnej správy vrátane príjmov a výdavkov súvisiacich s</w:t>
            </w:r>
            <w:r w:rsidR="00DA1AAF">
              <w:rPr>
                <w:sz w:val="22"/>
                <w:szCs w:val="22"/>
              </w:rPr>
              <w:t> </w:t>
            </w:r>
            <w:r w:rsidRPr="008A615C">
              <w:rPr>
                <w:sz w:val="22"/>
                <w:szCs w:val="22"/>
              </w:rPr>
              <w:t>vykonávaním verejného zdravotného poistenia v súlade s jednotnou metodikou platnou pre Európsku úniu na príslušný rozpočtový rok a nasledujúce dva roky (§ 4 ods. 1 zákona o rozpočtových pravidlách verejnej správy).</w:t>
            </w:r>
          </w:p>
        </w:tc>
      </w:tr>
      <w:tr w:rsidR="00BA2E69" w:rsidRPr="008A615C" w14:paraId="5F34C86D" w14:textId="77777777" w:rsidTr="00B206B3">
        <w:trPr>
          <w:trHeight w:val="156"/>
        </w:trPr>
        <w:tc>
          <w:tcPr>
            <w:tcW w:w="9214" w:type="dxa"/>
          </w:tcPr>
          <w:p w14:paraId="2591A35C" w14:textId="77777777" w:rsidR="007A3FF8" w:rsidRPr="008A615C" w:rsidRDefault="007A3FF8" w:rsidP="004B7DC7">
            <w:pPr>
              <w:spacing w:after="120" w:line="312" w:lineRule="auto"/>
              <w:jc w:val="both"/>
              <w:rPr>
                <w:sz w:val="22"/>
                <w:szCs w:val="22"/>
              </w:rPr>
            </w:pPr>
            <w:r w:rsidRPr="008A615C">
              <w:rPr>
                <w:b/>
                <w:sz w:val="22"/>
                <w:szCs w:val="22"/>
              </w:rPr>
              <w:t>Štátny rozpočet</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základná súčasť rozpočtu verejnej správy, ktorou sa zabezpečuje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 (§ 6 ods. 1 zákona o rozpočtových pravidlách verejnej správy).</w:t>
            </w:r>
          </w:p>
        </w:tc>
      </w:tr>
      <w:tr w:rsidR="00BA2E69" w:rsidRPr="008A615C" w14:paraId="3CFDF081" w14:textId="77777777" w:rsidTr="00B206B3">
        <w:trPr>
          <w:trHeight w:val="156"/>
        </w:trPr>
        <w:tc>
          <w:tcPr>
            <w:tcW w:w="9214" w:type="dxa"/>
            <w:vAlign w:val="center"/>
          </w:tcPr>
          <w:p w14:paraId="06F9ECCC" w14:textId="408D6918" w:rsidR="007A3FF8" w:rsidRPr="008A615C" w:rsidRDefault="007A3FF8" w:rsidP="004B7DC7">
            <w:pPr>
              <w:spacing w:after="120" w:line="312" w:lineRule="auto"/>
              <w:jc w:val="both"/>
              <w:rPr>
                <w:sz w:val="22"/>
                <w:szCs w:val="22"/>
              </w:rPr>
            </w:pPr>
            <w:r w:rsidRPr="008A615C">
              <w:rPr>
                <w:sz w:val="22"/>
                <w:szCs w:val="22"/>
              </w:rPr>
              <w:br w:type="page"/>
            </w:r>
            <w:r w:rsidRPr="008A615C">
              <w:rPr>
                <w:b/>
                <w:sz w:val="22"/>
                <w:szCs w:val="22"/>
              </w:rPr>
              <w:t xml:space="preserve">Superdividenda </w:t>
            </w:r>
            <w:r w:rsidRPr="008A615C">
              <w:rPr>
                <w:sz w:val="22"/>
                <w:szCs w:val="22"/>
              </w:rPr>
              <w:t>– metodika ESA, na rozdiel od podnikového účtovníctva, rozoznáva dividendy a superdividendy. Superdividendy sú dividendy, ktoré sú vysoké z pohľadu poslednej (nedávnej) výšky úrovne dividend a ziskov. Logika členenia je tá, že pokiaľ dividendy rozdeľujú príjem z majetku, superdividendy rozdeľujú čisté bohatstvo podniku, keď znižujú vlastné zdroje podniku (vlastné imanie), predstavujú teda výber kapitálu (capital withdrawal). Inak povedané, dividendy prináležia bežnému zisku (operating profit), ktorý pochádza zo štandardných hlavných činností podniku (core business operations) a superdividendy prináleži</w:t>
            </w:r>
            <w:r w:rsidR="00DA1AAF">
              <w:rPr>
                <w:sz w:val="22"/>
                <w:szCs w:val="22"/>
              </w:rPr>
              <w:t>a iným (špeciálnym) výnosom. Na </w:t>
            </w:r>
            <w:r w:rsidRPr="008A615C">
              <w:rPr>
                <w:sz w:val="22"/>
                <w:szCs w:val="22"/>
              </w:rPr>
              <w:t>určenie výšky superdividend sa používa tzv. superdividendový test.</w:t>
            </w:r>
          </w:p>
        </w:tc>
      </w:tr>
      <w:tr w:rsidR="00BA2E69" w:rsidRPr="008A615C" w14:paraId="26A33A94" w14:textId="77777777" w:rsidTr="00B206B3">
        <w:trPr>
          <w:trHeight w:val="156"/>
        </w:trPr>
        <w:tc>
          <w:tcPr>
            <w:tcW w:w="9214" w:type="dxa"/>
            <w:shd w:val="clear" w:color="auto" w:fill="BFBFBF" w:themeFill="background1" w:themeFillShade="BF"/>
            <w:vAlign w:val="center"/>
          </w:tcPr>
          <w:p w14:paraId="750046A6" w14:textId="77777777" w:rsidR="007A3FF8" w:rsidRPr="008A615C" w:rsidRDefault="007A3FF8" w:rsidP="00BC1C16">
            <w:pPr>
              <w:spacing w:before="200" w:line="312" w:lineRule="auto"/>
              <w:ind w:left="1134" w:hanging="1134"/>
              <w:rPr>
                <w:b/>
                <w:sz w:val="22"/>
                <w:szCs w:val="22"/>
              </w:rPr>
            </w:pPr>
            <w:r w:rsidRPr="008A615C">
              <w:rPr>
                <w:b/>
                <w:sz w:val="22"/>
                <w:szCs w:val="22"/>
              </w:rPr>
              <w:t xml:space="preserve">2. kapitola: Hospodárenie verejnej správy - požiadavky ústavného zákona o rozpočtovej zodpovednosti </w:t>
            </w:r>
          </w:p>
        </w:tc>
      </w:tr>
      <w:tr w:rsidR="00BA2E69" w:rsidRPr="008A615C" w14:paraId="44DA03E6" w14:textId="77777777" w:rsidTr="00B206B3">
        <w:trPr>
          <w:trHeight w:val="156"/>
        </w:trPr>
        <w:tc>
          <w:tcPr>
            <w:tcW w:w="9214" w:type="dxa"/>
          </w:tcPr>
          <w:p w14:paraId="26365D8B" w14:textId="43908666" w:rsidR="004F05BD" w:rsidRPr="004F05BD" w:rsidRDefault="004F05BD" w:rsidP="00BC1C16">
            <w:pPr>
              <w:spacing w:before="240" w:after="120" w:line="312" w:lineRule="auto"/>
              <w:jc w:val="both"/>
              <w:rPr>
                <w:sz w:val="22"/>
                <w:szCs w:val="22"/>
              </w:rPr>
            </w:pPr>
            <w:r>
              <w:rPr>
                <w:b/>
                <w:sz w:val="22"/>
                <w:szCs w:val="22"/>
              </w:rPr>
              <w:t xml:space="preserve">Benchmarková revízia – </w:t>
            </w:r>
            <w:r>
              <w:rPr>
                <w:sz w:val="22"/>
                <w:szCs w:val="22"/>
              </w:rPr>
              <w:t>pravidelná revízia štatistických údajov zo strany členských štátov EÚ na základe legislatívy Európskeho štatistického úradu, manuálu pre deficit a dlh verejnej správy a príručky pre aplikáciu revízie. Za revíziu sa považuje každá zmena štatistickej hodnoty ukazovateľov uložených v príslušných databázach a verejne publikovaných štatistických údajov. Dôvodom revízií, najmä benchmarkových (porovnávajúcich) sú napr. zmeny v legislatíve, úpravy metodických definícií a postupov na základe nových poznatkov a analýz, implementácia nových štatisticko-matematických metód. V rámci benchmarkovej revízie sa vykonáva aj tzv. rutinná revízia, ktorá spočíva najmä v oprave údajov na základe lepšej dostupnosti údajov, oprave vzorcov, revízii číselníkov a klasifikácií.</w:t>
            </w:r>
          </w:p>
          <w:p w14:paraId="5F0B055F" w14:textId="77777777" w:rsidR="007A3FF8" w:rsidRPr="008A615C" w:rsidRDefault="007A3FF8" w:rsidP="00BC1C16">
            <w:pPr>
              <w:spacing w:before="240" w:after="120" w:line="312" w:lineRule="auto"/>
              <w:jc w:val="both"/>
              <w:rPr>
                <w:sz w:val="22"/>
                <w:szCs w:val="22"/>
              </w:rPr>
            </w:pPr>
            <w:r w:rsidRPr="008A615C">
              <w:rPr>
                <w:b/>
                <w:sz w:val="22"/>
                <w:szCs w:val="22"/>
              </w:rPr>
              <w:t xml:space="preserve">Bilancia rozpočtu verejnej správy </w:t>
            </w:r>
            <w:r w:rsidRPr="008A615C">
              <w:rPr>
                <w:sz w:val="22"/>
                <w:szCs w:val="22"/>
              </w:rPr>
              <w:t>– alebo bilancia príjmov a výdavkov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v tomto dokumente pozostáva z kombinácie klasifikácie kódov ESA 2010 a rozpočtovej klasifikácie.</w:t>
            </w:r>
          </w:p>
        </w:tc>
      </w:tr>
      <w:tr w:rsidR="00BA2E69" w:rsidRPr="008A615C" w14:paraId="41AA3CE1" w14:textId="77777777" w:rsidTr="00B206B3">
        <w:trPr>
          <w:trHeight w:val="156"/>
        </w:trPr>
        <w:tc>
          <w:tcPr>
            <w:tcW w:w="9214" w:type="dxa"/>
          </w:tcPr>
          <w:p w14:paraId="7AD46817" w14:textId="77777777" w:rsidR="007A3FF8" w:rsidRPr="008A615C" w:rsidRDefault="007A3FF8" w:rsidP="004B7DC7">
            <w:pPr>
              <w:spacing w:after="120" w:line="312" w:lineRule="auto"/>
              <w:jc w:val="both"/>
              <w:rPr>
                <w:sz w:val="22"/>
                <w:szCs w:val="22"/>
              </w:rPr>
            </w:pPr>
            <w:r w:rsidRPr="008A615C">
              <w:rPr>
                <w:b/>
                <w:sz w:val="22"/>
                <w:szCs w:val="22"/>
              </w:rPr>
              <w:t>Saldo rozpočtu verejnej správy</w:t>
            </w:r>
            <w:r w:rsidRPr="008A615C">
              <w:rPr>
                <w:sz w:val="22"/>
                <w:szCs w:val="22"/>
              </w:rPr>
              <w:t xml:space="preserve"> – môže mať charakter schodku alebo prebytku. Schodok je záporný rozdiel medzi celkovými príjmami a celkovými výdavkami verejnej správy. Prebytok je kladný rozdiel medzi celkovými príjmami a celkovými výdavkami verejnej správy. V metodike národných účtov sa saldo verejnej správy nazýva „čisté pôžičky poskytnuté/prijaté“. Ich výška predstavuje sumu, ktorú verejná správa môže poskytnúť alebo prijať ako pôžičku na financovanie svojich nefinančných operácií.</w:t>
            </w:r>
          </w:p>
        </w:tc>
      </w:tr>
      <w:tr w:rsidR="00BA2E69" w:rsidRPr="008A615C" w14:paraId="67F5AC80" w14:textId="77777777" w:rsidTr="00B206B3">
        <w:trPr>
          <w:trHeight w:val="156"/>
        </w:trPr>
        <w:tc>
          <w:tcPr>
            <w:tcW w:w="9214" w:type="dxa"/>
          </w:tcPr>
          <w:p w14:paraId="3AEE6DC3" w14:textId="77777777" w:rsidR="007A3FF8" w:rsidRPr="008A615C" w:rsidRDefault="007A3FF8" w:rsidP="004B7DC7">
            <w:pPr>
              <w:spacing w:after="120" w:line="312" w:lineRule="auto"/>
              <w:jc w:val="both"/>
              <w:rPr>
                <w:sz w:val="22"/>
                <w:szCs w:val="22"/>
              </w:rPr>
            </w:pPr>
            <w:r w:rsidRPr="008A615C">
              <w:rPr>
                <w:b/>
                <w:sz w:val="22"/>
                <w:szCs w:val="22"/>
              </w:rPr>
              <w:t>Štrukturálne saldo</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saldo rozpočtu verejnej správy upravené o vplyv hospodárskeho cyklu a jednorazové a dočasné vplyvy. Referenčná hodnota medziročnej zmeny štrukturálneho salda sa používa na hodnotenie charakteru fiškálnej politiky, či je expanzívna (medziročné zvyšovanie / znižovanie štrukturálneho schodku / prebytku) alebo reštriktívna (medziročné znižovanie / zvyšovanie štrukturálneho schodku / prebytku).</w:t>
            </w:r>
          </w:p>
        </w:tc>
      </w:tr>
      <w:tr w:rsidR="00BA2E69" w:rsidRPr="008A615C" w14:paraId="0F505B4B" w14:textId="77777777" w:rsidTr="00B206B3">
        <w:trPr>
          <w:trHeight w:val="156"/>
        </w:trPr>
        <w:tc>
          <w:tcPr>
            <w:tcW w:w="9214" w:type="dxa"/>
          </w:tcPr>
          <w:p w14:paraId="56E7A276" w14:textId="77777777" w:rsidR="007A3FF8" w:rsidRPr="008A615C" w:rsidRDefault="007A3FF8" w:rsidP="004B7DC7">
            <w:pPr>
              <w:spacing w:after="120" w:line="312" w:lineRule="auto"/>
              <w:jc w:val="both"/>
              <w:rPr>
                <w:sz w:val="22"/>
                <w:szCs w:val="22"/>
              </w:rPr>
            </w:pPr>
            <w:r w:rsidRPr="008A615C">
              <w:rPr>
                <w:b/>
                <w:sz w:val="22"/>
                <w:szCs w:val="22"/>
              </w:rPr>
              <w:t>Jednorazové vplyvy</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všeobecne definované ako príjem alebo výdavok, ktorý nemá trvalý alebo opakujúci sa charakter a má časovo obmedzený vplyv na saldo verejnej správy. Úprava salda verejnej správy o takéto vplyvy umožňuje analyticky vhodnejšie posúdenie jeho vývoja v čase.</w:t>
            </w:r>
          </w:p>
        </w:tc>
      </w:tr>
      <w:tr w:rsidR="00BA2E69" w:rsidRPr="008A615C" w14:paraId="3DA1BAD0" w14:textId="77777777" w:rsidTr="00B206B3">
        <w:trPr>
          <w:trHeight w:val="156"/>
        </w:trPr>
        <w:tc>
          <w:tcPr>
            <w:tcW w:w="9214" w:type="dxa"/>
          </w:tcPr>
          <w:p w14:paraId="18CAF83B" w14:textId="60F44EC0" w:rsidR="007A3FF8" w:rsidRPr="008A615C" w:rsidRDefault="007A3FF8" w:rsidP="002E6C6F">
            <w:pPr>
              <w:spacing w:after="120" w:line="312" w:lineRule="auto"/>
              <w:jc w:val="both"/>
              <w:rPr>
                <w:sz w:val="22"/>
                <w:szCs w:val="22"/>
              </w:rPr>
            </w:pPr>
            <w:r w:rsidRPr="008A615C">
              <w:rPr>
                <w:b/>
                <w:sz w:val="22"/>
                <w:szCs w:val="22"/>
              </w:rPr>
              <w:t xml:space="preserve">Dlh verejnej správy hrubý </w:t>
            </w:r>
            <w:r w:rsidRPr="008A615C">
              <w:rPr>
                <w:sz w:val="22"/>
                <w:szCs w:val="22"/>
              </w:rPr>
              <w:t>– alebo hrubý maastrichtský dlh verejnej správy, predstavuje konsolidovaný súčet všetkých záväzkov sektora verejnej správy v nominálnej (menovitej) hodnote, ktoré vznikli na základe prijatých vkladov, emitovaných cenných papierov (bez akcií) a prijatých pôžičiek (bez záväzkov z nesplatených úrokov). Súčasťou prijatých pôžičiek sú aj imputované pôžičky, ktoré sa rovnajú hodnote majetku nadobudnutého prostredníctvom finančného lízingu. Dlh je konsolidovaný, teda sú vylúčené všetky záväzky a recipročné pohľadávky jednotiek patriacich do</w:t>
            </w:r>
            <w:r w:rsidR="00DA1AAF">
              <w:rPr>
                <w:sz w:val="22"/>
                <w:szCs w:val="22"/>
              </w:rPr>
              <w:t> </w:t>
            </w:r>
            <w:r w:rsidRPr="008A615C">
              <w:rPr>
                <w:sz w:val="22"/>
                <w:szCs w:val="22"/>
              </w:rPr>
              <w:t>sektora VS. (Príručka vládneho deficitu a dlhu, vydanie 201</w:t>
            </w:r>
            <w:r w:rsidR="002E6C6F">
              <w:rPr>
                <w:sz w:val="22"/>
                <w:szCs w:val="22"/>
              </w:rPr>
              <w:t>9</w:t>
            </w:r>
            <w:r w:rsidRPr="008A615C">
              <w:rPr>
                <w:sz w:val="22"/>
                <w:szCs w:val="22"/>
              </w:rPr>
              <w:t>)</w:t>
            </w:r>
          </w:p>
        </w:tc>
      </w:tr>
      <w:tr w:rsidR="00BA2E69" w:rsidRPr="008A615C" w14:paraId="11986DF1" w14:textId="77777777" w:rsidTr="00B206B3">
        <w:trPr>
          <w:trHeight w:val="156"/>
        </w:trPr>
        <w:tc>
          <w:tcPr>
            <w:tcW w:w="9214" w:type="dxa"/>
          </w:tcPr>
          <w:p w14:paraId="00888D11" w14:textId="77777777" w:rsidR="007A3FF8" w:rsidRPr="008A615C" w:rsidRDefault="007A3FF8" w:rsidP="004B7DC7">
            <w:pPr>
              <w:spacing w:after="120" w:line="312" w:lineRule="auto"/>
              <w:jc w:val="both"/>
              <w:rPr>
                <w:sz w:val="22"/>
                <w:szCs w:val="22"/>
              </w:rPr>
            </w:pPr>
            <w:r w:rsidRPr="008A615C">
              <w:rPr>
                <w:b/>
                <w:sz w:val="22"/>
                <w:szCs w:val="22"/>
              </w:rPr>
              <w:t xml:space="preserve">Dlh verejnej správy čistý </w:t>
            </w:r>
            <w:r w:rsidR="00D7068F" w:rsidRPr="008A615C">
              <w:rPr>
                <w:b/>
                <w:sz w:val="22"/>
                <w:szCs w:val="22"/>
              </w:rPr>
              <w:t>–</w:t>
            </w:r>
            <w:r w:rsidR="00D7068F" w:rsidRPr="008A615C">
              <w:rPr>
                <w:sz w:val="22"/>
                <w:szCs w:val="22"/>
              </w:rPr>
              <w:t xml:space="preserve"> </w:t>
            </w:r>
            <w:r w:rsidRPr="008A615C">
              <w:rPr>
                <w:sz w:val="22"/>
                <w:szCs w:val="22"/>
              </w:rPr>
              <w:t>alebo čistý maastrichtský dlh verejnej správy, predstavuje rozdiel medzi hrubým maastrichtským dlhom a súčtom zlata a SDR, hotovosti, cenných papierov v trhovej hodnote (okrem akcií) a kótovaných akcií v trhovej hodnote. Čistý dlh vyjadruje schopnosť verejnej správy splatiť svoj maastrichtský dlh na základe speňaženia svojich najlikvidnejších finančných aktív. (Code of Conduct - Specifications on the implementation of the Stability and Growth Pact and Guidelines on the format and content of Stability and Convergence Programmes)</w:t>
            </w:r>
          </w:p>
        </w:tc>
      </w:tr>
      <w:tr w:rsidR="00BA2E69" w:rsidRPr="008A615C" w14:paraId="65E27821" w14:textId="77777777" w:rsidTr="00B206B3">
        <w:trPr>
          <w:trHeight w:val="156"/>
        </w:trPr>
        <w:tc>
          <w:tcPr>
            <w:tcW w:w="9214" w:type="dxa"/>
          </w:tcPr>
          <w:p w14:paraId="1FBE62D6" w14:textId="77777777" w:rsidR="007A3FF8" w:rsidRPr="008A615C" w:rsidRDefault="007A3FF8" w:rsidP="004B7DC7">
            <w:pPr>
              <w:spacing w:after="120" w:line="312" w:lineRule="auto"/>
              <w:jc w:val="both"/>
              <w:rPr>
                <w:sz w:val="22"/>
                <w:szCs w:val="22"/>
              </w:rPr>
            </w:pPr>
            <w:r w:rsidRPr="008A615C">
              <w:rPr>
                <w:b/>
                <w:sz w:val="22"/>
                <w:szCs w:val="22"/>
              </w:rPr>
              <w:t xml:space="preserve">Európske fiškálne pravidlá – </w:t>
            </w:r>
            <w:r w:rsidRPr="008A615C">
              <w:rPr>
                <w:sz w:val="22"/>
                <w:szCs w:val="22"/>
              </w:rPr>
              <w:t>vznikli z potreby dodržiavania fiškálnej disciplíny v rámci Hospodárskej a menovej únie (eurozóny) kvôli zachovaniu stability spoločnej meny euro. Predstavujú súbor pravidiel numerických, procesných ale aj pravidiel transparentnosti o zverejňovaní údajov o hospodárení štátu. Pravidlá sú zakotvené v právnych predpisoch EÚ (Zmluva o fungovaní Európskej únie, nariadenia, smernica) ale ich súčasťou je aj medzinárodná zmluva. Predchodcom fiškálnych pravidiel EÚ boli tzv. maastrichtské kritériá, ktoré stanovili podmienky pre členstvo v eurozóne v podobe referenčnej hodnoty pre deficit (3 % HDP) a dlh verejnej správy (60 % HDP). Kvôli potrebe udržiavať fiškálnu disciplínu aj po vstupe do eurozóny bol v roku 1997 schválený Pakt stability a rastu (Stability and Growth Pact – SGP), ktorý obsahuje aj sankcie, ak deficit krajiny prekročí 3% HDP. V dôsledku ekonomickej a finančnej krízy bol SGP v roku 2011 druhý krát revidovaný (prvý krát v roku 2005) a boli prijaté ďalšie štyri nariadenia s cieľom sprísnenia pravidiel fiškálneho dohľadu a rozšírenia dohľadu aj na makroekonomickú oblasť. Tzv. Six-pack priniesol predovšetkým sprísnenie sankcií, keď krajina môže byť penalizovaná za nedodržiavanie fiškálnych pravidiel až do výšky 0,5 % HDP, väčšiu orientáciu na pravidlo verejného dlhu (jeho nedodržiavanie bolo dovtedy prakticky ignorované) a povinnosť konsolidovať verejný rozpočet aj po znížení deficitu pod 3 % HDP tempom znižovania štrukturálneho salda minimálne o 0,5% HDP až po dosiahnutie strednodobého cieľa (medium-term objective – MTO). Medzinárodná zmluva, ktorá bola podpísaná 25 členskými krajinami Európskej únii (všetky s výnimkou Česka a Veľkej Británie) v roku 2012, stanovila povinnosť zaviesť pravidlo o vyrovnanom štrukturálnom salde verejnej správy do národnej legislatívy (tzv. Fiscal compact). Naposledy v roku 2013 boli schválené dve nariadenia, ktoré ďalej sprísňujú a prehlbujú fiškálny dohľad v krajinách eurozóny (tzv. Two-pack). Podľa nich musia krajiny eurozóny napríklad každoročne do 15. októbra predkladať Európskej komisii na posúdenie návrh rozpočtového plánu na nasledujúci rok.</w:t>
            </w:r>
          </w:p>
        </w:tc>
      </w:tr>
      <w:tr w:rsidR="00BA2E69" w:rsidRPr="008A615C" w14:paraId="521A3086" w14:textId="77777777" w:rsidTr="00B206B3">
        <w:trPr>
          <w:trHeight w:val="156"/>
        </w:trPr>
        <w:tc>
          <w:tcPr>
            <w:tcW w:w="9214" w:type="dxa"/>
          </w:tcPr>
          <w:p w14:paraId="3C277E04" w14:textId="446ADA87" w:rsidR="007A3FF8" w:rsidRPr="008A615C" w:rsidRDefault="007A3FF8" w:rsidP="00DA1AAF">
            <w:pPr>
              <w:spacing w:after="120" w:line="312" w:lineRule="auto"/>
              <w:jc w:val="both"/>
              <w:rPr>
                <w:sz w:val="22"/>
                <w:szCs w:val="22"/>
              </w:rPr>
            </w:pPr>
            <w:r w:rsidRPr="008A615C">
              <w:rPr>
                <w:b/>
                <w:sz w:val="22"/>
                <w:szCs w:val="22"/>
              </w:rPr>
              <w:t xml:space="preserve">Stratégia riadenia štátneho dlhu – </w:t>
            </w:r>
            <w:r w:rsidRPr="008A615C">
              <w:rPr>
                <w:sz w:val="22"/>
                <w:szCs w:val="22"/>
              </w:rPr>
              <w:t>ďalej len stratégia, je strategický dokument, ktorý stanovuje základné rámce a smerovanie politiky riadenia štátneho dlhu. Stratégia formuluje vrcholové kvantitatívne ukazovatele a parametre štátneho dlhu a stanovuje tiež ciele, ktoré by mali prispieť ku</w:t>
            </w:r>
            <w:r w:rsidR="00DA1AAF">
              <w:rPr>
                <w:sz w:val="22"/>
                <w:szCs w:val="22"/>
              </w:rPr>
              <w:t> </w:t>
            </w:r>
            <w:r w:rsidRPr="008A615C">
              <w:rPr>
                <w:sz w:val="22"/>
                <w:szCs w:val="22"/>
              </w:rPr>
              <w:t>kvalitatívnemu zlepšeniu riadenia dlhu. Dokument ďalej popisuje vývoj a štruktúru štátneho dlhu SR, makroekonomické a fiškálne východiská a riziká dlhového portfólia. Od stratégie sú odvodené jednotlivé predpisy upravujúce pravidlá pre riadenie rizík štátneho dlhu, limity pozícií štátu a systém kontroly. Podľa Ústavného zákona o rozpočtovej zodpovednosti je stratégia súčasťou Rozpočtu verejnej správy SR a vyhodnotenie plnenia cieľov stratégie je súčasťou Súhrnnej výročnej správy SR.</w:t>
            </w:r>
          </w:p>
        </w:tc>
      </w:tr>
      <w:tr w:rsidR="00BA2E69" w:rsidRPr="008A615C" w14:paraId="787E828D" w14:textId="77777777" w:rsidTr="00B206B3">
        <w:trPr>
          <w:trHeight w:val="156"/>
        </w:trPr>
        <w:tc>
          <w:tcPr>
            <w:tcW w:w="9214" w:type="dxa"/>
            <w:shd w:val="clear" w:color="auto" w:fill="BFBFBF" w:themeFill="background1" w:themeFillShade="BF"/>
            <w:vAlign w:val="center"/>
          </w:tcPr>
          <w:p w14:paraId="51C4730C" w14:textId="77777777" w:rsidR="007A3FF8" w:rsidRPr="008A615C" w:rsidRDefault="007A3FF8" w:rsidP="00BC1C16">
            <w:pPr>
              <w:spacing w:before="200" w:line="312" w:lineRule="auto"/>
              <w:jc w:val="both"/>
              <w:rPr>
                <w:b/>
                <w:sz w:val="22"/>
                <w:szCs w:val="22"/>
              </w:rPr>
            </w:pPr>
            <w:r w:rsidRPr="008A615C">
              <w:rPr>
                <w:b/>
                <w:sz w:val="22"/>
                <w:szCs w:val="22"/>
              </w:rPr>
              <w:t xml:space="preserve">3. kapitola: Čisté bohatstvo </w:t>
            </w:r>
          </w:p>
        </w:tc>
      </w:tr>
      <w:tr w:rsidR="00BA2E69" w:rsidRPr="008A615C" w14:paraId="06F65F42" w14:textId="77777777" w:rsidTr="00B206B3">
        <w:trPr>
          <w:trHeight w:val="156"/>
        </w:trPr>
        <w:tc>
          <w:tcPr>
            <w:tcW w:w="9214" w:type="dxa"/>
          </w:tcPr>
          <w:p w14:paraId="0663D6AB" w14:textId="6AD80205" w:rsidR="00BC1C16" w:rsidRDefault="007A3FF8" w:rsidP="00BC1C16">
            <w:pPr>
              <w:spacing w:before="120" w:after="120" w:line="312" w:lineRule="auto"/>
              <w:jc w:val="both"/>
              <w:rPr>
                <w:sz w:val="22"/>
                <w:szCs w:val="22"/>
              </w:rPr>
            </w:pPr>
            <w:r w:rsidRPr="008A615C">
              <w:rPr>
                <w:b/>
                <w:sz w:val="22"/>
                <w:szCs w:val="22"/>
              </w:rPr>
              <w:t xml:space="preserve">Čisté bohatstvo </w:t>
            </w:r>
            <w:r w:rsidR="00D7068F" w:rsidRPr="008A615C">
              <w:rPr>
                <w:b/>
                <w:sz w:val="22"/>
                <w:szCs w:val="22"/>
              </w:rPr>
              <w:t>–</w:t>
            </w:r>
            <w:r w:rsidR="00D7068F" w:rsidRPr="008A615C">
              <w:rPr>
                <w:sz w:val="22"/>
                <w:szCs w:val="22"/>
              </w:rPr>
              <w:t xml:space="preserve"> </w:t>
            </w:r>
            <w:r w:rsidRPr="008A615C">
              <w:rPr>
                <w:sz w:val="22"/>
                <w:szCs w:val="22"/>
              </w:rPr>
              <w:t>súčet vlastného imania subjektov verejnej správy, vlastného imania Národnej banky Slovenska, vlastného imania podnikov</w:t>
            </w:r>
            <w:r w:rsidR="00E44CC8">
              <w:rPr>
                <w:sz w:val="22"/>
                <w:szCs w:val="22"/>
              </w:rPr>
              <w:t xml:space="preserve"> štátnej správy a </w:t>
            </w:r>
            <w:r w:rsidR="00E44CC8" w:rsidRPr="00DA1AAF">
              <w:rPr>
                <w:sz w:val="22"/>
                <w:szCs w:val="22"/>
              </w:rPr>
              <w:t>podnikov miestn</w:t>
            </w:r>
            <w:r w:rsidRPr="00DA1AAF">
              <w:rPr>
                <w:sz w:val="22"/>
                <w:szCs w:val="22"/>
              </w:rPr>
              <w:t>ej samosprávy</w:t>
            </w:r>
            <w:r w:rsidRPr="008A615C">
              <w:rPr>
                <w:sz w:val="22"/>
                <w:szCs w:val="22"/>
              </w:rPr>
              <w:t xml:space="preserve">, upravený o implicitné záväzky a podmienené záväzky, iné aktíva a iné pasíva. (Čl. 2 </w:t>
            </w:r>
            <w:r w:rsidR="00C175C4">
              <w:rPr>
                <w:sz w:val="22"/>
                <w:szCs w:val="22"/>
              </w:rPr>
              <w:t xml:space="preserve">písm. e) </w:t>
            </w:r>
            <w:r w:rsidRPr="008A615C">
              <w:rPr>
                <w:sz w:val="22"/>
                <w:szCs w:val="22"/>
              </w:rPr>
              <w:t>ústavného zákona o rozpočtovej zodpovednosti)</w:t>
            </w:r>
          </w:p>
          <w:p w14:paraId="0427D3D6" w14:textId="3F2F0C6D" w:rsidR="007A3FF8" w:rsidRPr="008A615C" w:rsidRDefault="007A3FF8" w:rsidP="00BC1C16">
            <w:pPr>
              <w:spacing w:before="120" w:after="120" w:line="312" w:lineRule="auto"/>
              <w:jc w:val="both"/>
              <w:rPr>
                <w:sz w:val="22"/>
                <w:szCs w:val="22"/>
              </w:rPr>
            </w:pPr>
            <w:r w:rsidRPr="008A615C">
              <w:rPr>
                <w:b/>
                <w:sz w:val="22"/>
                <w:szCs w:val="22"/>
              </w:rPr>
              <w:t>Vlastné imanie</w:t>
            </w:r>
            <w:r w:rsidRPr="008A615C">
              <w:rPr>
                <w:sz w:val="22"/>
                <w:szCs w:val="22"/>
              </w:rPr>
              <w:t xml:space="preserve"> – vlastný zdroj krytia majetku, vyjadruje nárok na majetok podniku po odpočítaní všetkých jeho účtovných dlhov. Vlastné imanie predstavuje v súvahe rozdiel medzi hodnotou majetku (aktív) a hodnotou záväzkov v širšom zmysle. Podľa slovenskej právnej úpravy pre podnikateľov účtujúcich v sústave podvojného účtovníctva vlastné imanie tvorí: základné imanie, kapitálové fondy, fondy zo zisku, oceňovacie rozdiely z precenenia, výsledok hospodárenia minulých rokov a výsledok hospodárenia za účtovné obdobie po zdanení.</w:t>
            </w:r>
          </w:p>
        </w:tc>
      </w:tr>
      <w:tr w:rsidR="00BA2E69" w:rsidRPr="008A615C" w14:paraId="0B674DC3" w14:textId="77777777" w:rsidTr="00B206B3">
        <w:trPr>
          <w:trHeight w:val="156"/>
        </w:trPr>
        <w:tc>
          <w:tcPr>
            <w:tcW w:w="9214" w:type="dxa"/>
          </w:tcPr>
          <w:p w14:paraId="34B12864" w14:textId="77777777" w:rsidR="007A3FF8" w:rsidRPr="00DA1AAF" w:rsidRDefault="007A3FF8" w:rsidP="00E44CC8">
            <w:pPr>
              <w:spacing w:after="120" w:line="312" w:lineRule="auto"/>
              <w:jc w:val="both"/>
              <w:rPr>
                <w:sz w:val="22"/>
                <w:szCs w:val="22"/>
              </w:rPr>
            </w:pPr>
            <w:r w:rsidRPr="00DA1AAF">
              <w:rPr>
                <w:b/>
                <w:sz w:val="22"/>
                <w:szCs w:val="22"/>
              </w:rPr>
              <w:t>Verejný sektor –</w:t>
            </w:r>
            <w:r w:rsidRPr="00DA1AAF">
              <w:rPr>
                <w:sz w:val="22"/>
                <w:szCs w:val="22"/>
              </w:rPr>
              <w:t xml:space="preserve"> pre potreby súhrnnej správy definovaný ako sektor, za ktorý sa vyčísľuje čisté bohatstvo. Okrem verejnej správy podľa metodiky ESA 2010 zahŕňa podniky štátnej správy, podniky </w:t>
            </w:r>
            <w:r w:rsidR="00E44CC8" w:rsidRPr="00DA1AAF">
              <w:rPr>
                <w:sz w:val="22"/>
                <w:szCs w:val="22"/>
              </w:rPr>
              <w:t>miestn</w:t>
            </w:r>
            <w:r w:rsidRPr="00DA1AAF">
              <w:rPr>
                <w:sz w:val="22"/>
                <w:szCs w:val="22"/>
              </w:rPr>
              <w:t>ej samosprávy a NBS.</w:t>
            </w:r>
          </w:p>
        </w:tc>
      </w:tr>
      <w:tr w:rsidR="00BA2E69" w:rsidRPr="008A615C" w14:paraId="5D5BA594" w14:textId="77777777" w:rsidTr="00B206B3">
        <w:trPr>
          <w:trHeight w:val="156"/>
        </w:trPr>
        <w:tc>
          <w:tcPr>
            <w:tcW w:w="9214" w:type="dxa"/>
          </w:tcPr>
          <w:p w14:paraId="151EE59E" w14:textId="77777777" w:rsidR="007A3FF8" w:rsidRPr="00DA1AAF" w:rsidRDefault="007A3FF8" w:rsidP="004B7DC7">
            <w:pPr>
              <w:spacing w:after="120" w:line="312" w:lineRule="auto"/>
              <w:jc w:val="both"/>
              <w:rPr>
                <w:sz w:val="22"/>
                <w:szCs w:val="22"/>
              </w:rPr>
            </w:pPr>
            <w:r w:rsidRPr="00DA1AAF">
              <w:rPr>
                <w:b/>
                <w:sz w:val="22"/>
                <w:szCs w:val="22"/>
              </w:rPr>
              <w:t>Podniky verejnej správy</w:t>
            </w:r>
            <w:r w:rsidRPr="00DA1AAF">
              <w:rPr>
                <w:sz w:val="22"/>
                <w:szCs w:val="22"/>
              </w:rPr>
              <w:t xml:space="preserve"> – súhrnné pomenovanie používané v tomto dokumente pre podni</w:t>
            </w:r>
            <w:r w:rsidR="00E44CC8" w:rsidRPr="00DA1AAF">
              <w:rPr>
                <w:sz w:val="22"/>
                <w:szCs w:val="22"/>
              </w:rPr>
              <w:t>ky štátnej správy a podniky miest</w:t>
            </w:r>
            <w:r w:rsidRPr="00DA1AAF">
              <w:rPr>
                <w:sz w:val="22"/>
                <w:szCs w:val="22"/>
              </w:rPr>
              <w:t>nej samosprávy, ktoré sú definované legislatívou. Keďže podniky štátnej správy a samosprávy sú definované pre potreby výpočtu čistého bohatstva, do ktorého vchádzajú len podniky s majetkovou účasťou štátu v minimálnej výške 20 %, tento pojem môže byť použitý aj širšie, teda na všetky podniky bez obmedzenia majetkovej účasti štátu.</w:t>
            </w:r>
          </w:p>
        </w:tc>
      </w:tr>
      <w:tr w:rsidR="00BA2E69" w:rsidRPr="008A615C" w14:paraId="3DE33EFE" w14:textId="77777777" w:rsidTr="00B206B3">
        <w:trPr>
          <w:trHeight w:val="156"/>
        </w:trPr>
        <w:tc>
          <w:tcPr>
            <w:tcW w:w="9214" w:type="dxa"/>
          </w:tcPr>
          <w:p w14:paraId="1FEC0E09" w14:textId="5A0CDE4C" w:rsidR="007A3FF8" w:rsidRPr="008A615C" w:rsidRDefault="007A3FF8" w:rsidP="00DA1AAF">
            <w:pPr>
              <w:spacing w:line="312" w:lineRule="auto"/>
              <w:jc w:val="both"/>
              <w:rPr>
                <w:sz w:val="22"/>
                <w:szCs w:val="22"/>
              </w:rPr>
            </w:pPr>
            <w:r w:rsidRPr="008A615C">
              <w:rPr>
                <w:b/>
                <w:sz w:val="22"/>
                <w:szCs w:val="22"/>
              </w:rPr>
              <w:t>Podnik štátnej správy</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štátny podnik, obchodná spoločnosť s majetkovou účasťou štátu v</w:t>
            </w:r>
            <w:r w:rsidR="00DA1AAF">
              <w:rPr>
                <w:sz w:val="22"/>
                <w:szCs w:val="22"/>
              </w:rPr>
              <w:t> </w:t>
            </w:r>
            <w:r w:rsidRPr="008A615C">
              <w:rPr>
                <w:sz w:val="22"/>
                <w:szCs w:val="22"/>
              </w:rPr>
              <w:t>minimálnej výške 20 % jej základného imania a právnická osoba zriadená zákonom, v ktorej má štát kvalifikovanú účasť; kvalifikovanou účasťou sa na účely tohto zákona rozumie priamy alebo nepriamy podiel predstavujúci aspoň 20 %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 (Čl. 2</w:t>
            </w:r>
            <w:r w:rsidR="00C175C4">
              <w:rPr>
                <w:sz w:val="22"/>
                <w:szCs w:val="22"/>
              </w:rPr>
              <w:t xml:space="preserve"> písm. </w:t>
            </w:r>
            <w:r w:rsidRPr="008A615C">
              <w:rPr>
                <w:sz w:val="22"/>
                <w:szCs w:val="22"/>
              </w:rPr>
              <w:t>f</w:t>
            </w:r>
            <w:r w:rsidR="00C175C4">
              <w:rPr>
                <w:sz w:val="22"/>
                <w:szCs w:val="22"/>
              </w:rPr>
              <w:t>)</w:t>
            </w:r>
            <w:r w:rsidRPr="008A615C">
              <w:rPr>
                <w:sz w:val="22"/>
                <w:szCs w:val="22"/>
              </w:rPr>
              <w:t xml:space="preserve"> ústavného zákona o rozpočtovej zodpovednosti).</w:t>
            </w:r>
          </w:p>
        </w:tc>
      </w:tr>
      <w:tr w:rsidR="00BA2E69" w:rsidRPr="008A615C" w14:paraId="2B04C89F" w14:textId="77777777" w:rsidTr="00B206B3">
        <w:trPr>
          <w:trHeight w:val="156"/>
        </w:trPr>
        <w:tc>
          <w:tcPr>
            <w:tcW w:w="9214" w:type="dxa"/>
          </w:tcPr>
          <w:p w14:paraId="51F47A4D" w14:textId="19CBAF90" w:rsidR="007A3FF8" w:rsidRPr="008A615C" w:rsidRDefault="00E44CC8" w:rsidP="00DA1AAF">
            <w:pPr>
              <w:spacing w:after="120" w:line="312" w:lineRule="auto"/>
              <w:jc w:val="both"/>
              <w:rPr>
                <w:sz w:val="22"/>
                <w:szCs w:val="22"/>
              </w:rPr>
            </w:pPr>
            <w:r w:rsidRPr="00DA1AAF">
              <w:rPr>
                <w:b/>
                <w:sz w:val="22"/>
                <w:szCs w:val="22"/>
              </w:rPr>
              <w:t>Podnik miest</w:t>
            </w:r>
            <w:r w:rsidR="007A3FF8" w:rsidRPr="00DA1AAF">
              <w:rPr>
                <w:b/>
                <w:sz w:val="22"/>
                <w:szCs w:val="22"/>
              </w:rPr>
              <w:t>nej samosprávy</w:t>
            </w:r>
            <w:r w:rsidR="007A3FF8" w:rsidRPr="00DA1AAF">
              <w:rPr>
                <w:sz w:val="22"/>
                <w:szCs w:val="22"/>
              </w:rPr>
              <w:t xml:space="preserve"> </w:t>
            </w:r>
            <w:r w:rsidR="00D7068F" w:rsidRPr="00DA1AAF">
              <w:rPr>
                <w:b/>
                <w:sz w:val="22"/>
                <w:szCs w:val="22"/>
              </w:rPr>
              <w:t>–</w:t>
            </w:r>
            <w:r w:rsidR="00D7068F" w:rsidRPr="00DA1AAF">
              <w:rPr>
                <w:sz w:val="22"/>
                <w:szCs w:val="22"/>
              </w:rPr>
              <w:t xml:space="preserve"> </w:t>
            </w:r>
            <w:r w:rsidR="007A3FF8" w:rsidRPr="00DA1AAF">
              <w:rPr>
                <w:sz w:val="22"/>
                <w:szCs w:val="22"/>
              </w:rPr>
              <w:t>obchodná spol</w:t>
            </w:r>
            <w:r w:rsidRPr="00DA1AAF">
              <w:rPr>
                <w:sz w:val="22"/>
                <w:szCs w:val="22"/>
              </w:rPr>
              <w:t>očnosť s majetkovou účasťou miest</w:t>
            </w:r>
            <w:r w:rsidR="007A3FF8" w:rsidRPr="00DA1AAF">
              <w:rPr>
                <w:sz w:val="22"/>
                <w:szCs w:val="22"/>
              </w:rPr>
              <w:t xml:space="preserve">nej samosprávy </w:t>
            </w:r>
            <w:r w:rsidR="007A3FF8" w:rsidRPr="008A615C">
              <w:rPr>
                <w:sz w:val="22"/>
                <w:szCs w:val="22"/>
              </w:rPr>
              <w:t>v</w:t>
            </w:r>
            <w:r w:rsidR="00DA1AAF">
              <w:rPr>
                <w:sz w:val="22"/>
                <w:szCs w:val="22"/>
              </w:rPr>
              <w:t> </w:t>
            </w:r>
            <w:r w:rsidR="007A3FF8" w:rsidRPr="008A615C">
              <w:rPr>
                <w:sz w:val="22"/>
                <w:szCs w:val="22"/>
              </w:rPr>
              <w:t>minimálnej výške 20 % jej základného imania (Čl. 2</w:t>
            </w:r>
            <w:r w:rsidR="00C175C4">
              <w:rPr>
                <w:sz w:val="22"/>
                <w:szCs w:val="22"/>
              </w:rPr>
              <w:t xml:space="preserve"> písm. </w:t>
            </w:r>
            <w:r w:rsidR="007A3FF8" w:rsidRPr="008A615C">
              <w:rPr>
                <w:sz w:val="22"/>
                <w:szCs w:val="22"/>
              </w:rPr>
              <w:t>g</w:t>
            </w:r>
            <w:r w:rsidR="00C175C4">
              <w:rPr>
                <w:sz w:val="22"/>
                <w:szCs w:val="22"/>
              </w:rPr>
              <w:t>)</w:t>
            </w:r>
            <w:r w:rsidR="007A3FF8" w:rsidRPr="008A615C">
              <w:rPr>
                <w:sz w:val="22"/>
                <w:szCs w:val="22"/>
              </w:rPr>
              <w:t xml:space="preserve"> ústavného zákona o rozpočtovej zodpovednosti)</w:t>
            </w:r>
          </w:p>
        </w:tc>
      </w:tr>
      <w:tr w:rsidR="00BA2E69" w:rsidRPr="008A615C" w14:paraId="6BFBAFBE" w14:textId="77777777" w:rsidTr="00B206B3">
        <w:trPr>
          <w:trHeight w:val="156"/>
        </w:trPr>
        <w:tc>
          <w:tcPr>
            <w:tcW w:w="9214" w:type="dxa"/>
          </w:tcPr>
          <w:p w14:paraId="71913DC5" w14:textId="0BC1EEE1" w:rsidR="007A3FF8" w:rsidRPr="008A615C" w:rsidRDefault="007A3FF8" w:rsidP="004B7DC7">
            <w:pPr>
              <w:spacing w:after="120" w:line="312" w:lineRule="auto"/>
              <w:jc w:val="both"/>
              <w:rPr>
                <w:sz w:val="22"/>
                <w:szCs w:val="22"/>
              </w:rPr>
            </w:pPr>
            <w:r w:rsidRPr="008A615C">
              <w:rPr>
                <w:b/>
                <w:sz w:val="22"/>
                <w:szCs w:val="22"/>
              </w:rPr>
              <w:t>Implicitné záväzky</w:t>
            </w:r>
            <w:r w:rsidRPr="008A615C">
              <w:rPr>
                <w:sz w:val="22"/>
                <w:szCs w:val="22"/>
              </w:rPr>
              <w:t xml:space="preserve"> </w:t>
            </w:r>
            <w:r w:rsidR="00D7068F" w:rsidRPr="008A615C">
              <w:rPr>
                <w:b/>
                <w:sz w:val="22"/>
                <w:szCs w:val="22"/>
              </w:rPr>
              <w:t>–</w:t>
            </w:r>
            <w:r w:rsidR="00D7068F" w:rsidRPr="008A615C">
              <w:rPr>
                <w:sz w:val="22"/>
                <w:szCs w:val="22"/>
              </w:rPr>
              <w:t xml:space="preserve"> </w:t>
            </w:r>
            <w:r w:rsidRPr="008A615C">
              <w:rPr>
                <w:sz w:val="22"/>
                <w:szCs w:val="22"/>
              </w:rPr>
              <w:t>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 (Čl. 2</w:t>
            </w:r>
            <w:r w:rsidR="00C175C4">
              <w:rPr>
                <w:sz w:val="22"/>
                <w:szCs w:val="22"/>
              </w:rPr>
              <w:t xml:space="preserve"> písm. </w:t>
            </w:r>
            <w:r w:rsidRPr="008A615C">
              <w:rPr>
                <w:sz w:val="22"/>
                <w:szCs w:val="22"/>
              </w:rPr>
              <w:t>h</w:t>
            </w:r>
            <w:r w:rsidR="00C175C4">
              <w:rPr>
                <w:sz w:val="22"/>
                <w:szCs w:val="22"/>
              </w:rPr>
              <w:t>)</w:t>
            </w:r>
            <w:r w:rsidRPr="008A615C">
              <w:rPr>
                <w:sz w:val="22"/>
                <w:szCs w:val="22"/>
              </w:rPr>
              <w:t xml:space="preserve"> ústavného zákona o rozpočtovej zodpovednosti). Najznámejším príkladom sú starobné dôchodky z priebežného piliera dôchodkového systému.</w:t>
            </w:r>
          </w:p>
        </w:tc>
      </w:tr>
      <w:tr w:rsidR="00BA2E69" w:rsidRPr="008A615C" w14:paraId="03B09A39" w14:textId="77777777" w:rsidTr="00B206B3">
        <w:trPr>
          <w:trHeight w:val="156"/>
        </w:trPr>
        <w:tc>
          <w:tcPr>
            <w:tcW w:w="9214" w:type="dxa"/>
          </w:tcPr>
          <w:p w14:paraId="3191EB8F" w14:textId="4BE45986" w:rsidR="007A3FF8" w:rsidRPr="008A615C" w:rsidRDefault="007A3FF8" w:rsidP="004B7DC7">
            <w:pPr>
              <w:spacing w:line="312" w:lineRule="auto"/>
              <w:jc w:val="both"/>
              <w:rPr>
                <w:sz w:val="22"/>
                <w:szCs w:val="22"/>
              </w:rPr>
            </w:pPr>
            <w:r w:rsidRPr="008A615C">
              <w:rPr>
                <w:b/>
                <w:sz w:val="22"/>
                <w:szCs w:val="22"/>
              </w:rPr>
              <w:t xml:space="preserve">Podmienené záväzky </w:t>
            </w:r>
            <w:r w:rsidR="00D7068F" w:rsidRPr="008A615C">
              <w:rPr>
                <w:b/>
                <w:sz w:val="22"/>
                <w:szCs w:val="22"/>
              </w:rPr>
              <w:t>–</w:t>
            </w:r>
            <w:r w:rsidR="00D7068F" w:rsidRPr="008A615C">
              <w:rPr>
                <w:sz w:val="22"/>
                <w:szCs w:val="22"/>
              </w:rPr>
              <w:t xml:space="preserve"> </w:t>
            </w:r>
            <w:r w:rsidRPr="008A615C">
              <w:rPr>
                <w:sz w:val="22"/>
                <w:szCs w:val="22"/>
              </w:rPr>
              <w:t>iné pasíva účtovnej jednotky, ktorá ich vykazuje v poznámkach ako súčasti individuálnej účtovnej závierky (zákon o účtovníctve). Nejde teda o záväzok, ktorý je vykázaný na</w:t>
            </w:r>
            <w:r w:rsidR="00DA1AAF">
              <w:rPr>
                <w:sz w:val="22"/>
                <w:szCs w:val="22"/>
              </w:rPr>
              <w:t> </w:t>
            </w:r>
            <w:r w:rsidRPr="008A615C">
              <w:rPr>
                <w:sz w:val="22"/>
                <w:szCs w:val="22"/>
              </w:rPr>
              <w:t xml:space="preserve">súvahových položkách pasív, pretože nie je splnená podmienka na ich zaúčtovanie - výška záväzku sa nedá spoľahlivo oceniť, obdobie, ku ktorému sa povinnosť viaže nie je určené, úbytok ekonomických úžitkov v budúcnosti nie je istý. Ako iné pasíva sa vykazuje: </w:t>
            </w:r>
          </w:p>
          <w:p w14:paraId="46069734" w14:textId="3E5ABC6E" w:rsidR="007A3FF8" w:rsidRPr="008A615C" w:rsidRDefault="007A3FF8" w:rsidP="00684536">
            <w:pPr>
              <w:pStyle w:val="Odsekzoznamu"/>
              <w:numPr>
                <w:ilvl w:val="0"/>
                <w:numId w:val="13"/>
              </w:numPr>
              <w:spacing w:line="312" w:lineRule="auto"/>
              <w:jc w:val="both"/>
              <w:rPr>
                <w:rFonts w:cs="Times New Roman"/>
                <w:sz w:val="22"/>
              </w:rPr>
            </w:pPr>
            <w:r w:rsidRPr="008A615C">
              <w:rPr>
                <w:rFonts w:cs="Times New Roman"/>
                <w:sz w:val="22"/>
              </w:rPr>
              <w:t>možná povinnosť, ktorá vznikla ako dôsledok minulej udalosti a ktorej existencia závisí od</w:t>
            </w:r>
            <w:r w:rsidR="00DA1AAF">
              <w:rPr>
                <w:rFonts w:cs="Times New Roman"/>
                <w:sz w:val="22"/>
              </w:rPr>
              <w:t> </w:t>
            </w:r>
            <w:r w:rsidRPr="008A615C">
              <w:rPr>
                <w:rFonts w:cs="Times New Roman"/>
                <w:sz w:val="22"/>
              </w:rPr>
              <w:t>toho, či nastane alebo nenastane</w:t>
            </w:r>
            <w:bookmarkStart w:id="90" w:name="_GoBack"/>
            <w:bookmarkEnd w:id="90"/>
            <w:r w:rsidRPr="008A615C">
              <w:rPr>
                <w:rFonts w:cs="Times New Roman"/>
                <w:sz w:val="22"/>
              </w:rPr>
              <w:t xml:space="preserve"> jedna alebo viac neistých udalostí v budúcnosti, ktorých vznik nezávisí od účtovnej jednotky, alebo</w:t>
            </w:r>
          </w:p>
          <w:p w14:paraId="05E37FF5" w14:textId="77777777" w:rsidR="007A3FF8" w:rsidRPr="008A615C" w:rsidRDefault="007A3FF8" w:rsidP="00684536">
            <w:pPr>
              <w:pStyle w:val="Odsekzoznamu"/>
              <w:numPr>
                <w:ilvl w:val="0"/>
                <w:numId w:val="13"/>
              </w:numPr>
              <w:spacing w:after="120" w:line="312" w:lineRule="auto"/>
              <w:ind w:left="714" w:hanging="357"/>
              <w:jc w:val="both"/>
              <w:rPr>
                <w:rFonts w:cs="Times New Roman"/>
                <w:sz w:val="22"/>
              </w:rPr>
            </w:pPr>
            <w:r w:rsidRPr="008A615C">
              <w:rPr>
                <w:rFonts w:cs="Times New Roman"/>
                <w:sz w:val="22"/>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tc>
      </w:tr>
      <w:tr w:rsidR="00BA2E69" w:rsidRPr="008A615C" w14:paraId="68365978" w14:textId="77777777" w:rsidTr="00B206B3">
        <w:trPr>
          <w:trHeight w:val="156"/>
        </w:trPr>
        <w:tc>
          <w:tcPr>
            <w:tcW w:w="9214" w:type="dxa"/>
            <w:vAlign w:val="center"/>
          </w:tcPr>
          <w:p w14:paraId="36CF689E" w14:textId="77777777" w:rsidR="00B206B3" w:rsidRDefault="007A3FF8" w:rsidP="00B206B3">
            <w:pPr>
              <w:spacing w:after="120" w:line="312" w:lineRule="auto"/>
              <w:jc w:val="both"/>
              <w:rPr>
                <w:sz w:val="22"/>
                <w:szCs w:val="22"/>
              </w:rPr>
            </w:pPr>
            <w:r w:rsidRPr="008A615C">
              <w:rPr>
                <w:b/>
                <w:sz w:val="22"/>
                <w:szCs w:val="22"/>
              </w:rPr>
              <w:t xml:space="preserve">PPP projekt </w:t>
            </w:r>
            <w:r w:rsidR="00D7068F" w:rsidRPr="008A615C">
              <w:rPr>
                <w:b/>
                <w:sz w:val="22"/>
                <w:szCs w:val="22"/>
              </w:rPr>
              <w:t>–</w:t>
            </w:r>
            <w:r w:rsidR="00D7068F" w:rsidRPr="008A615C">
              <w:rPr>
                <w:sz w:val="22"/>
                <w:szCs w:val="22"/>
              </w:rPr>
              <w:t xml:space="preserve"> </w:t>
            </w:r>
            <w:r w:rsidRPr="008A615C">
              <w:rPr>
                <w:sz w:val="22"/>
                <w:szCs w:val="22"/>
              </w:rPr>
              <w:t>forma spolupráce medzi verejným a súkromným sektorom s cieľom financovania výstavby, rekonštrukcie, prevádzky a údržby infraštruktúry a poskytovania verejných služieb prostredníctvom tejto infraštruktúry. V rámci PPP projektov sú subjekty verejného sektora partnerom a zákazníkom súkromného sektora, od ktorého nakupujú služby. Súkromný partner v zásade financuje výstavbu a prevádzkuje dielo a ako protihodnota je mu umožnené poskytovať služby spojené s týmto dielom za platby od jeho používateľov alebo od verejného partnera. Dôležitou charakteristikou PPP je rozdelenie rizík spojených s výstavbou a prevádzkou diela medzi súkromným a verejným partnerom a dlhodobosť zmluvných vzťahov medzi súkromným a verejným partnerom.</w:t>
            </w:r>
          </w:p>
          <w:p w14:paraId="446EC2DC" w14:textId="4DED40B3" w:rsidR="007A3FF8" w:rsidRPr="008A615C" w:rsidRDefault="007A3FF8" w:rsidP="00B206B3">
            <w:pPr>
              <w:spacing w:after="120" w:line="312" w:lineRule="auto"/>
              <w:jc w:val="both"/>
              <w:rPr>
                <w:b/>
                <w:sz w:val="22"/>
                <w:szCs w:val="22"/>
              </w:rPr>
            </w:pPr>
            <w:r w:rsidRPr="008A615C">
              <w:rPr>
                <w:b/>
                <w:sz w:val="22"/>
                <w:szCs w:val="22"/>
              </w:rPr>
              <w:t xml:space="preserve">Centrálny konsolidačný systém – </w:t>
            </w:r>
            <w:r w:rsidRPr="008A615C">
              <w:rPr>
                <w:sz w:val="22"/>
                <w:szCs w:val="22"/>
              </w:rPr>
              <w:t>systém zberu, spracovania, analyzovania, konsolidovania a prezentovania údajov z účtovníctva od účtovných jednotiek súhrnného celku. Súčasťou Centrálneho konsolidačného systému je spracovanie údajov z finančných výkazov a konsolidačného balíka.</w:t>
            </w:r>
          </w:p>
        </w:tc>
      </w:tr>
    </w:tbl>
    <w:p w14:paraId="081351D9" w14:textId="77777777" w:rsidR="00DD0C52" w:rsidRPr="00D23DE0" w:rsidRDefault="00DD0C52" w:rsidP="002E6C6F">
      <w:pPr>
        <w:rPr>
          <w:rFonts w:eastAsiaTheme="majorEastAsia"/>
          <w:b/>
          <w:bCs/>
          <w:sz w:val="26"/>
          <w:szCs w:val="22"/>
        </w:rPr>
      </w:pPr>
    </w:p>
    <w:sectPr w:rsidR="00DD0C52" w:rsidRPr="00D23DE0" w:rsidSect="00F61675">
      <w:footerReference w:type="default" r:id="rId26"/>
      <w:type w:val="continuous"/>
      <w:pgSz w:w="11906" w:h="16838" w:code="9"/>
      <w:pgMar w:top="1418" w:right="1134" w:bottom="1418" w:left="1134" w:header="709" w:footer="38"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2010C" w14:textId="77777777" w:rsidR="001850BC" w:rsidRDefault="001850BC" w:rsidP="007304A5">
      <w:pPr>
        <w:spacing w:after="0" w:line="240" w:lineRule="auto"/>
      </w:pPr>
      <w:r>
        <w:separator/>
      </w:r>
    </w:p>
    <w:p w14:paraId="5CEF163B" w14:textId="77777777" w:rsidR="001850BC" w:rsidRDefault="001850BC"/>
    <w:p w14:paraId="5B34AC6D" w14:textId="77777777" w:rsidR="001850BC" w:rsidRDefault="001850BC" w:rsidP="00F201D1"/>
  </w:endnote>
  <w:endnote w:type="continuationSeparator" w:id="0">
    <w:p w14:paraId="1C5F20FE" w14:textId="77777777" w:rsidR="001850BC" w:rsidRDefault="001850BC" w:rsidP="007304A5">
      <w:pPr>
        <w:spacing w:after="0" w:line="240" w:lineRule="auto"/>
      </w:pPr>
      <w:r>
        <w:continuationSeparator/>
      </w:r>
    </w:p>
    <w:p w14:paraId="08817044" w14:textId="77777777" w:rsidR="001850BC" w:rsidRDefault="001850BC"/>
    <w:p w14:paraId="68BC98D2" w14:textId="77777777" w:rsidR="001850BC" w:rsidRDefault="001850BC" w:rsidP="00F20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T* Times New Roman">
    <w:altName w:val="Courier New"/>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 Itc TCE">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C8CD" w14:textId="77777777" w:rsidR="001850BC" w:rsidRDefault="001850BC">
    <w:pPr>
      <w:pStyle w:val="Pta"/>
      <w:jc w:val="center"/>
    </w:pPr>
  </w:p>
  <w:p w14:paraId="6B352315" w14:textId="77777777" w:rsidR="001850BC" w:rsidRDefault="001850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2D7D" w14:textId="77777777" w:rsidR="001850BC" w:rsidRDefault="001850BC">
    <w:pPr>
      <w:pStyle w:val="Pta"/>
      <w:jc w:val="center"/>
    </w:pPr>
    <w:r>
      <w:fldChar w:fldCharType="begin"/>
    </w:r>
    <w:r>
      <w:instrText>PAGE   \* MERGEFORMAT</w:instrText>
    </w:r>
    <w:r>
      <w:fldChar w:fldCharType="separate"/>
    </w:r>
    <w:r w:rsidR="008D45FA">
      <w:rPr>
        <w:noProof/>
      </w:rPr>
      <w:t>19</w:t>
    </w:r>
    <w:r>
      <w:fldChar w:fldCharType="end"/>
    </w:r>
  </w:p>
  <w:p w14:paraId="694715F5" w14:textId="77777777" w:rsidR="001850BC" w:rsidRDefault="001850B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F70C" w14:textId="77777777" w:rsidR="001850BC" w:rsidRPr="007251D7" w:rsidRDefault="001850BC">
    <w:pPr>
      <w:pStyle w:val="Pta"/>
      <w:jc w:val="center"/>
      <w:rPr>
        <w:sz w:val="20"/>
        <w:szCs w:val="20"/>
      </w:rPr>
    </w:pPr>
    <w:r w:rsidRPr="00C55223">
      <w:rPr>
        <w:szCs w:val="22"/>
      </w:rPr>
      <w:fldChar w:fldCharType="begin"/>
    </w:r>
    <w:r w:rsidRPr="00C55223">
      <w:rPr>
        <w:szCs w:val="22"/>
      </w:rPr>
      <w:instrText>PAGE   \* MERGEFORMAT</w:instrText>
    </w:r>
    <w:r w:rsidRPr="00C55223">
      <w:rPr>
        <w:szCs w:val="22"/>
      </w:rPr>
      <w:fldChar w:fldCharType="separate"/>
    </w:r>
    <w:r w:rsidR="008D45FA">
      <w:rPr>
        <w:noProof/>
        <w:szCs w:val="22"/>
      </w:rPr>
      <w:t>70</w:t>
    </w:r>
    <w:r w:rsidRPr="00C55223">
      <w:rPr>
        <w:szCs w:val="22"/>
      </w:rPr>
      <w:fldChar w:fldCharType="end"/>
    </w:r>
  </w:p>
  <w:p w14:paraId="6FB65834" w14:textId="77777777" w:rsidR="001850BC" w:rsidRDefault="001850BC">
    <w:pPr>
      <w:pStyle w:val="Pta"/>
    </w:pPr>
  </w:p>
  <w:p w14:paraId="4162C2B8" w14:textId="77777777" w:rsidR="001850BC" w:rsidRDefault="001850BC"/>
  <w:p w14:paraId="04D4E231" w14:textId="77777777" w:rsidR="001850BC" w:rsidRDefault="001850BC" w:rsidP="00F20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62EF" w14:textId="77777777" w:rsidR="001850BC" w:rsidRDefault="001850BC" w:rsidP="007304A5">
      <w:pPr>
        <w:spacing w:after="0" w:line="240" w:lineRule="auto"/>
      </w:pPr>
      <w:r>
        <w:separator/>
      </w:r>
    </w:p>
  </w:footnote>
  <w:footnote w:type="continuationSeparator" w:id="0">
    <w:p w14:paraId="71012A06" w14:textId="77777777" w:rsidR="001850BC" w:rsidRDefault="001850BC" w:rsidP="007304A5">
      <w:pPr>
        <w:spacing w:after="0" w:line="240" w:lineRule="auto"/>
      </w:pPr>
      <w:r>
        <w:continuationSeparator/>
      </w:r>
    </w:p>
    <w:p w14:paraId="54B60A4C" w14:textId="77777777" w:rsidR="001850BC" w:rsidRDefault="001850BC"/>
    <w:p w14:paraId="66B5ED3C" w14:textId="77777777" w:rsidR="001850BC" w:rsidRDefault="001850BC" w:rsidP="00F201D1"/>
  </w:footnote>
  <w:footnote w:id="1">
    <w:p w14:paraId="0BC32F48" w14:textId="77777777" w:rsidR="001850BC" w:rsidRPr="004B144B" w:rsidRDefault="001850BC" w:rsidP="002377CE">
      <w:pPr>
        <w:pStyle w:val="Textpoznmkypodiarou"/>
        <w:jc w:val="both"/>
        <w:rPr>
          <w:sz w:val="18"/>
          <w:szCs w:val="18"/>
        </w:rPr>
      </w:pPr>
      <w:r w:rsidRPr="004B144B">
        <w:rPr>
          <w:rStyle w:val="Odkaznapoznmkupodiarou"/>
          <w:sz w:val="18"/>
          <w:szCs w:val="18"/>
        </w:rPr>
        <w:footnoteRef/>
      </w:r>
      <w:r w:rsidRPr="004B144B">
        <w:rPr>
          <w:sz w:val="18"/>
          <w:szCs w:val="18"/>
        </w:rPr>
        <w:t xml:space="preserve"> </w:t>
      </w:r>
      <w:hyperlink r:id="rId1" w:history="1">
        <w:r w:rsidRPr="004B144B">
          <w:rPr>
            <w:rStyle w:val="Hypertextovprepojenie"/>
            <w:sz w:val="18"/>
            <w:szCs w:val="18"/>
          </w:rPr>
          <w:t>www.slovak.statistics.sk</w:t>
        </w:r>
      </w:hyperlink>
      <w:r w:rsidRPr="004B144B">
        <w:rPr>
          <w:sz w:val="18"/>
          <w:szCs w:val="18"/>
        </w:rPr>
        <w:t xml:space="preserve"> / Významné aktivity / Štatistický úrad SR zverejňuje revízie národných účtov</w:t>
      </w:r>
    </w:p>
  </w:footnote>
  <w:footnote w:id="2">
    <w:p w14:paraId="59F98AB6" w14:textId="24EC3690" w:rsidR="001850BC" w:rsidRPr="004B144B" w:rsidRDefault="001850BC" w:rsidP="002377CE">
      <w:pPr>
        <w:pStyle w:val="Textpoznmkypodiarou"/>
        <w:jc w:val="both"/>
        <w:rPr>
          <w:sz w:val="18"/>
          <w:szCs w:val="18"/>
        </w:rPr>
      </w:pPr>
      <w:r w:rsidRPr="004B144B">
        <w:rPr>
          <w:rStyle w:val="Odkaznapoznmkupodiarou"/>
          <w:sz w:val="18"/>
          <w:szCs w:val="18"/>
        </w:rPr>
        <w:footnoteRef/>
      </w:r>
      <w:r w:rsidRPr="004B144B">
        <w:rPr>
          <w:sz w:val="18"/>
          <w:szCs w:val="18"/>
        </w:rPr>
        <w:t xml:space="preserve"> </w:t>
      </w:r>
      <w:hyperlink r:id="rId2" w:history="1">
        <w:r w:rsidRPr="007E2C23">
          <w:rPr>
            <w:rStyle w:val="Hypertextovprepojenie"/>
            <w:sz w:val="18"/>
            <w:szCs w:val="18"/>
          </w:rPr>
          <w:t>https://ec.europa.eu/eurostat/web/products-manuals-and-guidelines/-/KS-GQ-19-007</w:t>
        </w:r>
      </w:hyperlink>
      <w:r>
        <w:rPr>
          <w:sz w:val="18"/>
          <w:szCs w:val="18"/>
        </w:rPr>
        <w:t xml:space="preserve"> </w:t>
      </w:r>
    </w:p>
  </w:footnote>
  <w:footnote w:id="3">
    <w:p w14:paraId="554B52BD" w14:textId="404C0635" w:rsidR="001850BC" w:rsidRDefault="001850BC" w:rsidP="002377CE">
      <w:pPr>
        <w:pStyle w:val="Textpoznmkypodiarou"/>
      </w:pPr>
      <w:r w:rsidRPr="004B144B">
        <w:rPr>
          <w:rStyle w:val="Odkaznapoznmkupodiarou"/>
          <w:sz w:val="18"/>
          <w:szCs w:val="18"/>
        </w:rPr>
        <w:footnoteRef/>
      </w:r>
      <w:hyperlink r:id="rId3" w:history="1">
        <w:r w:rsidRPr="004B144B">
          <w:rPr>
            <w:rStyle w:val="Hypertextovprepojenie"/>
            <w:sz w:val="18"/>
            <w:szCs w:val="18"/>
          </w:rPr>
          <w:t>https://ec.europa.eu/eurostat/documents/737960/9861115/Benchmark_revisions_2019.pdf</w:t>
        </w:r>
      </w:hyperlink>
      <w:r>
        <w:rPr>
          <w:rStyle w:val="Hypertextovprepojenie"/>
          <w:sz w:val="18"/>
          <w:szCs w:val="18"/>
        </w:rPr>
        <w:t xml:space="preserve"> </w:t>
      </w:r>
      <w:r w:rsidRPr="004B144B">
        <w:rPr>
          <w:sz w:val="18"/>
          <w:szCs w:val="18"/>
        </w:rPr>
        <w:t xml:space="preserve">a zároveň </w:t>
      </w:r>
      <w:hyperlink r:id="rId4" w:history="1">
        <w:r w:rsidRPr="007E2C23">
          <w:rPr>
            <w:rStyle w:val="Hypertextovprepojenie"/>
            <w:sz w:val="18"/>
            <w:szCs w:val="18"/>
          </w:rPr>
          <w:t>https://ec.europa.eu/eurostat/documents/3859598/9530664/KS-GQ-18-012-EN-N.pdf</w:t>
        </w:r>
      </w:hyperlink>
      <w:r>
        <w:rPr>
          <w:sz w:val="18"/>
          <w:szCs w:val="18"/>
        </w:rPr>
        <w:t xml:space="preserve"> </w:t>
      </w:r>
    </w:p>
  </w:footnote>
  <w:footnote w:id="4">
    <w:p w14:paraId="45B208B5" w14:textId="77777777" w:rsidR="001850BC" w:rsidRDefault="001850BC" w:rsidP="00F846A9">
      <w:pPr>
        <w:pStyle w:val="Textpoznmkypodiarou"/>
        <w:jc w:val="both"/>
      </w:pPr>
      <w:r>
        <w:rPr>
          <w:rStyle w:val="Odkaznapoznmkupodiarou"/>
        </w:rPr>
        <w:footnoteRef/>
      </w:r>
      <w:r>
        <w:t xml:space="preserve"> </w:t>
      </w:r>
      <w:r w:rsidRPr="00F846A9">
        <w:rPr>
          <w:sz w:val="18"/>
          <w:szCs w:val="18"/>
        </w:rPr>
        <w:t>Niektoré revízie ovplyvnili roky 2017 a staršie, čo však mení porovnanie s rokom 2018 oproti tomu, ak by k revízii nedošlo a porovnávali by sa pôvodné hodnoty predchádzajúcich rokov s rokom 2018.</w:t>
      </w:r>
    </w:p>
  </w:footnote>
  <w:footnote w:id="5">
    <w:p w14:paraId="65663CE2" w14:textId="1594D83A" w:rsidR="001850BC" w:rsidRDefault="001850BC" w:rsidP="00F846A9">
      <w:pPr>
        <w:pStyle w:val="Textpoznmkypodiarou"/>
        <w:jc w:val="both"/>
      </w:pPr>
      <w:r>
        <w:rPr>
          <w:rStyle w:val="Odkaznapoznmkupodiarou"/>
        </w:rPr>
        <w:footnoteRef/>
      </w:r>
      <w:r>
        <w:t xml:space="preserve"> </w:t>
      </w:r>
      <w:r w:rsidR="00F846A9">
        <w:rPr>
          <w:sz w:val="18"/>
          <w:szCs w:val="18"/>
        </w:rPr>
        <w:t>Dopravný podnik M</w:t>
      </w:r>
      <w:r w:rsidRPr="00F846A9">
        <w:rPr>
          <w:sz w:val="18"/>
          <w:szCs w:val="18"/>
        </w:rPr>
        <w:t>esta Žiliny s.r.o., Dopravný podnik Bra</w:t>
      </w:r>
      <w:r w:rsidR="00F846A9">
        <w:rPr>
          <w:sz w:val="18"/>
          <w:szCs w:val="18"/>
        </w:rPr>
        <w:t>tislava, a.s., Dopravný podnik M</w:t>
      </w:r>
      <w:r w:rsidRPr="00F846A9">
        <w:rPr>
          <w:sz w:val="18"/>
          <w:szCs w:val="18"/>
        </w:rPr>
        <w:t xml:space="preserve">esta </w:t>
      </w:r>
      <w:r w:rsidR="00F846A9">
        <w:rPr>
          <w:sz w:val="18"/>
          <w:szCs w:val="18"/>
        </w:rPr>
        <w:t>Košice, a.s. a Dopravný podnik M</w:t>
      </w:r>
      <w:r w:rsidRPr="00F846A9">
        <w:rPr>
          <w:sz w:val="18"/>
          <w:szCs w:val="18"/>
        </w:rPr>
        <w:t>esta Prešov, a.s.</w:t>
      </w:r>
    </w:p>
  </w:footnote>
  <w:footnote w:id="6">
    <w:p w14:paraId="1E3AA104" w14:textId="77777777" w:rsidR="001850BC" w:rsidRPr="00BE5BC2" w:rsidRDefault="001850BC" w:rsidP="006C0DD0">
      <w:pPr>
        <w:pStyle w:val="Textpoznmkypodiarou"/>
        <w:jc w:val="both"/>
        <w:rPr>
          <w:sz w:val="18"/>
          <w:szCs w:val="18"/>
        </w:rPr>
      </w:pPr>
      <w:r w:rsidRPr="00BE5BC2">
        <w:rPr>
          <w:rStyle w:val="Odkaznapoznmkupodiarou"/>
          <w:sz w:val="18"/>
          <w:szCs w:val="18"/>
        </w:rPr>
        <w:footnoteRef/>
      </w:r>
      <w:r w:rsidRPr="00BE5BC2">
        <w:rPr>
          <w:sz w:val="18"/>
          <w:szCs w:val="18"/>
        </w:rPr>
        <w:t xml:space="preserve"> Pod pojmom fondy verejného zdravotné poistenie sa v metodike ESA rozumieme prostriedky z vybraného poistného na poskytovanie verejnej zdravotnej starostlivosti Všeobecnou zdravotnou poisťovňou a súkromnými zdravotnými poisťovňami Dôvera a Union.</w:t>
      </w:r>
    </w:p>
  </w:footnote>
  <w:footnote w:id="7">
    <w:p w14:paraId="290CA52C" w14:textId="77777777" w:rsidR="001850BC" w:rsidRPr="00C33BE2" w:rsidRDefault="001850BC" w:rsidP="006C0DD0">
      <w:pPr>
        <w:pStyle w:val="Textpoznmkypodiarou"/>
        <w:rPr>
          <w:sz w:val="18"/>
          <w:szCs w:val="18"/>
        </w:rPr>
      </w:pPr>
      <w:r w:rsidRPr="00C33BE2">
        <w:rPr>
          <w:rStyle w:val="Odkaznapoznmkupodiarou"/>
          <w:sz w:val="18"/>
          <w:szCs w:val="18"/>
        </w:rPr>
        <w:footnoteRef/>
      </w:r>
      <w:r w:rsidRPr="00C33BE2">
        <w:rPr>
          <w:sz w:val="18"/>
          <w:szCs w:val="18"/>
        </w:rPr>
        <w:t xml:space="preserve"> Štátny záverečný účet SR za rok 2018, </w:t>
      </w:r>
      <w:hyperlink r:id="rId5" w:history="1">
        <w:r w:rsidRPr="00C33BE2">
          <w:rPr>
            <w:rStyle w:val="Hypertextovprepojenie"/>
            <w:color w:val="0070C0"/>
            <w:sz w:val="18"/>
            <w:szCs w:val="18"/>
          </w:rPr>
          <w:t>www.finance.gov.sk</w:t>
        </w:r>
      </w:hyperlink>
      <w:r w:rsidRPr="00C33BE2">
        <w:rPr>
          <w:sz w:val="18"/>
          <w:szCs w:val="18"/>
        </w:rPr>
        <w:t xml:space="preserve"> </w:t>
      </w:r>
    </w:p>
  </w:footnote>
  <w:footnote w:id="8">
    <w:p w14:paraId="663079F4" w14:textId="210DDB05" w:rsidR="001850BC" w:rsidRPr="00F846A9" w:rsidRDefault="001850BC" w:rsidP="00F102F6">
      <w:pPr>
        <w:pStyle w:val="Textpoznmkypodiarou"/>
        <w:jc w:val="both"/>
        <w:rPr>
          <w:sz w:val="18"/>
          <w:szCs w:val="18"/>
        </w:rPr>
      </w:pPr>
      <w:r>
        <w:rPr>
          <w:rStyle w:val="Odkaznapoznmkupodiarou"/>
        </w:rPr>
        <w:footnoteRef/>
      </w:r>
      <w:r>
        <w:t xml:space="preserve"> </w:t>
      </w:r>
      <w:r w:rsidRPr="00F846A9">
        <w:rPr>
          <w:sz w:val="18"/>
          <w:szCs w:val="18"/>
        </w:rPr>
        <w:t>Predchádzajúce obdobia sú zrevidované podľa aktuálneho press release zo dňa 21.10.2019. Usporiadanie krajín je podľa poradia deficitu v poslednom sledovanom období.</w:t>
      </w:r>
    </w:p>
  </w:footnote>
  <w:footnote w:id="9">
    <w:p w14:paraId="4D86F227" w14:textId="77777777" w:rsidR="001850BC" w:rsidRPr="0010281C" w:rsidRDefault="001850BC" w:rsidP="00500BD0">
      <w:pPr>
        <w:pStyle w:val="Textpoznmkypodiarou"/>
        <w:rPr>
          <w:sz w:val="18"/>
          <w:szCs w:val="18"/>
        </w:rPr>
      </w:pPr>
      <w:r w:rsidRPr="0010281C">
        <w:rPr>
          <w:rStyle w:val="Odkaznapoznmkupodiarou"/>
          <w:sz w:val="18"/>
          <w:szCs w:val="18"/>
        </w:rPr>
        <w:footnoteRef/>
      </w:r>
      <w:r w:rsidRPr="0010281C">
        <w:rPr>
          <w:sz w:val="18"/>
          <w:szCs w:val="18"/>
        </w:rPr>
        <w:t xml:space="preserve"> Výnimkou sú hlavné príjmové a výdavkové položky v bilancii rozpočtu verejnej správy, ktoré sú v metodike ESA 2010.</w:t>
      </w:r>
    </w:p>
  </w:footnote>
  <w:footnote w:id="10">
    <w:p w14:paraId="642B739C" w14:textId="77777777" w:rsidR="001850BC" w:rsidRDefault="001850BC" w:rsidP="00500BD0">
      <w:pPr>
        <w:pStyle w:val="Textpoznmkypodiarou"/>
      </w:pPr>
      <w:r>
        <w:rPr>
          <w:rStyle w:val="Odkaznapoznmkupodiarou"/>
        </w:rPr>
        <w:footnoteRef/>
      </w:r>
      <w:r>
        <w:t xml:space="preserve"> </w:t>
      </w:r>
      <w:r w:rsidRPr="00003EAF">
        <w:rPr>
          <w:sz w:val="18"/>
          <w:szCs w:val="18"/>
        </w:rPr>
        <w:t>Položky vyznačené kurzívou sú vykázané na hotovostnej báze z analytických dôvodov.</w:t>
      </w:r>
    </w:p>
  </w:footnote>
  <w:footnote w:id="11">
    <w:p w14:paraId="71FF173D" w14:textId="77777777" w:rsidR="001850BC" w:rsidRPr="00A0626F" w:rsidRDefault="001850BC" w:rsidP="00500BD0">
      <w:pPr>
        <w:pStyle w:val="Textpoznmkypodiarou"/>
        <w:jc w:val="both"/>
        <w:rPr>
          <w:sz w:val="18"/>
        </w:rPr>
      </w:pPr>
      <w:r w:rsidRPr="00A0626F">
        <w:rPr>
          <w:rStyle w:val="Odkaznapoznmkupodiarou"/>
          <w:sz w:val="18"/>
        </w:rPr>
        <w:footnoteRef/>
      </w:r>
      <w:r w:rsidRPr="00A0626F">
        <w:rPr>
          <w:sz w:val="18"/>
        </w:rPr>
        <w:t xml:space="preserve"> Hodnotenie vplyvov je v súlade s</w:t>
      </w:r>
      <w:r>
        <w:rPr>
          <w:sz w:val="18"/>
        </w:rPr>
        <w:t xml:space="preserve"> metodikou </w:t>
      </w:r>
      <w:r w:rsidRPr="00A0626F">
        <w:rPr>
          <w:sz w:val="18"/>
        </w:rPr>
        <w:t>hodnoten</w:t>
      </w:r>
      <w:r>
        <w:rPr>
          <w:sz w:val="18"/>
        </w:rPr>
        <w:t>ia</w:t>
      </w:r>
      <w:r w:rsidRPr="00A0626F">
        <w:rPr>
          <w:sz w:val="18"/>
        </w:rPr>
        <w:t xml:space="preserve"> daňových prognóz. Manuál k výpočtu je možné nájsť na http://www.finance.gov.sk/Default.aspx?CatID=8958</w:t>
      </w:r>
    </w:p>
  </w:footnote>
  <w:footnote w:id="12">
    <w:p w14:paraId="622B6AC1" w14:textId="77777777" w:rsidR="001850BC" w:rsidRPr="00E52F2F" w:rsidRDefault="001850BC" w:rsidP="0010281C">
      <w:pPr>
        <w:pStyle w:val="Textpoznmkypodiarou"/>
        <w:jc w:val="both"/>
        <w:rPr>
          <w:sz w:val="16"/>
          <w:szCs w:val="16"/>
        </w:rPr>
      </w:pPr>
      <w:r w:rsidRPr="00985BEA">
        <w:rPr>
          <w:rStyle w:val="Odkaznapoznmkupodiarou"/>
          <w:sz w:val="16"/>
          <w:szCs w:val="16"/>
        </w:rPr>
        <w:footnoteRef/>
      </w:r>
      <w:r w:rsidRPr="00985BEA">
        <w:rPr>
          <w:sz w:val="16"/>
          <w:szCs w:val="16"/>
        </w:rPr>
        <w:t xml:space="preserve"> </w:t>
      </w:r>
      <w:r w:rsidRPr="0010281C">
        <w:rPr>
          <w:sz w:val="18"/>
          <w:szCs w:val="18"/>
        </w:rPr>
        <w:t>V septembri 2019 sa v rámci benchmarkovej revízie začal započítavať do výnosu spotrebnej dane z elektriny aj vplyv dotovania el. energie z obnoviteľných zdrojov (zelená energia). Pri podpore zelenej energie vzniká časový nesúlad medzi „subvenciami“, ktoré poskytujú distribútori výrobcom pri nákupe energie a poplatkami, ktoré následne vyberú od konečných spotrebiteľov. Tento časový nesúlad má za následok aj rozdiel v cene elektrickej energie, pričom tento nesúlad by sa mal podľa metodiky ESA 2010 započítavať do deficitu. Zmena zvyšuje zároveň úroveň daňových príjmov aj subvencií. Výbor pre daňové prognózy tento vplyv nezahŕňal.</w:t>
      </w:r>
      <w:r>
        <w:rPr>
          <w:sz w:val="16"/>
          <w:szCs w:val="16"/>
        </w:rPr>
        <w:t xml:space="preserve"> </w:t>
      </w:r>
    </w:p>
  </w:footnote>
  <w:footnote w:id="13">
    <w:p w14:paraId="36AB6806" w14:textId="77777777" w:rsidR="001850BC" w:rsidRDefault="001850BC" w:rsidP="00500BD0">
      <w:pPr>
        <w:pStyle w:val="Textpoznmkypodiarou"/>
      </w:pPr>
      <w:r>
        <w:rPr>
          <w:rStyle w:val="Odkaznapoznmkupodiarou"/>
        </w:rPr>
        <w:footnoteRef/>
      </w:r>
      <w:r>
        <w:t xml:space="preserve"> </w:t>
      </w:r>
      <w:r w:rsidRPr="00003EAF">
        <w:rPr>
          <w:sz w:val="18"/>
          <w:szCs w:val="18"/>
        </w:rPr>
        <w:t>Položky vyznačené kurzívou sú vykázané na hotovostnej báze z analytických dôvodov.</w:t>
      </w:r>
    </w:p>
  </w:footnote>
  <w:footnote w:id="14">
    <w:p w14:paraId="0ECD70C3" w14:textId="77777777" w:rsidR="001850BC" w:rsidRPr="0010281C" w:rsidRDefault="001850BC" w:rsidP="0070636D">
      <w:pPr>
        <w:pStyle w:val="Textpoznmkypodiarou"/>
        <w:jc w:val="both"/>
        <w:rPr>
          <w:sz w:val="18"/>
          <w:szCs w:val="18"/>
          <w:highlight w:val="yellow"/>
        </w:rPr>
      </w:pPr>
      <w:r w:rsidRPr="0010281C">
        <w:rPr>
          <w:rStyle w:val="Odkaznapoznmkupodiarou"/>
          <w:rFonts w:eastAsiaTheme="majorEastAsia"/>
          <w:sz w:val="18"/>
          <w:szCs w:val="18"/>
        </w:rPr>
        <w:footnoteRef/>
      </w:r>
      <w:r w:rsidRPr="0010281C">
        <w:rPr>
          <w:sz w:val="18"/>
          <w:szCs w:val="18"/>
        </w:rPr>
        <w:t xml:space="preserve"> Pre účely súhrnnej výročnej správy používa MFSR údaje zaslané v rámci jesennej notifikácie Eurostatu. Odhad cyklickej zložky vychádza  z produkčnej medzery na základe najaktuálnejšej prognózy MF SR schválenej výborom pre makroekonomické prognózy. Odhad jednorazových opatrení vychádza z metodiky Európskej komisie.</w:t>
      </w:r>
    </w:p>
  </w:footnote>
  <w:footnote w:id="15">
    <w:p w14:paraId="7A6BAC7F" w14:textId="77777777" w:rsidR="001850BC" w:rsidRPr="006A77E3" w:rsidRDefault="001850BC" w:rsidP="0070636D">
      <w:pPr>
        <w:pStyle w:val="Textpoznmkypodiarou"/>
        <w:jc w:val="both"/>
        <w:rPr>
          <w:sz w:val="16"/>
          <w:szCs w:val="16"/>
        </w:rPr>
      </w:pPr>
      <w:r w:rsidRPr="0010281C">
        <w:rPr>
          <w:rStyle w:val="Odkaznapoznmkupodiarou"/>
          <w:rFonts w:eastAsiaTheme="majorEastAsia"/>
          <w:sz w:val="18"/>
          <w:szCs w:val="18"/>
        </w:rPr>
        <w:footnoteRef/>
      </w:r>
      <w:r w:rsidRPr="0010281C">
        <w:rPr>
          <w:sz w:val="18"/>
          <w:szCs w:val="18"/>
        </w:rPr>
        <w:t xml:space="preserve"> Na základe predbežnej hodnoty nominálneho salda VS (-1,06 </w:t>
      </w:r>
      <w:r w:rsidRPr="0010281C">
        <w:rPr>
          <w:sz w:val="18"/>
          <w:szCs w:val="18"/>
          <w:lang w:val="en-US"/>
        </w:rPr>
        <w:t>% HDP)</w:t>
      </w:r>
      <w:r w:rsidRPr="0010281C">
        <w:rPr>
          <w:sz w:val="18"/>
          <w:szCs w:val="18"/>
        </w:rPr>
        <w:t xml:space="preserve"> pre jesennú notifikáciu Eurostatu za rok 2018.</w:t>
      </w:r>
    </w:p>
  </w:footnote>
  <w:footnote w:id="16">
    <w:p w14:paraId="0FC5852B" w14:textId="77777777" w:rsidR="001850BC" w:rsidRPr="0010281C" w:rsidRDefault="001850BC" w:rsidP="0070636D">
      <w:pPr>
        <w:pStyle w:val="Textpoznmkypodiarou"/>
        <w:jc w:val="both"/>
        <w:rPr>
          <w:sz w:val="18"/>
          <w:szCs w:val="18"/>
        </w:rPr>
      </w:pPr>
      <w:r w:rsidRPr="0010281C">
        <w:rPr>
          <w:rStyle w:val="Odkaznapoznmkupodiarou"/>
          <w:rFonts w:eastAsiaTheme="majorEastAsia"/>
          <w:sz w:val="18"/>
          <w:szCs w:val="18"/>
        </w:rPr>
        <w:footnoteRef/>
      </w:r>
      <w:r w:rsidRPr="0010281C">
        <w:rPr>
          <w:sz w:val="18"/>
          <w:szCs w:val="18"/>
        </w:rPr>
        <w:t xml:space="preserve"> Európske fiškálne pravidla vyžadovali v rokoch 2017  a 2018 dosiahnutie konsolidačného úsilia na úrovni 0,5 % HDP. Za výraznú odchýlku sa považuje nenaplnenie konsolidačných požiadaviek o viac než 0,5 p.b. HDP na jednoročnom horizonte resp. 0,25 p.b. na dvojročnom horizonte. V súhrnnej výročnej správe používa MF SR prepočítané odchýlky na základe najaktuálnejších údajov z poslednej jesennej notifikácie Eurostatu. V návrhu rozpočtového plánu uvádza MFSR tzv.„zafixované“ hodnoty odchýlok do roku 2018 na základe hodnotenia Európskej komisie z jarnej prognózy (ktorá uvažuje s jarnou notifikáciou Eurostatu)</w:t>
      </w:r>
    </w:p>
  </w:footnote>
  <w:footnote w:id="17">
    <w:p w14:paraId="13EDCE8E" w14:textId="77777777" w:rsidR="001850BC" w:rsidRPr="0010281C" w:rsidRDefault="001850BC" w:rsidP="0070636D">
      <w:pPr>
        <w:pStyle w:val="Textpoznmkypodiarou"/>
        <w:ind w:left="113" w:hanging="113"/>
        <w:jc w:val="both"/>
        <w:rPr>
          <w:sz w:val="18"/>
          <w:szCs w:val="18"/>
        </w:rPr>
      </w:pPr>
      <w:r w:rsidRPr="0010281C">
        <w:rPr>
          <w:rStyle w:val="Odkaznapoznmkupodiarou"/>
          <w:rFonts w:eastAsiaTheme="majorEastAsia"/>
          <w:sz w:val="18"/>
          <w:szCs w:val="18"/>
        </w:rPr>
        <w:footnoteRef/>
      </w:r>
      <w:r w:rsidRPr="0010281C">
        <w:rPr>
          <w:sz w:val="18"/>
          <w:szCs w:val="18"/>
        </w:rPr>
        <w:t xml:space="preserve"> Jednorazové vplyvy sa spomínajú bez metodického popisu v zákone o rozpočtových pravidlách verejnej správy (523/2004 Z. z.) a v Ústavnom zákone o rozpočtovej zodpovednosti (493/2011 Z. z.)</w:t>
      </w:r>
    </w:p>
  </w:footnote>
  <w:footnote w:id="18">
    <w:p w14:paraId="2519DCFA" w14:textId="77777777" w:rsidR="001850BC" w:rsidRPr="007A4784" w:rsidRDefault="001850BC" w:rsidP="0070636D">
      <w:pPr>
        <w:pStyle w:val="Textpoznmkypodiarou"/>
        <w:jc w:val="both"/>
        <w:rPr>
          <w:sz w:val="16"/>
          <w:szCs w:val="16"/>
        </w:rPr>
      </w:pPr>
      <w:r w:rsidRPr="0010281C">
        <w:rPr>
          <w:rStyle w:val="Odkaznapoznmkupodiarou"/>
          <w:rFonts w:eastAsiaTheme="majorEastAsia"/>
          <w:sz w:val="18"/>
          <w:szCs w:val="18"/>
        </w:rPr>
        <w:footnoteRef/>
      </w:r>
      <w:r w:rsidRPr="0010281C">
        <w:rPr>
          <w:sz w:val="18"/>
          <w:szCs w:val="18"/>
        </w:rPr>
        <w:t xml:space="preserve">  Princípy Európskej komisie sú vecne popísané v tzv. </w:t>
      </w:r>
      <w:hyperlink r:id="rId6" w:history="1">
        <w:r w:rsidRPr="0010281C">
          <w:rPr>
            <w:rStyle w:val="Hypertextovprepojenie"/>
            <w:color w:val="auto"/>
            <w:sz w:val="18"/>
            <w:szCs w:val="18"/>
          </w:rPr>
          <w:t>Vade Mecum</w:t>
        </w:r>
      </w:hyperlink>
      <w:r w:rsidRPr="0010281C">
        <w:rPr>
          <w:rStyle w:val="Hypertextovprepojenie"/>
          <w:color w:val="auto"/>
          <w:sz w:val="18"/>
          <w:szCs w:val="18"/>
        </w:rPr>
        <w:t xml:space="preserve"> (str. 28)</w:t>
      </w:r>
      <w:r w:rsidRPr="0010281C">
        <w:rPr>
          <w:sz w:val="18"/>
          <w:szCs w:val="18"/>
        </w:rPr>
        <w:t>, ktorý predstavuje manuál k Paktu stability a rastu.</w:t>
      </w:r>
    </w:p>
  </w:footnote>
  <w:footnote w:id="19">
    <w:p w14:paraId="1007EDC9" w14:textId="72E1954B" w:rsidR="001850BC" w:rsidRPr="0010281C" w:rsidRDefault="001850BC" w:rsidP="0070636D">
      <w:pPr>
        <w:pStyle w:val="Textpoznmkypodiarou"/>
        <w:rPr>
          <w:sz w:val="18"/>
          <w:szCs w:val="18"/>
        </w:rPr>
      </w:pPr>
      <w:r w:rsidRPr="0010281C">
        <w:rPr>
          <w:rStyle w:val="Odkaznapoznmkupodiarou"/>
          <w:sz w:val="18"/>
          <w:szCs w:val="18"/>
        </w:rPr>
        <w:footnoteRef/>
      </w:r>
      <w:r w:rsidRPr="0010281C">
        <w:rPr>
          <w:sz w:val="18"/>
          <w:szCs w:val="18"/>
        </w:rPr>
        <w:t xml:space="preserve"> </w:t>
      </w:r>
      <w:hyperlink r:id="rId7" w:history="1">
        <w:r w:rsidRPr="0010281C">
          <w:rPr>
            <w:rStyle w:val="Hypertextovprepojenie"/>
            <w:rFonts w:eastAsiaTheme="majorEastAsia"/>
            <w:color w:val="auto"/>
            <w:sz w:val="18"/>
            <w:szCs w:val="18"/>
            <w:u w:val="none"/>
          </w:rPr>
          <w:t>https://www.ardal.sk/sk/o-nas/strategia-riadenia-dlhu</w:t>
        </w:r>
      </w:hyperlink>
      <w:r w:rsidR="0010281C">
        <w:rPr>
          <w:rStyle w:val="Hypertextovprepojenie"/>
          <w:rFonts w:eastAsiaTheme="majorEastAsia"/>
          <w:color w:val="auto"/>
          <w:sz w:val="18"/>
          <w:szCs w:val="18"/>
          <w:u w:val="none"/>
        </w:rPr>
        <w:t xml:space="preserve"> </w:t>
      </w:r>
      <w:r w:rsidRPr="0010281C">
        <w:rPr>
          <w:rStyle w:val="Hypertextovprepojenie"/>
          <w:rFonts w:eastAsiaTheme="majorEastAsia"/>
          <w:color w:val="auto"/>
          <w:sz w:val="18"/>
          <w:szCs w:val="18"/>
          <w:u w:val="none"/>
        </w:rPr>
        <w:t xml:space="preserve">  </w:t>
      </w:r>
      <w:r w:rsidRPr="0010281C">
        <w:rPr>
          <w:rStyle w:val="Hypertextovprepojenie"/>
          <w:rFonts w:eastAsiaTheme="majorEastAsia"/>
          <w:color w:val="auto"/>
          <w:sz w:val="18"/>
          <w:szCs w:val="18"/>
        </w:rPr>
        <w:t xml:space="preserve">  </w:t>
      </w:r>
    </w:p>
  </w:footnote>
  <w:footnote w:id="20">
    <w:p w14:paraId="340B812A" w14:textId="77777777" w:rsidR="001850BC" w:rsidRPr="0010281C" w:rsidRDefault="001850BC" w:rsidP="007D1AB6">
      <w:pPr>
        <w:pStyle w:val="Textpoznmkypodiarou"/>
        <w:jc w:val="both"/>
        <w:rPr>
          <w:sz w:val="18"/>
          <w:szCs w:val="18"/>
        </w:rPr>
      </w:pPr>
      <w:r w:rsidRPr="0010281C">
        <w:rPr>
          <w:rStyle w:val="Odkaznapoznmkupodiarou"/>
          <w:sz w:val="18"/>
          <w:szCs w:val="18"/>
        </w:rPr>
        <w:footnoteRef/>
      </w:r>
      <w:r w:rsidRPr="0010281C">
        <w:rPr>
          <w:sz w:val="18"/>
          <w:szCs w:val="18"/>
        </w:rPr>
        <w:t xml:space="preserve"> Ide najmä o pravidlá Paktu stability a rastu, ktoré stanovujú hranicu deficitu verejnej správy 3 % HDP a dlhu verejnej správy 60 % HDP (bližšie o európskych fiškálnych pravidlách pozri slovník základných pojmov).</w:t>
      </w:r>
    </w:p>
  </w:footnote>
  <w:footnote w:id="21">
    <w:p w14:paraId="47494255" w14:textId="16569D3C" w:rsidR="001850BC" w:rsidRPr="0010281C" w:rsidRDefault="001850BC" w:rsidP="00A424A9">
      <w:pPr>
        <w:pStyle w:val="Textpoznmkypodiarou"/>
        <w:jc w:val="both"/>
        <w:rPr>
          <w:sz w:val="18"/>
          <w:szCs w:val="18"/>
        </w:rPr>
      </w:pPr>
      <w:r w:rsidRPr="00BA29DB">
        <w:rPr>
          <w:rStyle w:val="Odkaznapoznmkupodiarou"/>
          <w:sz w:val="18"/>
          <w:szCs w:val="18"/>
        </w:rPr>
        <w:footnoteRef/>
      </w:r>
      <w:r w:rsidRPr="00BA29DB">
        <w:rPr>
          <w:sz w:val="18"/>
          <w:szCs w:val="18"/>
        </w:rPr>
        <w:t xml:space="preserve"> Koncept ,,súhrnného celku“ je definovaný v Súhrnnej účtovnej závierke a je odlišný od definície verejnej správy podľa zákona č. 523/2004 Z. z. o rozpočtových pravidlách verejnej správy a o zmene a doplnení niektorých zákonov. Verejná správa tvorí najpodstatnejšiu časť súhrnného celku, avšak do súhrnného celku vstupujú aj iné subjekty, ktoré nie sú štatisticky zaradené do verejnej správy podľa metodiky ESA 2010. </w:t>
      </w:r>
    </w:p>
  </w:footnote>
  <w:footnote w:id="22">
    <w:p w14:paraId="72E141DB" w14:textId="77777777" w:rsidR="001850BC" w:rsidRPr="00EA3399" w:rsidRDefault="001850BC" w:rsidP="00FB260E">
      <w:pPr>
        <w:pStyle w:val="Textpoznmkypodiarou"/>
        <w:jc w:val="both"/>
        <w:rPr>
          <w:sz w:val="18"/>
          <w:szCs w:val="18"/>
        </w:rPr>
      </w:pPr>
      <w:r w:rsidRPr="00EA3399">
        <w:rPr>
          <w:rStyle w:val="Odkaznapoznmkupodiarou"/>
          <w:rFonts w:eastAsiaTheme="majorEastAsia"/>
          <w:sz w:val="18"/>
          <w:szCs w:val="18"/>
        </w:rPr>
        <w:footnoteRef/>
      </w:r>
      <w:r w:rsidRPr="00EA3399">
        <w:rPr>
          <w:sz w:val="18"/>
          <w:szCs w:val="18"/>
        </w:rPr>
        <w:t xml:space="preserve"> Superdividendy sú všeobecne definované podľa metodiky národných účtov ESA 2010 ako dividendy presahujúce poslednú, respektíve nedávnu úroveň dividend a ziskov. Superdividendy tak indikujú rýchlejší úbytok vlastného imania podnikov.</w:t>
      </w:r>
    </w:p>
  </w:footnote>
  <w:footnote w:id="23">
    <w:p w14:paraId="46A85549" w14:textId="77777777" w:rsidR="001850BC" w:rsidRPr="00EA3399" w:rsidRDefault="001850BC" w:rsidP="00FB260E">
      <w:pPr>
        <w:pStyle w:val="Textpoznmkypodiarou"/>
        <w:jc w:val="both"/>
      </w:pPr>
      <w:r w:rsidRPr="00EA3399">
        <w:rPr>
          <w:rStyle w:val="Odkaznapoznmkupodiarou"/>
          <w:rFonts w:eastAsiaTheme="majorEastAsia"/>
          <w:sz w:val="18"/>
          <w:szCs w:val="18"/>
        </w:rPr>
        <w:footnoteRef/>
      </w:r>
      <w:r w:rsidRPr="00EA3399">
        <w:rPr>
          <w:sz w:val="18"/>
          <w:szCs w:val="18"/>
        </w:rPr>
        <w:t xml:space="preserve"> V prípade vkladov štátu sú tieto realizované prostredníctvom peňažných prostriedkov (najčastejšie použitím štátnych finančných aktív) alebo nepeňažným vkladom (napr. dlhodobým hmotným majetkom štátu).</w:t>
      </w:r>
      <w:r w:rsidRPr="00EA3399">
        <w:t xml:space="preserve"> </w:t>
      </w:r>
    </w:p>
  </w:footnote>
  <w:footnote w:id="24">
    <w:p w14:paraId="42DCAC8F" w14:textId="77777777" w:rsidR="001850BC" w:rsidRPr="0010281C" w:rsidRDefault="001850BC" w:rsidP="00FB260E">
      <w:pPr>
        <w:pStyle w:val="Textpoznmkypodiarou"/>
        <w:rPr>
          <w:sz w:val="18"/>
          <w:szCs w:val="18"/>
        </w:rPr>
      </w:pPr>
      <w:r w:rsidRPr="0010281C">
        <w:rPr>
          <w:rStyle w:val="Odkaznapoznmkupodiarou"/>
          <w:rFonts w:eastAsiaTheme="majorEastAsia"/>
          <w:sz w:val="18"/>
          <w:szCs w:val="18"/>
        </w:rPr>
        <w:footnoteRef/>
      </w:r>
      <w:r w:rsidRPr="0010281C">
        <w:rPr>
          <w:sz w:val="18"/>
          <w:szCs w:val="18"/>
        </w:rPr>
        <w:t xml:space="preserve"> Uznesenie vlády č. 425/2017</w:t>
      </w:r>
    </w:p>
  </w:footnote>
  <w:footnote w:id="25">
    <w:p w14:paraId="26D4B807" w14:textId="77777777" w:rsidR="001850BC" w:rsidRPr="006A479B" w:rsidRDefault="001850BC" w:rsidP="00FB260E">
      <w:pPr>
        <w:pStyle w:val="Textpoznmkypodiarou"/>
        <w:jc w:val="both"/>
      </w:pPr>
      <w:r w:rsidRPr="004D0095">
        <w:rPr>
          <w:rStyle w:val="Odkaznapoznmkupodiarou"/>
          <w:rFonts w:eastAsiaTheme="majorEastAsia"/>
        </w:rPr>
        <w:footnoteRef/>
      </w:r>
      <w:r w:rsidRPr="004D0095">
        <w:t xml:space="preserve"> </w:t>
      </w:r>
      <w:r w:rsidRPr="009A67B9">
        <w:rPr>
          <w:sz w:val="18"/>
          <w:szCs w:val="18"/>
        </w:rPr>
        <w:t>Záväzok z podmienenej kúpnej ceny vznikol v súvislosti s nadobudnutím majetkových podielov v spoločnosti innogy Slovensko, s.r.o. (časť kúpnej ceny bola splatená v peňažnej forme  a časť kúpnej ceny je podmienená dosahovanými výsledkami spoločnosti innogy Slovensko, s.r.o. za roky 2015 – 2018).</w:t>
      </w:r>
    </w:p>
  </w:footnote>
  <w:footnote w:id="26">
    <w:p w14:paraId="42945FBC" w14:textId="77777777" w:rsidR="001850BC" w:rsidRPr="0010281C" w:rsidRDefault="001850BC" w:rsidP="00FB260E">
      <w:pPr>
        <w:pStyle w:val="Textpoznmkypodiarou"/>
        <w:jc w:val="both"/>
        <w:rPr>
          <w:sz w:val="18"/>
          <w:szCs w:val="18"/>
        </w:rPr>
      </w:pPr>
      <w:r w:rsidRPr="0010281C">
        <w:rPr>
          <w:rStyle w:val="Odkaznapoznmkupodiarou"/>
          <w:rFonts w:eastAsiaTheme="majorEastAsia"/>
          <w:sz w:val="18"/>
          <w:szCs w:val="18"/>
        </w:rPr>
        <w:footnoteRef/>
      </w:r>
      <w:r w:rsidRPr="0010281C">
        <w:rPr>
          <w:sz w:val="18"/>
          <w:szCs w:val="18"/>
        </w:rPr>
        <w:t xml:space="preserve"> Správou investičných rezerv sa rozumie riadenie investičných portfólií na obchodovanie tvorených najmä cennými papiermi, menovými a úrokovými swapmi, repo obchodmi, zlatými repo obchodmi a operáciami na nostro účtoch.</w:t>
      </w:r>
    </w:p>
  </w:footnote>
  <w:footnote w:id="27">
    <w:p w14:paraId="6E161525" w14:textId="77777777" w:rsidR="001850BC" w:rsidRPr="00762E15" w:rsidRDefault="001850BC" w:rsidP="003F5573">
      <w:pPr>
        <w:pStyle w:val="Textpoznmkypodiarou"/>
        <w:jc w:val="both"/>
        <w:rPr>
          <w:sz w:val="18"/>
          <w:szCs w:val="18"/>
        </w:rPr>
      </w:pPr>
      <w:r w:rsidRPr="00762E15">
        <w:rPr>
          <w:rStyle w:val="Odkaznapoznmkupodiarou"/>
          <w:rFonts w:eastAsiaTheme="majorEastAsia"/>
          <w:sz w:val="18"/>
          <w:szCs w:val="18"/>
        </w:rPr>
        <w:footnoteRef/>
      </w:r>
      <w:r w:rsidRPr="00762E15">
        <w:rPr>
          <w:sz w:val="18"/>
          <w:szCs w:val="18"/>
        </w:rPr>
        <w:t xml:space="preserve"> Správou investičných rezerv sa rozumie riadenie investičných portfólií na obchodovanie tvorených najmä cennými papiermi, menovými a úrokovými swapmi, repo obchodmi, zlatými repo obchodmi a operáciami na nostro účtoch.</w:t>
      </w:r>
    </w:p>
  </w:footnote>
  <w:footnote w:id="28">
    <w:p w14:paraId="4031DF8C" w14:textId="77777777" w:rsidR="001850BC" w:rsidRPr="0010281C" w:rsidRDefault="001850BC" w:rsidP="0010281C">
      <w:pPr>
        <w:pStyle w:val="Textpoznmkypodiarou"/>
        <w:jc w:val="both"/>
        <w:rPr>
          <w:sz w:val="18"/>
          <w:szCs w:val="18"/>
        </w:rPr>
      </w:pPr>
      <w:r w:rsidRPr="0010281C">
        <w:rPr>
          <w:rStyle w:val="Odkaznapoznmkupodiarou"/>
          <w:rFonts w:eastAsiaTheme="majorEastAsia"/>
          <w:sz w:val="18"/>
          <w:szCs w:val="18"/>
        </w:rPr>
        <w:footnoteRef/>
      </w:r>
      <w:r w:rsidRPr="0010281C">
        <w:rPr>
          <w:sz w:val="18"/>
          <w:szCs w:val="18"/>
        </w:rPr>
        <w:t xml:space="preserve"> </w:t>
      </w:r>
      <w:r w:rsidRPr="0010281C">
        <w:rPr>
          <w:color w:val="000000" w:themeColor="text1"/>
          <w:sz w:val="18"/>
          <w:szCs w:val="18"/>
        </w:rPr>
        <w:t>Implicitné záväzky za rok 2018 neuvažujú s opatreniami prijatými po 31.12.2018. Výpočet preto neuvažuje napr. ani so zavedením dôchodkového stropu, ktorý implicitné výdavky dodatočne navýši.</w:t>
      </w:r>
    </w:p>
  </w:footnote>
  <w:footnote w:id="29">
    <w:p w14:paraId="5459DB98" w14:textId="0CB8B270" w:rsidR="001850BC" w:rsidRPr="002C2003" w:rsidRDefault="001850BC" w:rsidP="0010281C">
      <w:pPr>
        <w:spacing w:after="0" w:line="240" w:lineRule="auto"/>
        <w:jc w:val="both"/>
        <w:rPr>
          <w:i/>
          <w:iCs/>
          <w:sz w:val="16"/>
          <w:szCs w:val="16"/>
        </w:rPr>
      </w:pPr>
      <w:r w:rsidRPr="0010281C">
        <w:rPr>
          <w:rStyle w:val="Odkaznapoznmkupodiarou"/>
          <w:rFonts w:eastAsiaTheme="majorEastAsia"/>
          <w:color w:val="000000" w:themeColor="text1"/>
          <w:sz w:val="18"/>
          <w:szCs w:val="18"/>
        </w:rPr>
        <w:footnoteRef/>
      </w:r>
      <w:r w:rsidRPr="0010281C">
        <w:rPr>
          <w:color w:val="000000" w:themeColor="text1"/>
          <w:sz w:val="18"/>
          <w:szCs w:val="18"/>
        </w:rPr>
        <w:t xml:space="preserve"> </w:t>
      </w:r>
      <w:r w:rsidRPr="0010281C">
        <w:rPr>
          <w:sz w:val="18"/>
          <w:szCs w:val="18"/>
        </w:rPr>
        <w:t xml:space="preserve">Uvedené výsledky je zároveň potrebné interpretovať starostlivo. </w:t>
      </w:r>
      <w:r w:rsidRPr="0010281C">
        <w:rPr>
          <w:iCs/>
          <w:color w:val="000000"/>
          <w:sz w:val="18"/>
          <w:szCs w:val="18"/>
        </w:rPr>
        <w:t>Pri výpočte implicitných záväzkov je potrebné brať do úvahy fakt, že hodnota implicitných záväzkov plynúcich zo starnutia</w:t>
      </w:r>
      <w:r w:rsidRPr="0010281C">
        <w:rPr>
          <w:bCs/>
          <w:iCs/>
          <w:color w:val="000000"/>
          <w:sz w:val="18"/>
          <w:szCs w:val="18"/>
        </w:rPr>
        <w:t xml:space="preserve"> je vyjadrená v súčasnej hodnote a v pomere k aktuálnemu výkonu ekonomiky (</w:t>
      </w:r>
      <w:r w:rsidRPr="0010281C">
        <w:rPr>
          <w:bCs/>
          <w:iCs/>
          <w:color w:val="000000"/>
          <w:sz w:val="18"/>
          <w:szCs w:val="18"/>
          <w:lang w:val="en-US"/>
        </w:rPr>
        <w:t>% HDP)</w:t>
      </w:r>
      <w:r w:rsidRPr="0010281C">
        <w:rPr>
          <w:iCs/>
          <w:color w:val="000000"/>
          <w:sz w:val="18"/>
          <w:szCs w:val="18"/>
        </w:rPr>
        <w:t xml:space="preserve">. </w:t>
      </w:r>
      <w:r w:rsidRPr="0010281C">
        <w:rPr>
          <w:bCs/>
          <w:iCs/>
          <w:color w:val="000000"/>
          <w:sz w:val="18"/>
          <w:szCs w:val="18"/>
        </w:rPr>
        <w:t>Pozitívny efekt menovateľa z očakávaného rastu HDP v budúcnosti nie je v hodnote implicitných záväzkov zohľadnený.</w:t>
      </w:r>
      <w:r w:rsidR="0010281C">
        <w:rPr>
          <w:bCs/>
          <w:iCs/>
          <w:color w:val="000000"/>
          <w:sz w:val="18"/>
          <w:szCs w:val="18"/>
        </w:rPr>
        <w:t xml:space="preserve"> </w:t>
      </w:r>
      <w:r w:rsidRPr="0010281C">
        <w:rPr>
          <w:bCs/>
          <w:iCs/>
          <w:color w:val="000000"/>
          <w:sz w:val="18"/>
          <w:szCs w:val="18"/>
        </w:rPr>
        <w:t xml:space="preserve">Zároveň, </w:t>
      </w:r>
      <w:r w:rsidRPr="0010281C">
        <w:rPr>
          <w:sz w:val="18"/>
          <w:szCs w:val="18"/>
        </w:rPr>
        <w:t>neistota celkových implicitných záväzkov pramení aj z relatívne vysokej váhy posledného bodu projekcie, ktorý je základom pre odhad záväzkov v nekonečnom horizonte.</w:t>
      </w:r>
    </w:p>
  </w:footnote>
  <w:footnote w:id="30">
    <w:p w14:paraId="164A38FA" w14:textId="77777777" w:rsidR="001850BC" w:rsidRPr="0010281C" w:rsidRDefault="001850BC" w:rsidP="0010281C">
      <w:pPr>
        <w:pStyle w:val="Textpoznmkypodiarou"/>
        <w:jc w:val="both"/>
        <w:rPr>
          <w:sz w:val="18"/>
          <w:szCs w:val="18"/>
        </w:rPr>
      </w:pPr>
      <w:r w:rsidRPr="0010281C">
        <w:rPr>
          <w:rStyle w:val="Odkaznapoznmkupodiarou"/>
          <w:rFonts w:eastAsiaTheme="majorEastAsia"/>
          <w:sz w:val="18"/>
          <w:szCs w:val="18"/>
        </w:rPr>
        <w:footnoteRef/>
      </w:r>
      <w:r w:rsidRPr="0010281C">
        <w:rPr>
          <w:sz w:val="18"/>
          <w:szCs w:val="18"/>
        </w:rPr>
        <w:t xml:space="preserve"> V porovnaní s predchádzajúcim vyhodnotením implicitných záväzkov pre SVS na rok 2017 došlo k štandardnému posunu sledovaného horizontu na roky 2018 až 2062.</w:t>
      </w:r>
    </w:p>
  </w:footnote>
  <w:footnote w:id="31">
    <w:p w14:paraId="387891BB" w14:textId="77777777" w:rsidR="001850BC" w:rsidRPr="00AE3060" w:rsidRDefault="001850BC" w:rsidP="0010281C">
      <w:pPr>
        <w:pStyle w:val="Default"/>
        <w:jc w:val="both"/>
        <w:rPr>
          <w:sz w:val="16"/>
          <w:szCs w:val="16"/>
        </w:rPr>
      </w:pPr>
      <w:r w:rsidRPr="0010281C">
        <w:rPr>
          <w:rStyle w:val="Odkaznapoznmkupodiarou"/>
          <w:rFonts w:eastAsiaTheme="majorEastAsia"/>
          <w:sz w:val="18"/>
          <w:szCs w:val="18"/>
        </w:rPr>
        <w:footnoteRef/>
      </w:r>
      <w:r w:rsidRPr="0010281C">
        <w:rPr>
          <w:sz w:val="18"/>
          <w:szCs w:val="18"/>
        </w:rPr>
        <w:t xml:space="preserve"> Model pre odhad celkových implicitných záväzkov sleduje ich vývoj v dvoch obdobiach. V prvom prípade ide o ohraničený horizont, ktorý je aktualizovaný v súlade s projekciami AWG v pravidelných cykloch. Druhým obdobím je tzv. nekonečný horizont, ktorý uvažuje s položkami príjmov a výdavkov, ako aj makroekonomickými predpokladmi rovnakými ako v poslednom roku konečného horizontu.</w:t>
      </w:r>
      <w:r w:rsidRPr="00AE3060">
        <w:rPr>
          <w:sz w:val="16"/>
          <w:szCs w:val="16"/>
        </w:rPr>
        <w:t xml:space="preserve"> </w:t>
      </w:r>
    </w:p>
  </w:footnote>
  <w:footnote w:id="32">
    <w:p w14:paraId="74EDF895" w14:textId="77777777" w:rsidR="001850BC" w:rsidRPr="0010281C" w:rsidRDefault="001850BC" w:rsidP="006000EB">
      <w:pPr>
        <w:pStyle w:val="Textpoznmkypodiarou"/>
        <w:jc w:val="both"/>
        <w:rPr>
          <w:sz w:val="18"/>
          <w:szCs w:val="18"/>
        </w:rPr>
      </w:pPr>
      <w:r w:rsidRPr="0010281C">
        <w:rPr>
          <w:rStyle w:val="Odkaznapoznmkupodiarou"/>
          <w:rFonts w:eastAsiaTheme="majorEastAsia"/>
          <w:sz w:val="18"/>
          <w:szCs w:val="18"/>
        </w:rPr>
        <w:footnoteRef/>
      </w:r>
      <w:r w:rsidRPr="0010281C">
        <w:rPr>
          <w:sz w:val="18"/>
          <w:szCs w:val="18"/>
        </w:rPr>
        <w:t xml:space="preserve"> Vyčíslenie hodnoty je možné len za subjekty, ktoré predložili účtovnú závierku, prípadne bližšie podklady za príslušný rok.</w:t>
      </w:r>
    </w:p>
  </w:footnote>
  <w:footnote w:id="33">
    <w:p w14:paraId="68666EA7" w14:textId="31F9A68A" w:rsidR="001850BC" w:rsidRPr="0010281C" w:rsidRDefault="001850BC" w:rsidP="006000EB">
      <w:pPr>
        <w:pStyle w:val="Textpoznmkypodiarou"/>
        <w:jc w:val="both"/>
        <w:rPr>
          <w:sz w:val="18"/>
          <w:szCs w:val="18"/>
        </w:rPr>
      </w:pPr>
      <w:r w:rsidRPr="0010281C">
        <w:rPr>
          <w:sz w:val="18"/>
          <w:szCs w:val="18"/>
        </w:rPr>
        <w:footnoteRef/>
      </w:r>
      <w:r w:rsidRPr="0010281C">
        <w:rPr>
          <w:sz w:val="18"/>
          <w:szCs w:val="18"/>
        </w:rPr>
        <w:t xml:space="preserve"> Vychádzajúc z definície podniku štátnej správy v zákone č. 493/2011 Z. z. o rozpočtovej zodpovednosti, boli do sledovanej skupiny subjektov zaradené aj obchodné spoločnosti s majetkovou účasťou štátu v minimálnej výške 20 % ich základného imania</w:t>
      </w:r>
    </w:p>
  </w:footnote>
  <w:footnote w:id="34">
    <w:p w14:paraId="3CAFE6B1" w14:textId="77777777" w:rsidR="001850BC" w:rsidRDefault="001850BC" w:rsidP="006000EB">
      <w:pPr>
        <w:pStyle w:val="Textpoznmkypodiarou"/>
        <w:jc w:val="both"/>
      </w:pPr>
      <w:r w:rsidRPr="0010281C">
        <w:rPr>
          <w:rStyle w:val="Odkaznapoznmkupodiarou"/>
          <w:rFonts w:eastAsiaTheme="majorEastAsia"/>
          <w:sz w:val="18"/>
          <w:szCs w:val="18"/>
        </w:rPr>
        <w:footnoteRef/>
      </w:r>
      <w:r w:rsidRPr="0010281C">
        <w:rPr>
          <w:sz w:val="18"/>
          <w:szCs w:val="18"/>
        </w:rPr>
        <w:t xml:space="preserve"> Bližšie informácie sú dostupné na oficiálne stránke </w:t>
      </w:r>
      <w:hyperlink r:id="rId8" w:history="1">
        <w:r w:rsidRPr="0010281C">
          <w:rPr>
            <w:rStyle w:val="Hypertextovprepojenie"/>
            <w:sz w:val="18"/>
            <w:szCs w:val="18"/>
          </w:rPr>
          <w:t>www.esm.europa.eu</w:t>
        </w:r>
      </w:hyperlink>
      <w:r w:rsidRPr="0010281C">
        <w:rPr>
          <w:sz w:val="18"/>
          <w:szCs w:val="18"/>
        </w:rPr>
        <w:t>, ktorá je spoločná aj pre popis nástroja EFSF.</w:t>
      </w:r>
      <w:r w:rsidRPr="000518B3">
        <w:rPr>
          <w:sz w:val="18"/>
          <w:szCs w:val="18"/>
        </w:rPr>
        <w:t xml:space="preserve"> </w:t>
      </w:r>
    </w:p>
  </w:footnote>
  <w:footnote w:id="35">
    <w:p w14:paraId="4331EEF7" w14:textId="77777777" w:rsidR="001850BC" w:rsidRPr="002C6C4A" w:rsidRDefault="001850BC" w:rsidP="006000EB">
      <w:pPr>
        <w:spacing w:after="120" w:line="240" w:lineRule="auto"/>
        <w:jc w:val="both"/>
        <w:rPr>
          <w:sz w:val="18"/>
          <w:szCs w:val="18"/>
        </w:rPr>
      </w:pPr>
      <w:r>
        <w:rPr>
          <w:rStyle w:val="Odkaznapoznmkupodiarou"/>
          <w:rFonts w:eastAsiaTheme="majorEastAsia"/>
        </w:rPr>
        <w:footnoteRef/>
      </w:r>
      <w:r>
        <w:t xml:space="preserve"> </w:t>
      </w:r>
      <w:r>
        <w:rPr>
          <w:sz w:val="18"/>
          <w:szCs w:val="18"/>
        </w:rPr>
        <w:t>EFSF má vplyv aj</w:t>
      </w:r>
      <w:r w:rsidRPr="002C6C4A">
        <w:rPr>
          <w:sz w:val="18"/>
          <w:szCs w:val="18"/>
        </w:rPr>
        <w:t> </w:t>
      </w:r>
      <w:r>
        <w:rPr>
          <w:sz w:val="18"/>
          <w:szCs w:val="18"/>
        </w:rPr>
        <w:t xml:space="preserve">na </w:t>
      </w:r>
      <w:r w:rsidRPr="002C6C4A">
        <w:rPr>
          <w:sz w:val="18"/>
          <w:szCs w:val="18"/>
        </w:rPr>
        <w:t>dlh verejnej správy (kapitola 1.2.). Odlišná suma vyplýva z rozdielnej metodi</w:t>
      </w:r>
      <w:r>
        <w:rPr>
          <w:sz w:val="18"/>
          <w:szCs w:val="18"/>
        </w:rPr>
        <w:t>ky výpočtu dlhu a podmienených záväzkov, ktorá bola podrobnejšie vysvetľovaná v predchádzajúcich ročníkoch Súhrnnej výročnej správy.</w:t>
      </w:r>
    </w:p>
    <w:p w14:paraId="6DA94B53" w14:textId="77777777" w:rsidR="001850BC" w:rsidRDefault="001850BC" w:rsidP="006000EB">
      <w:pPr>
        <w:pStyle w:val="Textpoznmkypodiarou"/>
      </w:pPr>
    </w:p>
  </w:footnote>
  <w:footnote w:id="36">
    <w:p w14:paraId="12BBA7F1" w14:textId="77777777" w:rsidR="001850BC" w:rsidRPr="00452B27" w:rsidRDefault="001850BC" w:rsidP="00F12B19">
      <w:pPr>
        <w:pStyle w:val="Textpoznmkypodiarou"/>
        <w:jc w:val="both"/>
        <w:rPr>
          <w:sz w:val="18"/>
          <w:szCs w:val="18"/>
        </w:rPr>
      </w:pPr>
      <w:r w:rsidRPr="00452B27">
        <w:rPr>
          <w:rStyle w:val="Odkaznapoznmkupodiarou"/>
          <w:rFonts w:eastAsiaTheme="majorEastAsia"/>
          <w:sz w:val="18"/>
          <w:szCs w:val="18"/>
        </w:rPr>
        <w:footnoteRef/>
      </w:r>
      <w:r w:rsidRPr="00452B27">
        <w:rPr>
          <w:sz w:val="18"/>
          <w:szCs w:val="18"/>
        </w:rPr>
        <w:t xml:space="preserve"> Údaje za Slovenskú elektrizačnú a prenosovú sústavu, a.s. sú čerpané z konsolidovanej účtovnej závierky. Preto sú uvádzané za celú konsolidovanú ,,skupinu“ jednotiek.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9381C" w14:textId="3C08EA8D" w:rsidR="001850BC" w:rsidRDefault="001850BC" w:rsidP="00254DF2">
    <w:pPr>
      <w:pStyle w:val="Hlavika"/>
      <w:pBdr>
        <w:bottom w:val="thickThinSmallGap" w:sz="24" w:space="1" w:color="622423"/>
      </w:pBdr>
      <w:tabs>
        <w:tab w:val="clear" w:pos="4536"/>
        <w:tab w:val="clear" w:pos="9072"/>
      </w:tabs>
      <w:ind w:right="-1"/>
      <w:jc w:val="center"/>
      <w:rPr>
        <w:i/>
        <w:color w:val="C00000"/>
        <w:sz w:val="24"/>
        <w:szCs w:val="24"/>
      </w:rPr>
    </w:pPr>
    <w:r>
      <w:rPr>
        <w:i/>
        <w:color w:val="C00000"/>
        <w:sz w:val="24"/>
        <w:szCs w:val="24"/>
      </w:rPr>
      <w:t>S</w:t>
    </w:r>
    <w:r w:rsidRPr="00012A0B">
      <w:rPr>
        <w:i/>
        <w:color w:val="C00000"/>
        <w:sz w:val="24"/>
        <w:szCs w:val="24"/>
      </w:rPr>
      <w:t xml:space="preserve">úhrnná výročná správa </w:t>
    </w:r>
    <w:r>
      <w:rPr>
        <w:i/>
        <w:color w:val="C00000"/>
        <w:sz w:val="24"/>
        <w:szCs w:val="24"/>
      </w:rPr>
      <w:t>Slovenskej republiky za rok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280685C"/>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5F6B6D"/>
    <w:multiLevelType w:val="multilevel"/>
    <w:tmpl w:val="870C39CC"/>
    <w:lvl w:ilvl="0">
      <w:start w:val="2"/>
      <w:numFmt w:val="decimal"/>
      <w:lvlText w:val="%1."/>
      <w:lvlJc w:val="left"/>
      <w:pPr>
        <w:ind w:left="9291"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288" w:hanging="720"/>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4E71D2D"/>
    <w:multiLevelType w:val="hybridMultilevel"/>
    <w:tmpl w:val="EB8ACC28"/>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48779B"/>
    <w:multiLevelType w:val="hybridMultilevel"/>
    <w:tmpl w:val="89F88EB6"/>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4" w15:restartNumberingAfterBreak="0">
    <w:nsid w:val="212D6907"/>
    <w:multiLevelType w:val="hybridMultilevel"/>
    <w:tmpl w:val="E4B6CE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5055ED0"/>
    <w:multiLevelType w:val="multilevel"/>
    <w:tmpl w:val="4A0C010C"/>
    <w:lvl w:ilvl="0">
      <w:start w:val="3"/>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6" w15:restartNumberingAfterBreak="0">
    <w:nsid w:val="25DD4A38"/>
    <w:multiLevelType w:val="hybridMultilevel"/>
    <w:tmpl w:val="03623CD6"/>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4F716B"/>
    <w:multiLevelType w:val="hybridMultilevel"/>
    <w:tmpl w:val="E38854B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6EB"/>
    <w:multiLevelType w:val="hybridMultilevel"/>
    <w:tmpl w:val="301C068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A78098D"/>
    <w:multiLevelType w:val="hybridMultilevel"/>
    <w:tmpl w:val="D59E86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D821C33"/>
    <w:multiLevelType w:val="multilevel"/>
    <w:tmpl w:val="13C82368"/>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2DFB1F9E"/>
    <w:multiLevelType w:val="hybridMultilevel"/>
    <w:tmpl w:val="601686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C65790"/>
    <w:multiLevelType w:val="multilevel"/>
    <w:tmpl w:val="E1A891B0"/>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4E15F01"/>
    <w:multiLevelType w:val="multilevel"/>
    <w:tmpl w:val="FA22B572"/>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38862AC1"/>
    <w:multiLevelType w:val="hybridMultilevel"/>
    <w:tmpl w:val="869800DA"/>
    <w:lvl w:ilvl="0" w:tplc="041B0005">
      <w:start w:val="1"/>
      <w:numFmt w:val="bullet"/>
      <w:lvlText w:val=""/>
      <w:lvlJc w:val="left"/>
      <w:pPr>
        <w:ind w:left="720" w:hanging="360"/>
      </w:pPr>
      <w:rPr>
        <w:rFonts w:ascii="Wingdings" w:hAnsi="Wingdings" w:hint="default"/>
      </w:rPr>
    </w:lvl>
    <w:lvl w:ilvl="1" w:tplc="421479EA">
      <w:start w:val="1"/>
      <w:numFmt w:val="bullet"/>
      <w:lvlText w:val="­"/>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B567E1"/>
    <w:multiLevelType w:val="hybridMultilevel"/>
    <w:tmpl w:val="4370832E"/>
    <w:lvl w:ilvl="0" w:tplc="041B0017">
      <w:start w:val="1"/>
      <w:numFmt w:val="lowerLetter"/>
      <w:pStyle w:val="abc"/>
      <w:lvlText w:val="%1)"/>
      <w:lvlJc w:val="left"/>
      <w:pPr>
        <w:tabs>
          <w:tab w:val="num" w:pos="465"/>
        </w:tabs>
        <w:ind w:left="465" w:hanging="465"/>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D77980"/>
    <w:multiLevelType w:val="hybridMultilevel"/>
    <w:tmpl w:val="221E3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C595A28"/>
    <w:multiLevelType w:val="hybridMultilevel"/>
    <w:tmpl w:val="F0DCB748"/>
    <w:lvl w:ilvl="0" w:tplc="041B0005">
      <w:start w:val="1"/>
      <w:numFmt w:val="bullet"/>
      <w:lvlText w:val=""/>
      <w:lvlJc w:val="left"/>
      <w:pPr>
        <w:ind w:left="502" w:hanging="360"/>
      </w:pPr>
      <w:rPr>
        <w:rFonts w:ascii="Wingdings" w:hAnsi="Wingdings"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8" w15:restartNumberingAfterBreak="0">
    <w:nsid w:val="45411497"/>
    <w:multiLevelType w:val="multilevel"/>
    <w:tmpl w:val="2200A3C2"/>
    <w:lvl w:ilvl="0">
      <w:start w:val="3"/>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5"/>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15:restartNumberingAfterBreak="0">
    <w:nsid w:val="4AD45D2D"/>
    <w:multiLevelType w:val="multilevel"/>
    <w:tmpl w:val="C2F4BCD0"/>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4C8138E7"/>
    <w:multiLevelType w:val="multilevel"/>
    <w:tmpl w:val="6F044FE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94373F"/>
    <w:multiLevelType w:val="hybridMultilevel"/>
    <w:tmpl w:val="643EFE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2260DD"/>
    <w:multiLevelType w:val="multilevel"/>
    <w:tmpl w:val="1244069E"/>
    <w:lvl w:ilvl="0">
      <w:start w:val="3"/>
      <w:numFmt w:val="decimal"/>
      <w:lvlText w:val="%1"/>
      <w:lvlJc w:val="left"/>
      <w:pPr>
        <w:ind w:left="480" w:hanging="480"/>
      </w:pPr>
      <w:rPr>
        <w:rFonts w:cs="Times New Roman" w:hint="default"/>
      </w:rPr>
    </w:lvl>
    <w:lvl w:ilvl="1">
      <w:start w:val="2"/>
      <w:numFmt w:val="decimal"/>
      <w:pStyle w:val="Nadpis2"/>
      <w:lvlText w:val="%1.%2"/>
      <w:lvlJc w:val="left"/>
      <w:pPr>
        <w:ind w:left="1020" w:hanging="480"/>
      </w:pPr>
      <w:rPr>
        <w:rFonts w:cs="Times New Roman" w:hint="default"/>
      </w:rPr>
    </w:lvl>
    <w:lvl w:ilvl="2">
      <w:start w:val="2"/>
      <w:numFmt w:val="decimal"/>
      <w:pStyle w:val="Nadpis3"/>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23" w15:restartNumberingAfterBreak="0">
    <w:nsid w:val="5A621F18"/>
    <w:multiLevelType w:val="hybridMultilevel"/>
    <w:tmpl w:val="251ABD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DB10A96"/>
    <w:multiLevelType w:val="hybridMultilevel"/>
    <w:tmpl w:val="C012FF24"/>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36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F1161A3"/>
    <w:multiLevelType w:val="multilevel"/>
    <w:tmpl w:val="4A981EF6"/>
    <w:lvl w:ilvl="0">
      <w:start w:val="1"/>
      <w:numFmt w:val="decimal"/>
      <w:pStyle w:val="Nadpis1"/>
      <w:lvlText w:val="%1."/>
      <w:lvlJc w:val="left"/>
      <w:pPr>
        <w:ind w:left="1495" w:hanging="360"/>
      </w:pPr>
      <w:rPr>
        <w:rFonts w:cs="Times New Roman" w:hint="default"/>
      </w:rPr>
    </w:lvl>
    <w:lvl w:ilvl="1">
      <w:start w:val="1"/>
      <w:numFmt w:val="decimal"/>
      <w:isLgl/>
      <w:lvlText w:val="%1.%2."/>
      <w:lvlJc w:val="left"/>
      <w:pPr>
        <w:ind w:left="8014"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36"/>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26" w15:restartNumberingAfterBreak="0">
    <w:nsid w:val="5F85346E"/>
    <w:multiLevelType w:val="hybridMultilevel"/>
    <w:tmpl w:val="24BEE03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3A1450"/>
    <w:multiLevelType w:val="hybridMultilevel"/>
    <w:tmpl w:val="E8B406F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642409D"/>
    <w:multiLevelType w:val="hybridMultilevel"/>
    <w:tmpl w:val="0018F6C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66801920"/>
    <w:multiLevelType w:val="hybridMultilevel"/>
    <w:tmpl w:val="5950A4C4"/>
    <w:lvl w:ilvl="0" w:tplc="8F52A5F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2701BE"/>
    <w:multiLevelType w:val="hybridMultilevel"/>
    <w:tmpl w:val="7812D154"/>
    <w:lvl w:ilvl="0" w:tplc="FDD8CFE0">
      <w:start w:val="2"/>
      <w:numFmt w:val="bullet"/>
      <w:lvlText w:val="-"/>
      <w:lvlJc w:val="left"/>
      <w:pPr>
        <w:ind w:left="805" w:hanging="360"/>
      </w:pPr>
      <w:rPr>
        <w:rFonts w:ascii="Times New Roman" w:eastAsia="Times New Roman" w:hAnsi="Times New Roman" w:hint="default"/>
      </w:rPr>
    </w:lvl>
    <w:lvl w:ilvl="1" w:tplc="041B0003" w:tentative="1">
      <w:start w:val="1"/>
      <w:numFmt w:val="bullet"/>
      <w:lvlText w:val="o"/>
      <w:lvlJc w:val="left"/>
      <w:pPr>
        <w:ind w:left="1525" w:hanging="360"/>
      </w:pPr>
      <w:rPr>
        <w:rFonts w:ascii="Courier New" w:hAnsi="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1" w15:restartNumberingAfterBreak="0">
    <w:nsid w:val="6F4A40FA"/>
    <w:multiLevelType w:val="hybridMultilevel"/>
    <w:tmpl w:val="B11E3C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1117B6B"/>
    <w:multiLevelType w:val="multilevel"/>
    <w:tmpl w:val="FAE26780"/>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3" w15:restartNumberingAfterBreak="0">
    <w:nsid w:val="7A544B48"/>
    <w:multiLevelType w:val="hybridMultilevel"/>
    <w:tmpl w:val="BB6805EE"/>
    <w:lvl w:ilvl="0" w:tplc="2ED296A6">
      <w:start w:val="7"/>
      <w:numFmt w:val="bullet"/>
      <w:pStyle w:val="AUODRAKA"/>
      <w:lvlText w:val=""/>
      <w:lvlJc w:val="left"/>
      <w:pPr>
        <w:tabs>
          <w:tab w:val="num" w:pos="284"/>
        </w:tabs>
        <w:ind w:left="284" w:hanging="284"/>
      </w:pPr>
      <w:rPr>
        <w:rFonts w:ascii="Symbol" w:hAnsi="Symbol" w:hint="default"/>
        <w:b/>
        <w:i w:val="0"/>
        <w:color w:val="auto"/>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25"/>
  </w:num>
  <w:num w:numId="4">
    <w:abstractNumId w:val="1"/>
  </w:num>
  <w:num w:numId="5">
    <w:abstractNumId w:val="15"/>
  </w:num>
  <w:num w:numId="6">
    <w:abstractNumId w:val="33"/>
  </w:num>
  <w:num w:numId="7">
    <w:abstractNumId w:val="0"/>
  </w:num>
  <w:num w:numId="8">
    <w:abstractNumId w:val="27"/>
  </w:num>
  <w:num w:numId="9">
    <w:abstractNumId w:val="4"/>
  </w:num>
  <w:num w:numId="10">
    <w:abstractNumId w:val="28"/>
  </w:num>
  <w:num w:numId="11">
    <w:abstractNumId w:val="16"/>
  </w:num>
  <w:num w:numId="12">
    <w:abstractNumId w:val="7"/>
  </w:num>
  <w:num w:numId="13">
    <w:abstractNumId w:val="9"/>
  </w:num>
  <w:num w:numId="14">
    <w:abstractNumId w:val="26"/>
  </w:num>
  <w:num w:numId="15">
    <w:abstractNumId w:val="14"/>
  </w:num>
  <w:num w:numId="16">
    <w:abstractNumId w:val="8"/>
  </w:num>
  <w:num w:numId="17">
    <w:abstractNumId w:val="24"/>
  </w:num>
  <w:num w:numId="18">
    <w:abstractNumId w:val="22"/>
  </w:num>
  <w:num w:numId="19">
    <w:abstractNumId w:val="22"/>
    <w:lvlOverride w:ilvl="0">
      <w:startOverride w:val="3"/>
    </w:lvlOverride>
    <w:lvlOverride w:ilvl="1">
      <w:startOverride w:val="1"/>
    </w:lvlOverride>
  </w:num>
  <w:num w:numId="20">
    <w:abstractNumId w:val="10"/>
  </w:num>
  <w:num w:numId="21">
    <w:abstractNumId w:val="13"/>
  </w:num>
  <w:num w:numId="22">
    <w:abstractNumId w:val="22"/>
  </w:num>
  <w:num w:numId="23">
    <w:abstractNumId w:val="22"/>
  </w:num>
  <w:num w:numId="24">
    <w:abstractNumId w:val="18"/>
  </w:num>
  <w:num w:numId="25">
    <w:abstractNumId w:val="16"/>
  </w:num>
  <w:num w:numId="26">
    <w:abstractNumId w:val="30"/>
  </w:num>
  <w:num w:numId="27">
    <w:abstractNumId w:val="22"/>
  </w:num>
  <w:num w:numId="28">
    <w:abstractNumId w:val="29"/>
  </w:num>
  <w:num w:numId="29">
    <w:abstractNumId w:val="3"/>
  </w:num>
  <w:num w:numId="30">
    <w:abstractNumId w:val="20"/>
  </w:num>
  <w:num w:numId="31">
    <w:abstractNumId w:val="5"/>
  </w:num>
  <w:num w:numId="32">
    <w:abstractNumId w:val="19"/>
  </w:num>
  <w:num w:numId="33">
    <w:abstractNumId w:val="32"/>
  </w:num>
  <w:num w:numId="34">
    <w:abstractNumId w:val="22"/>
    <w:lvlOverride w:ilvl="0">
      <w:startOverride w:val="3"/>
    </w:lvlOverride>
    <w:lvlOverride w:ilvl="1">
      <w:startOverride w:val="1"/>
    </w:lvlOverride>
  </w:num>
  <w:num w:numId="35">
    <w:abstractNumId w:val="22"/>
    <w:lvlOverride w:ilvl="0">
      <w:startOverride w:val="3"/>
    </w:lvlOverride>
    <w:lvlOverride w:ilvl="1">
      <w:startOverride w:val="1"/>
    </w:lvlOverride>
  </w:num>
  <w:num w:numId="36">
    <w:abstractNumId w:val="22"/>
    <w:lvlOverride w:ilvl="0">
      <w:startOverride w:val="3"/>
    </w:lvlOverride>
    <w:lvlOverride w:ilvl="1">
      <w:startOverride w:val="1"/>
    </w:lvlOverride>
  </w:num>
  <w:num w:numId="37">
    <w:abstractNumId w:val="22"/>
    <w:lvlOverride w:ilvl="0">
      <w:startOverride w:val="3"/>
    </w:lvlOverride>
    <w:lvlOverride w:ilvl="1">
      <w:startOverride w:val="1"/>
    </w:lvlOverride>
  </w:num>
  <w:num w:numId="38">
    <w:abstractNumId w:val="22"/>
    <w:lvlOverride w:ilvl="0">
      <w:startOverride w:val="3"/>
    </w:lvlOverride>
    <w:lvlOverride w:ilvl="1">
      <w:startOverride w:val="1"/>
    </w:lvlOverride>
  </w:num>
  <w:num w:numId="39">
    <w:abstractNumId w:val="12"/>
  </w:num>
  <w:num w:numId="40">
    <w:abstractNumId w:val="22"/>
    <w:lvlOverride w:ilvl="0">
      <w:startOverride w:val="3"/>
    </w:lvlOverride>
    <w:lvlOverride w:ilvl="1">
      <w:startOverride w:val="1"/>
    </w:lvlOverride>
  </w:num>
  <w:num w:numId="41">
    <w:abstractNumId w:val="22"/>
    <w:lvlOverride w:ilvl="0">
      <w:startOverride w:val="3"/>
    </w:lvlOverride>
    <w:lvlOverride w:ilvl="1">
      <w:startOverride w:val="1"/>
    </w:lvlOverride>
  </w:num>
  <w:num w:numId="42">
    <w:abstractNumId w:val="22"/>
    <w:lvlOverride w:ilvl="0">
      <w:startOverride w:val="3"/>
    </w:lvlOverride>
    <w:lvlOverride w:ilvl="1">
      <w:startOverride w:val="1"/>
    </w:lvlOverride>
  </w:num>
  <w:num w:numId="43">
    <w:abstractNumId w:val="22"/>
    <w:lvlOverride w:ilvl="0">
      <w:startOverride w:val="3"/>
    </w:lvlOverride>
    <w:lvlOverride w:ilvl="1">
      <w:startOverride w:val="1"/>
    </w:lvlOverride>
  </w:num>
  <w:num w:numId="44">
    <w:abstractNumId w:val="23"/>
  </w:num>
  <w:num w:numId="45">
    <w:abstractNumId w:val="21"/>
  </w:num>
  <w:num w:numId="46">
    <w:abstractNumId w:val="11"/>
  </w:num>
  <w:num w:numId="47">
    <w:abstractNumId w:val="2"/>
  </w:num>
  <w:num w:numId="48">
    <w:abstractNumId w:val="6"/>
  </w:num>
  <w:num w:numId="49">
    <w:abstractNumId w:val="31"/>
  </w:num>
  <w:num w:numId="50">
    <w:abstractNumId w:val="22"/>
    <w:lvlOverride w:ilvl="0">
      <w:startOverride w:val="3"/>
    </w:lvlOverride>
    <w:lvlOverride w:ilvl="1">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6C"/>
    <w:rsid w:val="00000538"/>
    <w:rsid w:val="00002BBE"/>
    <w:rsid w:val="00002FDB"/>
    <w:rsid w:val="0000346C"/>
    <w:rsid w:val="00003EAF"/>
    <w:rsid w:val="000042C7"/>
    <w:rsid w:val="0000435D"/>
    <w:rsid w:val="0000481F"/>
    <w:rsid w:val="00004915"/>
    <w:rsid w:val="00010479"/>
    <w:rsid w:val="0001053C"/>
    <w:rsid w:val="00010E4A"/>
    <w:rsid w:val="00010FCC"/>
    <w:rsid w:val="0001132C"/>
    <w:rsid w:val="00012A0B"/>
    <w:rsid w:val="00012EC9"/>
    <w:rsid w:val="00016328"/>
    <w:rsid w:val="00017D21"/>
    <w:rsid w:val="00021651"/>
    <w:rsid w:val="00022328"/>
    <w:rsid w:val="0002242E"/>
    <w:rsid w:val="0002262E"/>
    <w:rsid w:val="00024E6F"/>
    <w:rsid w:val="00026749"/>
    <w:rsid w:val="00026F0C"/>
    <w:rsid w:val="00031788"/>
    <w:rsid w:val="000318C9"/>
    <w:rsid w:val="00032127"/>
    <w:rsid w:val="00032419"/>
    <w:rsid w:val="00032BCF"/>
    <w:rsid w:val="00033B28"/>
    <w:rsid w:val="00034156"/>
    <w:rsid w:val="000347E8"/>
    <w:rsid w:val="000352EA"/>
    <w:rsid w:val="00036696"/>
    <w:rsid w:val="00036E63"/>
    <w:rsid w:val="00037AA9"/>
    <w:rsid w:val="000410D6"/>
    <w:rsid w:val="00041CD3"/>
    <w:rsid w:val="00042AFD"/>
    <w:rsid w:val="000432A6"/>
    <w:rsid w:val="000433E5"/>
    <w:rsid w:val="000437EA"/>
    <w:rsid w:val="000438E5"/>
    <w:rsid w:val="0004421D"/>
    <w:rsid w:val="0004434D"/>
    <w:rsid w:val="0004438B"/>
    <w:rsid w:val="000454D8"/>
    <w:rsid w:val="000500D5"/>
    <w:rsid w:val="000501DB"/>
    <w:rsid w:val="0005096F"/>
    <w:rsid w:val="000511B5"/>
    <w:rsid w:val="000518B3"/>
    <w:rsid w:val="00051C9A"/>
    <w:rsid w:val="0005286D"/>
    <w:rsid w:val="00055F5C"/>
    <w:rsid w:val="000565C3"/>
    <w:rsid w:val="00056E18"/>
    <w:rsid w:val="00057CF7"/>
    <w:rsid w:val="000606A7"/>
    <w:rsid w:val="00061DBD"/>
    <w:rsid w:val="00062AF5"/>
    <w:rsid w:val="00062DC2"/>
    <w:rsid w:val="00064921"/>
    <w:rsid w:val="00066880"/>
    <w:rsid w:val="00067252"/>
    <w:rsid w:val="00070899"/>
    <w:rsid w:val="000709D3"/>
    <w:rsid w:val="000722EF"/>
    <w:rsid w:val="000728EB"/>
    <w:rsid w:val="00073EB1"/>
    <w:rsid w:val="00073FFD"/>
    <w:rsid w:val="00074028"/>
    <w:rsid w:val="00075C44"/>
    <w:rsid w:val="00076535"/>
    <w:rsid w:val="0007714F"/>
    <w:rsid w:val="000775A2"/>
    <w:rsid w:val="00080B3C"/>
    <w:rsid w:val="0008186C"/>
    <w:rsid w:val="00081E83"/>
    <w:rsid w:val="0008237F"/>
    <w:rsid w:val="0008314B"/>
    <w:rsid w:val="000832C3"/>
    <w:rsid w:val="00083D09"/>
    <w:rsid w:val="00083E71"/>
    <w:rsid w:val="00084506"/>
    <w:rsid w:val="00084F17"/>
    <w:rsid w:val="0008572B"/>
    <w:rsid w:val="00085E85"/>
    <w:rsid w:val="0008612E"/>
    <w:rsid w:val="0008767D"/>
    <w:rsid w:val="00090B79"/>
    <w:rsid w:val="00091ABA"/>
    <w:rsid w:val="00091E16"/>
    <w:rsid w:val="00092A25"/>
    <w:rsid w:val="00093C11"/>
    <w:rsid w:val="000942AF"/>
    <w:rsid w:val="00094B9B"/>
    <w:rsid w:val="00096FC8"/>
    <w:rsid w:val="000971DB"/>
    <w:rsid w:val="0009732B"/>
    <w:rsid w:val="000A357C"/>
    <w:rsid w:val="000A4644"/>
    <w:rsid w:val="000A4965"/>
    <w:rsid w:val="000A5BA9"/>
    <w:rsid w:val="000A7290"/>
    <w:rsid w:val="000B02C3"/>
    <w:rsid w:val="000B0946"/>
    <w:rsid w:val="000B0AD0"/>
    <w:rsid w:val="000B1899"/>
    <w:rsid w:val="000B1F01"/>
    <w:rsid w:val="000B2004"/>
    <w:rsid w:val="000B4414"/>
    <w:rsid w:val="000B4538"/>
    <w:rsid w:val="000B4541"/>
    <w:rsid w:val="000B4E19"/>
    <w:rsid w:val="000B5079"/>
    <w:rsid w:val="000B5FA3"/>
    <w:rsid w:val="000C0942"/>
    <w:rsid w:val="000C0AF4"/>
    <w:rsid w:val="000C0F7D"/>
    <w:rsid w:val="000C47D2"/>
    <w:rsid w:val="000C5E1C"/>
    <w:rsid w:val="000C6A66"/>
    <w:rsid w:val="000C6BC7"/>
    <w:rsid w:val="000D2962"/>
    <w:rsid w:val="000D3333"/>
    <w:rsid w:val="000D360D"/>
    <w:rsid w:val="000D3A03"/>
    <w:rsid w:val="000D3B05"/>
    <w:rsid w:val="000D3B2D"/>
    <w:rsid w:val="000D4131"/>
    <w:rsid w:val="000D55E2"/>
    <w:rsid w:val="000D5870"/>
    <w:rsid w:val="000D598D"/>
    <w:rsid w:val="000D6362"/>
    <w:rsid w:val="000D6BF1"/>
    <w:rsid w:val="000D77CC"/>
    <w:rsid w:val="000E0D02"/>
    <w:rsid w:val="000E1502"/>
    <w:rsid w:val="000E228D"/>
    <w:rsid w:val="000E2AC5"/>
    <w:rsid w:val="000E3D24"/>
    <w:rsid w:val="000E4520"/>
    <w:rsid w:val="000E499C"/>
    <w:rsid w:val="000E5BF0"/>
    <w:rsid w:val="000E5F16"/>
    <w:rsid w:val="000E69D1"/>
    <w:rsid w:val="000E6B59"/>
    <w:rsid w:val="000E712E"/>
    <w:rsid w:val="000E7880"/>
    <w:rsid w:val="000F021A"/>
    <w:rsid w:val="000F1CED"/>
    <w:rsid w:val="000F21DB"/>
    <w:rsid w:val="000F23AE"/>
    <w:rsid w:val="000F23F1"/>
    <w:rsid w:val="000F2548"/>
    <w:rsid w:val="000F366E"/>
    <w:rsid w:val="000F41C7"/>
    <w:rsid w:val="000F42D3"/>
    <w:rsid w:val="000F4ED4"/>
    <w:rsid w:val="000F5C53"/>
    <w:rsid w:val="000F5EC3"/>
    <w:rsid w:val="000F5F5B"/>
    <w:rsid w:val="000F61CA"/>
    <w:rsid w:val="000F7DFE"/>
    <w:rsid w:val="001009CC"/>
    <w:rsid w:val="00100DED"/>
    <w:rsid w:val="00101B73"/>
    <w:rsid w:val="00101C61"/>
    <w:rsid w:val="00102430"/>
    <w:rsid w:val="001026B8"/>
    <w:rsid w:val="0010281C"/>
    <w:rsid w:val="00103920"/>
    <w:rsid w:val="00104D10"/>
    <w:rsid w:val="00105529"/>
    <w:rsid w:val="00105F45"/>
    <w:rsid w:val="00106D60"/>
    <w:rsid w:val="00107454"/>
    <w:rsid w:val="00110DB4"/>
    <w:rsid w:val="00110FEB"/>
    <w:rsid w:val="0011103E"/>
    <w:rsid w:val="0011258A"/>
    <w:rsid w:val="00113FCF"/>
    <w:rsid w:val="001146E1"/>
    <w:rsid w:val="0011506F"/>
    <w:rsid w:val="00117DCA"/>
    <w:rsid w:val="00117EF0"/>
    <w:rsid w:val="0012017D"/>
    <w:rsid w:val="00120D7D"/>
    <w:rsid w:val="001215F3"/>
    <w:rsid w:val="0012264F"/>
    <w:rsid w:val="001226BB"/>
    <w:rsid w:val="00122D4E"/>
    <w:rsid w:val="0012357B"/>
    <w:rsid w:val="0012459D"/>
    <w:rsid w:val="0012462B"/>
    <w:rsid w:val="00124887"/>
    <w:rsid w:val="00125DEF"/>
    <w:rsid w:val="00125FD4"/>
    <w:rsid w:val="00126FD6"/>
    <w:rsid w:val="001272A3"/>
    <w:rsid w:val="00130163"/>
    <w:rsid w:val="00130B45"/>
    <w:rsid w:val="00130F05"/>
    <w:rsid w:val="00132739"/>
    <w:rsid w:val="00132E70"/>
    <w:rsid w:val="00133CA5"/>
    <w:rsid w:val="001350E4"/>
    <w:rsid w:val="00135CC5"/>
    <w:rsid w:val="00140B01"/>
    <w:rsid w:val="0014208C"/>
    <w:rsid w:val="00143A46"/>
    <w:rsid w:val="00145919"/>
    <w:rsid w:val="001500DF"/>
    <w:rsid w:val="00150511"/>
    <w:rsid w:val="00152621"/>
    <w:rsid w:val="00152880"/>
    <w:rsid w:val="00152E3C"/>
    <w:rsid w:val="00155A35"/>
    <w:rsid w:val="001616C1"/>
    <w:rsid w:val="00161C86"/>
    <w:rsid w:val="001622AD"/>
    <w:rsid w:val="00162D79"/>
    <w:rsid w:val="00163EDD"/>
    <w:rsid w:val="00165641"/>
    <w:rsid w:val="00167EE7"/>
    <w:rsid w:val="00171087"/>
    <w:rsid w:val="00172120"/>
    <w:rsid w:val="00172824"/>
    <w:rsid w:val="00173460"/>
    <w:rsid w:val="001735E5"/>
    <w:rsid w:val="001767F0"/>
    <w:rsid w:val="00177E04"/>
    <w:rsid w:val="0018178F"/>
    <w:rsid w:val="001835B0"/>
    <w:rsid w:val="00183829"/>
    <w:rsid w:val="00183A1F"/>
    <w:rsid w:val="00183F38"/>
    <w:rsid w:val="00183FF7"/>
    <w:rsid w:val="0018421F"/>
    <w:rsid w:val="001848F4"/>
    <w:rsid w:val="001850BC"/>
    <w:rsid w:val="00185751"/>
    <w:rsid w:val="00185CDE"/>
    <w:rsid w:val="001909A1"/>
    <w:rsid w:val="00191267"/>
    <w:rsid w:val="0019505E"/>
    <w:rsid w:val="001959A0"/>
    <w:rsid w:val="001960E5"/>
    <w:rsid w:val="001965CA"/>
    <w:rsid w:val="00196FE5"/>
    <w:rsid w:val="001A02CC"/>
    <w:rsid w:val="001A19AE"/>
    <w:rsid w:val="001A1ADE"/>
    <w:rsid w:val="001A3017"/>
    <w:rsid w:val="001A30B7"/>
    <w:rsid w:val="001A356F"/>
    <w:rsid w:val="001A3635"/>
    <w:rsid w:val="001A3A40"/>
    <w:rsid w:val="001A4984"/>
    <w:rsid w:val="001A59FB"/>
    <w:rsid w:val="001A5ED5"/>
    <w:rsid w:val="001A638C"/>
    <w:rsid w:val="001A687D"/>
    <w:rsid w:val="001A6DE0"/>
    <w:rsid w:val="001A70B5"/>
    <w:rsid w:val="001B083A"/>
    <w:rsid w:val="001B2A89"/>
    <w:rsid w:val="001B3856"/>
    <w:rsid w:val="001B4DFC"/>
    <w:rsid w:val="001B674A"/>
    <w:rsid w:val="001B76A7"/>
    <w:rsid w:val="001C12E3"/>
    <w:rsid w:val="001C159E"/>
    <w:rsid w:val="001C3E48"/>
    <w:rsid w:val="001C4414"/>
    <w:rsid w:val="001C5592"/>
    <w:rsid w:val="001C61AA"/>
    <w:rsid w:val="001C77DD"/>
    <w:rsid w:val="001C7922"/>
    <w:rsid w:val="001C7991"/>
    <w:rsid w:val="001D0E44"/>
    <w:rsid w:val="001D3593"/>
    <w:rsid w:val="001D4302"/>
    <w:rsid w:val="001D45CC"/>
    <w:rsid w:val="001E0DB6"/>
    <w:rsid w:val="001E1FB8"/>
    <w:rsid w:val="001E1FD8"/>
    <w:rsid w:val="001E2DE5"/>
    <w:rsid w:val="001E41AC"/>
    <w:rsid w:val="001E4AA7"/>
    <w:rsid w:val="001E5E18"/>
    <w:rsid w:val="001E633F"/>
    <w:rsid w:val="001E6B33"/>
    <w:rsid w:val="001E6CF0"/>
    <w:rsid w:val="001F0485"/>
    <w:rsid w:val="001F0D9F"/>
    <w:rsid w:val="001F1D93"/>
    <w:rsid w:val="001F22EF"/>
    <w:rsid w:val="001F376C"/>
    <w:rsid w:val="001F3D60"/>
    <w:rsid w:val="001F49A9"/>
    <w:rsid w:val="001F4D98"/>
    <w:rsid w:val="001F510C"/>
    <w:rsid w:val="001F5D79"/>
    <w:rsid w:val="001F683E"/>
    <w:rsid w:val="001F6D13"/>
    <w:rsid w:val="00200509"/>
    <w:rsid w:val="00203A7E"/>
    <w:rsid w:val="0020400B"/>
    <w:rsid w:val="002044AD"/>
    <w:rsid w:val="00204E1E"/>
    <w:rsid w:val="00206DF9"/>
    <w:rsid w:val="002078B2"/>
    <w:rsid w:val="00207931"/>
    <w:rsid w:val="0021117C"/>
    <w:rsid w:val="00211BF0"/>
    <w:rsid w:val="00211C2A"/>
    <w:rsid w:val="00213919"/>
    <w:rsid w:val="002142C6"/>
    <w:rsid w:val="00214348"/>
    <w:rsid w:val="00215BC5"/>
    <w:rsid w:val="00216984"/>
    <w:rsid w:val="00216B81"/>
    <w:rsid w:val="00216E76"/>
    <w:rsid w:val="00217B68"/>
    <w:rsid w:val="00217E98"/>
    <w:rsid w:val="002201A6"/>
    <w:rsid w:val="002215AF"/>
    <w:rsid w:val="00221E46"/>
    <w:rsid w:val="00222BD5"/>
    <w:rsid w:val="00222E1C"/>
    <w:rsid w:val="00223B82"/>
    <w:rsid w:val="00224204"/>
    <w:rsid w:val="0022476D"/>
    <w:rsid w:val="00224BDE"/>
    <w:rsid w:val="0022549B"/>
    <w:rsid w:val="00225D5A"/>
    <w:rsid w:val="00226B6B"/>
    <w:rsid w:val="00226D68"/>
    <w:rsid w:val="0023087F"/>
    <w:rsid w:val="00230BAA"/>
    <w:rsid w:val="00231512"/>
    <w:rsid w:val="002315DD"/>
    <w:rsid w:val="00231900"/>
    <w:rsid w:val="002322EB"/>
    <w:rsid w:val="0023584C"/>
    <w:rsid w:val="00235F45"/>
    <w:rsid w:val="002377CE"/>
    <w:rsid w:val="00240F49"/>
    <w:rsid w:val="002414D0"/>
    <w:rsid w:val="002435D8"/>
    <w:rsid w:val="00243B84"/>
    <w:rsid w:val="00244575"/>
    <w:rsid w:val="00244757"/>
    <w:rsid w:val="002447F0"/>
    <w:rsid w:val="002462D9"/>
    <w:rsid w:val="002468A2"/>
    <w:rsid w:val="00246DE8"/>
    <w:rsid w:val="00247E19"/>
    <w:rsid w:val="002505E7"/>
    <w:rsid w:val="00251495"/>
    <w:rsid w:val="002517D9"/>
    <w:rsid w:val="00253120"/>
    <w:rsid w:val="0025486C"/>
    <w:rsid w:val="00254A8D"/>
    <w:rsid w:val="00254DF2"/>
    <w:rsid w:val="00260B79"/>
    <w:rsid w:val="0026158C"/>
    <w:rsid w:val="00262347"/>
    <w:rsid w:val="00264AA5"/>
    <w:rsid w:val="0026511F"/>
    <w:rsid w:val="002662DA"/>
    <w:rsid w:val="0026721F"/>
    <w:rsid w:val="00270805"/>
    <w:rsid w:val="00271A78"/>
    <w:rsid w:val="00271FAC"/>
    <w:rsid w:val="00272125"/>
    <w:rsid w:val="00274BD8"/>
    <w:rsid w:val="0027509E"/>
    <w:rsid w:val="002750FA"/>
    <w:rsid w:val="002753EE"/>
    <w:rsid w:val="00275647"/>
    <w:rsid w:val="002759FF"/>
    <w:rsid w:val="00275E0F"/>
    <w:rsid w:val="002816BD"/>
    <w:rsid w:val="00282C9D"/>
    <w:rsid w:val="002854F9"/>
    <w:rsid w:val="00286464"/>
    <w:rsid w:val="00287010"/>
    <w:rsid w:val="0029039A"/>
    <w:rsid w:val="002920B8"/>
    <w:rsid w:val="002934D3"/>
    <w:rsid w:val="00294AD4"/>
    <w:rsid w:val="002951DB"/>
    <w:rsid w:val="00295D8B"/>
    <w:rsid w:val="00295DBA"/>
    <w:rsid w:val="00296A58"/>
    <w:rsid w:val="00296DDF"/>
    <w:rsid w:val="002A024C"/>
    <w:rsid w:val="002A13CE"/>
    <w:rsid w:val="002A22D2"/>
    <w:rsid w:val="002A4EBB"/>
    <w:rsid w:val="002A5EA6"/>
    <w:rsid w:val="002A6B7F"/>
    <w:rsid w:val="002B08C1"/>
    <w:rsid w:val="002B25A7"/>
    <w:rsid w:val="002B4A5C"/>
    <w:rsid w:val="002B4A70"/>
    <w:rsid w:val="002B64DD"/>
    <w:rsid w:val="002B7761"/>
    <w:rsid w:val="002C05C9"/>
    <w:rsid w:val="002C2348"/>
    <w:rsid w:val="002C2D2B"/>
    <w:rsid w:val="002C2EF1"/>
    <w:rsid w:val="002C3EB8"/>
    <w:rsid w:val="002C4691"/>
    <w:rsid w:val="002C623E"/>
    <w:rsid w:val="002C62DA"/>
    <w:rsid w:val="002C68D5"/>
    <w:rsid w:val="002C7EB2"/>
    <w:rsid w:val="002D03CE"/>
    <w:rsid w:val="002D05C8"/>
    <w:rsid w:val="002D2E86"/>
    <w:rsid w:val="002D54E0"/>
    <w:rsid w:val="002D6090"/>
    <w:rsid w:val="002D6D0A"/>
    <w:rsid w:val="002D73A1"/>
    <w:rsid w:val="002E04D2"/>
    <w:rsid w:val="002E0D26"/>
    <w:rsid w:val="002E225E"/>
    <w:rsid w:val="002E315D"/>
    <w:rsid w:val="002E40C1"/>
    <w:rsid w:val="002E46B3"/>
    <w:rsid w:val="002E55AB"/>
    <w:rsid w:val="002E6C6F"/>
    <w:rsid w:val="002E6D80"/>
    <w:rsid w:val="002F06DB"/>
    <w:rsid w:val="002F0F77"/>
    <w:rsid w:val="002F1219"/>
    <w:rsid w:val="002F1412"/>
    <w:rsid w:val="002F1EE7"/>
    <w:rsid w:val="002F2685"/>
    <w:rsid w:val="002F26D5"/>
    <w:rsid w:val="002F310B"/>
    <w:rsid w:val="002F5EE2"/>
    <w:rsid w:val="002F61CA"/>
    <w:rsid w:val="002F6582"/>
    <w:rsid w:val="002F79ED"/>
    <w:rsid w:val="002F7B20"/>
    <w:rsid w:val="002F7C62"/>
    <w:rsid w:val="0030084D"/>
    <w:rsid w:val="00301A37"/>
    <w:rsid w:val="00301D73"/>
    <w:rsid w:val="0030306B"/>
    <w:rsid w:val="00303607"/>
    <w:rsid w:val="00304507"/>
    <w:rsid w:val="00310385"/>
    <w:rsid w:val="0031183C"/>
    <w:rsid w:val="0031192D"/>
    <w:rsid w:val="00311A78"/>
    <w:rsid w:val="00313378"/>
    <w:rsid w:val="003139EB"/>
    <w:rsid w:val="00313C6C"/>
    <w:rsid w:val="003152DA"/>
    <w:rsid w:val="003160E3"/>
    <w:rsid w:val="00316CE3"/>
    <w:rsid w:val="003200FB"/>
    <w:rsid w:val="00321EC7"/>
    <w:rsid w:val="00322951"/>
    <w:rsid w:val="00323BBF"/>
    <w:rsid w:val="003318A3"/>
    <w:rsid w:val="00332142"/>
    <w:rsid w:val="0033233F"/>
    <w:rsid w:val="0033307F"/>
    <w:rsid w:val="00333825"/>
    <w:rsid w:val="003340E1"/>
    <w:rsid w:val="00334F3E"/>
    <w:rsid w:val="0033678B"/>
    <w:rsid w:val="00336969"/>
    <w:rsid w:val="00336DB7"/>
    <w:rsid w:val="00337A4D"/>
    <w:rsid w:val="00342B11"/>
    <w:rsid w:val="00342C44"/>
    <w:rsid w:val="00344D66"/>
    <w:rsid w:val="00345E52"/>
    <w:rsid w:val="003474D4"/>
    <w:rsid w:val="003475BE"/>
    <w:rsid w:val="003476E6"/>
    <w:rsid w:val="0034793E"/>
    <w:rsid w:val="00350D5F"/>
    <w:rsid w:val="00350FCE"/>
    <w:rsid w:val="0035194F"/>
    <w:rsid w:val="00351FCF"/>
    <w:rsid w:val="00352012"/>
    <w:rsid w:val="00352E73"/>
    <w:rsid w:val="003532A8"/>
    <w:rsid w:val="0035366F"/>
    <w:rsid w:val="00353AEA"/>
    <w:rsid w:val="00354C87"/>
    <w:rsid w:val="00355224"/>
    <w:rsid w:val="00356019"/>
    <w:rsid w:val="003570CD"/>
    <w:rsid w:val="003608DE"/>
    <w:rsid w:val="00360E3C"/>
    <w:rsid w:val="00362D52"/>
    <w:rsid w:val="00362DC8"/>
    <w:rsid w:val="00365FBE"/>
    <w:rsid w:val="00366AE0"/>
    <w:rsid w:val="00367C11"/>
    <w:rsid w:val="003704C2"/>
    <w:rsid w:val="0037056B"/>
    <w:rsid w:val="0037310C"/>
    <w:rsid w:val="00373316"/>
    <w:rsid w:val="00373FED"/>
    <w:rsid w:val="00374314"/>
    <w:rsid w:val="0037448F"/>
    <w:rsid w:val="00375367"/>
    <w:rsid w:val="00375895"/>
    <w:rsid w:val="003759A7"/>
    <w:rsid w:val="00375CF7"/>
    <w:rsid w:val="00376711"/>
    <w:rsid w:val="0038066F"/>
    <w:rsid w:val="00381445"/>
    <w:rsid w:val="0038304B"/>
    <w:rsid w:val="0038408C"/>
    <w:rsid w:val="003854AA"/>
    <w:rsid w:val="003856EE"/>
    <w:rsid w:val="003869E9"/>
    <w:rsid w:val="00386B64"/>
    <w:rsid w:val="0039205F"/>
    <w:rsid w:val="003928F2"/>
    <w:rsid w:val="00392B0F"/>
    <w:rsid w:val="00392C61"/>
    <w:rsid w:val="00394109"/>
    <w:rsid w:val="00394F9A"/>
    <w:rsid w:val="00396A66"/>
    <w:rsid w:val="003A1A64"/>
    <w:rsid w:val="003A3873"/>
    <w:rsid w:val="003A3EF9"/>
    <w:rsid w:val="003A4419"/>
    <w:rsid w:val="003A5482"/>
    <w:rsid w:val="003A726C"/>
    <w:rsid w:val="003A760D"/>
    <w:rsid w:val="003B1FA3"/>
    <w:rsid w:val="003B20E3"/>
    <w:rsid w:val="003B3993"/>
    <w:rsid w:val="003B5428"/>
    <w:rsid w:val="003B543F"/>
    <w:rsid w:val="003B5F59"/>
    <w:rsid w:val="003B78F1"/>
    <w:rsid w:val="003C012D"/>
    <w:rsid w:val="003C1002"/>
    <w:rsid w:val="003C1853"/>
    <w:rsid w:val="003C1D3B"/>
    <w:rsid w:val="003C238C"/>
    <w:rsid w:val="003C3A90"/>
    <w:rsid w:val="003C4A99"/>
    <w:rsid w:val="003C618E"/>
    <w:rsid w:val="003C6352"/>
    <w:rsid w:val="003C6E51"/>
    <w:rsid w:val="003C7166"/>
    <w:rsid w:val="003C722A"/>
    <w:rsid w:val="003D050C"/>
    <w:rsid w:val="003D1445"/>
    <w:rsid w:val="003D1A42"/>
    <w:rsid w:val="003D4C66"/>
    <w:rsid w:val="003D4F35"/>
    <w:rsid w:val="003D65C2"/>
    <w:rsid w:val="003D7CD3"/>
    <w:rsid w:val="003E044A"/>
    <w:rsid w:val="003E11F8"/>
    <w:rsid w:val="003E31FC"/>
    <w:rsid w:val="003E5AAC"/>
    <w:rsid w:val="003E6315"/>
    <w:rsid w:val="003E681C"/>
    <w:rsid w:val="003E6D95"/>
    <w:rsid w:val="003F00CD"/>
    <w:rsid w:val="003F1365"/>
    <w:rsid w:val="003F2D9B"/>
    <w:rsid w:val="003F3407"/>
    <w:rsid w:val="003F3B93"/>
    <w:rsid w:val="003F3E47"/>
    <w:rsid w:val="003F4397"/>
    <w:rsid w:val="003F5573"/>
    <w:rsid w:val="003F661A"/>
    <w:rsid w:val="003F6833"/>
    <w:rsid w:val="003F6872"/>
    <w:rsid w:val="003F6A9D"/>
    <w:rsid w:val="003F746C"/>
    <w:rsid w:val="00400804"/>
    <w:rsid w:val="00400EA6"/>
    <w:rsid w:val="00402977"/>
    <w:rsid w:val="00403232"/>
    <w:rsid w:val="00405DEC"/>
    <w:rsid w:val="00406B64"/>
    <w:rsid w:val="004070D5"/>
    <w:rsid w:val="0041017B"/>
    <w:rsid w:val="00410A8C"/>
    <w:rsid w:val="00411BC6"/>
    <w:rsid w:val="00411DA0"/>
    <w:rsid w:val="00412872"/>
    <w:rsid w:val="0041291E"/>
    <w:rsid w:val="00412B6E"/>
    <w:rsid w:val="004130D0"/>
    <w:rsid w:val="00413A0E"/>
    <w:rsid w:val="00413B19"/>
    <w:rsid w:val="00414642"/>
    <w:rsid w:val="0041503F"/>
    <w:rsid w:val="004159FF"/>
    <w:rsid w:val="00420B47"/>
    <w:rsid w:val="00421098"/>
    <w:rsid w:val="00423988"/>
    <w:rsid w:val="00424DCE"/>
    <w:rsid w:val="0042536D"/>
    <w:rsid w:val="0042590D"/>
    <w:rsid w:val="00427003"/>
    <w:rsid w:val="00427440"/>
    <w:rsid w:val="004278DE"/>
    <w:rsid w:val="00430994"/>
    <w:rsid w:val="0043188C"/>
    <w:rsid w:val="0043198B"/>
    <w:rsid w:val="00433721"/>
    <w:rsid w:val="00434C83"/>
    <w:rsid w:val="00434E4B"/>
    <w:rsid w:val="00435870"/>
    <w:rsid w:val="00435942"/>
    <w:rsid w:val="00436BB6"/>
    <w:rsid w:val="00440101"/>
    <w:rsid w:val="004429FB"/>
    <w:rsid w:val="00442BA2"/>
    <w:rsid w:val="00443964"/>
    <w:rsid w:val="00443A95"/>
    <w:rsid w:val="0044528D"/>
    <w:rsid w:val="00445555"/>
    <w:rsid w:val="00445BDC"/>
    <w:rsid w:val="0045117C"/>
    <w:rsid w:val="004511B0"/>
    <w:rsid w:val="00453659"/>
    <w:rsid w:val="00453B60"/>
    <w:rsid w:val="00454020"/>
    <w:rsid w:val="00454976"/>
    <w:rsid w:val="004569CD"/>
    <w:rsid w:val="00456CF4"/>
    <w:rsid w:val="00457939"/>
    <w:rsid w:val="00460557"/>
    <w:rsid w:val="0046135C"/>
    <w:rsid w:val="00462C2F"/>
    <w:rsid w:val="00464884"/>
    <w:rsid w:val="00470BD8"/>
    <w:rsid w:val="004714CC"/>
    <w:rsid w:val="0047190C"/>
    <w:rsid w:val="00471B1C"/>
    <w:rsid w:val="00472043"/>
    <w:rsid w:val="00472200"/>
    <w:rsid w:val="0047355A"/>
    <w:rsid w:val="00473579"/>
    <w:rsid w:val="00473A17"/>
    <w:rsid w:val="00474898"/>
    <w:rsid w:val="00474AF7"/>
    <w:rsid w:val="0047519D"/>
    <w:rsid w:val="0047567E"/>
    <w:rsid w:val="00475B1A"/>
    <w:rsid w:val="00475F12"/>
    <w:rsid w:val="0047627C"/>
    <w:rsid w:val="00477695"/>
    <w:rsid w:val="004801C2"/>
    <w:rsid w:val="0048068D"/>
    <w:rsid w:val="004821E4"/>
    <w:rsid w:val="00482590"/>
    <w:rsid w:val="00484B70"/>
    <w:rsid w:val="00485B3F"/>
    <w:rsid w:val="0048746B"/>
    <w:rsid w:val="00491348"/>
    <w:rsid w:val="00491714"/>
    <w:rsid w:val="00491739"/>
    <w:rsid w:val="00492CF8"/>
    <w:rsid w:val="00493A64"/>
    <w:rsid w:val="00494871"/>
    <w:rsid w:val="0049587F"/>
    <w:rsid w:val="00495CD0"/>
    <w:rsid w:val="0049685D"/>
    <w:rsid w:val="00496CD3"/>
    <w:rsid w:val="004A2C9B"/>
    <w:rsid w:val="004A2E31"/>
    <w:rsid w:val="004A3264"/>
    <w:rsid w:val="004A3908"/>
    <w:rsid w:val="004A3B5E"/>
    <w:rsid w:val="004A54FB"/>
    <w:rsid w:val="004A61DF"/>
    <w:rsid w:val="004A6F60"/>
    <w:rsid w:val="004A7C4B"/>
    <w:rsid w:val="004B00D3"/>
    <w:rsid w:val="004B1C8D"/>
    <w:rsid w:val="004B1E34"/>
    <w:rsid w:val="004B28B7"/>
    <w:rsid w:val="004B2DC9"/>
    <w:rsid w:val="004B50DB"/>
    <w:rsid w:val="004B57C3"/>
    <w:rsid w:val="004B5EA2"/>
    <w:rsid w:val="004B6439"/>
    <w:rsid w:val="004B6FC7"/>
    <w:rsid w:val="004B7DC7"/>
    <w:rsid w:val="004C110A"/>
    <w:rsid w:val="004C2698"/>
    <w:rsid w:val="004C2DA3"/>
    <w:rsid w:val="004C2EBA"/>
    <w:rsid w:val="004C33C7"/>
    <w:rsid w:val="004C3C75"/>
    <w:rsid w:val="004C490D"/>
    <w:rsid w:val="004C4A50"/>
    <w:rsid w:val="004C4B41"/>
    <w:rsid w:val="004C4DA2"/>
    <w:rsid w:val="004C5197"/>
    <w:rsid w:val="004C6380"/>
    <w:rsid w:val="004C708A"/>
    <w:rsid w:val="004D0095"/>
    <w:rsid w:val="004D0706"/>
    <w:rsid w:val="004D2EDD"/>
    <w:rsid w:val="004D4908"/>
    <w:rsid w:val="004E0E8A"/>
    <w:rsid w:val="004E16B9"/>
    <w:rsid w:val="004E1828"/>
    <w:rsid w:val="004E2119"/>
    <w:rsid w:val="004E2DE8"/>
    <w:rsid w:val="004E4B32"/>
    <w:rsid w:val="004E51D0"/>
    <w:rsid w:val="004E67C6"/>
    <w:rsid w:val="004E781E"/>
    <w:rsid w:val="004E7B98"/>
    <w:rsid w:val="004F05BD"/>
    <w:rsid w:val="004F0BC1"/>
    <w:rsid w:val="004F0C99"/>
    <w:rsid w:val="004F1294"/>
    <w:rsid w:val="004F20DE"/>
    <w:rsid w:val="004F26AC"/>
    <w:rsid w:val="004F2E9C"/>
    <w:rsid w:val="004F33AA"/>
    <w:rsid w:val="004F4ED3"/>
    <w:rsid w:val="004F5D08"/>
    <w:rsid w:val="004F5E64"/>
    <w:rsid w:val="004F6A26"/>
    <w:rsid w:val="004F6C5D"/>
    <w:rsid w:val="00500907"/>
    <w:rsid w:val="00500B5C"/>
    <w:rsid w:val="00500BD0"/>
    <w:rsid w:val="005029BC"/>
    <w:rsid w:val="005035EC"/>
    <w:rsid w:val="005043E3"/>
    <w:rsid w:val="00504839"/>
    <w:rsid w:val="005048D3"/>
    <w:rsid w:val="0050592C"/>
    <w:rsid w:val="00505FE5"/>
    <w:rsid w:val="005066E1"/>
    <w:rsid w:val="00506BB9"/>
    <w:rsid w:val="00507F2C"/>
    <w:rsid w:val="00507F61"/>
    <w:rsid w:val="0051154D"/>
    <w:rsid w:val="00512020"/>
    <w:rsid w:val="00512975"/>
    <w:rsid w:val="00512B11"/>
    <w:rsid w:val="00513E60"/>
    <w:rsid w:val="00514D8F"/>
    <w:rsid w:val="005153AB"/>
    <w:rsid w:val="00517B5F"/>
    <w:rsid w:val="0052136D"/>
    <w:rsid w:val="0052175F"/>
    <w:rsid w:val="00521850"/>
    <w:rsid w:val="00521F07"/>
    <w:rsid w:val="00522361"/>
    <w:rsid w:val="005238E5"/>
    <w:rsid w:val="00523B06"/>
    <w:rsid w:val="00524643"/>
    <w:rsid w:val="00524B64"/>
    <w:rsid w:val="00525504"/>
    <w:rsid w:val="0052650F"/>
    <w:rsid w:val="00527688"/>
    <w:rsid w:val="005304C5"/>
    <w:rsid w:val="005305B4"/>
    <w:rsid w:val="00530A37"/>
    <w:rsid w:val="00531D6B"/>
    <w:rsid w:val="005320FA"/>
    <w:rsid w:val="005322D6"/>
    <w:rsid w:val="00533B20"/>
    <w:rsid w:val="005347C2"/>
    <w:rsid w:val="00534A6B"/>
    <w:rsid w:val="00535B4F"/>
    <w:rsid w:val="00536531"/>
    <w:rsid w:val="00537799"/>
    <w:rsid w:val="005378A6"/>
    <w:rsid w:val="00542E12"/>
    <w:rsid w:val="00545285"/>
    <w:rsid w:val="00545BA3"/>
    <w:rsid w:val="005467C4"/>
    <w:rsid w:val="00546C55"/>
    <w:rsid w:val="00546D72"/>
    <w:rsid w:val="00546E4D"/>
    <w:rsid w:val="0054794D"/>
    <w:rsid w:val="00547BAC"/>
    <w:rsid w:val="0055151B"/>
    <w:rsid w:val="00551C37"/>
    <w:rsid w:val="00551F79"/>
    <w:rsid w:val="005520D1"/>
    <w:rsid w:val="0055225D"/>
    <w:rsid w:val="005532B1"/>
    <w:rsid w:val="0055579F"/>
    <w:rsid w:val="00555F12"/>
    <w:rsid w:val="00556233"/>
    <w:rsid w:val="005616A6"/>
    <w:rsid w:val="00562698"/>
    <w:rsid w:val="00564DEB"/>
    <w:rsid w:val="005659EA"/>
    <w:rsid w:val="0056701A"/>
    <w:rsid w:val="00571152"/>
    <w:rsid w:val="00571DA3"/>
    <w:rsid w:val="00572EA0"/>
    <w:rsid w:val="0057417C"/>
    <w:rsid w:val="00574CFB"/>
    <w:rsid w:val="00574FCA"/>
    <w:rsid w:val="00575FE6"/>
    <w:rsid w:val="00577315"/>
    <w:rsid w:val="00577434"/>
    <w:rsid w:val="005775C6"/>
    <w:rsid w:val="00577A40"/>
    <w:rsid w:val="00581157"/>
    <w:rsid w:val="00581EC4"/>
    <w:rsid w:val="0058303F"/>
    <w:rsid w:val="00584547"/>
    <w:rsid w:val="00584D7E"/>
    <w:rsid w:val="00586686"/>
    <w:rsid w:val="00586D75"/>
    <w:rsid w:val="00587F69"/>
    <w:rsid w:val="00587F6D"/>
    <w:rsid w:val="00592160"/>
    <w:rsid w:val="0059235F"/>
    <w:rsid w:val="00594E6A"/>
    <w:rsid w:val="0059547C"/>
    <w:rsid w:val="005956F7"/>
    <w:rsid w:val="00595D11"/>
    <w:rsid w:val="00595D31"/>
    <w:rsid w:val="005968D8"/>
    <w:rsid w:val="005971A7"/>
    <w:rsid w:val="00597603"/>
    <w:rsid w:val="005A18A9"/>
    <w:rsid w:val="005A1C55"/>
    <w:rsid w:val="005A2AED"/>
    <w:rsid w:val="005A5769"/>
    <w:rsid w:val="005A5B9D"/>
    <w:rsid w:val="005A63B2"/>
    <w:rsid w:val="005A7E30"/>
    <w:rsid w:val="005B07D7"/>
    <w:rsid w:val="005B0C7F"/>
    <w:rsid w:val="005B154C"/>
    <w:rsid w:val="005B2621"/>
    <w:rsid w:val="005B2DE5"/>
    <w:rsid w:val="005B4749"/>
    <w:rsid w:val="005B71D7"/>
    <w:rsid w:val="005B7819"/>
    <w:rsid w:val="005C0D5E"/>
    <w:rsid w:val="005C1229"/>
    <w:rsid w:val="005C2880"/>
    <w:rsid w:val="005C3AF8"/>
    <w:rsid w:val="005C5C7A"/>
    <w:rsid w:val="005C6919"/>
    <w:rsid w:val="005C702E"/>
    <w:rsid w:val="005C7927"/>
    <w:rsid w:val="005D07CE"/>
    <w:rsid w:val="005D0B2F"/>
    <w:rsid w:val="005D0FCE"/>
    <w:rsid w:val="005D1412"/>
    <w:rsid w:val="005D1DD7"/>
    <w:rsid w:val="005D25E4"/>
    <w:rsid w:val="005D4B98"/>
    <w:rsid w:val="005D5220"/>
    <w:rsid w:val="005D5891"/>
    <w:rsid w:val="005D68CD"/>
    <w:rsid w:val="005D69F8"/>
    <w:rsid w:val="005D6DFC"/>
    <w:rsid w:val="005D7084"/>
    <w:rsid w:val="005D72F1"/>
    <w:rsid w:val="005E0146"/>
    <w:rsid w:val="005E1879"/>
    <w:rsid w:val="005E1F86"/>
    <w:rsid w:val="005E2062"/>
    <w:rsid w:val="005E57A3"/>
    <w:rsid w:val="005E702F"/>
    <w:rsid w:val="005E78C8"/>
    <w:rsid w:val="005E7ABD"/>
    <w:rsid w:val="005F0AF6"/>
    <w:rsid w:val="005F11F0"/>
    <w:rsid w:val="005F4D9C"/>
    <w:rsid w:val="005F50F6"/>
    <w:rsid w:val="005F5214"/>
    <w:rsid w:val="005F597A"/>
    <w:rsid w:val="005F61A6"/>
    <w:rsid w:val="005F7622"/>
    <w:rsid w:val="006000EB"/>
    <w:rsid w:val="00600414"/>
    <w:rsid w:val="0060094A"/>
    <w:rsid w:val="00600BF9"/>
    <w:rsid w:val="00601416"/>
    <w:rsid w:val="006019CC"/>
    <w:rsid w:val="006022EF"/>
    <w:rsid w:val="00604DB2"/>
    <w:rsid w:val="00604DFD"/>
    <w:rsid w:val="00612655"/>
    <w:rsid w:val="00613F69"/>
    <w:rsid w:val="00615402"/>
    <w:rsid w:val="006157F0"/>
    <w:rsid w:val="006175F0"/>
    <w:rsid w:val="0062064D"/>
    <w:rsid w:val="00620EAF"/>
    <w:rsid w:val="00621FB3"/>
    <w:rsid w:val="0062277A"/>
    <w:rsid w:val="006261DA"/>
    <w:rsid w:val="006264CA"/>
    <w:rsid w:val="00626651"/>
    <w:rsid w:val="0062765A"/>
    <w:rsid w:val="00627E8D"/>
    <w:rsid w:val="0063004E"/>
    <w:rsid w:val="00630929"/>
    <w:rsid w:val="00630BA9"/>
    <w:rsid w:val="00630C72"/>
    <w:rsid w:val="00630CA5"/>
    <w:rsid w:val="00630EE3"/>
    <w:rsid w:val="00631125"/>
    <w:rsid w:val="00632BD8"/>
    <w:rsid w:val="00633C7B"/>
    <w:rsid w:val="00635F0C"/>
    <w:rsid w:val="00635FF1"/>
    <w:rsid w:val="006370DD"/>
    <w:rsid w:val="0063746C"/>
    <w:rsid w:val="006406FC"/>
    <w:rsid w:val="006412FB"/>
    <w:rsid w:val="006414C7"/>
    <w:rsid w:val="00643227"/>
    <w:rsid w:val="00644480"/>
    <w:rsid w:val="006452F0"/>
    <w:rsid w:val="006456B1"/>
    <w:rsid w:val="00645A21"/>
    <w:rsid w:val="00645F66"/>
    <w:rsid w:val="00646CD0"/>
    <w:rsid w:val="006500E0"/>
    <w:rsid w:val="00651A0E"/>
    <w:rsid w:val="00652AE0"/>
    <w:rsid w:val="00653E1F"/>
    <w:rsid w:val="00655022"/>
    <w:rsid w:val="00656D97"/>
    <w:rsid w:val="006601C1"/>
    <w:rsid w:val="00660F31"/>
    <w:rsid w:val="00663043"/>
    <w:rsid w:val="00663FBE"/>
    <w:rsid w:val="00665908"/>
    <w:rsid w:val="00667716"/>
    <w:rsid w:val="00667B85"/>
    <w:rsid w:val="00670F25"/>
    <w:rsid w:val="006711F5"/>
    <w:rsid w:val="00673607"/>
    <w:rsid w:val="006736E5"/>
    <w:rsid w:val="006752EF"/>
    <w:rsid w:val="0067542B"/>
    <w:rsid w:val="00675586"/>
    <w:rsid w:val="00680CE3"/>
    <w:rsid w:val="00681728"/>
    <w:rsid w:val="0068226F"/>
    <w:rsid w:val="0068245C"/>
    <w:rsid w:val="00682487"/>
    <w:rsid w:val="00684536"/>
    <w:rsid w:val="006867C6"/>
    <w:rsid w:val="00687196"/>
    <w:rsid w:val="0068787F"/>
    <w:rsid w:val="00690C7F"/>
    <w:rsid w:val="0069113D"/>
    <w:rsid w:val="006937E5"/>
    <w:rsid w:val="006938F2"/>
    <w:rsid w:val="006940AB"/>
    <w:rsid w:val="00696C33"/>
    <w:rsid w:val="0069786C"/>
    <w:rsid w:val="0069788C"/>
    <w:rsid w:val="00697A31"/>
    <w:rsid w:val="00697B40"/>
    <w:rsid w:val="00697E15"/>
    <w:rsid w:val="006A0BF4"/>
    <w:rsid w:val="006A1E93"/>
    <w:rsid w:val="006A339B"/>
    <w:rsid w:val="006A479B"/>
    <w:rsid w:val="006A5B94"/>
    <w:rsid w:val="006A741B"/>
    <w:rsid w:val="006A7780"/>
    <w:rsid w:val="006A7893"/>
    <w:rsid w:val="006B03A4"/>
    <w:rsid w:val="006B05D9"/>
    <w:rsid w:val="006B0DB7"/>
    <w:rsid w:val="006B0E7A"/>
    <w:rsid w:val="006B13D2"/>
    <w:rsid w:val="006B216F"/>
    <w:rsid w:val="006B22B1"/>
    <w:rsid w:val="006B2364"/>
    <w:rsid w:val="006B2653"/>
    <w:rsid w:val="006B3724"/>
    <w:rsid w:val="006B3B40"/>
    <w:rsid w:val="006B3DC9"/>
    <w:rsid w:val="006B5092"/>
    <w:rsid w:val="006B58F9"/>
    <w:rsid w:val="006B7B11"/>
    <w:rsid w:val="006B7D89"/>
    <w:rsid w:val="006C00A3"/>
    <w:rsid w:val="006C021C"/>
    <w:rsid w:val="006C0585"/>
    <w:rsid w:val="006C0DD0"/>
    <w:rsid w:val="006C1423"/>
    <w:rsid w:val="006C14A2"/>
    <w:rsid w:val="006C3440"/>
    <w:rsid w:val="006C4795"/>
    <w:rsid w:val="006C58B8"/>
    <w:rsid w:val="006C6747"/>
    <w:rsid w:val="006C6A7E"/>
    <w:rsid w:val="006C718A"/>
    <w:rsid w:val="006C7278"/>
    <w:rsid w:val="006D0B40"/>
    <w:rsid w:val="006D0D74"/>
    <w:rsid w:val="006D1AF2"/>
    <w:rsid w:val="006D3BEF"/>
    <w:rsid w:val="006D4F67"/>
    <w:rsid w:val="006D62AC"/>
    <w:rsid w:val="006D6EE6"/>
    <w:rsid w:val="006D7759"/>
    <w:rsid w:val="006E1345"/>
    <w:rsid w:val="006E1BA5"/>
    <w:rsid w:val="006E2911"/>
    <w:rsid w:val="006E374E"/>
    <w:rsid w:val="006E43D7"/>
    <w:rsid w:val="006E4D43"/>
    <w:rsid w:val="006F00F9"/>
    <w:rsid w:val="006F0920"/>
    <w:rsid w:val="006F0DAA"/>
    <w:rsid w:val="006F14B2"/>
    <w:rsid w:val="006F1C11"/>
    <w:rsid w:val="006F1FAC"/>
    <w:rsid w:val="006F4DF1"/>
    <w:rsid w:val="006F52F4"/>
    <w:rsid w:val="006F5585"/>
    <w:rsid w:val="006F70CC"/>
    <w:rsid w:val="006F71CB"/>
    <w:rsid w:val="006F7D7B"/>
    <w:rsid w:val="0070003E"/>
    <w:rsid w:val="00700A8C"/>
    <w:rsid w:val="007037F2"/>
    <w:rsid w:val="00704F2D"/>
    <w:rsid w:val="007062D1"/>
    <w:rsid w:val="0070636D"/>
    <w:rsid w:val="00706FC1"/>
    <w:rsid w:val="00707011"/>
    <w:rsid w:val="0070730A"/>
    <w:rsid w:val="007077CD"/>
    <w:rsid w:val="0071026A"/>
    <w:rsid w:val="00710FB8"/>
    <w:rsid w:val="007114DE"/>
    <w:rsid w:val="00712D70"/>
    <w:rsid w:val="00713412"/>
    <w:rsid w:val="00714E62"/>
    <w:rsid w:val="00714FED"/>
    <w:rsid w:val="007150C8"/>
    <w:rsid w:val="00716AA7"/>
    <w:rsid w:val="007211AC"/>
    <w:rsid w:val="00721E27"/>
    <w:rsid w:val="00722834"/>
    <w:rsid w:val="00722DCB"/>
    <w:rsid w:val="007251D7"/>
    <w:rsid w:val="00725793"/>
    <w:rsid w:val="00725C87"/>
    <w:rsid w:val="00730368"/>
    <w:rsid w:val="007304A5"/>
    <w:rsid w:val="007324B7"/>
    <w:rsid w:val="00732DC9"/>
    <w:rsid w:val="007332C3"/>
    <w:rsid w:val="0073374F"/>
    <w:rsid w:val="00733CB2"/>
    <w:rsid w:val="0073461D"/>
    <w:rsid w:val="00734C60"/>
    <w:rsid w:val="00734D1E"/>
    <w:rsid w:val="0073586C"/>
    <w:rsid w:val="00735CC2"/>
    <w:rsid w:val="00736C1C"/>
    <w:rsid w:val="007371C6"/>
    <w:rsid w:val="00737680"/>
    <w:rsid w:val="00740557"/>
    <w:rsid w:val="0074156E"/>
    <w:rsid w:val="007418FD"/>
    <w:rsid w:val="00742E86"/>
    <w:rsid w:val="0074344D"/>
    <w:rsid w:val="00743547"/>
    <w:rsid w:val="00743E49"/>
    <w:rsid w:val="00744240"/>
    <w:rsid w:val="00745935"/>
    <w:rsid w:val="00745AA7"/>
    <w:rsid w:val="007510E4"/>
    <w:rsid w:val="00751415"/>
    <w:rsid w:val="007525D1"/>
    <w:rsid w:val="00753237"/>
    <w:rsid w:val="00753FE8"/>
    <w:rsid w:val="007540C4"/>
    <w:rsid w:val="007542B8"/>
    <w:rsid w:val="00755B8E"/>
    <w:rsid w:val="00756F09"/>
    <w:rsid w:val="00757931"/>
    <w:rsid w:val="00760271"/>
    <w:rsid w:val="00760D38"/>
    <w:rsid w:val="0076186B"/>
    <w:rsid w:val="0076211C"/>
    <w:rsid w:val="00762991"/>
    <w:rsid w:val="00763DCA"/>
    <w:rsid w:val="00765495"/>
    <w:rsid w:val="00765A74"/>
    <w:rsid w:val="00767A95"/>
    <w:rsid w:val="00770033"/>
    <w:rsid w:val="0077076D"/>
    <w:rsid w:val="0077135B"/>
    <w:rsid w:val="007716AB"/>
    <w:rsid w:val="00771785"/>
    <w:rsid w:val="00773447"/>
    <w:rsid w:val="0077459C"/>
    <w:rsid w:val="0077462E"/>
    <w:rsid w:val="007763DF"/>
    <w:rsid w:val="0078121C"/>
    <w:rsid w:val="007829B4"/>
    <w:rsid w:val="00785F44"/>
    <w:rsid w:val="00787201"/>
    <w:rsid w:val="007924C7"/>
    <w:rsid w:val="00792BE9"/>
    <w:rsid w:val="00793EF5"/>
    <w:rsid w:val="0079484B"/>
    <w:rsid w:val="007952CD"/>
    <w:rsid w:val="007956F2"/>
    <w:rsid w:val="0079581E"/>
    <w:rsid w:val="00795B2D"/>
    <w:rsid w:val="007961EC"/>
    <w:rsid w:val="00796B0D"/>
    <w:rsid w:val="007976D1"/>
    <w:rsid w:val="007A070B"/>
    <w:rsid w:val="007A164B"/>
    <w:rsid w:val="007A188C"/>
    <w:rsid w:val="007A1CA4"/>
    <w:rsid w:val="007A2633"/>
    <w:rsid w:val="007A3A90"/>
    <w:rsid w:val="007A3FF8"/>
    <w:rsid w:val="007A4574"/>
    <w:rsid w:val="007A47DD"/>
    <w:rsid w:val="007B066B"/>
    <w:rsid w:val="007B08E0"/>
    <w:rsid w:val="007B0EF8"/>
    <w:rsid w:val="007B2348"/>
    <w:rsid w:val="007B2C99"/>
    <w:rsid w:val="007B31ED"/>
    <w:rsid w:val="007B320D"/>
    <w:rsid w:val="007B35ED"/>
    <w:rsid w:val="007B52D3"/>
    <w:rsid w:val="007B53E2"/>
    <w:rsid w:val="007C1979"/>
    <w:rsid w:val="007C2236"/>
    <w:rsid w:val="007C33E5"/>
    <w:rsid w:val="007C4704"/>
    <w:rsid w:val="007C4A1D"/>
    <w:rsid w:val="007C55DC"/>
    <w:rsid w:val="007C5720"/>
    <w:rsid w:val="007C5FFD"/>
    <w:rsid w:val="007C60F4"/>
    <w:rsid w:val="007C63FF"/>
    <w:rsid w:val="007C6A01"/>
    <w:rsid w:val="007C73EE"/>
    <w:rsid w:val="007C7B2C"/>
    <w:rsid w:val="007D1903"/>
    <w:rsid w:val="007D1AB6"/>
    <w:rsid w:val="007D3349"/>
    <w:rsid w:val="007D6338"/>
    <w:rsid w:val="007D6E5A"/>
    <w:rsid w:val="007D712C"/>
    <w:rsid w:val="007D7B1C"/>
    <w:rsid w:val="007E0EB1"/>
    <w:rsid w:val="007E1ECD"/>
    <w:rsid w:val="007E25ED"/>
    <w:rsid w:val="007E338A"/>
    <w:rsid w:val="007E37D8"/>
    <w:rsid w:val="007E4B91"/>
    <w:rsid w:val="007E5ED0"/>
    <w:rsid w:val="007E6BAF"/>
    <w:rsid w:val="007E6F46"/>
    <w:rsid w:val="007E7A79"/>
    <w:rsid w:val="007F0255"/>
    <w:rsid w:val="007F266B"/>
    <w:rsid w:val="007F2851"/>
    <w:rsid w:val="007F32D2"/>
    <w:rsid w:val="007F3A85"/>
    <w:rsid w:val="007F3B0F"/>
    <w:rsid w:val="007F3F04"/>
    <w:rsid w:val="007F3F77"/>
    <w:rsid w:val="007F4B9C"/>
    <w:rsid w:val="007F6CDE"/>
    <w:rsid w:val="007F76A3"/>
    <w:rsid w:val="0080141A"/>
    <w:rsid w:val="00801893"/>
    <w:rsid w:val="0080190B"/>
    <w:rsid w:val="00801A2D"/>
    <w:rsid w:val="00802E72"/>
    <w:rsid w:val="00802EEB"/>
    <w:rsid w:val="0080394F"/>
    <w:rsid w:val="00803A0D"/>
    <w:rsid w:val="00805A12"/>
    <w:rsid w:val="00806586"/>
    <w:rsid w:val="00806A3F"/>
    <w:rsid w:val="00806E31"/>
    <w:rsid w:val="0081149F"/>
    <w:rsid w:val="008117A9"/>
    <w:rsid w:val="00812356"/>
    <w:rsid w:val="00814343"/>
    <w:rsid w:val="00814B76"/>
    <w:rsid w:val="008153B8"/>
    <w:rsid w:val="008164DF"/>
    <w:rsid w:val="008174BD"/>
    <w:rsid w:val="008174FC"/>
    <w:rsid w:val="00821E94"/>
    <w:rsid w:val="0082243A"/>
    <w:rsid w:val="008226FE"/>
    <w:rsid w:val="0082349F"/>
    <w:rsid w:val="00823607"/>
    <w:rsid w:val="00823FB5"/>
    <w:rsid w:val="00824494"/>
    <w:rsid w:val="00824F68"/>
    <w:rsid w:val="008251B3"/>
    <w:rsid w:val="00825D56"/>
    <w:rsid w:val="00826BCC"/>
    <w:rsid w:val="008302D8"/>
    <w:rsid w:val="0083073B"/>
    <w:rsid w:val="008315CD"/>
    <w:rsid w:val="0083205F"/>
    <w:rsid w:val="00832B8A"/>
    <w:rsid w:val="00832DE6"/>
    <w:rsid w:val="00833EB4"/>
    <w:rsid w:val="00834154"/>
    <w:rsid w:val="00836362"/>
    <w:rsid w:val="00837068"/>
    <w:rsid w:val="008374E2"/>
    <w:rsid w:val="00837B1B"/>
    <w:rsid w:val="00840F38"/>
    <w:rsid w:val="008411B5"/>
    <w:rsid w:val="0084200F"/>
    <w:rsid w:val="0084285B"/>
    <w:rsid w:val="00842CB4"/>
    <w:rsid w:val="00842FAA"/>
    <w:rsid w:val="00845918"/>
    <w:rsid w:val="0084687B"/>
    <w:rsid w:val="00847723"/>
    <w:rsid w:val="00847DBC"/>
    <w:rsid w:val="00850426"/>
    <w:rsid w:val="008512E9"/>
    <w:rsid w:val="00851629"/>
    <w:rsid w:val="00851BA4"/>
    <w:rsid w:val="00853633"/>
    <w:rsid w:val="008544CE"/>
    <w:rsid w:val="00854DC7"/>
    <w:rsid w:val="008556AF"/>
    <w:rsid w:val="00855D32"/>
    <w:rsid w:val="00860BA1"/>
    <w:rsid w:val="00861FC7"/>
    <w:rsid w:val="008647C0"/>
    <w:rsid w:val="00864B86"/>
    <w:rsid w:val="00864C6B"/>
    <w:rsid w:val="00865111"/>
    <w:rsid w:val="0086585B"/>
    <w:rsid w:val="008672F7"/>
    <w:rsid w:val="00867381"/>
    <w:rsid w:val="00867932"/>
    <w:rsid w:val="00867A8F"/>
    <w:rsid w:val="008707A5"/>
    <w:rsid w:val="008726DB"/>
    <w:rsid w:val="00872DC3"/>
    <w:rsid w:val="00872FE7"/>
    <w:rsid w:val="008735CA"/>
    <w:rsid w:val="00873E8F"/>
    <w:rsid w:val="008746F2"/>
    <w:rsid w:val="00874BAF"/>
    <w:rsid w:val="008770AD"/>
    <w:rsid w:val="008828CA"/>
    <w:rsid w:val="008861E6"/>
    <w:rsid w:val="00890813"/>
    <w:rsid w:val="008932A1"/>
    <w:rsid w:val="008940F0"/>
    <w:rsid w:val="0089468D"/>
    <w:rsid w:val="00894E53"/>
    <w:rsid w:val="00895795"/>
    <w:rsid w:val="0089600C"/>
    <w:rsid w:val="00896D49"/>
    <w:rsid w:val="008A0AA4"/>
    <w:rsid w:val="008A1A0E"/>
    <w:rsid w:val="008A206E"/>
    <w:rsid w:val="008A20AE"/>
    <w:rsid w:val="008A2648"/>
    <w:rsid w:val="008A53C5"/>
    <w:rsid w:val="008A5AC4"/>
    <w:rsid w:val="008A5D5D"/>
    <w:rsid w:val="008A615C"/>
    <w:rsid w:val="008A701F"/>
    <w:rsid w:val="008A7312"/>
    <w:rsid w:val="008B0133"/>
    <w:rsid w:val="008B059D"/>
    <w:rsid w:val="008B0C01"/>
    <w:rsid w:val="008B0FB6"/>
    <w:rsid w:val="008B13AC"/>
    <w:rsid w:val="008B153D"/>
    <w:rsid w:val="008B2B1C"/>
    <w:rsid w:val="008B41F0"/>
    <w:rsid w:val="008B5292"/>
    <w:rsid w:val="008B652B"/>
    <w:rsid w:val="008B6C59"/>
    <w:rsid w:val="008B72A5"/>
    <w:rsid w:val="008B743A"/>
    <w:rsid w:val="008C02D5"/>
    <w:rsid w:val="008C2AF7"/>
    <w:rsid w:val="008C5BBF"/>
    <w:rsid w:val="008C601D"/>
    <w:rsid w:val="008C65B8"/>
    <w:rsid w:val="008D2510"/>
    <w:rsid w:val="008D2AF7"/>
    <w:rsid w:val="008D3563"/>
    <w:rsid w:val="008D35C8"/>
    <w:rsid w:val="008D394B"/>
    <w:rsid w:val="008D45FA"/>
    <w:rsid w:val="008D55DC"/>
    <w:rsid w:val="008D60D8"/>
    <w:rsid w:val="008D6A9B"/>
    <w:rsid w:val="008D7555"/>
    <w:rsid w:val="008D76B8"/>
    <w:rsid w:val="008E1943"/>
    <w:rsid w:val="008E41A8"/>
    <w:rsid w:val="008E443F"/>
    <w:rsid w:val="008E72B8"/>
    <w:rsid w:val="008E7BA9"/>
    <w:rsid w:val="008E7C50"/>
    <w:rsid w:val="008F020E"/>
    <w:rsid w:val="008F09D6"/>
    <w:rsid w:val="008F1C12"/>
    <w:rsid w:val="008F41B1"/>
    <w:rsid w:val="008F4E75"/>
    <w:rsid w:val="008F53DD"/>
    <w:rsid w:val="008F6E7F"/>
    <w:rsid w:val="00900C3E"/>
    <w:rsid w:val="00904363"/>
    <w:rsid w:val="009050E0"/>
    <w:rsid w:val="00905653"/>
    <w:rsid w:val="009058FC"/>
    <w:rsid w:val="009063EA"/>
    <w:rsid w:val="00907317"/>
    <w:rsid w:val="00907AD0"/>
    <w:rsid w:val="00910597"/>
    <w:rsid w:val="00910A0D"/>
    <w:rsid w:val="00911701"/>
    <w:rsid w:val="00913736"/>
    <w:rsid w:val="00913936"/>
    <w:rsid w:val="00914526"/>
    <w:rsid w:val="00914EF4"/>
    <w:rsid w:val="00915211"/>
    <w:rsid w:val="00915764"/>
    <w:rsid w:val="009166FD"/>
    <w:rsid w:val="0092014B"/>
    <w:rsid w:val="009207A4"/>
    <w:rsid w:val="00922821"/>
    <w:rsid w:val="0092310A"/>
    <w:rsid w:val="009233C9"/>
    <w:rsid w:val="00923561"/>
    <w:rsid w:val="009238B3"/>
    <w:rsid w:val="00923EAB"/>
    <w:rsid w:val="009247C1"/>
    <w:rsid w:val="0092620E"/>
    <w:rsid w:val="00926230"/>
    <w:rsid w:val="009275DF"/>
    <w:rsid w:val="0092765F"/>
    <w:rsid w:val="00933D4A"/>
    <w:rsid w:val="0093420D"/>
    <w:rsid w:val="00934692"/>
    <w:rsid w:val="00936341"/>
    <w:rsid w:val="0093753F"/>
    <w:rsid w:val="00937ED1"/>
    <w:rsid w:val="00937F7A"/>
    <w:rsid w:val="0094291A"/>
    <w:rsid w:val="00942EF8"/>
    <w:rsid w:val="00944404"/>
    <w:rsid w:val="00945DAE"/>
    <w:rsid w:val="009467D5"/>
    <w:rsid w:val="009470E9"/>
    <w:rsid w:val="0095033A"/>
    <w:rsid w:val="00950A70"/>
    <w:rsid w:val="00952C01"/>
    <w:rsid w:val="0095386A"/>
    <w:rsid w:val="00953BAA"/>
    <w:rsid w:val="00954081"/>
    <w:rsid w:val="009547CB"/>
    <w:rsid w:val="00954D7B"/>
    <w:rsid w:val="00956D9E"/>
    <w:rsid w:val="00957138"/>
    <w:rsid w:val="00957EF5"/>
    <w:rsid w:val="009608EA"/>
    <w:rsid w:val="009609AF"/>
    <w:rsid w:val="00962300"/>
    <w:rsid w:val="00963866"/>
    <w:rsid w:val="00963A09"/>
    <w:rsid w:val="00964435"/>
    <w:rsid w:val="00964991"/>
    <w:rsid w:val="00966310"/>
    <w:rsid w:val="00966519"/>
    <w:rsid w:val="00970586"/>
    <w:rsid w:val="009708A2"/>
    <w:rsid w:val="009710F0"/>
    <w:rsid w:val="00972434"/>
    <w:rsid w:val="009748D5"/>
    <w:rsid w:val="00975315"/>
    <w:rsid w:val="0097589A"/>
    <w:rsid w:val="00980BC8"/>
    <w:rsid w:val="0098181A"/>
    <w:rsid w:val="0098293C"/>
    <w:rsid w:val="00986C51"/>
    <w:rsid w:val="00987016"/>
    <w:rsid w:val="009876A0"/>
    <w:rsid w:val="00992119"/>
    <w:rsid w:val="009926BE"/>
    <w:rsid w:val="00993FC5"/>
    <w:rsid w:val="00994E63"/>
    <w:rsid w:val="00996676"/>
    <w:rsid w:val="009966F0"/>
    <w:rsid w:val="00996C4F"/>
    <w:rsid w:val="009A1229"/>
    <w:rsid w:val="009A1621"/>
    <w:rsid w:val="009A186A"/>
    <w:rsid w:val="009A1908"/>
    <w:rsid w:val="009A2108"/>
    <w:rsid w:val="009A2273"/>
    <w:rsid w:val="009A25C6"/>
    <w:rsid w:val="009A3B93"/>
    <w:rsid w:val="009A4035"/>
    <w:rsid w:val="009A4C5C"/>
    <w:rsid w:val="009A5783"/>
    <w:rsid w:val="009A7D47"/>
    <w:rsid w:val="009A7F55"/>
    <w:rsid w:val="009B2654"/>
    <w:rsid w:val="009B40C5"/>
    <w:rsid w:val="009B49B5"/>
    <w:rsid w:val="009B55C5"/>
    <w:rsid w:val="009B586F"/>
    <w:rsid w:val="009B7E82"/>
    <w:rsid w:val="009C09F2"/>
    <w:rsid w:val="009C0D7D"/>
    <w:rsid w:val="009C1455"/>
    <w:rsid w:val="009C3878"/>
    <w:rsid w:val="009C514F"/>
    <w:rsid w:val="009C7135"/>
    <w:rsid w:val="009D0558"/>
    <w:rsid w:val="009D1157"/>
    <w:rsid w:val="009D1B09"/>
    <w:rsid w:val="009D20F7"/>
    <w:rsid w:val="009D3AF2"/>
    <w:rsid w:val="009D3EAA"/>
    <w:rsid w:val="009D47A8"/>
    <w:rsid w:val="009D52DC"/>
    <w:rsid w:val="009D5EA4"/>
    <w:rsid w:val="009D7BDF"/>
    <w:rsid w:val="009D7FBF"/>
    <w:rsid w:val="009E05D1"/>
    <w:rsid w:val="009E0748"/>
    <w:rsid w:val="009E0A1C"/>
    <w:rsid w:val="009E0B86"/>
    <w:rsid w:val="009E1586"/>
    <w:rsid w:val="009E2422"/>
    <w:rsid w:val="009E3A11"/>
    <w:rsid w:val="009E3D2C"/>
    <w:rsid w:val="009E3E54"/>
    <w:rsid w:val="009E5520"/>
    <w:rsid w:val="009E7A40"/>
    <w:rsid w:val="009F2365"/>
    <w:rsid w:val="009F551A"/>
    <w:rsid w:val="009F6BD6"/>
    <w:rsid w:val="009F701F"/>
    <w:rsid w:val="009F776A"/>
    <w:rsid w:val="00A00C3C"/>
    <w:rsid w:val="00A00E4E"/>
    <w:rsid w:val="00A01777"/>
    <w:rsid w:val="00A01CCC"/>
    <w:rsid w:val="00A02CB4"/>
    <w:rsid w:val="00A045BA"/>
    <w:rsid w:val="00A0626F"/>
    <w:rsid w:val="00A06635"/>
    <w:rsid w:val="00A06D29"/>
    <w:rsid w:val="00A0751D"/>
    <w:rsid w:val="00A15007"/>
    <w:rsid w:val="00A151FF"/>
    <w:rsid w:val="00A1597C"/>
    <w:rsid w:val="00A16FF7"/>
    <w:rsid w:val="00A1780F"/>
    <w:rsid w:val="00A20233"/>
    <w:rsid w:val="00A20357"/>
    <w:rsid w:val="00A20394"/>
    <w:rsid w:val="00A2180A"/>
    <w:rsid w:val="00A21CCA"/>
    <w:rsid w:val="00A21E2A"/>
    <w:rsid w:val="00A227B4"/>
    <w:rsid w:val="00A2334A"/>
    <w:rsid w:val="00A233A9"/>
    <w:rsid w:val="00A23617"/>
    <w:rsid w:val="00A23D6B"/>
    <w:rsid w:val="00A24C52"/>
    <w:rsid w:val="00A24D22"/>
    <w:rsid w:val="00A276C2"/>
    <w:rsid w:val="00A27902"/>
    <w:rsid w:val="00A30016"/>
    <w:rsid w:val="00A326BD"/>
    <w:rsid w:val="00A326F2"/>
    <w:rsid w:val="00A32983"/>
    <w:rsid w:val="00A332EB"/>
    <w:rsid w:val="00A3476C"/>
    <w:rsid w:val="00A34DF5"/>
    <w:rsid w:val="00A36DB4"/>
    <w:rsid w:val="00A373A4"/>
    <w:rsid w:val="00A3763A"/>
    <w:rsid w:val="00A37983"/>
    <w:rsid w:val="00A37A1E"/>
    <w:rsid w:val="00A37FCB"/>
    <w:rsid w:val="00A4000B"/>
    <w:rsid w:val="00A401EB"/>
    <w:rsid w:val="00A40F2F"/>
    <w:rsid w:val="00A424A9"/>
    <w:rsid w:val="00A42BFB"/>
    <w:rsid w:val="00A440DC"/>
    <w:rsid w:val="00A441DE"/>
    <w:rsid w:val="00A4592A"/>
    <w:rsid w:val="00A466CA"/>
    <w:rsid w:val="00A46C5F"/>
    <w:rsid w:val="00A47501"/>
    <w:rsid w:val="00A51219"/>
    <w:rsid w:val="00A52011"/>
    <w:rsid w:val="00A5216B"/>
    <w:rsid w:val="00A524F6"/>
    <w:rsid w:val="00A5389C"/>
    <w:rsid w:val="00A53EAC"/>
    <w:rsid w:val="00A544B6"/>
    <w:rsid w:val="00A549E7"/>
    <w:rsid w:val="00A54A8F"/>
    <w:rsid w:val="00A55D2C"/>
    <w:rsid w:val="00A55D5A"/>
    <w:rsid w:val="00A55DB6"/>
    <w:rsid w:val="00A56DDB"/>
    <w:rsid w:val="00A57069"/>
    <w:rsid w:val="00A575F3"/>
    <w:rsid w:val="00A6029F"/>
    <w:rsid w:val="00A62516"/>
    <w:rsid w:val="00A63AE7"/>
    <w:rsid w:val="00A6510F"/>
    <w:rsid w:val="00A652C0"/>
    <w:rsid w:val="00A6540E"/>
    <w:rsid w:val="00A65E40"/>
    <w:rsid w:val="00A668A9"/>
    <w:rsid w:val="00A66AB8"/>
    <w:rsid w:val="00A66C04"/>
    <w:rsid w:val="00A66FD7"/>
    <w:rsid w:val="00A7053B"/>
    <w:rsid w:val="00A714A9"/>
    <w:rsid w:val="00A71F2D"/>
    <w:rsid w:val="00A72CD6"/>
    <w:rsid w:val="00A74517"/>
    <w:rsid w:val="00A74E33"/>
    <w:rsid w:val="00A75476"/>
    <w:rsid w:val="00A758FF"/>
    <w:rsid w:val="00A7634F"/>
    <w:rsid w:val="00A77D60"/>
    <w:rsid w:val="00A8025E"/>
    <w:rsid w:val="00A8058A"/>
    <w:rsid w:val="00A81019"/>
    <w:rsid w:val="00A827C3"/>
    <w:rsid w:val="00A835A2"/>
    <w:rsid w:val="00A84C2D"/>
    <w:rsid w:val="00A85704"/>
    <w:rsid w:val="00A85D2F"/>
    <w:rsid w:val="00A87AEE"/>
    <w:rsid w:val="00A87F29"/>
    <w:rsid w:val="00A9021E"/>
    <w:rsid w:val="00A9034C"/>
    <w:rsid w:val="00A91AA4"/>
    <w:rsid w:val="00A924C8"/>
    <w:rsid w:val="00A941D6"/>
    <w:rsid w:val="00A94256"/>
    <w:rsid w:val="00A9435E"/>
    <w:rsid w:val="00A94775"/>
    <w:rsid w:val="00A9489C"/>
    <w:rsid w:val="00A948B6"/>
    <w:rsid w:val="00A94B34"/>
    <w:rsid w:val="00A971ED"/>
    <w:rsid w:val="00A97D6F"/>
    <w:rsid w:val="00AA01D7"/>
    <w:rsid w:val="00AA158B"/>
    <w:rsid w:val="00AA3870"/>
    <w:rsid w:val="00AA5157"/>
    <w:rsid w:val="00AA5755"/>
    <w:rsid w:val="00AA5DCD"/>
    <w:rsid w:val="00AA6EC7"/>
    <w:rsid w:val="00AA7D36"/>
    <w:rsid w:val="00AA7EF6"/>
    <w:rsid w:val="00AB0B01"/>
    <w:rsid w:val="00AB1C4F"/>
    <w:rsid w:val="00AB2354"/>
    <w:rsid w:val="00AB267B"/>
    <w:rsid w:val="00AB3FB6"/>
    <w:rsid w:val="00AB768E"/>
    <w:rsid w:val="00AB78C5"/>
    <w:rsid w:val="00AC2666"/>
    <w:rsid w:val="00AC3C8E"/>
    <w:rsid w:val="00AC4099"/>
    <w:rsid w:val="00AC6D21"/>
    <w:rsid w:val="00AC70A4"/>
    <w:rsid w:val="00AC7136"/>
    <w:rsid w:val="00AD0FA0"/>
    <w:rsid w:val="00AD18D6"/>
    <w:rsid w:val="00AD2132"/>
    <w:rsid w:val="00AD2440"/>
    <w:rsid w:val="00AD2870"/>
    <w:rsid w:val="00AD3612"/>
    <w:rsid w:val="00AD3905"/>
    <w:rsid w:val="00AD3A84"/>
    <w:rsid w:val="00AD4C56"/>
    <w:rsid w:val="00AD53CE"/>
    <w:rsid w:val="00AD67A8"/>
    <w:rsid w:val="00AD6AC1"/>
    <w:rsid w:val="00AD70B5"/>
    <w:rsid w:val="00AD78DF"/>
    <w:rsid w:val="00AE04A0"/>
    <w:rsid w:val="00AE09B9"/>
    <w:rsid w:val="00AE0A95"/>
    <w:rsid w:val="00AE0D95"/>
    <w:rsid w:val="00AE135F"/>
    <w:rsid w:val="00AE1C9F"/>
    <w:rsid w:val="00AE29EA"/>
    <w:rsid w:val="00AE2C03"/>
    <w:rsid w:val="00AE2FCA"/>
    <w:rsid w:val="00AE3790"/>
    <w:rsid w:val="00AE4F3F"/>
    <w:rsid w:val="00AE542B"/>
    <w:rsid w:val="00AE6249"/>
    <w:rsid w:val="00AE634C"/>
    <w:rsid w:val="00AE656C"/>
    <w:rsid w:val="00AF06E0"/>
    <w:rsid w:val="00AF2E14"/>
    <w:rsid w:val="00AF2F77"/>
    <w:rsid w:val="00AF3131"/>
    <w:rsid w:val="00AF3958"/>
    <w:rsid w:val="00AF4217"/>
    <w:rsid w:val="00AF59FB"/>
    <w:rsid w:val="00AF606F"/>
    <w:rsid w:val="00AF77BD"/>
    <w:rsid w:val="00B0222C"/>
    <w:rsid w:val="00B0255E"/>
    <w:rsid w:val="00B025DE"/>
    <w:rsid w:val="00B02C8A"/>
    <w:rsid w:val="00B02CFE"/>
    <w:rsid w:val="00B051D3"/>
    <w:rsid w:val="00B1010A"/>
    <w:rsid w:val="00B11CB8"/>
    <w:rsid w:val="00B12C2E"/>
    <w:rsid w:val="00B141BA"/>
    <w:rsid w:val="00B1528F"/>
    <w:rsid w:val="00B156B4"/>
    <w:rsid w:val="00B156C8"/>
    <w:rsid w:val="00B17587"/>
    <w:rsid w:val="00B200F2"/>
    <w:rsid w:val="00B206B3"/>
    <w:rsid w:val="00B206B6"/>
    <w:rsid w:val="00B20A5E"/>
    <w:rsid w:val="00B20AF8"/>
    <w:rsid w:val="00B20EEE"/>
    <w:rsid w:val="00B233FE"/>
    <w:rsid w:val="00B23D97"/>
    <w:rsid w:val="00B24268"/>
    <w:rsid w:val="00B2569F"/>
    <w:rsid w:val="00B27874"/>
    <w:rsid w:val="00B304D6"/>
    <w:rsid w:val="00B30E38"/>
    <w:rsid w:val="00B32202"/>
    <w:rsid w:val="00B32A92"/>
    <w:rsid w:val="00B33BF9"/>
    <w:rsid w:val="00B3454E"/>
    <w:rsid w:val="00B34B9C"/>
    <w:rsid w:val="00B34C7B"/>
    <w:rsid w:val="00B36418"/>
    <w:rsid w:val="00B365FE"/>
    <w:rsid w:val="00B36D34"/>
    <w:rsid w:val="00B3796F"/>
    <w:rsid w:val="00B4024B"/>
    <w:rsid w:val="00B40B5D"/>
    <w:rsid w:val="00B41054"/>
    <w:rsid w:val="00B41246"/>
    <w:rsid w:val="00B4174B"/>
    <w:rsid w:val="00B41C52"/>
    <w:rsid w:val="00B43103"/>
    <w:rsid w:val="00B43C57"/>
    <w:rsid w:val="00B4515E"/>
    <w:rsid w:val="00B4791D"/>
    <w:rsid w:val="00B503A9"/>
    <w:rsid w:val="00B506E7"/>
    <w:rsid w:val="00B525DF"/>
    <w:rsid w:val="00B52899"/>
    <w:rsid w:val="00B53384"/>
    <w:rsid w:val="00B53478"/>
    <w:rsid w:val="00B538E4"/>
    <w:rsid w:val="00B54181"/>
    <w:rsid w:val="00B54914"/>
    <w:rsid w:val="00B55DB0"/>
    <w:rsid w:val="00B60C03"/>
    <w:rsid w:val="00B622F2"/>
    <w:rsid w:val="00B641E4"/>
    <w:rsid w:val="00B650C1"/>
    <w:rsid w:val="00B65101"/>
    <w:rsid w:val="00B65FDE"/>
    <w:rsid w:val="00B67502"/>
    <w:rsid w:val="00B6768F"/>
    <w:rsid w:val="00B7141A"/>
    <w:rsid w:val="00B72148"/>
    <w:rsid w:val="00B73791"/>
    <w:rsid w:val="00B744F4"/>
    <w:rsid w:val="00B751EA"/>
    <w:rsid w:val="00B75D70"/>
    <w:rsid w:val="00B75F42"/>
    <w:rsid w:val="00B7706C"/>
    <w:rsid w:val="00B82629"/>
    <w:rsid w:val="00B82CE4"/>
    <w:rsid w:val="00B832EC"/>
    <w:rsid w:val="00B840B0"/>
    <w:rsid w:val="00B84F32"/>
    <w:rsid w:val="00B85305"/>
    <w:rsid w:val="00B85380"/>
    <w:rsid w:val="00B87E6F"/>
    <w:rsid w:val="00B909C1"/>
    <w:rsid w:val="00B91793"/>
    <w:rsid w:val="00B966CD"/>
    <w:rsid w:val="00BA0E8E"/>
    <w:rsid w:val="00BA0EDB"/>
    <w:rsid w:val="00BA11D9"/>
    <w:rsid w:val="00BA1DE2"/>
    <w:rsid w:val="00BA1FFB"/>
    <w:rsid w:val="00BA29DB"/>
    <w:rsid w:val="00BA2E69"/>
    <w:rsid w:val="00BA34B9"/>
    <w:rsid w:val="00BA3CD5"/>
    <w:rsid w:val="00BA4D79"/>
    <w:rsid w:val="00BA597D"/>
    <w:rsid w:val="00BA5B93"/>
    <w:rsid w:val="00BA6D09"/>
    <w:rsid w:val="00BA7703"/>
    <w:rsid w:val="00BA7758"/>
    <w:rsid w:val="00BB03FF"/>
    <w:rsid w:val="00BB0D9A"/>
    <w:rsid w:val="00BB0FE1"/>
    <w:rsid w:val="00BB131F"/>
    <w:rsid w:val="00BB1878"/>
    <w:rsid w:val="00BB19F3"/>
    <w:rsid w:val="00BB25AA"/>
    <w:rsid w:val="00BB3660"/>
    <w:rsid w:val="00BB3819"/>
    <w:rsid w:val="00BB3BAD"/>
    <w:rsid w:val="00BB51EB"/>
    <w:rsid w:val="00BB71A0"/>
    <w:rsid w:val="00BB7DF9"/>
    <w:rsid w:val="00BC0913"/>
    <w:rsid w:val="00BC160B"/>
    <w:rsid w:val="00BC1615"/>
    <w:rsid w:val="00BC1C16"/>
    <w:rsid w:val="00BC22AA"/>
    <w:rsid w:val="00BC3B25"/>
    <w:rsid w:val="00BC3D92"/>
    <w:rsid w:val="00BC494D"/>
    <w:rsid w:val="00BC4A6D"/>
    <w:rsid w:val="00BC4F57"/>
    <w:rsid w:val="00BC6287"/>
    <w:rsid w:val="00BC674C"/>
    <w:rsid w:val="00BC6BD6"/>
    <w:rsid w:val="00BC6E8B"/>
    <w:rsid w:val="00BC7545"/>
    <w:rsid w:val="00BD0059"/>
    <w:rsid w:val="00BD0D17"/>
    <w:rsid w:val="00BD1385"/>
    <w:rsid w:val="00BD175F"/>
    <w:rsid w:val="00BD1B5A"/>
    <w:rsid w:val="00BD2931"/>
    <w:rsid w:val="00BD2989"/>
    <w:rsid w:val="00BD339E"/>
    <w:rsid w:val="00BD33FE"/>
    <w:rsid w:val="00BD3CDD"/>
    <w:rsid w:val="00BD40E9"/>
    <w:rsid w:val="00BD4B16"/>
    <w:rsid w:val="00BD5AD6"/>
    <w:rsid w:val="00BD5EF8"/>
    <w:rsid w:val="00BD7865"/>
    <w:rsid w:val="00BE08F2"/>
    <w:rsid w:val="00BE0BF8"/>
    <w:rsid w:val="00BE1688"/>
    <w:rsid w:val="00BE1C6F"/>
    <w:rsid w:val="00BE24B1"/>
    <w:rsid w:val="00BE33AC"/>
    <w:rsid w:val="00BE4241"/>
    <w:rsid w:val="00BE4A04"/>
    <w:rsid w:val="00BE5EC8"/>
    <w:rsid w:val="00BE6426"/>
    <w:rsid w:val="00BE64CB"/>
    <w:rsid w:val="00BF0DE9"/>
    <w:rsid w:val="00BF11BC"/>
    <w:rsid w:val="00BF14E8"/>
    <w:rsid w:val="00BF1DA3"/>
    <w:rsid w:val="00BF3C19"/>
    <w:rsid w:val="00BF3C62"/>
    <w:rsid w:val="00BF6B35"/>
    <w:rsid w:val="00C01506"/>
    <w:rsid w:val="00C022A7"/>
    <w:rsid w:val="00C0315C"/>
    <w:rsid w:val="00C03D4C"/>
    <w:rsid w:val="00C03E53"/>
    <w:rsid w:val="00C03EDD"/>
    <w:rsid w:val="00C06207"/>
    <w:rsid w:val="00C06702"/>
    <w:rsid w:val="00C072A6"/>
    <w:rsid w:val="00C079B5"/>
    <w:rsid w:val="00C07B43"/>
    <w:rsid w:val="00C07E41"/>
    <w:rsid w:val="00C10085"/>
    <w:rsid w:val="00C102B8"/>
    <w:rsid w:val="00C10660"/>
    <w:rsid w:val="00C12553"/>
    <w:rsid w:val="00C12C30"/>
    <w:rsid w:val="00C12EDE"/>
    <w:rsid w:val="00C132BA"/>
    <w:rsid w:val="00C15755"/>
    <w:rsid w:val="00C157AB"/>
    <w:rsid w:val="00C15AF7"/>
    <w:rsid w:val="00C15EB2"/>
    <w:rsid w:val="00C175C4"/>
    <w:rsid w:val="00C179BF"/>
    <w:rsid w:val="00C20511"/>
    <w:rsid w:val="00C21B76"/>
    <w:rsid w:val="00C22E5C"/>
    <w:rsid w:val="00C23CA3"/>
    <w:rsid w:val="00C25021"/>
    <w:rsid w:val="00C2563F"/>
    <w:rsid w:val="00C260B8"/>
    <w:rsid w:val="00C26D92"/>
    <w:rsid w:val="00C30406"/>
    <w:rsid w:val="00C30FB0"/>
    <w:rsid w:val="00C32B83"/>
    <w:rsid w:val="00C35519"/>
    <w:rsid w:val="00C35E74"/>
    <w:rsid w:val="00C35FF9"/>
    <w:rsid w:val="00C37E3E"/>
    <w:rsid w:val="00C431C1"/>
    <w:rsid w:val="00C43753"/>
    <w:rsid w:val="00C444EF"/>
    <w:rsid w:val="00C444FD"/>
    <w:rsid w:val="00C4511F"/>
    <w:rsid w:val="00C45921"/>
    <w:rsid w:val="00C461C0"/>
    <w:rsid w:val="00C469AF"/>
    <w:rsid w:val="00C50ED3"/>
    <w:rsid w:val="00C51623"/>
    <w:rsid w:val="00C52411"/>
    <w:rsid w:val="00C53064"/>
    <w:rsid w:val="00C5498D"/>
    <w:rsid w:val="00C54BCE"/>
    <w:rsid w:val="00C55223"/>
    <w:rsid w:val="00C5533B"/>
    <w:rsid w:val="00C553E0"/>
    <w:rsid w:val="00C55520"/>
    <w:rsid w:val="00C5655F"/>
    <w:rsid w:val="00C5656E"/>
    <w:rsid w:val="00C57124"/>
    <w:rsid w:val="00C573D7"/>
    <w:rsid w:val="00C607CE"/>
    <w:rsid w:val="00C610BB"/>
    <w:rsid w:val="00C618A5"/>
    <w:rsid w:val="00C61C3D"/>
    <w:rsid w:val="00C61D02"/>
    <w:rsid w:val="00C6208A"/>
    <w:rsid w:val="00C624D7"/>
    <w:rsid w:val="00C627EA"/>
    <w:rsid w:val="00C636BC"/>
    <w:rsid w:val="00C6396E"/>
    <w:rsid w:val="00C676B4"/>
    <w:rsid w:val="00C67BB6"/>
    <w:rsid w:val="00C71F42"/>
    <w:rsid w:val="00C734CE"/>
    <w:rsid w:val="00C73B68"/>
    <w:rsid w:val="00C74B96"/>
    <w:rsid w:val="00C74DC8"/>
    <w:rsid w:val="00C75268"/>
    <w:rsid w:val="00C75521"/>
    <w:rsid w:val="00C75D55"/>
    <w:rsid w:val="00C76053"/>
    <w:rsid w:val="00C76CB9"/>
    <w:rsid w:val="00C77145"/>
    <w:rsid w:val="00C7775D"/>
    <w:rsid w:val="00C77F62"/>
    <w:rsid w:val="00C8124F"/>
    <w:rsid w:val="00C817E2"/>
    <w:rsid w:val="00C81D1D"/>
    <w:rsid w:val="00C82272"/>
    <w:rsid w:val="00C83C3E"/>
    <w:rsid w:val="00C840D3"/>
    <w:rsid w:val="00C841B2"/>
    <w:rsid w:val="00C842FE"/>
    <w:rsid w:val="00C848D4"/>
    <w:rsid w:val="00C8524C"/>
    <w:rsid w:val="00C86044"/>
    <w:rsid w:val="00C8668E"/>
    <w:rsid w:val="00C90207"/>
    <w:rsid w:val="00C90F98"/>
    <w:rsid w:val="00C92A18"/>
    <w:rsid w:val="00C92FAE"/>
    <w:rsid w:val="00C93BD9"/>
    <w:rsid w:val="00C94F8E"/>
    <w:rsid w:val="00C95366"/>
    <w:rsid w:val="00C974A7"/>
    <w:rsid w:val="00CA0883"/>
    <w:rsid w:val="00CA121D"/>
    <w:rsid w:val="00CA1DB5"/>
    <w:rsid w:val="00CA2740"/>
    <w:rsid w:val="00CA3567"/>
    <w:rsid w:val="00CA3EE1"/>
    <w:rsid w:val="00CA60A4"/>
    <w:rsid w:val="00CA64BE"/>
    <w:rsid w:val="00CA7075"/>
    <w:rsid w:val="00CA7E5D"/>
    <w:rsid w:val="00CB061E"/>
    <w:rsid w:val="00CB0E52"/>
    <w:rsid w:val="00CB1C83"/>
    <w:rsid w:val="00CB210E"/>
    <w:rsid w:val="00CB21DB"/>
    <w:rsid w:val="00CB37B7"/>
    <w:rsid w:val="00CB3951"/>
    <w:rsid w:val="00CB4AC0"/>
    <w:rsid w:val="00CB5BCA"/>
    <w:rsid w:val="00CB6FB6"/>
    <w:rsid w:val="00CB7EBC"/>
    <w:rsid w:val="00CC2FA1"/>
    <w:rsid w:val="00CC383E"/>
    <w:rsid w:val="00CC51E5"/>
    <w:rsid w:val="00CC54CC"/>
    <w:rsid w:val="00CC6E59"/>
    <w:rsid w:val="00CC7802"/>
    <w:rsid w:val="00CC78BF"/>
    <w:rsid w:val="00CD0D9F"/>
    <w:rsid w:val="00CD0EDC"/>
    <w:rsid w:val="00CD0F57"/>
    <w:rsid w:val="00CD5060"/>
    <w:rsid w:val="00CD6A33"/>
    <w:rsid w:val="00CD70EB"/>
    <w:rsid w:val="00CE1C18"/>
    <w:rsid w:val="00CE2632"/>
    <w:rsid w:val="00CE2786"/>
    <w:rsid w:val="00CE2BA7"/>
    <w:rsid w:val="00CE47DC"/>
    <w:rsid w:val="00CE503B"/>
    <w:rsid w:val="00CE516A"/>
    <w:rsid w:val="00CE6EB2"/>
    <w:rsid w:val="00CF0EAB"/>
    <w:rsid w:val="00CF2FE8"/>
    <w:rsid w:val="00CF40DE"/>
    <w:rsid w:val="00CF4D7A"/>
    <w:rsid w:val="00CF618E"/>
    <w:rsid w:val="00CF62F3"/>
    <w:rsid w:val="00CF72F6"/>
    <w:rsid w:val="00D0002F"/>
    <w:rsid w:val="00D003E1"/>
    <w:rsid w:val="00D016F7"/>
    <w:rsid w:val="00D0237A"/>
    <w:rsid w:val="00D02CF0"/>
    <w:rsid w:val="00D03542"/>
    <w:rsid w:val="00D03610"/>
    <w:rsid w:val="00D03CA8"/>
    <w:rsid w:val="00D045AC"/>
    <w:rsid w:val="00D04952"/>
    <w:rsid w:val="00D04B8D"/>
    <w:rsid w:val="00D052AC"/>
    <w:rsid w:val="00D072E8"/>
    <w:rsid w:val="00D07820"/>
    <w:rsid w:val="00D07A6C"/>
    <w:rsid w:val="00D07E45"/>
    <w:rsid w:val="00D113AE"/>
    <w:rsid w:val="00D12431"/>
    <w:rsid w:val="00D13DF7"/>
    <w:rsid w:val="00D1477E"/>
    <w:rsid w:val="00D203C5"/>
    <w:rsid w:val="00D20B5F"/>
    <w:rsid w:val="00D21C14"/>
    <w:rsid w:val="00D21EC7"/>
    <w:rsid w:val="00D228A8"/>
    <w:rsid w:val="00D23D54"/>
    <w:rsid w:val="00D23DE0"/>
    <w:rsid w:val="00D25ACE"/>
    <w:rsid w:val="00D25FCA"/>
    <w:rsid w:val="00D26404"/>
    <w:rsid w:val="00D26D65"/>
    <w:rsid w:val="00D27F3A"/>
    <w:rsid w:val="00D300FC"/>
    <w:rsid w:val="00D30149"/>
    <w:rsid w:val="00D32EE4"/>
    <w:rsid w:val="00D32F0E"/>
    <w:rsid w:val="00D3327C"/>
    <w:rsid w:val="00D3362A"/>
    <w:rsid w:val="00D343FC"/>
    <w:rsid w:val="00D413C2"/>
    <w:rsid w:val="00D41FD6"/>
    <w:rsid w:val="00D421E9"/>
    <w:rsid w:val="00D439A4"/>
    <w:rsid w:val="00D43C46"/>
    <w:rsid w:val="00D43D98"/>
    <w:rsid w:val="00D44FDD"/>
    <w:rsid w:val="00D45EAE"/>
    <w:rsid w:val="00D471C2"/>
    <w:rsid w:val="00D47753"/>
    <w:rsid w:val="00D47E1F"/>
    <w:rsid w:val="00D51829"/>
    <w:rsid w:val="00D524B7"/>
    <w:rsid w:val="00D528FC"/>
    <w:rsid w:val="00D52BA6"/>
    <w:rsid w:val="00D5531C"/>
    <w:rsid w:val="00D556C9"/>
    <w:rsid w:val="00D559E1"/>
    <w:rsid w:val="00D5691D"/>
    <w:rsid w:val="00D57E9C"/>
    <w:rsid w:val="00D60AC9"/>
    <w:rsid w:val="00D60BE1"/>
    <w:rsid w:val="00D62125"/>
    <w:rsid w:val="00D624A3"/>
    <w:rsid w:val="00D644C1"/>
    <w:rsid w:val="00D647C5"/>
    <w:rsid w:val="00D64C68"/>
    <w:rsid w:val="00D66A75"/>
    <w:rsid w:val="00D704AF"/>
    <w:rsid w:val="00D7068F"/>
    <w:rsid w:val="00D70C6A"/>
    <w:rsid w:val="00D70DC7"/>
    <w:rsid w:val="00D71F46"/>
    <w:rsid w:val="00D7306C"/>
    <w:rsid w:val="00D7529C"/>
    <w:rsid w:val="00D76179"/>
    <w:rsid w:val="00D76A23"/>
    <w:rsid w:val="00D76FC1"/>
    <w:rsid w:val="00D82C23"/>
    <w:rsid w:val="00D835E4"/>
    <w:rsid w:val="00D83902"/>
    <w:rsid w:val="00D83AAB"/>
    <w:rsid w:val="00D83FFE"/>
    <w:rsid w:val="00D85479"/>
    <w:rsid w:val="00D86489"/>
    <w:rsid w:val="00D86E50"/>
    <w:rsid w:val="00D878AF"/>
    <w:rsid w:val="00D87B10"/>
    <w:rsid w:val="00D91747"/>
    <w:rsid w:val="00D93AA9"/>
    <w:rsid w:val="00D93BCB"/>
    <w:rsid w:val="00D9497F"/>
    <w:rsid w:val="00D956F3"/>
    <w:rsid w:val="00D968A2"/>
    <w:rsid w:val="00D96F8E"/>
    <w:rsid w:val="00D97371"/>
    <w:rsid w:val="00DA107B"/>
    <w:rsid w:val="00DA1AAF"/>
    <w:rsid w:val="00DA243F"/>
    <w:rsid w:val="00DA3C28"/>
    <w:rsid w:val="00DA3F24"/>
    <w:rsid w:val="00DA5A60"/>
    <w:rsid w:val="00DB1131"/>
    <w:rsid w:val="00DB12AA"/>
    <w:rsid w:val="00DB1929"/>
    <w:rsid w:val="00DB30EA"/>
    <w:rsid w:val="00DB37A3"/>
    <w:rsid w:val="00DB3EE6"/>
    <w:rsid w:val="00DB47D9"/>
    <w:rsid w:val="00DB4E96"/>
    <w:rsid w:val="00DB7225"/>
    <w:rsid w:val="00DB78A1"/>
    <w:rsid w:val="00DB7FC2"/>
    <w:rsid w:val="00DC0211"/>
    <w:rsid w:val="00DC0C9A"/>
    <w:rsid w:val="00DC2615"/>
    <w:rsid w:val="00DC2E62"/>
    <w:rsid w:val="00DC7E2D"/>
    <w:rsid w:val="00DD0C52"/>
    <w:rsid w:val="00DD18DF"/>
    <w:rsid w:val="00DD253A"/>
    <w:rsid w:val="00DD4CFF"/>
    <w:rsid w:val="00DD7289"/>
    <w:rsid w:val="00DD7D13"/>
    <w:rsid w:val="00DD7E22"/>
    <w:rsid w:val="00DD7FD5"/>
    <w:rsid w:val="00DE001D"/>
    <w:rsid w:val="00DE0947"/>
    <w:rsid w:val="00DE0ED2"/>
    <w:rsid w:val="00DE2535"/>
    <w:rsid w:val="00DE2961"/>
    <w:rsid w:val="00DE332B"/>
    <w:rsid w:val="00DE352C"/>
    <w:rsid w:val="00DE5232"/>
    <w:rsid w:val="00DE61A0"/>
    <w:rsid w:val="00DE65CA"/>
    <w:rsid w:val="00DE6842"/>
    <w:rsid w:val="00DE757E"/>
    <w:rsid w:val="00DE75FA"/>
    <w:rsid w:val="00DF0415"/>
    <w:rsid w:val="00DF20BE"/>
    <w:rsid w:val="00DF30A9"/>
    <w:rsid w:val="00DF3312"/>
    <w:rsid w:val="00DF3C95"/>
    <w:rsid w:val="00DF4200"/>
    <w:rsid w:val="00DF429A"/>
    <w:rsid w:val="00DF458E"/>
    <w:rsid w:val="00DF5A05"/>
    <w:rsid w:val="00DF7581"/>
    <w:rsid w:val="00DF75CD"/>
    <w:rsid w:val="00E00357"/>
    <w:rsid w:val="00E00741"/>
    <w:rsid w:val="00E00967"/>
    <w:rsid w:val="00E01CCC"/>
    <w:rsid w:val="00E03518"/>
    <w:rsid w:val="00E04211"/>
    <w:rsid w:val="00E04CDE"/>
    <w:rsid w:val="00E05A66"/>
    <w:rsid w:val="00E05B20"/>
    <w:rsid w:val="00E06527"/>
    <w:rsid w:val="00E10C6E"/>
    <w:rsid w:val="00E12A36"/>
    <w:rsid w:val="00E12D4C"/>
    <w:rsid w:val="00E12E9D"/>
    <w:rsid w:val="00E13353"/>
    <w:rsid w:val="00E133D1"/>
    <w:rsid w:val="00E14FD1"/>
    <w:rsid w:val="00E15076"/>
    <w:rsid w:val="00E15F10"/>
    <w:rsid w:val="00E17549"/>
    <w:rsid w:val="00E23E47"/>
    <w:rsid w:val="00E2471C"/>
    <w:rsid w:val="00E2536B"/>
    <w:rsid w:val="00E2562E"/>
    <w:rsid w:val="00E27910"/>
    <w:rsid w:val="00E30D4D"/>
    <w:rsid w:val="00E3184C"/>
    <w:rsid w:val="00E3247F"/>
    <w:rsid w:val="00E324E7"/>
    <w:rsid w:val="00E32E84"/>
    <w:rsid w:val="00E32F02"/>
    <w:rsid w:val="00E33BFF"/>
    <w:rsid w:val="00E33E08"/>
    <w:rsid w:val="00E34EA1"/>
    <w:rsid w:val="00E3500E"/>
    <w:rsid w:val="00E35A6E"/>
    <w:rsid w:val="00E35F6F"/>
    <w:rsid w:val="00E36AD8"/>
    <w:rsid w:val="00E371E0"/>
    <w:rsid w:val="00E41C61"/>
    <w:rsid w:val="00E44402"/>
    <w:rsid w:val="00E44BCB"/>
    <w:rsid w:val="00E44CC8"/>
    <w:rsid w:val="00E45C98"/>
    <w:rsid w:val="00E50ED6"/>
    <w:rsid w:val="00E541CA"/>
    <w:rsid w:val="00E54AD2"/>
    <w:rsid w:val="00E55329"/>
    <w:rsid w:val="00E574F6"/>
    <w:rsid w:val="00E61C78"/>
    <w:rsid w:val="00E645BB"/>
    <w:rsid w:val="00E663C0"/>
    <w:rsid w:val="00E66F96"/>
    <w:rsid w:val="00E67359"/>
    <w:rsid w:val="00E67CA0"/>
    <w:rsid w:val="00E7130C"/>
    <w:rsid w:val="00E74D19"/>
    <w:rsid w:val="00E76D8D"/>
    <w:rsid w:val="00E7712F"/>
    <w:rsid w:val="00E77626"/>
    <w:rsid w:val="00E7773E"/>
    <w:rsid w:val="00E807C7"/>
    <w:rsid w:val="00E810C2"/>
    <w:rsid w:val="00E815F4"/>
    <w:rsid w:val="00E82F2F"/>
    <w:rsid w:val="00E830C7"/>
    <w:rsid w:val="00E8345C"/>
    <w:rsid w:val="00E8358A"/>
    <w:rsid w:val="00E83764"/>
    <w:rsid w:val="00E8379E"/>
    <w:rsid w:val="00E84DA3"/>
    <w:rsid w:val="00E85A60"/>
    <w:rsid w:val="00E869F3"/>
    <w:rsid w:val="00E86A8A"/>
    <w:rsid w:val="00E87A14"/>
    <w:rsid w:val="00E87C36"/>
    <w:rsid w:val="00E9044D"/>
    <w:rsid w:val="00E90D91"/>
    <w:rsid w:val="00E945A6"/>
    <w:rsid w:val="00E94729"/>
    <w:rsid w:val="00E94A92"/>
    <w:rsid w:val="00E95489"/>
    <w:rsid w:val="00E95AC4"/>
    <w:rsid w:val="00E975D6"/>
    <w:rsid w:val="00EA1A1C"/>
    <w:rsid w:val="00EA2542"/>
    <w:rsid w:val="00EA3359"/>
    <w:rsid w:val="00EA4220"/>
    <w:rsid w:val="00EA480C"/>
    <w:rsid w:val="00EA4A76"/>
    <w:rsid w:val="00EA5942"/>
    <w:rsid w:val="00EA60DF"/>
    <w:rsid w:val="00EA6EBA"/>
    <w:rsid w:val="00EB088C"/>
    <w:rsid w:val="00EB092D"/>
    <w:rsid w:val="00EB1085"/>
    <w:rsid w:val="00EB13A7"/>
    <w:rsid w:val="00EB2078"/>
    <w:rsid w:val="00EB2A1B"/>
    <w:rsid w:val="00EB3E3A"/>
    <w:rsid w:val="00EB4FC5"/>
    <w:rsid w:val="00EB566D"/>
    <w:rsid w:val="00EB5DDE"/>
    <w:rsid w:val="00EB5F95"/>
    <w:rsid w:val="00EB6C61"/>
    <w:rsid w:val="00EB717C"/>
    <w:rsid w:val="00EB7C43"/>
    <w:rsid w:val="00EB7E62"/>
    <w:rsid w:val="00EC1E66"/>
    <w:rsid w:val="00EC28EA"/>
    <w:rsid w:val="00EC3F0D"/>
    <w:rsid w:val="00EC5113"/>
    <w:rsid w:val="00EC60D5"/>
    <w:rsid w:val="00EC72A6"/>
    <w:rsid w:val="00ED04B0"/>
    <w:rsid w:val="00ED0C4D"/>
    <w:rsid w:val="00ED359F"/>
    <w:rsid w:val="00ED35F5"/>
    <w:rsid w:val="00ED3AA3"/>
    <w:rsid w:val="00ED3EE8"/>
    <w:rsid w:val="00ED4443"/>
    <w:rsid w:val="00ED45B3"/>
    <w:rsid w:val="00ED5277"/>
    <w:rsid w:val="00ED557A"/>
    <w:rsid w:val="00ED658C"/>
    <w:rsid w:val="00ED69C3"/>
    <w:rsid w:val="00ED743A"/>
    <w:rsid w:val="00ED776E"/>
    <w:rsid w:val="00ED7BC4"/>
    <w:rsid w:val="00EE25CF"/>
    <w:rsid w:val="00EE38DB"/>
    <w:rsid w:val="00EE3CCD"/>
    <w:rsid w:val="00EE4288"/>
    <w:rsid w:val="00EE5243"/>
    <w:rsid w:val="00EE5334"/>
    <w:rsid w:val="00EE5661"/>
    <w:rsid w:val="00EE5D45"/>
    <w:rsid w:val="00EE6AC2"/>
    <w:rsid w:val="00EE7747"/>
    <w:rsid w:val="00EF086A"/>
    <w:rsid w:val="00EF0D5D"/>
    <w:rsid w:val="00EF0DD7"/>
    <w:rsid w:val="00EF0FDD"/>
    <w:rsid w:val="00EF1AA6"/>
    <w:rsid w:val="00EF3DE1"/>
    <w:rsid w:val="00EF487A"/>
    <w:rsid w:val="00EF63AB"/>
    <w:rsid w:val="00EF762E"/>
    <w:rsid w:val="00EF7632"/>
    <w:rsid w:val="00F0153D"/>
    <w:rsid w:val="00F0155E"/>
    <w:rsid w:val="00F02478"/>
    <w:rsid w:val="00F0326A"/>
    <w:rsid w:val="00F04705"/>
    <w:rsid w:val="00F0705C"/>
    <w:rsid w:val="00F102F6"/>
    <w:rsid w:val="00F10D2F"/>
    <w:rsid w:val="00F1129C"/>
    <w:rsid w:val="00F12485"/>
    <w:rsid w:val="00F12B19"/>
    <w:rsid w:val="00F13C90"/>
    <w:rsid w:val="00F14538"/>
    <w:rsid w:val="00F15A4A"/>
    <w:rsid w:val="00F16DDA"/>
    <w:rsid w:val="00F170E9"/>
    <w:rsid w:val="00F2001F"/>
    <w:rsid w:val="00F201D1"/>
    <w:rsid w:val="00F20DF7"/>
    <w:rsid w:val="00F21604"/>
    <w:rsid w:val="00F21F90"/>
    <w:rsid w:val="00F22764"/>
    <w:rsid w:val="00F22957"/>
    <w:rsid w:val="00F240C9"/>
    <w:rsid w:val="00F24D86"/>
    <w:rsid w:val="00F32C88"/>
    <w:rsid w:val="00F33091"/>
    <w:rsid w:val="00F33810"/>
    <w:rsid w:val="00F33B86"/>
    <w:rsid w:val="00F35885"/>
    <w:rsid w:val="00F36BC2"/>
    <w:rsid w:val="00F37242"/>
    <w:rsid w:val="00F37535"/>
    <w:rsid w:val="00F403C8"/>
    <w:rsid w:val="00F42303"/>
    <w:rsid w:val="00F42474"/>
    <w:rsid w:val="00F42EB1"/>
    <w:rsid w:val="00F42F58"/>
    <w:rsid w:val="00F43D8E"/>
    <w:rsid w:val="00F44963"/>
    <w:rsid w:val="00F453BF"/>
    <w:rsid w:val="00F45F2F"/>
    <w:rsid w:val="00F462CE"/>
    <w:rsid w:val="00F46802"/>
    <w:rsid w:val="00F46E54"/>
    <w:rsid w:val="00F517A0"/>
    <w:rsid w:val="00F521AC"/>
    <w:rsid w:val="00F5287F"/>
    <w:rsid w:val="00F54790"/>
    <w:rsid w:val="00F55887"/>
    <w:rsid w:val="00F57230"/>
    <w:rsid w:val="00F57FF4"/>
    <w:rsid w:val="00F605AE"/>
    <w:rsid w:val="00F60E90"/>
    <w:rsid w:val="00F61675"/>
    <w:rsid w:val="00F61D9F"/>
    <w:rsid w:val="00F62FE9"/>
    <w:rsid w:val="00F6486B"/>
    <w:rsid w:val="00F64BE0"/>
    <w:rsid w:val="00F650CC"/>
    <w:rsid w:val="00F651EE"/>
    <w:rsid w:val="00F6555B"/>
    <w:rsid w:val="00F65E30"/>
    <w:rsid w:val="00F673BF"/>
    <w:rsid w:val="00F70383"/>
    <w:rsid w:val="00F71D01"/>
    <w:rsid w:val="00F74144"/>
    <w:rsid w:val="00F745F6"/>
    <w:rsid w:val="00F74AB3"/>
    <w:rsid w:val="00F74ACB"/>
    <w:rsid w:val="00F77CB0"/>
    <w:rsid w:val="00F80A75"/>
    <w:rsid w:val="00F8374D"/>
    <w:rsid w:val="00F83EB5"/>
    <w:rsid w:val="00F84080"/>
    <w:rsid w:val="00F846A9"/>
    <w:rsid w:val="00F85E7B"/>
    <w:rsid w:val="00F90243"/>
    <w:rsid w:val="00F93798"/>
    <w:rsid w:val="00F93D9D"/>
    <w:rsid w:val="00F948D7"/>
    <w:rsid w:val="00F95B06"/>
    <w:rsid w:val="00F96558"/>
    <w:rsid w:val="00F9657D"/>
    <w:rsid w:val="00FA0373"/>
    <w:rsid w:val="00FA13AC"/>
    <w:rsid w:val="00FA1A9F"/>
    <w:rsid w:val="00FA2DED"/>
    <w:rsid w:val="00FA2EEA"/>
    <w:rsid w:val="00FA576E"/>
    <w:rsid w:val="00FA5ACC"/>
    <w:rsid w:val="00FA5B55"/>
    <w:rsid w:val="00FB1B4E"/>
    <w:rsid w:val="00FB1B9C"/>
    <w:rsid w:val="00FB1E56"/>
    <w:rsid w:val="00FB217F"/>
    <w:rsid w:val="00FB260E"/>
    <w:rsid w:val="00FB26C7"/>
    <w:rsid w:val="00FB475A"/>
    <w:rsid w:val="00FB51CA"/>
    <w:rsid w:val="00FB7B88"/>
    <w:rsid w:val="00FC1B2D"/>
    <w:rsid w:val="00FC2C64"/>
    <w:rsid w:val="00FC5C2B"/>
    <w:rsid w:val="00FC6621"/>
    <w:rsid w:val="00FC66E0"/>
    <w:rsid w:val="00FC793E"/>
    <w:rsid w:val="00FD03A8"/>
    <w:rsid w:val="00FD4591"/>
    <w:rsid w:val="00FD56DD"/>
    <w:rsid w:val="00FD6E77"/>
    <w:rsid w:val="00FD6F43"/>
    <w:rsid w:val="00FD79F4"/>
    <w:rsid w:val="00FE0BD8"/>
    <w:rsid w:val="00FE1A26"/>
    <w:rsid w:val="00FE301E"/>
    <w:rsid w:val="00FE3A6A"/>
    <w:rsid w:val="00FE4A53"/>
    <w:rsid w:val="00FE4BE4"/>
    <w:rsid w:val="00FE4E4B"/>
    <w:rsid w:val="00FE59E2"/>
    <w:rsid w:val="00FE63BF"/>
    <w:rsid w:val="00FE72D4"/>
    <w:rsid w:val="00FE7C6C"/>
    <w:rsid w:val="00FF03AE"/>
    <w:rsid w:val="00FF0AD2"/>
    <w:rsid w:val="00FF0CBD"/>
    <w:rsid w:val="00FF1032"/>
    <w:rsid w:val="00FF1539"/>
    <w:rsid w:val="00FF16B0"/>
    <w:rsid w:val="00FF24A0"/>
    <w:rsid w:val="00FF3431"/>
    <w:rsid w:val="00FF371A"/>
    <w:rsid w:val="00FF5161"/>
    <w:rsid w:val="00FF569C"/>
    <w:rsid w:val="00FF57FB"/>
    <w:rsid w:val="00FF584C"/>
    <w:rsid w:val="00FF6E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D884F49"/>
  <w14:defaultImageDpi w14:val="0"/>
  <w15:docId w15:val="{EEF84307-7E62-4D4F-89B9-BB870652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caption" w:semiHidden="1" w:uiPriority="35" w:unhideWhenUsed="1" w:qFormat="1"/>
    <w:lsdException w:name="page number"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1D3B"/>
    <w:rPr>
      <w:rFonts w:ascii="Times New Roman" w:hAnsi="Times New Roman" w:cs="Times New Roman"/>
      <w:szCs w:val="36"/>
    </w:rPr>
  </w:style>
  <w:style w:type="paragraph" w:styleId="Nadpis1">
    <w:name w:val="heading 1"/>
    <w:basedOn w:val="Normlny"/>
    <w:next w:val="Normlny"/>
    <w:link w:val="Nadpis1Char"/>
    <w:uiPriority w:val="9"/>
    <w:qFormat/>
    <w:rsid w:val="003A760D"/>
    <w:pPr>
      <w:keepNext/>
      <w:keepLines/>
      <w:numPr>
        <w:numId w:val="3"/>
      </w:numPr>
      <w:outlineLvl w:val="0"/>
    </w:pPr>
    <w:rPr>
      <w:rFonts w:eastAsiaTheme="majorEastAsia"/>
      <w:b/>
      <w:bCs/>
      <w:sz w:val="26"/>
      <w:szCs w:val="26"/>
    </w:rPr>
  </w:style>
  <w:style w:type="paragraph" w:styleId="Nadpis2">
    <w:name w:val="heading 2"/>
    <w:basedOn w:val="Normlny"/>
    <w:next w:val="Normlny"/>
    <w:link w:val="Nadpis2Char"/>
    <w:uiPriority w:val="9"/>
    <w:unhideWhenUsed/>
    <w:qFormat/>
    <w:rsid w:val="00900C3E"/>
    <w:pPr>
      <w:keepNext/>
      <w:keepLines/>
      <w:numPr>
        <w:ilvl w:val="1"/>
        <w:numId w:val="19"/>
      </w:numPr>
      <w:spacing w:before="200" w:line="336" w:lineRule="auto"/>
      <w:outlineLvl w:val="1"/>
    </w:pPr>
    <w:rPr>
      <w:b/>
      <w:bCs/>
      <w:sz w:val="24"/>
      <w:szCs w:val="24"/>
    </w:rPr>
  </w:style>
  <w:style w:type="paragraph" w:styleId="Nadpis3">
    <w:name w:val="heading 3"/>
    <w:basedOn w:val="Odsekzoznamu"/>
    <w:next w:val="Normlny"/>
    <w:link w:val="Nadpis3Char"/>
    <w:uiPriority w:val="9"/>
    <w:qFormat/>
    <w:rsid w:val="00900C3E"/>
    <w:pPr>
      <w:numPr>
        <w:ilvl w:val="2"/>
        <w:numId w:val="19"/>
      </w:numPr>
      <w:spacing w:after="120" w:line="336" w:lineRule="auto"/>
      <w:jc w:val="both"/>
      <w:outlineLvl w:val="2"/>
    </w:pPr>
    <w:rPr>
      <w:rFonts w:eastAsiaTheme="majorEastAsia" w:cs="Times New Roman"/>
      <w:b/>
      <w:lang w:eastAsia="en-US"/>
    </w:rPr>
  </w:style>
  <w:style w:type="paragraph" w:styleId="Nadpis4">
    <w:name w:val="heading 4"/>
    <w:basedOn w:val="Normlny"/>
    <w:next w:val="Normlny"/>
    <w:link w:val="Nadpis4Char"/>
    <w:uiPriority w:val="9"/>
    <w:unhideWhenUsed/>
    <w:qFormat/>
    <w:rsid w:val="000F366E"/>
    <w:pPr>
      <w:spacing w:after="0" w:line="360" w:lineRule="auto"/>
      <w:jc w:val="both"/>
      <w:outlineLvl w:val="3"/>
    </w:pPr>
    <w:rPr>
      <w:b/>
      <w:sz w:val="24"/>
      <w:szCs w:val="24"/>
    </w:rPr>
  </w:style>
  <w:style w:type="paragraph" w:styleId="Nadpis5">
    <w:name w:val="heading 5"/>
    <w:basedOn w:val="Normlny"/>
    <w:next w:val="Normlny"/>
    <w:link w:val="Nadpis5Char"/>
    <w:uiPriority w:val="9"/>
    <w:qFormat/>
    <w:rsid w:val="003F1365"/>
    <w:pPr>
      <w:keepNext/>
      <w:tabs>
        <w:tab w:val="num" w:pos="1008"/>
      </w:tabs>
      <w:spacing w:after="0" w:line="240" w:lineRule="auto"/>
      <w:ind w:left="1008" w:hanging="1008"/>
      <w:jc w:val="center"/>
      <w:outlineLvl w:val="4"/>
    </w:pPr>
    <w:rPr>
      <w:b/>
      <w:bCs/>
      <w:sz w:val="20"/>
      <w:szCs w:val="20"/>
      <w:lang w:eastAsia="cs-CZ"/>
    </w:rPr>
  </w:style>
  <w:style w:type="paragraph" w:styleId="Nadpis6">
    <w:name w:val="heading 6"/>
    <w:basedOn w:val="Normlny"/>
    <w:next w:val="Normlny"/>
    <w:link w:val="Nadpis6Char"/>
    <w:uiPriority w:val="9"/>
    <w:qFormat/>
    <w:rsid w:val="003F1365"/>
    <w:pPr>
      <w:tabs>
        <w:tab w:val="num" w:pos="1152"/>
      </w:tabs>
      <w:spacing w:before="240" w:after="60" w:line="240" w:lineRule="auto"/>
      <w:ind w:left="1152" w:hanging="1152"/>
      <w:outlineLvl w:val="5"/>
    </w:pPr>
    <w:rPr>
      <w:b/>
      <w:bCs/>
      <w:sz w:val="20"/>
      <w:szCs w:val="22"/>
    </w:rPr>
  </w:style>
  <w:style w:type="paragraph" w:styleId="Nadpis7">
    <w:name w:val="heading 7"/>
    <w:basedOn w:val="Normlny"/>
    <w:next w:val="Normlny"/>
    <w:link w:val="Nadpis7Char"/>
    <w:uiPriority w:val="9"/>
    <w:qFormat/>
    <w:rsid w:val="003F1365"/>
    <w:pPr>
      <w:tabs>
        <w:tab w:val="num" w:pos="1296"/>
      </w:tabs>
      <w:spacing w:before="240" w:after="60" w:line="240" w:lineRule="auto"/>
      <w:ind w:left="1296" w:hanging="1296"/>
      <w:outlineLvl w:val="6"/>
    </w:pPr>
    <w:rPr>
      <w:sz w:val="24"/>
      <w:szCs w:val="24"/>
    </w:rPr>
  </w:style>
  <w:style w:type="paragraph" w:styleId="Nadpis8">
    <w:name w:val="heading 8"/>
    <w:basedOn w:val="Normlny"/>
    <w:next w:val="Normlny"/>
    <w:link w:val="Nadpis8Char"/>
    <w:uiPriority w:val="9"/>
    <w:qFormat/>
    <w:rsid w:val="003F1365"/>
    <w:pPr>
      <w:tabs>
        <w:tab w:val="num" w:pos="1440"/>
      </w:tabs>
      <w:spacing w:before="240" w:after="60" w:line="240" w:lineRule="auto"/>
      <w:ind w:left="1440" w:hanging="1440"/>
      <w:outlineLvl w:val="7"/>
    </w:pPr>
    <w:rPr>
      <w:i/>
      <w:iCs/>
      <w:sz w:val="24"/>
      <w:szCs w:val="24"/>
    </w:rPr>
  </w:style>
  <w:style w:type="paragraph" w:styleId="Nadpis9">
    <w:name w:val="heading 9"/>
    <w:basedOn w:val="Normlny"/>
    <w:next w:val="Normlny"/>
    <w:link w:val="Nadpis9Char"/>
    <w:uiPriority w:val="9"/>
    <w:qFormat/>
    <w:rsid w:val="003F1365"/>
    <w:pPr>
      <w:tabs>
        <w:tab w:val="num" w:pos="1584"/>
      </w:tabs>
      <w:spacing w:before="240" w:after="60" w:line="240" w:lineRule="auto"/>
      <w:ind w:left="1584" w:hanging="1584"/>
      <w:outlineLvl w:val="8"/>
    </w:pPr>
    <w:rPr>
      <w:rFonts w:ascii="Arial" w:hAnsi="Arial"/>
      <w:sz w:val="20"/>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A760D"/>
    <w:rPr>
      <w:rFonts w:ascii="Times New Roman" w:eastAsiaTheme="majorEastAsia" w:hAnsi="Times New Roman" w:cs="Times New Roman"/>
      <w:b/>
      <w:bCs/>
      <w:sz w:val="26"/>
      <w:szCs w:val="26"/>
    </w:rPr>
  </w:style>
  <w:style w:type="character" w:customStyle="1" w:styleId="Nadpis2Char">
    <w:name w:val="Nadpis 2 Char"/>
    <w:basedOn w:val="Predvolenpsmoodseku"/>
    <w:link w:val="Nadpis2"/>
    <w:uiPriority w:val="9"/>
    <w:locked/>
    <w:rsid w:val="00900C3E"/>
    <w:rPr>
      <w:rFonts w:ascii="Times New Roman" w:hAnsi="Times New Roman" w:cs="Times New Roman"/>
      <w:b/>
      <w:bCs/>
      <w:sz w:val="24"/>
      <w:szCs w:val="24"/>
    </w:rPr>
  </w:style>
  <w:style w:type="character" w:customStyle="1" w:styleId="Nadpis3Char">
    <w:name w:val="Nadpis 3 Char"/>
    <w:basedOn w:val="Predvolenpsmoodseku"/>
    <w:link w:val="Nadpis3"/>
    <w:uiPriority w:val="9"/>
    <w:locked/>
    <w:rsid w:val="00900C3E"/>
    <w:rPr>
      <w:rFonts w:ascii="Times New Roman" w:eastAsiaTheme="majorEastAsia" w:hAnsi="Times New Roman" w:cs="Times New Roman"/>
      <w:b/>
    </w:rPr>
  </w:style>
  <w:style w:type="character" w:customStyle="1" w:styleId="Nadpis4Char">
    <w:name w:val="Nadpis 4 Char"/>
    <w:basedOn w:val="Predvolenpsmoodseku"/>
    <w:link w:val="Nadpis4"/>
    <w:uiPriority w:val="9"/>
    <w:locked/>
    <w:rsid w:val="000F366E"/>
    <w:rPr>
      <w:rFonts w:ascii="Times New Roman" w:hAnsi="Times New Roman" w:cs="Times New Roman"/>
      <w:b/>
      <w:sz w:val="24"/>
      <w:szCs w:val="24"/>
    </w:rPr>
  </w:style>
  <w:style w:type="character" w:customStyle="1" w:styleId="Nadpis5Char">
    <w:name w:val="Nadpis 5 Char"/>
    <w:basedOn w:val="Predvolenpsmoodseku"/>
    <w:link w:val="Nadpis5"/>
    <w:uiPriority w:val="9"/>
    <w:locked/>
    <w:rsid w:val="003F1365"/>
    <w:rPr>
      <w:rFonts w:ascii="Times New Roman" w:hAnsi="Times New Roman" w:cs="Times New Roman"/>
      <w:b/>
      <w:bCs/>
      <w:sz w:val="20"/>
      <w:szCs w:val="20"/>
      <w:lang w:val="x-none" w:eastAsia="cs-CZ"/>
    </w:rPr>
  </w:style>
  <w:style w:type="character" w:customStyle="1" w:styleId="Nadpis6Char">
    <w:name w:val="Nadpis 6 Char"/>
    <w:basedOn w:val="Predvolenpsmoodseku"/>
    <w:link w:val="Nadpis6"/>
    <w:uiPriority w:val="9"/>
    <w:locked/>
    <w:rsid w:val="003F1365"/>
    <w:rPr>
      <w:rFonts w:ascii="Times New Roman" w:hAnsi="Times New Roman" w:cs="Times New Roman"/>
      <w:b/>
      <w:bCs/>
      <w:sz w:val="22"/>
      <w:szCs w:val="22"/>
      <w:lang w:val="x-none" w:eastAsia="x-none"/>
    </w:rPr>
  </w:style>
  <w:style w:type="character" w:customStyle="1" w:styleId="Nadpis7Char">
    <w:name w:val="Nadpis 7 Char"/>
    <w:basedOn w:val="Predvolenpsmoodseku"/>
    <w:link w:val="Nadpis7"/>
    <w:uiPriority w:val="9"/>
    <w:locked/>
    <w:rsid w:val="003F1365"/>
    <w:rPr>
      <w:rFonts w:ascii="Times New Roman" w:hAnsi="Times New Roman" w:cs="Times New Roman"/>
      <w:sz w:val="24"/>
      <w:szCs w:val="24"/>
      <w:lang w:val="x-none" w:eastAsia="x-none"/>
    </w:rPr>
  </w:style>
  <w:style w:type="character" w:customStyle="1" w:styleId="Nadpis8Char">
    <w:name w:val="Nadpis 8 Char"/>
    <w:basedOn w:val="Predvolenpsmoodseku"/>
    <w:link w:val="Nadpis8"/>
    <w:uiPriority w:val="9"/>
    <w:locked/>
    <w:rsid w:val="003F1365"/>
    <w:rPr>
      <w:rFonts w:ascii="Times New Roman" w:hAnsi="Times New Roman" w:cs="Times New Roman"/>
      <w:i/>
      <w:iCs/>
      <w:sz w:val="24"/>
      <w:szCs w:val="24"/>
      <w:lang w:val="x-none" w:eastAsia="x-none"/>
    </w:rPr>
  </w:style>
  <w:style w:type="character" w:customStyle="1" w:styleId="Nadpis9Char">
    <w:name w:val="Nadpis 9 Char"/>
    <w:basedOn w:val="Predvolenpsmoodseku"/>
    <w:link w:val="Nadpis9"/>
    <w:uiPriority w:val="9"/>
    <w:locked/>
    <w:rsid w:val="003F1365"/>
    <w:rPr>
      <w:rFonts w:ascii="Arial" w:hAnsi="Arial" w:cs="Times New Roman"/>
      <w:sz w:val="22"/>
      <w:szCs w:val="22"/>
      <w:lang w:val="x-none" w:eastAsia="x-non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 Char Char Char Char Char,Plonk,f"/>
    <w:basedOn w:val="Normlny"/>
    <w:link w:val="TextpoznmkypodiarouChar"/>
    <w:unhideWhenUsed/>
    <w:qFormat/>
    <w:rsid w:val="007304A5"/>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Plonk Char,f Char"/>
    <w:basedOn w:val="Predvolenpsmoodseku"/>
    <w:link w:val="Textpoznmkypodiarou"/>
    <w:uiPriority w:val="99"/>
    <w:locked/>
    <w:rsid w:val="007304A5"/>
    <w:rPr>
      <w:rFonts w:cs="Times New Roman"/>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7304A5"/>
    <w:rPr>
      <w:rFonts w:cs="Times New Roman"/>
      <w:vertAlign w:val="superscript"/>
    </w:rPr>
  </w:style>
  <w:style w:type="paragraph" w:styleId="Hlavika">
    <w:name w:val="header"/>
    <w:basedOn w:val="Normlny"/>
    <w:link w:val="HlavikaChar"/>
    <w:uiPriority w:val="99"/>
    <w:unhideWhenUsed/>
    <w:rsid w:val="00B200F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200F2"/>
    <w:rPr>
      <w:rFonts w:cs="Times New Roman"/>
    </w:rPr>
  </w:style>
  <w:style w:type="paragraph" w:styleId="Pta">
    <w:name w:val="footer"/>
    <w:basedOn w:val="Normlny"/>
    <w:link w:val="PtaChar"/>
    <w:uiPriority w:val="99"/>
    <w:unhideWhenUsed/>
    <w:rsid w:val="00B200F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200F2"/>
    <w:rPr>
      <w:rFonts w:cs="Times New Roman"/>
    </w:rPr>
  </w:style>
  <w:style w:type="paragraph" w:customStyle="1" w:styleId="NormalList">
    <w:name w:val="NormalList"/>
    <w:basedOn w:val="Normlny"/>
    <w:qFormat/>
    <w:rsid w:val="006B3B40"/>
    <w:pPr>
      <w:spacing w:after="0" w:line="240" w:lineRule="auto"/>
      <w:jc w:val="both"/>
    </w:pPr>
    <w:rPr>
      <w:rFonts w:cs="Book Antiqua"/>
      <w:szCs w:val="22"/>
    </w:rPr>
  </w:style>
  <w:style w:type="paragraph" w:styleId="Odsekzoznamu">
    <w:name w:val="List Paragraph"/>
    <w:basedOn w:val="Normlny"/>
    <w:link w:val="OdsekzoznamuChar"/>
    <w:uiPriority w:val="34"/>
    <w:qFormat/>
    <w:rsid w:val="006B3B40"/>
    <w:pPr>
      <w:spacing w:after="0" w:line="240" w:lineRule="auto"/>
      <w:ind w:left="720"/>
      <w:contextualSpacing/>
    </w:pPr>
    <w:rPr>
      <w:rFonts w:cs="Book Antiqua"/>
      <w:szCs w:val="22"/>
      <w:lang w:eastAsia="sk-SK"/>
    </w:rPr>
  </w:style>
  <w:style w:type="character" w:styleId="Odkaznakomentr">
    <w:name w:val="annotation reference"/>
    <w:basedOn w:val="Predvolenpsmoodseku"/>
    <w:uiPriority w:val="99"/>
    <w:semiHidden/>
    <w:unhideWhenUsed/>
    <w:rsid w:val="006752EF"/>
    <w:rPr>
      <w:rFonts w:cs="Times New Roman"/>
      <w:sz w:val="16"/>
      <w:szCs w:val="16"/>
    </w:rPr>
  </w:style>
  <w:style w:type="paragraph" w:styleId="Textkomentra">
    <w:name w:val="annotation text"/>
    <w:basedOn w:val="Normlny"/>
    <w:link w:val="TextkomentraChar"/>
    <w:uiPriority w:val="99"/>
    <w:semiHidden/>
    <w:unhideWhenUsed/>
    <w:rsid w:val="006752EF"/>
    <w:pPr>
      <w:spacing w:after="0" w:line="240" w:lineRule="auto"/>
    </w:pPr>
    <w:rPr>
      <w:sz w:val="20"/>
      <w:szCs w:val="20"/>
      <w:lang w:eastAsia="sk-SK"/>
    </w:rPr>
  </w:style>
  <w:style w:type="character" w:customStyle="1" w:styleId="TextkomentraChar">
    <w:name w:val="Text komentára Char"/>
    <w:basedOn w:val="Predvolenpsmoodseku"/>
    <w:link w:val="Textkomentra"/>
    <w:uiPriority w:val="99"/>
    <w:semiHidden/>
    <w:locked/>
    <w:rsid w:val="006752EF"/>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6752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752EF"/>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9F701F"/>
    <w:pPr>
      <w:spacing w:after="200"/>
    </w:pPr>
    <w:rPr>
      <w:rFonts w:ascii="Arial Narrow" w:hAnsi="Arial Narrow"/>
      <w:b/>
      <w:bCs/>
      <w:lang w:eastAsia="en-US"/>
    </w:rPr>
  </w:style>
  <w:style w:type="character" w:customStyle="1" w:styleId="PredmetkomentraChar">
    <w:name w:val="Predmet komentára Char"/>
    <w:basedOn w:val="TextkomentraChar"/>
    <w:link w:val="Predmetkomentra"/>
    <w:uiPriority w:val="99"/>
    <w:semiHidden/>
    <w:locked/>
    <w:rsid w:val="009F701F"/>
    <w:rPr>
      <w:rFonts w:ascii="Times New Roman" w:hAnsi="Times New Roman" w:cs="Times New Roman"/>
      <w:b/>
      <w:bCs/>
      <w:sz w:val="20"/>
      <w:szCs w:val="20"/>
      <w:lang w:val="x-none" w:eastAsia="sk-SK"/>
    </w:rPr>
  </w:style>
  <w:style w:type="paragraph" w:styleId="Zkladntext">
    <w:name w:val="Body Text"/>
    <w:basedOn w:val="Normlny"/>
    <w:link w:val="ZkladntextChar"/>
    <w:uiPriority w:val="99"/>
    <w:rsid w:val="003A760D"/>
    <w:pPr>
      <w:spacing w:after="0" w:line="240" w:lineRule="auto"/>
      <w:jc w:val="both"/>
    </w:pPr>
    <w:rPr>
      <w:sz w:val="24"/>
      <w:szCs w:val="20"/>
      <w:lang w:eastAsia="cs-CZ"/>
    </w:rPr>
  </w:style>
  <w:style w:type="character" w:customStyle="1" w:styleId="ZkladntextChar">
    <w:name w:val="Základný text Char"/>
    <w:basedOn w:val="Predvolenpsmoodseku"/>
    <w:link w:val="Zkladntext"/>
    <w:uiPriority w:val="99"/>
    <w:locked/>
    <w:rsid w:val="003A760D"/>
    <w:rPr>
      <w:rFonts w:ascii="Times New Roman" w:hAnsi="Times New Roman" w:cs="Times New Roman"/>
      <w:sz w:val="20"/>
      <w:szCs w:val="20"/>
      <w:lang w:val="x-none" w:eastAsia="cs-CZ"/>
    </w:rPr>
  </w:style>
  <w:style w:type="paragraph" w:styleId="Revzia">
    <w:name w:val="Revision"/>
    <w:hidden/>
    <w:uiPriority w:val="99"/>
    <w:semiHidden/>
    <w:rsid w:val="003A760D"/>
    <w:pPr>
      <w:spacing w:after="0" w:line="240" w:lineRule="auto"/>
    </w:pPr>
    <w:rPr>
      <w:rFonts w:cs="Times New Roman"/>
      <w:szCs w:val="36"/>
    </w:rPr>
  </w:style>
  <w:style w:type="character" w:styleId="Siln">
    <w:name w:val="Strong"/>
    <w:basedOn w:val="Predvolenpsmoodseku"/>
    <w:uiPriority w:val="22"/>
    <w:qFormat/>
    <w:rsid w:val="00D072E8"/>
    <w:rPr>
      <w:rFonts w:cs="Times New Roman"/>
      <w:bCs/>
    </w:rPr>
  </w:style>
  <w:style w:type="character" w:customStyle="1" w:styleId="OdsekzoznamuChar">
    <w:name w:val="Odsek zoznamu Char"/>
    <w:link w:val="Odsekzoznamu"/>
    <w:uiPriority w:val="34"/>
    <w:locked/>
    <w:rsid w:val="005D5220"/>
    <w:rPr>
      <w:rFonts w:eastAsia="Times New Roman"/>
      <w:sz w:val="22"/>
      <w:lang w:val="x-none" w:eastAsia="sk-SK"/>
    </w:rPr>
  </w:style>
  <w:style w:type="paragraph" w:customStyle="1" w:styleId="Pismenka">
    <w:name w:val="Pismenka"/>
    <w:basedOn w:val="Zkladntext"/>
    <w:uiPriority w:val="99"/>
    <w:rsid w:val="005D5220"/>
    <w:pPr>
      <w:tabs>
        <w:tab w:val="num" w:pos="426"/>
      </w:tabs>
      <w:ind w:left="426" w:hanging="426"/>
    </w:pPr>
    <w:rPr>
      <w:b/>
      <w:bCs/>
      <w:sz w:val="18"/>
      <w:szCs w:val="18"/>
      <w:lang w:eastAsia="sk-SK"/>
    </w:rPr>
  </w:style>
  <w:style w:type="paragraph" w:styleId="Bezriadkovania">
    <w:name w:val="No Spacing"/>
    <w:uiPriority w:val="1"/>
    <w:qFormat/>
    <w:rsid w:val="005D5220"/>
    <w:pPr>
      <w:spacing w:after="0" w:line="240" w:lineRule="auto"/>
    </w:pPr>
    <w:rPr>
      <w:rFonts w:cs="Times New Roman"/>
      <w:szCs w:val="36"/>
    </w:rPr>
  </w:style>
  <w:style w:type="paragraph" w:styleId="Normlnywebov">
    <w:name w:val="Normal (Web)"/>
    <w:basedOn w:val="Normlny"/>
    <w:uiPriority w:val="99"/>
    <w:unhideWhenUsed/>
    <w:rsid w:val="003F1365"/>
    <w:pPr>
      <w:spacing w:after="100" w:afterAutospacing="1" w:line="240" w:lineRule="auto"/>
    </w:pPr>
    <w:rPr>
      <w:sz w:val="24"/>
      <w:szCs w:val="24"/>
      <w:lang w:eastAsia="sk-SK"/>
    </w:rPr>
  </w:style>
  <w:style w:type="character" w:styleId="Hypertextovprepojenie">
    <w:name w:val="Hyperlink"/>
    <w:basedOn w:val="Predvolenpsmoodseku"/>
    <w:uiPriority w:val="99"/>
    <w:unhideWhenUsed/>
    <w:rsid w:val="003F1365"/>
    <w:rPr>
      <w:color w:val="9E150F"/>
      <w:u w:val="single"/>
    </w:rPr>
  </w:style>
  <w:style w:type="table" w:styleId="Mriekatabuky">
    <w:name w:val="Table Grid"/>
    <w:basedOn w:val="Normlnatabuka"/>
    <w:uiPriority w:val="59"/>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3F1365"/>
  </w:style>
  <w:style w:type="paragraph" w:customStyle="1" w:styleId="Zkladntext1">
    <w:name w:val="Základní text1"/>
    <w:uiPriority w:val="99"/>
    <w:rsid w:val="003F1365"/>
    <w:pPr>
      <w:spacing w:before="144" w:after="144" w:line="240" w:lineRule="auto"/>
      <w:ind w:firstLine="709"/>
      <w:jc w:val="both"/>
    </w:pPr>
    <w:rPr>
      <w:rFonts w:ascii="Times New Roman" w:hAnsi="Times New Roman" w:cs="Times New Roman"/>
      <w:color w:val="000000"/>
      <w:sz w:val="24"/>
      <w:szCs w:val="24"/>
      <w:lang w:eastAsia="sk-SK"/>
    </w:rPr>
  </w:style>
  <w:style w:type="paragraph" w:customStyle="1" w:styleId="odstavec">
    <w:name w:val="odstavec"/>
    <w:basedOn w:val="Normlny"/>
    <w:autoRedefine/>
    <w:rsid w:val="003F1365"/>
    <w:pPr>
      <w:spacing w:after="0" w:line="240" w:lineRule="auto"/>
      <w:ind w:right="-79"/>
      <w:jc w:val="both"/>
    </w:pPr>
    <w:rPr>
      <w:sz w:val="20"/>
      <w:szCs w:val="24"/>
      <w:lang w:eastAsia="sk-SK"/>
    </w:rPr>
  </w:style>
  <w:style w:type="paragraph" w:customStyle="1" w:styleId="abc">
    <w:name w:val="abc"/>
    <w:basedOn w:val="Normlny"/>
    <w:autoRedefine/>
    <w:rsid w:val="003F1365"/>
    <w:pPr>
      <w:numPr>
        <w:numId w:val="5"/>
      </w:numPr>
      <w:spacing w:before="60" w:after="120" w:line="240" w:lineRule="auto"/>
      <w:jc w:val="both"/>
    </w:pPr>
    <w:rPr>
      <w:b/>
      <w:sz w:val="20"/>
      <w:szCs w:val="20"/>
      <w:lang w:eastAsia="sk-SK"/>
    </w:rPr>
  </w:style>
  <w:style w:type="character" w:customStyle="1" w:styleId="spanr">
    <w:name w:val="span_r"/>
    <w:basedOn w:val="Predvolenpsmoodseku"/>
    <w:rsid w:val="003F1365"/>
    <w:rPr>
      <w:rFonts w:cs="Times New Roman"/>
    </w:rPr>
  </w:style>
  <w:style w:type="paragraph" w:customStyle="1" w:styleId="CharChar1">
    <w:name w:val="Char Char1"/>
    <w:basedOn w:val="Normlny"/>
    <w:rsid w:val="003F1365"/>
    <w:pPr>
      <w:spacing w:after="160" w:line="240" w:lineRule="exact"/>
    </w:pPr>
    <w:rPr>
      <w:rFonts w:ascii="Tahoma" w:hAnsi="Tahoma"/>
      <w:sz w:val="20"/>
      <w:szCs w:val="20"/>
    </w:rPr>
  </w:style>
  <w:style w:type="character" w:customStyle="1" w:styleId="poradna-tl-reaguj1">
    <w:name w:val="poradna-tl-reaguj1"/>
    <w:rsid w:val="003F1365"/>
    <w:rPr>
      <w:color w:val="A55570"/>
      <w:sz w:val="20"/>
    </w:rPr>
  </w:style>
  <w:style w:type="paragraph" w:customStyle="1" w:styleId="Zakladnmtext">
    <w:name w:val="Z&lt;/a&gt;kladn&lt;/m&gt; text"/>
    <w:rsid w:val="003F1365"/>
    <w:pPr>
      <w:spacing w:after="0" w:line="240" w:lineRule="auto"/>
    </w:pPr>
    <w:rPr>
      <w:rFonts w:ascii="Times New Roman" w:hAnsi="Times New Roman" w:cs="Times New Roman"/>
      <w:color w:val="000000"/>
      <w:sz w:val="24"/>
      <w:szCs w:val="20"/>
      <w:lang w:val="en-US" w:eastAsia="sk-SK"/>
    </w:rPr>
  </w:style>
  <w:style w:type="paragraph" w:customStyle="1" w:styleId="Xadka">
    <w:name w:val="&lt;/X&gt;&lt;/a&gt;dka"/>
    <w:rsid w:val="003F1365"/>
    <w:pPr>
      <w:spacing w:after="0" w:line="240" w:lineRule="auto"/>
    </w:pPr>
    <w:rPr>
      <w:rFonts w:ascii="Times New Roman" w:hAnsi="Times New Roman" w:cs="Times New Roman"/>
      <w:color w:val="000000"/>
      <w:sz w:val="24"/>
      <w:szCs w:val="20"/>
      <w:lang w:val="en-US" w:eastAsia="sk-SK"/>
    </w:rPr>
  </w:style>
  <w:style w:type="paragraph" w:customStyle="1" w:styleId="Znahka">
    <w:name w:val="Zna&lt;/h&gt;ka"/>
    <w:rsid w:val="003F1365"/>
    <w:pPr>
      <w:spacing w:after="0" w:line="240" w:lineRule="auto"/>
      <w:ind w:left="288" w:hanging="288"/>
    </w:pPr>
    <w:rPr>
      <w:rFonts w:ascii="Times New Roman" w:hAnsi="Times New Roman" w:cs="Times New Roman"/>
      <w:color w:val="000000"/>
      <w:sz w:val="24"/>
      <w:szCs w:val="20"/>
      <w:lang w:val="en-US" w:eastAsia="sk-SK"/>
    </w:rPr>
  </w:style>
  <w:style w:type="paragraph" w:customStyle="1" w:styleId="Znahka1">
    <w:name w:val="Zna&lt;/h&gt;ka 1"/>
    <w:rsid w:val="003F1365"/>
    <w:pPr>
      <w:spacing w:after="0" w:line="240" w:lineRule="auto"/>
    </w:pPr>
    <w:rPr>
      <w:rFonts w:ascii="Times New Roman" w:hAnsi="Times New Roman" w:cs="Times New Roman"/>
      <w:color w:val="000000"/>
      <w:sz w:val="24"/>
      <w:szCs w:val="20"/>
      <w:lang w:val="en-US" w:eastAsia="sk-SK"/>
    </w:rPr>
  </w:style>
  <w:style w:type="paragraph" w:customStyle="1" w:styleId="Hmsloseznamu">
    <w:name w:val="&lt;/H&gt;&lt;/m&gt;slo seznamu"/>
    <w:rsid w:val="003F1365"/>
    <w:pPr>
      <w:tabs>
        <w:tab w:val="left" w:pos="576"/>
      </w:tabs>
      <w:spacing w:after="0" w:line="240" w:lineRule="auto"/>
    </w:pPr>
    <w:rPr>
      <w:rFonts w:ascii="Times New Roman" w:hAnsi="Times New Roman" w:cs="Times New Roman"/>
      <w:color w:val="000000"/>
      <w:sz w:val="24"/>
      <w:szCs w:val="20"/>
      <w:lang w:val="en-US" w:eastAsia="sk-SK"/>
    </w:rPr>
  </w:style>
  <w:style w:type="paragraph" w:customStyle="1" w:styleId="Podnadpis">
    <w:name w:val="Podnadpis"/>
    <w:rsid w:val="003F1365"/>
    <w:pPr>
      <w:spacing w:after="0" w:line="240" w:lineRule="auto"/>
    </w:pPr>
    <w:rPr>
      <w:rFonts w:ascii="Times New Roman" w:hAnsi="Times New Roman" w:cs="Times New Roman"/>
      <w:b/>
      <w:i/>
      <w:color w:val="000000"/>
      <w:sz w:val="24"/>
      <w:szCs w:val="20"/>
      <w:lang w:val="en-US" w:eastAsia="sk-SK"/>
    </w:rPr>
  </w:style>
  <w:style w:type="paragraph" w:customStyle="1" w:styleId="Nadpis">
    <w:name w:val="Nadpis"/>
    <w:rsid w:val="003F1365"/>
    <w:pPr>
      <w:spacing w:after="0" w:line="240" w:lineRule="auto"/>
      <w:jc w:val="center"/>
    </w:pPr>
    <w:rPr>
      <w:rFonts w:ascii="Arial" w:hAnsi="Arial" w:cs="Times New Roman"/>
      <w:b/>
      <w:color w:val="000000"/>
      <w:sz w:val="36"/>
      <w:szCs w:val="20"/>
      <w:lang w:val="en-US" w:eastAsia="sk-SK"/>
    </w:rPr>
  </w:style>
  <w:style w:type="paragraph" w:customStyle="1" w:styleId="Zahlavm">
    <w:name w:val="Z&lt;/a&gt;hlav&lt;/m&gt;"/>
    <w:rsid w:val="003F1365"/>
    <w:pPr>
      <w:spacing w:after="0" w:line="240" w:lineRule="auto"/>
    </w:pPr>
    <w:rPr>
      <w:rFonts w:ascii="Times New Roman" w:hAnsi="Times New Roman" w:cs="Times New Roman"/>
      <w:color w:val="000000"/>
      <w:sz w:val="24"/>
      <w:szCs w:val="20"/>
      <w:lang w:val="en-US" w:eastAsia="sk-SK"/>
    </w:rPr>
  </w:style>
  <w:style w:type="paragraph" w:customStyle="1" w:styleId="Pata">
    <w:name w:val="Pata"/>
    <w:rsid w:val="003F1365"/>
    <w:pPr>
      <w:spacing w:after="0" w:line="240" w:lineRule="auto"/>
    </w:pPr>
    <w:rPr>
      <w:rFonts w:ascii="Times New Roman" w:hAnsi="Times New Roman" w:cs="Times New Roman"/>
      <w:color w:val="000000"/>
      <w:sz w:val="24"/>
      <w:szCs w:val="20"/>
      <w:lang w:val="en-US" w:eastAsia="sk-SK"/>
    </w:rPr>
  </w:style>
  <w:style w:type="paragraph" w:customStyle="1" w:styleId="Texttabulky">
    <w:name w:val="Text tabulky"/>
    <w:rsid w:val="003F1365"/>
    <w:pPr>
      <w:spacing w:after="0" w:line="240" w:lineRule="auto"/>
    </w:pPr>
    <w:rPr>
      <w:rFonts w:ascii="Times New Roman" w:hAnsi="Times New Roman" w:cs="Times New Roman"/>
      <w:color w:val="000000"/>
      <w:sz w:val="24"/>
      <w:szCs w:val="20"/>
      <w:lang w:val="en-US" w:eastAsia="sk-SK"/>
    </w:rPr>
  </w:style>
  <w:style w:type="paragraph" w:customStyle="1" w:styleId="Zkladntext10">
    <w:name w:val="Základný text1"/>
    <w:rsid w:val="003F1365"/>
    <w:pPr>
      <w:spacing w:after="0" w:line="240" w:lineRule="auto"/>
    </w:pPr>
    <w:rPr>
      <w:rFonts w:ascii="Dutch801 SWC" w:hAnsi="Dutch801 SWC" w:cs="Times New Roman"/>
      <w:color w:val="000000"/>
      <w:sz w:val="24"/>
      <w:szCs w:val="20"/>
      <w:lang w:val="en-US" w:eastAsia="sk-SK"/>
    </w:rPr>
  </w:style>
  <w:style w:type="paragraph" w:customStyle="1" w:styleId="Zkladntext0">
    <w:name w:val="Základní text"/>
    <w:rsid w:val="003F1365"/>
    <w:pPr>
      <w:autoSpaceDE w:val="0"/>
      <w:autoSpaceDN w:val="0"/>
      <w:adjustRightInd w:val="0"/>
      <w:spacing w:after="0" w:line="240" w:lineRule="auto"/>
    </w:pPr>
    <w:rPr>
      <w:rFonts w:ascii="Times New Roman" w:hAnsi="Times New Roman" w:cs="Times New Roman"/>
      <w:color w:val="000000"/>
      <w:sz w:val="20"/>
      <w:szCs w:val="24"/>
      <w:lang w:eastAsia="sk-SK"/>
    </w:rPr>
  </w:style>
  <w:style w:type="paragraph" w:styleId="Zkladntext2">
    <w:name w:val="Body Text 2"/>
    <w:aliases w:val="Char"/>
    <w:basedOn w:val="Normlny"/>
    <w:link w:val="Zkladntext2Char"/>
    <w:uiPriority w:val="99"/>
    <w:rsid w:val="003F1365"/>
    <w:pPr>
      <w:spacing w:after="160" w:line="240" w:lineRule="exact"/>
    </w:pPr>
    <w:rPr>
      <w:rFonts w:ascii="Tahoma" w:hAnsi="Tahoma" w:cs="Tahoma"/>
      <w:sz w:val="20"/>
      <w:szCs w:val="20"/>
      <w:lang w:val="en-US"/>
    </w:rPr>
  </w:style>
  <w:style w:type="character" w:customStyle="1" w:styleId="Zkladntext2Char">
    <w:name w:val="Základný text 2 Char"/>
    <w:aliases w:val="Char Char"/>
    <w:basedOn w:val="Predvolenpsmoodseku"/>
    <w:link w:val="Zkladntext2"/>
    <w:uiPriority w:val="99"/>
    <w:locked/>
    <w:rsid w:val="003F1365"/>
    <w:rPr>
      <w:rFonts w:ascii="Times New Roman" w:hAnsi="Times New Roman" w:cs="Times New Roman"/>
      <w:sz w:val="20"/>
      <w:szCs w:val="20"/>
      <w:lang w:val="x-none" w:eastAsia="x-none"/>
    </w:rPr>
  </w:style>
  <w:style w:type="paragraph" w:styleId="Zarkazkladnhotextu">
    <w:name w:val="Body Text Indent"/>
    <w:basedOn w:val="Normlny"/>
    <w:link w:val="ZarkazkladnhotextuChar"/>
    <w:uiPriority w:val="99"/>
    <w:rsid w:val="003F1365"/>
    <w:pPr>
      <w:spacing w:after="0" w:line="240" w:lineRule="auto"/>
      <w:ind w:firstLine="708"/>
      <w:jc w:val="both"/>
    </w:pPr>
    <w:rPr>
      <w:rFonts w:ascii="Dutch801 SWC" w:hAnsi="Dutch801 SWC"/>
      <w:sz w:val="24"/>
      <w:szCs w:val="20"/>
    </w:rPr>
  </w:style>
  <w:style w:type="character" w:customStyle="1" w:styleId="ZarkazkladnhotextuChar">
    <w:name w:val="Zarážka základného textu Char"/>
    <w:basedOn w:val="Predvolenpsmoodseku"/>
    <w:link w:val="Zarkazkladnhotextu"/>
    <w:uiPriority w:val="99"/>
    <w:locked/>
    <w:rsid w:val="003F1365"/>
    <w:rPr>
      <w:rFonts w:ascii="Dutch801 SWC" w:hAnsi="Dutch801 SWC" w:cs="Times New Roman"/>
      <w:sz w:val="20"/>
      <w:szCs w:val="20"/>
      <w:lang w:val="x-none" w:eastAsia="x-none"/>
    </w:rPr>
  </w:style>
  <w:style w:type="paragraph" w:styleId="Zkladntext3">
    <w:name w:val="Body Text 3"/>
    <w:basedOn w:val="Normlny"/>
    <w:link w:val="Zkladntext3Char"/>
    <w:uiPriority w:val="99"/>
    <w:rsid w:val="003F136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1" w:lineRule="atLeast"/>
    </w:pPr>
    <w:rPr>
      <w:b/>
      <w:bCs/>
      <w:sz w:val="28"/>
      <w:szCs w:val="24"/>
    </w:rPr>
  </w:style>
  <w:style w:type="character" w:customStyle="1" w:styleId="Zkladntext3Char">
    <w:name w:val="Základný text 3 Char"/>
    <w:basedOn w:val="Predvolenpsmoodseku"/>
    <w:link w:val="Zkladntext3"/>
    <w:uiPriority w:val="99"/>
    <w:locked/>
    <w:rsid w:val="003F1365"/>
    <w:rPr>
      <w:rFonts w:ascii="Times New Roman" w:hAnsi="Times New Roman" w:cs="Times New Roman"/>
      <w:b/>
      <w:bCs/>
      <w:sz w:val="24"/>
      <w:szCs w:val="24"/>
      <w:lang w:val="x-none" w:eastAsia="x-none"/>
    </w:rPr>
  </w:style>
  <w:style w:type="paragraph" w:customStyle="1" w:styleId="Zkladntext21">
    <w:name w:val="Základný text 21"/>
    <w:basedOn w:val="Normlny"/>
    <w:rsid w:val="003F1365"/>
    <w:pPr>
      <w:widowControl w:val="0"/>
      <w:spacing w:before="120" w:after="120" w:line="240" w:lineRule="auto"/>
      <w:ind w:left="426"/>
      <w:jc w:val="both"/>
    </w:pPr>
    <w:rPr>
      <w:sz w:val="24"/>
      <w:szCs w:val="20"/>
      <w:lang w:val="cs-CZ"/>
    </w:rPr>
  </w:style>
  <w:style w:type="paragraph" w:customStyle="1" w:styleId="08Textsprvy">
    <w:name w:val="08. Text správy"/>
    <w:basedOn w:val="Normlny"/>
    <w:rsid w:val="003F1365"/>
    <w:pPr>
      <w:spacing w:after="0" w:line="240" w:lineRule="auto"/>
      <w:jc w:val="both"/>
    </w:pPr>
    <w:rPr>
      <w:sz w:val="24"/>
      <w:szCs w:val="20"/>
      <w:lang w:eastAsia="cs-CZ"/>
    </w:rPr>
  </w:style>
  <w:style w:type="table" w:customStyle="1" w:styleId="Mriekatabuky1">
    <w:name w:val="Mriežka tabuľky1"/>
    <w:basedOn w:val="Normlnatabuka"/>
    <w:next w:val="Mriekatabuky"/>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y"/>
    <w:rsid w:val="003F1365"/>
    <w:pPr>
      <w:spacing w:after="160" w:line="240" w:lineRule="exact"/>
    </w:pPr>
    <w:rPr>
      <w:rFonts w:ascii="Tahoma" w:hAnsi="Tahoma"/>
      <w:sz w:val="20"/>
      <w:szCs w:val="20"/>
    </w:rPr>
  </w:style>
  <w:style w:type="paragraph" w:customStyle="1" w:styleId="titulok">
    <w:name w:val="titulok"/>
    <w:basedOn w:val="Normlny"/>
    <w:rsid w:val="003F1365"/>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CharCharCharCharCharCharCharCharChar1Char">
    <w:name w:val="Char Char Char Char Char Char Char Char Char1 Char"/>
    <w:basedOn w:val="Normlny"/>
    <w:rsid w:val="003F1365"/>
    <w:pPr>
      <w:spacing w:after="160" w:line="240" w:lineRule="exact"/>
    </w:pPr>
    <w:rPr>
      <w:rFonts w:ascii="Tahoma" w:hAnsi="Tahoma"/>
      <w:sz w:val="20"/>
      <w:szCs w:val="20"/>
      <w:lang w:val="en-US"/>
    </w:rPr>
  </w:style>
  <w:style w:type="paragraph" w:customStyle="1" w:styleId="Char1">
    <w:name w:val="Char1"/>
    <w:basedOn w:val="Normlny"/>
    <w:rsid w:val="003F1365"/>
    <w:pPr>
      <w:spacing w:after="160" w:line="240" w:lineRule="exact"/>
    </w:pPr>
    <w:rPr>
      <w:rFonts w:ascii="Tahoma" w:hAnsi="Tahoma" w:cs="Tahoma"/>
      <w:sz w:val="20"/>
      <w:szCs w:val="20"/>
      <w:lang w:val="en-US"/>
    </w:rPr>
  </w:style>
  <w:style w:type="paragraph" w:customStyle="1" w:styleId="tlCharCharChar1CharCharCharChar">
    <w:name w:val="Štýl Char Char Char1 Char Char Char Char"/>
    <w:basedOn w:val="Normlny"/>
    <w:rsid w:val="003F1365"/>
    <w:pPr>
      <w:spacing w:after="160" w:line="240" w:lineRule="exact"/>
    </w:pPr>
    <w:rPr>
      <w:rFonts w:ascii="Tahoma" w:hAnsi="Tahoma" w:cs="Tahoma"/>
      <w:sz w:val="20"/>
      <w:szCs w:val="20"/>
      <w:lang w:val="en-US"/>
    </w:rPr>
  </w:style>
  <w:style w:type="paragraph" w:customStyle="1" w:styleId="AUTunVycentrovan">
    <w:name w:val="AU Tučné Vycentrované"/>
    <w:basedOn w:val="Normlny"/>
    <w:rsid w:val="003F1365"/>
    <w:pPr>
      <w:spacing w:after="0" w:line="240" w:lineRule="auto"/>
      <w:jc w:val="center"/>
    </w:pPr>
    <w:rPr>
      <w:b/>
      <w:bCs/>
      <w:sz w:val="24"/>
      <w:szCs w:val="20"/>
      <w:lang w:eastAsia="cs-CZ"/>
    </w:rPr>
  </w:style>
  <w:style w:type="paragraph" w:customStyle="1" w:styleId="AUODRAKA">
    <w:name w:val="AU ODRAŽKA"/>
    <w:basedOn w:val="Normlny"/>
    <w:rsid w:val="003F1365"/>
    <w:pPr>
      <w:numPr>
        <w:numId w:val="6"/>
      </w:numPr>
      <w:spacing w:before="120" w:after="0" w:line="240" w:lineRule="auto"/>
      <w:jc w:val="both"/>
    </w:pPr>
    <w:rPr>
      <w:sz w:val="24"/>
      <w:szCs w:val="20"/>
      <w:lang w:eastAsia="cs-CZ"/>
    </w:rPr>
  </w:style>
  <w:style w:type="paragraph" w:customStyle="1" w:styleId="CharCharCharCharCharChar1">
    <w:name w:val="Char Char Char Char Char Char1"/>
    <w:basedOn w:val="Normlny"/>
    <w:rsid w:val="003F1365"/>
    <w:pPr>
      <w:spacing w:after="160" w:line="240" w:lineRule="exact"/>
    </w:pPr>
    <w:rPr>
      <w:rFonts w:ascii="Tahoma" w:hAnsi="Tahoma" w:cs="Tahoma"/>
      <w:sz w:val="20"/>
      <w:szCs w:val="20"/>
      <w:lang w:val="en-US"/>
    </w:rPr>
  </w:style>
  <w:style w:type="paragraph" w:customStyle="1" w:styleId="Zarkazkladnhotextu21">
    <w:name w:val="Zarážka základného textu 21"/>
    <w:basedOn w:val="Normlny"/>
    <w:rsid w:val="003F1365"/>
    <w:pPr>
      <w:overflowPunct w:val="0"/>
      <w:autoSpaceDE w:val="0"/>
      <w:autoSpaceDN w:val="0"/>
      <w:adjustRightInd w:val="0"/>
      <w:spacing w:before="120" w:after="0" w:line="240" w:lineRule="auto"/>
      <w:ind w:left="284" w:hanging="284"/>
      <w:jc w:val="both"/>
      <w:textAlignment w:val="baseline"/>
    </w:pPr>
    <w:rPr>
      <w:sz w:val="24"/>
      <w:szCs w:val="20"/>
      <w:lang w:eastAsia="cs-CZ"/>
    </w:rPr>
  </w:style>
  <w:style w:type="paragraph" w:styleId="Zoznamsodrkami2">
    <w:name w:val="List Bullet 2"/>
    <w:basedOn w:val="Normlny"/>
    <w:autoRedefine/>
    <w:uiPriority w:val="99"/>
    <w:rsid w:val="003F1365"/>
    <w:pPr>
      <w:numPr>
        <w:numId w:val="7"/>
      </w:numPr>
      <w:spacing w:after="0" w:line="240" w:lineRule="auto"/>
    </w:pPr>
    <w:rPr>
      <w:rFonts w:ascii="Courier" w:hAnsi="Courier" w:cs="Courier"/>
      <w:sz w:val="24"/>
      <w:szCs w:val="24"/>
      <w:lang w:eastAsia="cs-CZ"/>
    </w:rPr>
  </w:style>
  <w:style w:type="paragraph" w:customStyle="1" w:styleId="CharCharChar2CharCharCharCharChar">
    <w:name w:val="Char Char Char2 Char Char Char Char Char"/>
    <w:basedOn w:val="Normlny"/>
    <w:rsid w:val="003F1365"/>
    <w:pPr>
      <w:spacing w:after="160" w:line="240" w:lineRule="exact"/>
    </w:pPr>
    <w:rPr>
      <w:rFonts w:ascii="Tahoma" w:hAnsi="Tahoma"/>
      <w:sz w:val="20"/>
      <w:szCs w:val="20"/>
      <w:lang w:val="en-US"/>
    </w:rPr>
  </w:style>
  <w:style w:type="table" w:customStyle="1" w:styleId="Normlnatabuka1">
    <w:name w:val="Normálna tabuľka1"/>
    <w:next w:val="Normlnatabuka"/>
    <w:semiHidden/>
    <w:unhideWhenUsed/>
    <w:qFormat/>
    <w:rsid w:val="003F1365"/>
    <w:pPr>
      <w:spacing w:after="0" w:line="240" w:lineRule="auto"/>
    </w:pPr>
    <w:rPr>
      <w:rFonts w:ascii="Dutch801 SWC" w:hAnsi="Dutch801 SWC" w:cs="Times New Roman"/>
      <w:sz w:val="20"/>
      <w:szCs w:val="20"/>
      <w:lang w:eastAsia="sk-SK"/>
    </w:rPr>
    <w:tblPr>
      <w:tblInd w:w="0" w:type="dxa"/>
      <w:tblCellMar>
        <w:top w:w="0" w:type="dxa"/>
        <w:left w:w="108" w:type="dxa"/>
        <w:bottom w:w="0" w:type="dxa"/>
        <w:right w:w="108" w:type="dxa"/>
      </w:tblCellMar>
    </w:tblPr>
  </w:style>
  <w:style w:type="character" w:customStyle="1" w:styleId="ZkladntextodsazenChar">
    <w:name w:val="Základní text odsazený Char"/>
    <w:rsid w:val="003F1365"/>
    <w:rPr>
      <w:rFonts w:ascii="AT* Times New Roman" w:hAnsi="AT* Times New Roman"/>
      <w:sz w:val="24"/>
      <w:lang w:val="sk-SK" w:eastAsia="cs-CZ"/>
    </w:rPr>
  </w:style>
  <w:style w:type="table" w:customStyle="1" w:styleId="Normlnatabuka2">
    <w:name w:val="Normálna tabuľka2"/>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3">
    <w:name w:val="Normálna tabuľka3"/>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4">
    <w:name w:val="Normálna tabuľka4"/>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5">
    <w:name w:val="Normálna tabuľka5"/>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6">
    <w:name w:val="Normálna tabuľka6"/>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7">
    <w:name w:val="Normálna tabuľka7"/>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8">
    <w:name w:val="Normálna tabuľka8"/>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9">
    <w:name w:val="Normálna tabuľka9"/>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0">
    <w:name w:val="Normálna tabuľka10"/>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1">
    <w:name w:val="Normálna tabuľka11"/>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2">
    <w:name w:val="Normálna tabuľka12"/>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3">
    <w:name w:val="Normálna tabuľka13"/>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table" w:customStyle="1" w:styleId="Normlnatabuka14">
    <w:name w:val="Normálna tabuľka14"/>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paragraph" w:customStyle="1" w:styleId="CharCharCharChar1CharChar">
    <w:name w:val="Char Char Char Char1 Char Char"/>
    <w:basedOn w:val="Normlny"/>
    <w:rsid w:val="003F1365"/>
    <w:pPr>
      <w:spacing w:after="160" w:line="240" w:lineRule="exact"/>
    </w:pPr>
    <w:rPr>
      <w:rFonts w:ascii="Tahoma" w:hAnsi="Tahoma" w:cs="Tahoma"/>
      <w:sz w:val="20"/>
      <w:szCs w:val="20"/>
      <w:lang w:val="en-US"/>
    </w:rPr>
  </w:style>
  <w:style w:type="table" w:customStyle="1" w:styleId="Normlnatabuka15">
    <w:name w:val="Normálna tabuľka15"/>
    <w:next w:val="Normlnatabuka"/>
    <w:semiHidden/>
    <w:unhideWhenUsed/>
    <w:qFormat/>
    <w:rsid w:val="003F1365"/>
    <w:pPr>
      <w:spacing w:after="0" w:line="240" w:lineRule="auto"/>
    </w:pPr>
    <w:rPr>
      <w:rFonts w:ascii="Calibri" w:hAnsi="Calibri" w:cs="Times New Roman"/>
      <w:sz w:val="20"/>
      <w:szCs w:val="20"/>
      <w:lang w:eastAsia="sk-SK"/>
    </w:rPr>
    <w:tblPr>
      <w:tblInd w:w="0" w:type="dxa"/>
      <w:tblCellMar>
        <w:top w:w="0" w:type="dxa"/>
        <w:left w:w="108" w:type="dxa"/>
        <w:bottom w:w="0" w:type="dxa"/>
        <w:right w:w="108" w:type="dxa"/>
      </w:tblCellMar>
    </w:tblPr>
  </w:style>
  <w:style w:type="paragraph" w:styleId="Obsah1">
    <w:name w:val="toc 1"/>
    <w:basedOn w:val="Normlny"/>
    <w:next w:val="Normlny"/>
    <w:autoRedefine/>
    <w:uiPriority w:val="39"/>
    <w:unhideWhenUsed/>
    <w:rsid w:val="005A1C55"/>
    <w:pPr>
      <w:tabs>
        <w:tab w:val="left" w:pos="426"/>
        <w:tab w:val="right" w:leader="dot" w:pos="9062"/>
      </w:tabs>
      <w:spacing w:after="120" w:line="240" w:lineRule="auto"/>
    </w:pPr>
    <w:rPr>
      <w:rFonts w:cs="Courier"/>
      <w:sz w:val="24"/>
      <w:szCs w:val="24"/>
      <w:lang w:eastAsia="cs-CZ"/>
    </w:rPr>
  </w:style>
  <w:style w:type="paragraph" w:styleId="Obyajntext">
    <w:name w:val="Plain Text"/>
    <w:basedOn w:val="Normlny"/>
    <w:link w:val="ObyajntextChar"/>
    <w:uiPriority w:val="99"/>
    <w:unhideWhenUsed/>
    <w:rsid w:val="003F1365"/>
    <w:pPr>
      <w:spacing w:after="0" w:line="240" w:lineRule="auto"/>
    </w:pPr>
    <w:rPr>
      <w:szCs w:val="21"/>
    </w:rPr>
  </w:style>
  <w:style w:type="character" w:customStyle="1" w:styleId="ObyajntextChar">
    <w:name w:val="Obyčajný text Char"/>
    <w:basedOn w:val="Predvolenpsmoodseku"/>
    <w:link w:val="Obyajntext"/>
    <w:uiPriority w:val="99"/>
    <w:locked/>
    <w:rsid w:val="003F1365"/>
    <w:rPr>
      <w:rFonts w:eastAsia="Times New Roman" w:cs="Times New Roman"/>
      <w:sz w:val="21"/>
      <w:szCs w:val="21"/>
      <w:lang w:val="x-none" w:eastAsia="x-none"/>
    </w:rPr>
  </w:style>
  <w:style w:type="paragraph" w:customStyle="1" w:styleId="Default">
    <w:name w:val="Default"/>
    <w:rsid w:val="003F1365"/>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PouitHypertextovPrepojenie">
    <w:name w:val="FollowedHyperlink"/>
    <w:basedOn w:val="Predvolenpsmoodseku"/>
    <w:uiPriority w:val="99"/>
    <w:semiHidden/>
    <w:unhideWhenUsed/>
    <w:rsid w:val="003F1365"/>
    <w:rPr>
      <w:color w:val="800080"/>
      <w:u w:val="single"/>
    </w:rPr>
  </w:style>
  <w:style w:type="paragraph" w:customStyle="1" w:styleId="xl687">
    <w:name w:val="xl687"/>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88">
    <w:name w:val="xl688"/>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89">
    <w:name w:val="xl689"/>
    <w:basedOn w:val="Normlny"/>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0">
    <w:name w:val="xl690"/>
    <w:basedOn w:val="Normlny"/>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691">
    <w:name w:val="xl691"/>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hAnsi="Arial" w:cs="Arial"/>
      <w:sz w:val="20"/>
      <w:szCs w:val="20"/>
      <w:lang w:eastAsia="sk-SK"/>
    </w:rPr>
  </w:style>
  <w:style w:type="paragraph" w:customStyle="1" w:styleId="xl692">
    <w:name w:val="xl692"/>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3">
    <w:name w:val="xl693"/>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4">
    <w:name w:val="xl694"/>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5">
    <w:name w:val="xl695"/>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6">
    <w:name w:val="xl696"/>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697">
    <w:name w:val="xl697"/>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698">
    <w:name w:val="xl698"/>
    <w:basedOn w:val="Normlny"/>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9">
    <w:name w:val="xl699"/>
    <w:basedOn w:val="Normlny"/>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700">
    <w:name w:val="xl700"/>
    <w:basedOn w:val="Normlny"/>
    <w:rsid w:val="003F1365"/>
    <w:pPr>
      <w:shd w:val="clear" w:color="000000" w:fill="FFFFFF"/>
      <w:spacing w:before="100" w:beforeAutospacing="1" w:after="100" w:afterAutospacing="1" w:line="240" w:lineRule="auto"/>
    </w:pPr>
    <w:rPr>
      <w:rFonts w:ascii="Arial" w:hAnsi="Arial" w:cs="Arial"/>
      <w:b/>
      <w:bCs/>
      <w:sz w:val="20"/>
      <w:szCs w:val="20"/>
      <w:lang w:eastAsia="sk-SK"/>
    </w:rPr>
  </w:style>
  <w:style w:type="paragraph" w:customStyle="1" w:styleId="xl701">
    <w:name w:val="xl701"/>
    <w:basedOn w:val="Normlny"/>
    <w:rsid w:val="003F1365"/>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2">
    <w:name w:val="xl702"/>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3">
    <w:name w:val="xl703"/>
    <w:basedOn w:val="Normlny"/>
    <w:rsid w:val="003F1365"/>
    <w:pPr>
      <w:pBdr>
        <w:left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4">
    <w:name w:val="xl704"/>
    <w:basedOn w:val="Normlny"/>
    <w:rsid w:val="003F1365"/>
    <w:pP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5">
    <w:name w:val="xl705"/>
    <w:basedOn w:val="Normlny"/>
    <w:rsid w:val="003F1365"/>
    <w:pPr>
      <w:pBdr>
        <w:bottom w:val="single" w:sz="4" w:space="0" w:color="000000"/>
      </w:pBdr>
      <w:shd w:val="clear" w:color="000000" w:fill="FFFFFF"/>
      <w:spacing w:before="100" w:beforeAutospacing="1" w:after="100" w:afterAutospacing="1" w:line="240" w:lineRule="auto"/>
      <w:textAlignment w:val="center"/>
    </w:pPr>
    <w:rPr>
      <w:rFonts w:ascii="Arial" w:hAnsi="Arial" w:cs="Arial"/>
      <w:sz w:val="20"/>
      <w:szCs w:val="20"/>
      <w:lang w:eastAsia="sk-SK"/>
    </w:rPr>
  </w:style>
  <w:style w:type="paragraph" w:customStyle="1" w:styleId="xl706">
    <w:name w:val="xl706"/>
    <w:basedOn w:val="Normlny"/>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07">
    <w:name w:val="xl707"/>
    <w:basedOn w:val="Normlny"/>
    <w:rsid w:val="003F1365"/>
    <w:pPr>
      <w:pBdr>
        <w:top w:val="single" w:sz="4" w:space="0" w:color="000000"/>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8">
    <w:name w:val="xl708"/>
    <w:basedOn w:val="Normlny"/>
    <w:rsid w:val="003F1365"/>
    <w:pPr>
      <w:pBdr>
        <w:top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09">
    <w:name w:val="xl709"/>
    <w:basedOn w:val="Normlny"/>
    <w:rsid w:val="003F1365"/>
    <w:pPr>
      <w:pBdr>
        <w:top w:val="single" w:sz="4" w:space="0" w:color="000000"/>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0">
    <w:name w:val="xl710"/>
    <w:basedOn w:val="Normlny"/>
    <w:rsid w:val="003F1365"/>
    <w:pPr>
      <w:pBdr>
        <w:lef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1">
    <w:name w:val="xl711"/>
    <w:basedOn w:val="Normlny"/>
    <w:rsid w:val="003F1365"/>
    <w:pP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2">
    <w:name w:val="xl712"/>
    <w:basedOn w:val="Normlny"/>
    <w:rsid w:val="003F1365"/>
    <w:pPr>
      <w:pBdr>
        <w:right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13">
    <w:name w:val="xl713"/>
    <w:basedOn w:val="Normlny"/>
    <w:rsid w:val="003F1365"/>
    <w:pPr>
      <w:spacing w:before="100" w:beforeAutospacing="1" w:after="100" w:afterAutospacing="1" w:line="240" w:lineRule="auto"/>
      <w:textAlignment w:val="top"/>
    </w:pPr>
    <w:rPr>
      <w:rFonts w:ascii="Arial" w:hAnsi="Arial" w:cs="Arial"/>
      <w:sz w:val="20"/>
      <w:szCs w:val="20"/>
      <w:lang w:eastAsia="sk-SK"/>
    </w:rPr>
  </w:style>
  <w:style w:type="paragraph" w:customStyle="1" w:styleId="xl714">
    <w:name w:val="xl714"/>
    <w:basedOn w:val="Normlny"/>
    <w:rsid w:val="003F1365"/>
    <w:pPr>
      <w:pBdr>
        <w:right w:val="single" w:sz="4" w:space="0" w:color="000000"/>
      </w:pBdr>
      <w:spacing w:before="100" w:beforeAutospacing="1" w:after="100" w:afterAutospacing="1" w:line="240" w:lineRule="auto"/>
    </w:pPr>
    <w:rPr>
      <w:rFonts w:ascii="Arial" w:hAnsi="Arial" w:cs="Arial"/>
      <w:sz w:val="20"/>
      <w:szCs w:val="20"/>
      <w:lang w:eastAsia="sk-SK"/>
    </w:rPr>
  </w:style>
  <w:style w:type="paragraph" w:customStyle="1" w:styleId="xl715">
    <w:name w:val="xl715"/>
    <w:basedOn w:val="Normlny"/>
    <w:rsid w:val="003F1365"/>
    <w:pPr>
      <w:pBdr>
        <w:lef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6">
    <w:name w:val="xl716"/>
    <w:basedOn w:val="Normlny"/>
    <w:rsid w:val="003F1365"/>
    <w:pPr>
      <w:pBdr>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7">
    <w:name w:val="xl717"/>
    <w:basedOn w:val="Normlny"/>
    <w:rsid w:val="003F1365"/>
    <w:pPr>
      <w:pBdr>
        <w:left w:val="single" w:sz="4" w:space="0" w:color="000000"/>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8">
    <w:name w:val="xl718"/>
    <w:basedOn w:val="Normlny"/>
    <w:rsid w:val="003F1365"/>
    <w:pPr>
      <w:pBdr>
        <w:bottom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19">
    <w:name w:val="xl719"/>
    <w:basedOn w:val="Normlny"/>
    <w:rsid w:val="003F1365"/>
    <w:pPr>
      <w:pBdr>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20"/>
      <w:szCs w:val="20"/>
      <w:lang w:eastAsia="sk-SK"/>
    </w:rPr>
  </w:style>
  <w:style w:type="paragraph" w:customStyle="1" w:styleId="xl720">
    <w:name w:val="xl720"/>
    <w:basedOn w:val="Normlny"/>
    <w:rsid w:val="003F1365"/>
    <w:pPr>
      <w:pBdr>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customStyle="1" w:styleId="xl721">
    <w:name w:val="xl721"/>
    <w:basedOn w:val="Normlny"/>
    <w:rsid w:val="003F1365"/>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Arial" w:hAnsi="Arial" w:cs="Arial"/>
      <w:b/>
      <w:bCs/>
      <w:sz w:val="20"/>
      <w:szCs w:val="20"/>
      <w:lang w:eastAsia="sk-SK"/>
    </w:rPr>
  </w:style>
  <w:style w:type="paragraph" w:styleId="Textvysvetlivky">
    <w:name w:val="endnote text"/>
    <w:basedOn w:val="Normlny"/>
    <w:link w:val="TextvysvetlivkyChar"/>
    <w:uiPriority w:val="99"/>
    <w:semiHidden/>
    <w:unhideWhenUsed/>
    <w:rsid w:val="00096FC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096FC8"/>
    <w:rPr>
      <w:rFonts w:cs="Times New Roman"/>
      <w:sz w:val="20"/>
      <w:szCs w:val="20"/>
    </w:rPr>
  </w:style>
  <w:style w:type="character" w:styleId="Odkaznavysvetlivku">
    <w:name w:val="endnote reference"/>
    <w:basedOn w:val="Predvolenpsmoodseku"/>
    <w:uiPriority w:val="99"/>
    <w:semiHidden/>
    <w:unhideWhenUsed/>
    <w:rsid w:val="00096FC8"/>
    <w:rPr>
      <w:rFonts w:cs="Times New Roman"/>
      <w:vertAlign w:val="superscript"/>
    </w:rPr>
  </w:style>
  <w:style w:type="paragraph" w:styleId="Obsah2">
    <w:name w:val="toc 2"/>
    <w:basedOn w:val="Normlny"/>
    <w:next w:val="Normlny"/>
    <w:autoRedefine/>
    <w:uiPriority w:val="39"/>
    <w:unhideWhenUsed/>
    <w:rsid w:val="00FC793E"/>
    <w:pPr>
      <w:tabs>
        <w:tab w:val="left" w:pos="709"/>
        <w:tab w:val="right" w:leader="dot" w:pos="9062"/>
      </w:tabs>
      <w:spacing w:after="120" w:line="240" w:lineRule="auto"/>
      <w:ind w:left="709" w:hanging="488"/>
    </w:pPr>
  </w:style>
  <w:style w:type="paragraph" w:styleId="Obsah3">
    <w:name w:val="toc 3"/>
    <w:basedOn w:val="Normlny"/>
    <w:next w:val="Normlny"/>
    <w:autoRedefine/>
    <w:uiPriority w:val="39"/>
    <w:unhideWhenUsed/>
    <w:rsid w:val="00802EEB"/>
    <w:pPr>
      <w:tabs>
        <w:tab w:val="left" w:pos="1134"/>
        <w:tab w:val="right" w:leader="dot" w:pos="9062"/>
      </w:tabs>
      <w:spacing w:after="100" w:line="240" w:lineRule="auto"/>
      <w:ind w:left="440"/>
    </w:pPr>
  </w:style>
  <w:style w:type="paragraph" w:styleId="Hlavikaobsahu">
    <w:name w:val="TOC Heading"/>
    <w:basedOn w:val="Nadpis1"/>
    <w:next w:val="Normlny"/>
    <w:uiPriority w:val="39"/>
    <w:unhideWhenUsed/>
    <w:qFormat/>
    <w:rsid w:val="00B43103"/>
    <w:pPr>
      <w:numPr>
        <w:numId w:val="0"/>
      </w:numPr>
      <w:spacing w:before="480" w:after="0"/>
      <w:outlineLvl w:val="9"/>
    </w:pPr>
    <w:rPr>
      <w:rFonts w:asciiTheme="majorHAnsi" w:hAnsiTheme="majorHAnsi"/>
      <w:color w:val="365F91" w:themeColor="accent1" w:themeShade="BF"/>
      <w:sz w:val="28"/>
      <w:szCs w:val="28"/>
      <w:lang w:eastAsia="sk-SK"/>
    </w:rPr>
  </w:style>
  <w:style w:type="paragraph" w:customStyle="1" w:styleId="Pa14">
    <w:name w:val="Pa14"/>
    <w:basedOn w:val="Default"/>
    <w:next w:val="Default"/>
    <w:uiPriority w:val="99"/>
    <w:rsid w:val="00CE1C18"/>
    <w:pPr>
      <w:spacing w:line="181" w:lineRule="atLeast"/>
    </w:pPr>
    <w:rPr>
      <w:rFonts w:ascii="Franklin Got Itc TCE" w:hAnsi="Franklin Got Itc TCE"/>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6852">
      <w:bodyDiv w:val="1"/>
      <w:marLeft w:val="0"/>
      <w:marRight w:val="0"/>
      <w:marTop w:val="0"/>
      <w:marBottom w:val="0"/>
      <w:divBdr>
        <w:top w:val="none" w:sz="0" w:space="0" w:color="auto"/>
        <w:left w:val="none" w:sz="0" w:space="0" w:color="auto"/>
        <w:bottom w:val="none" w:sz="0" w:space="0" w:color="auto"/>
        <w:right w:val="none" w:sz="0" w:space="0" w:color="auto"/>
      </w:divBdr>
    </w:div>
    <w:div w:id="485320466">
      <w:bodyDiv w:val="1"/>
      <w:marLeft w:val="0"/>
      <w:marRight w:val="0"/>
      <w:marTop w:val="0"/>
      <w:marBottom w:val="0"/>
      <w:divBdr>
        <w:top w:val="none" w:sz="0" w:space="0" w:color="auto"/>
        <w:left w:val="none" w:sz="0" w:space="0" w:color="auto"/>
        <w:bottom w:val="none" w:sz="0" w:space="0" w:color="auto"/>
        <w:right w:val="none" w:sz="0" w:space="0" w:color="auto"/>
      </w:divBdr>
    </w:div>
    <w:div w:id="1350062370">
      <w:bodyDiv w:val="1"/>
      <w:marLeft w:val="0"/>
      <w:marRight w:val="0"/>
      <w:marTop w:val="0"/>
      <w:marBottom w:val="0"/>
      <w:divBdr>
        <w:top w:val="none" w:sz="0" w:space="0" w:color="auto"/>
        <w:left w:val="none" w:sz="0" w:space="0" w:color="auto"/>
        <w:bottom w:val="none" w:sz="0" w:space="0" w:color="auto"/>
        <w:right w:val="none" w:sz="0" w:space="0" w:color="auto"/>
      </w:divBdr>
    </w:div>
    <w:div w:id="1584535414">
      <w:bodyDiv w:val="1"/>
      <w:marLeft w:val="0"/>
      <w:marRight w:val="0"/>
      <w:marTop w:val="0"/>
      <w:marBottom w:val="0"/>
      <w:divBdr>
        <w:top w:val="none" w:sz="0" w:space="0" w:color="auto"/>
        <w:left w:val="none" w:sz="0" w:space="0" w:color="auto"/>
        <w:bottom w:val="none" w:sz="0" w:space="0" w:color="auto"/>
        <w:right w:val="none" w:sz="0" w:space="0" w:color="auto"/>
      </w:divBdr>
    </w:div>
    <w:div w:id="1938521178">
      <w:marLeft w:val="0"/>
      <w:marRight w:val="0"/>
      <w:marTop w:val="0"/>
      <w:marBottom w:val="0"/>
      <w:divBdr>
        <w:top w:val="none" w:sz="0" w:space="0" w:color="auto"/>
        <w:left w:val="none" w:sz="0" w:space="0" w:color="auto"/>
        <w:bottom w:val="none" w:sz="0" w:space="0" w:color="auto"/>
        <w:right w:val="none" w:sz="0" w:space="0" w:color="auto"/>
      </w:divBdr>
    </w:div>
    <w:div w:id="1938521179">
      <w:marLeft w:val="0"/>
      <w:marRight w:val="0"/>
      <w:marTop w:val="0"/>
      <w:marBottom w:val="0"/>
      <w:divBdr>
        <w:top w:val="none" w:sz="0" w:space="0" w:color="auto"/>
        <w:left w:val="none" w:sz="0" w:space="0" w:color="auto"/>
        <w:bottom w:val="none" w:sz="0" w:space="0" w:color="auto"/>
        <w:right w:val="none" w:sz="0" w:space="0" w:color="auto"/>
      </w:divBdr>
    </w:div>
    <w:div w:id="1938521180">
      <w:marLeft w:val="0"/>
      <w:marRight w:val="0"/>
      <w:marTop w:val="0"/>
      <w:marBottom w:val="0"/>
      <w:divBdr>
        <w:top w:val="none" w:sz="0" w:space="0" w:color="auto"/>
        <w:left w:val="none" w:sz="0" w:space="0" w:color="auto"/>
        <w:bottom w:val="none" w:sz="0" w:space="0" w:color="auto"/>
        <w:right w:val="none" w:sz="0" w:space="0" w:color="auto"/>
      </w:divBdr>
    </w:div>
    <w:div w:id="1938521181">
      <w:marLeft w:val="0"/>
      <w:marRight w:val="0"/>
      <w:marTop w:val="0"/>
      <w:marBottom w:val="0"/>
      <w:divBdr>
        <w:top w:val="none" w:sz="0" w:space="0" w:color="auto"/>
        <w:left w:val="none" w:sz="0" w:space="0" w:color="auto"/>
        <w:bottom w:val="none" w:sz="0" w:space="0" w:color="auto"/>
        <w:right w:val="none" w:sz="0" w:space="0" w:color="auto"/>
      </w:divBdr>
    </w:div>
    <w:div w:id="1938521182">
      <w:marLeft w:val="0"/>
      <w:marRight w:val="0"/>
      <w:marTop w:val="0"/>
      <w:marBottom w:val="0"/>
      <w:divBdr>
        <w:top w:val="none" w:sz="0" w:space="0" w:color="auto"/>
        <w:left w:val="none" w:sz="0" w:space="0" w:color="auto"/>
        <w:bottom w:val="none" w:sz="0" w:space="0" w:color="auto"/>
        <w:right w:val="none" w:sz="0" w:space="0" w:color="auto"/>
      </w:divBdr>
    </w:div>
    <w:div w:id="1938521183">
      <w:marLeft w:val="0"/>
      <w:marRight w:val="0"/>
      <w:marTop w:val="0"/>
      <w:marBottom w:val="0"/>
      <w:divBdr>
        <w:top w:val="none" w:sz="0" w:space="0" w:color="auto"/>
        <w:left w:val="none" w:sz="0" w:space="0" w:color="auto"/>
        <w:bottom w:val="none" w:sz="0" w:space="0" w:color="auto"/>
        <w:right w:val="none" w:sz="0" w:space="0" w:color="auto"/>
      </w:divBdr>
    </w:div>
    <w:div w:id="1938521184">
      <w:marLeft w:val="0"/>
      <w:marRight w:val="0"/>
      <w:marTop w:val="0"/>
      <w:marBottom w:val="0"/>
      <w:divBdr>
        <w:top w:val="none" w:sz="0" w:space="0" w:color="auto"/>
        <w:left w:val="none" w:sz="0" w:space="0" w:color="auto"/>
        <w:bottom w:val="none" w:sz="0" w:space="0" w:color="auto"/>
        <w:right w:val="none" w:sz="0" w:space="0" w:color="auto"/>
      </w:divBdr>
    </w:div>
    <w:div w:id="1938521185">
      <w:marLeft w:val="0"/>
      <w:marRight w:val="0"/>
      <w:marTop w:val="0"/>
      <w:marBottom w:val="0"/>
      <w:divBdr>
        <w:top w:val="none" w:sz="0" w:space="0" w:color="auto"/>
        <w:left w:val="none" w:sz="0" w:space="0" w:color="auto"/>
        <w:bottom w:val="none" w:sz="0" w:space="0" w:color="auto"/>
        <w:right w:val="none" w:sz="0" w:space="0" w:color="auto"/>
      </w:divBdr>
    </w:div>
    <w:div w:id="1938521186">
      <w:marLeft w:val="0"/>
      <w:marRight w:val="0"/>
      <w:marTop w:val="0"/>
      <w:marBottom w:val="0"/>
      <w:divBdr>
        <w:top w:val="none" w:sz="0" w:space="0" w:color="auto"/>
        <w:left w:val="none" w:sz="0" w:space="0" w:color="auto"/>
        <w:bottom w:val="none" w:sz="0" w:space="0" w:color="auto"/>
        <w:right w:val="none" w:sz="0" w:space="0" w:color="auto"/>
      </w:divBdr>
    </w:div>
    <w:div w:id="1938521187">
      <w:marLeft w:val="0"/>
      <w:marRight w:val="0"/>
      <w:marTop w:val="0"/>
      <w:marBottom w:val="0"/>
      <w:divBdr>
        <w:top w:val="none" w:sz="0" w:space="0" w:color="auto"/>
        <w:left w:val="none" w:sz="0" w:space="0" w:color="auto"/>
        <w:bottom w:val="none" w:sz="0" w:space="0" w:color="auto"/>
        <w:right w:val="none" w:sz="0" w:space="0" w:color="auto"/>
      </w:divBdr>
    </w:div>
    <w:div w:id="1938521188">
      <w:marLeft w:val="0"/>
      <w:marRight w:val="0"/>
      <w:marTop w:val="0"/>
      <w:marBottom w:val="0"/>
      <w:divBdr>
        <w:top w:val="none" w:sz="0" w:space="0" w:color="auto"/>
        <w:left w:val="none" w:sz="0" w:space="0" w:color="auto"/>
        <w:bottom w:val="none" w:sz="0" w:space="0" w:color="auto"/>
        <w:right w:val="none" w:sz="0" w:space="0" w:color="auto"/>
      </w:divBdr>
    </w:div>
    <w:div w:id="1938521189">
      <w:marLeft w:val="0"/>
      <w:marRight w:val="0"/>
      <w:marTop w:val="0"/>
      <w:marBottom w:val="0"/>
      <w:divBdr>
        <w:top w:val="none" w:sz="0" w:space="0" w:color="auto"/>
        <w:left w:val="none" w:sz="0" w:space="0" w:color="auto"/>
        <w:bottom w:val="none" w:sz="0" w:space="0" w:color="auto"/>
        <w:right w:val="none" w:sz="0" w:space="0" w:color="auto"/>
      </w:divBdr>
    </w:div>
    <w:div w:id="1938521190">
      <w:marLeft w:val="0"/>
      <w:marRight w:val="0"/>
      <w:marTop w:val="0"/>
      <w:marBottom w:val="0"/>
      <w:divBdr>
        <w:top w:val="none" w:sz="0" w:space="0" w:color="auto"/>
        <w:left w:val="none" w:sz="0" w:space="0" w:color="auto"/>
        <w:bottom w:val="none" w:sz="0" w:space="0" w:color="auto"/>
        <w:right w:val="none" w:sz="0" w:space="0" w:color="auto"/>
      </w:divBdr>
    </w:div>
    <w:div w:id="1938521191">
      <w:marLeft w:val="0"/>
      <w:marRight w:val="0"/>
      <w:marTop w:val="0"/>
      <w:marBottom w:val="0"/>
      <w:divBdr>
        <w:top w:val="none" w:sz="0" w:space="0" w:color="auto"/>
        <w:left w:val="none" w:sz="0" w:space="0" w:color="auto"/>
        <w:bottom w:val="none" w:sz="0" w:space="0" w:color="auto"/>
        <w:right w:val="none" w:sz="0" w:space="0" w:color="auto"/>
      </w:divBdr>
    </w:div>
    <w:div w:id="1938521192">
      <w:marLeft w:val="0"/>
      <w:marRight w:val="0"/>
      <w:marTop w:val="0"/>
      <w:marBottom w:val="0"/>
      <w:divBdr>
        <w:top w:val="none" w:sz="0" w:space="0" w:color="auto"/>
        <w:left w:val="none" w:sz="0" w:space="0" w:color="auto"/>
        <w:bottom w:val="none" w:sz="0" w:space="0" w:color="auto"/>
        <w:right w:val="none" w:sz="0" w:space="0" w:color="auto"/>
      </w:divBdr>
    </w:div>
    <w:div w:id="1938521193">
      <w:marLeft w:val="0"/>
      <w:marRight w:val="0"/>
      <w:marTop w:val="0"/>
      <w:marBottom w:val="0"/>
      <w:divBdr>
        <w:top w:val="none" w:sz="0" w:space="0" w:color="auto"/>
        <w:left w:val="none" w:sz="0" w:space="0" w:color="auto"/>
        <w:bottom w:val="none" w:sz="0" w:space="0" w:color="auto"/>
        <w:right w:val="none" w:sz="0" w:space="0" w:color="auto"/>
      </w:divBdr>
    </w:div>
    <w:div w:id="1938521194">
      <w:marLeft w:val="0"/>
      <w:marRight w:val="0"/>
      <w:marTop w:val="0"/>
      <w:marBottom w:val="0"/>
      <w:divBdr>
        <w:top w:val="none" w:sz="0" w:space="0" w:color="auto"/>
        <w:left w:val="none" w:sz="0" w:space="0" w:color="auto"/>
        <w:bottom w:val="none" w:sz="0" w:space="0" w:color="auto"/>
        <w:right w:val="none" w:sz="0" w:space="0" w:color="auto"/>
      </w:divBdr>
    </w:div>
    <w:div w:id="1938521195">
      <w:marLeft w:val="0"/>
      <w:marRight w:val="0"/>
      <w:marTop w:val="0"/>
      <w:marBottom w:val="0"/>
      <w:divBdr>
        <w:top w:val="none" w:sz="0" w:space="0" w:color="auto"/>
        <w:left w:val="none" w:sz="0" w:space="0" w:color="auto"/>
        <w:bottom w:val="none" w:sz="0" w:space="0" w:color="auto"/>
        <w:right w:val="none" w:sz="0" w:space="0" w:color="auto"/>
      </w:divBdr>
    </w:div>
    <w:div w:id="1938521196">
      <w:marLeft w:val="0"/>
      <w:marRight w:val="0"/>
      <w:marTop w:val="0"/>
      <w:marBottom w:val="0"/>
      <w:divBdr>
        <w:top w:val="none" w:sz="0" w:space="0" w:color="auto"/>
        <w:left w:val="none" w:sz="0" w:space="0" w:color="auto"/>
        <w:bottom w:val="none" w:sz="0" w:space="0" w:color="auto"/>
        <w:right w:val="none" w:sz="0" w:space="0" w:color="auto"/>
      </w:divBdr>
    </w:div>
    <w:div w:id="1938521197">
      <w:marLeft w:val="0"/>
      <w:marRight w:val="0"/>
      <w:marTop w:val="0"/>
      <w:marBottom w:val="0"/>
      <w:divBdr>
        <w:top w:val="none" w:sz="0" w:space="0" w:color="auto"/>
        <w:left w:val="none" w:sz="0" w:space="0" w:color="auto"/>
        <w:bottom w:val="none" w:sz="0" w:space="0" w:color="auto"/>
        <w:right w:val="none" w:sz="0" w:space="0" w:color="auto"/>
      </w:divBdr>
    </w:div>
    <w:div w:id="1938521198">
      <w:marLeft w:val="0"/>
      <w:marRight w:val="0"/>
      <w:marTop w:val="0"/>
      <w:marBottom w:val="0"/>
      <w:divBdr>
        <w:top w:val="none" w:sz="0" w:space="0" w:color="auto"/>
        <w:left w:val="none" w:sz="0" w:space="0" w:color="auto"/>
        <w:bottom w:val="none" w:sz="0" w:space="0" w:color="auto"/>
        <w:right w:val="none" w:sz="0" w:space="0" w:color="auto"/>
      </w:divBdr>
    </w:div>
    <w:div w:id="1938521199">
      <w:marLeft w:val="0"/>
      <w:marRight w:val="0"/>
      <w:marTop w:val="0"/>
      <w:marBottom w:val="0"/>
      <w:divBdr>
        <w:top w:val="none" w:sz="0" w:space="0" w:color="auto"/>
        <w:left w:val="none" w:sz="0" w:space="0" w:color="auto"/>
        <w:bottom w:val="none" w:sz="0" w:space="0" w:color="auto"/>
        <w:right w:val="none" w:sz="0" w:space="0" w:color="auto"/>
      </w:divBdr>
    </w:div>
    <w:div w:id="1938521200">
      <w:marLeft w:val="0"/>
      <w:marRight w:val="0"/>
      <w:marTop w:val="0"/>
      <w:marBottom w:val="0"/>
      <w:divBdr>
        <w:top w:val="none" w:sz="0" w:space="0" w:color="auto"/>
        <w:left w:val="none" w:sz="0" w:space="0" w:color="auto"/>
        <w:bottom w:val="none" w:sz="0" w:space="0" w:color="auto"/>
        <w:right w:val="none" w:sz="0" w:space="0" w:color="auto"/>
      </w:divBdr>
    </w:div>
    <w:div w:id="1938521201">
      <w:marLeft w:val="0"/>
      <w:marRight w:val="0"/>
      <w:marTop w:val="0"/>
      <w:marBottom w:val="0"/>
      <w:divBdr>
        <w:top w:val="none" w:sz="0" w:space="0" w:color="auto"/>
        <w:left w:val="none" w:sz="0" w:space="0" w:color="auto"/>
        <w:bottom w:val="none" w:sz="0" w:space="0" w:color="auto"/>
        <w:right w:val="none" w:sz="0" w:space="0" w:color="auto"/>
      </w:divBdr>
    </w:div>
    <w:div w:id="1938521202">
      <w:marLeft w:val="0"/>
      <w:marRight w:val="0"/>
      <w:marTop w:val="0"/>
      <w:marBottom w:val="0"/>
      <w:divBdr>
        <w:top w:val="none" w:sz="0" w:space="0" w:color="auto"/>
        <w:left w:val="none" w:sz="0" w:space="0" w:color="auto"/>
        <w:bottom w:val="none" w:sz="0" w:space="0" w:color="auto"/>
        <w:right w:val="none" w:sz="0" w:space="0" w:color="auto"/>
      </w:divBdr>
    </w:div>
    <w:div w:id="1938521203">
      <w:marLeft w:val="0"/>
      <w:marRight w:val="0"/>
      <w:marTop w:val="0"/>
      <w:marBottom w:val="0"/>
      <w:divBdr>
        <w:top w:val="none" w:sz="0" w:space="0" w:color="auto"/>
        <w:left w:val="none" w:sz="0" w:space="0" w:color="auto"/>
        <w:bottom w:val="none" w:sz="0" w:space="0" w:color="auto"/>
        <w:right w:val="none" w:sz="0" w:space="0" w:color="auto"/>
      </w:divBdr>
    </w:div>
    <w:div w:id="1938521204">
      <w:marLeft w:val="0"/>
      <w:marRight w:val="0"/>
      <w:marTop w:val="0"/>
      <w:marBottom w:val="0"/>
      <w:divBdr>
        <w:top w:val="none" w:sz="0" w:space="0" w:color="auto"/>
        <w:left w:val="none" w:sz="0" w:space="0" w:color="auto"/>
        <w:bottom w:val="none" w:sz="0" w:space="0" w:color="auto"/>
        <w:right w:val="none" w:sz="0" w:space="0" w:color="auto"/>
      </w:divBdr>
    </w:div>
    <w:div w:id="1938521205">
      <w:marLeft w:val="0"/>
      <w:marRight w:val="0"/>
      <w:marTop w:val="0"/>
      <w:marBottom w:val="0"/>
      <w:divBdr>
        <w:top w:val="none" w:sz="0" w:space="0" w:color="auto"/>
        <w:left w:val="none" w:sz="0" w:space="0" w:color="auto"/>
        <w:bottom w:val="none" w:sz="0" w:space="0" w:color="auto"/>
        <w:right w:val="none" w:sz="0" w:space="0" w:color="auto"/>
      </w:divBdr>
    </w:div>
    <w:div w:id="1938521206">
      <w:marLeft w:val="0"/>
      <w:marRight w:val="0"/>
      <w:marTop w:val="0"/>
      <w:marBottom w:val="0"/>
      <w:divBdr>
        <w:top w:val="none" w:sz="0" w:space="0" w:color="auto"/>
        <w:left w:val="none" w:sz="0" w:space="0" w:color="auto"/>
        <w:bottom w:val="none" w:sz="0" w:space="0" w:color="auto"/>
        <w:right w:val="none" w:sz="0" w:space="0" w:color="auto"/>
      </w:divBdr>
    </w:div>
    <w:div w:id="1938521207">
      <w:marLeft w:val="0"/>
      <w:marRight w:val="0"/>
      <w:marTop w:val="0"/>
      <w:marBottom w:val="0"/>
      <w:divBdr>
        <w:top w:val="none" w:sz="0" w:space="0" w:color="auto"/>
        <w:left w:val="none" w:sz="0" w:space="0" w:color="auto"/>
        <w:bottom w:val="none" w:sz="0" w:space="0" w:color="auto"/>
        <w:right w:val="none" w:sz="0" w:space="0" w:color="auto"/>
      </w:divBdr>
    </w:div>
    <w:div w:id="1938521208">
      <w:marLeft w:val="0"/>
      <w:marRight w:val="0"/>
      <w:marTop w:val="0"/>
      <w:marBottom w:val="0"/>
      <w:divBdr>
        <w:top w:val="none" w:sz="0" w:space="0" w:color="auto"/>
        <w:left w:val="none" w:sz="0" w:space="0" w:color="auto"/>
        <w:bottom w:val="none" w:sz="0" w:space="0" w:color="auto"/>
        <w:right w:val="none" w:sz="0" w:space="0" w:color="auto"/>
      </w:divBdr>
    </w:div>
    <w:div w:id="1938521209">
      <w:marLeft w:val="0"/>
      <w:marRight w:val="0"/>
      <w:marTop w:val="0"/>
      <w:marBottom w:val="0"/>
      <w:divBdr>
        <w:top w:val="none" w:sz="0" w:space="0" w:color="auto"/>
        <w:left w:val="none" w:sz="0" w:space="0" w:color="auto"/>
        <w:bottom w:val="none" w:sz="0" w:space="0" w:color="auto"/>
        <w:right w:val="none" w:sz="0" w:space="0" w:color="auto"/>
      </w:divBdr>
    </w:div>
    <w:div w:id="1938521210">
      <w:marLeft w:val="0"/>
      <w:marRight w:val="0"/>
      <w:marTop w:val="0"/>
      <w:marBottom w:val="0"/>
      <w:divBdr>
        <w:top w:val="none" w:sz="0" w:space="0" w:color="auto"/>
        <w:left w:val="none" w:sz="0" w:space="0" w:color="auto"/>
        <w:bottom w:val="none" w:sz="0" w:space="0" w:color="auto"/>
        <w:right w:val="none" w:sz="0" w:space="0" w:color="auto"/>
      </w:divBdr>
    </w:div>
    <w:div w:id="1938521211">
      <w:marLeft w:val="0"/>
      <w:marRight w:val="0"/>
      <w:marTop w:val="0"/>
      <w:marBottom w:val="0"/>
      <w:divBdr>
        <w:top w:val="none" w:sz="0" w:space="0" w:color="auto"/>
        <w:left w:val="none" w:sz="0" w:space="0" w:color="auto"/>
        <w:bottom w:val="none" w:sz="0" w:space="0" w:color="auto"/>
        <w:right w:val="none" w:sz="0" w:space="0" w:color="auto"/>
      </w:divBdr>
    </w:div>
    <w:div w:id="1938521212">
      <w:marLeft w:val="0"/>
      <w:marRight w:val="0"/>
      <w:marTop w:val="0"/>
      <w:marBottom w:val="0"/>
      <w:divBdr>
        <w:top w:val="none" w:sz="0" w:space="0" w:color="auto"/>
        <w:left w:val="none" w:sz="0" w:space="0" w:color="auto"/>
        <w:bottom w:val="none" w:sz="0" w:space="0" w:color="auto"/>
        <w:right w:val="none" w:sz="0" w:space="0" w:color="auto"/>
      </w:divBdr>
    </w:div>
    <w:div w:id="1938521213">
      <w:marLeft w:val="0"/>
      <w:marRight w:val="0"/>
      <w:marTop w:val="0"/>
      <w:marBottom w:val="0"/>
      <w:divBdr>
        <w:top w:val="none" w:sz="0" w:space="0" w:color="auto"/>
        <w:left w:val="none" w:sz="0" w:space="0" w:color="auto"/>
        <w:bottom w:val="none" w:sz="0" w:space="0" w:color="auto"/>
        <w:right w:val="none" w:sz="0" w:space="0" w:color="auto"/>
      </w:divBdr>
    </w:div>
    <w:div w:id="1938521214">
      <w:marLeft w:val="0"/>
      <w:marRight w:val="0"/>
      <w:marTop w:val="0"/>
      <w:marBottom w:val="0"/>
      <w:divBdr>
        <w:top w:val="none" w:sz="0" w:space="0" w:color="auto"/>
        <w:left w:val="none" w:sz="0" w:space="0" w:color="auto"/>
        <w:bottom w:val="none" w:sz="0" w:space="0" w:color="auto"/>
        <w:right w:val="none" w:sz="0" w:space="0" w:color="auto"/>
      </w:divBdr>
    </w:div>
    <w:div w:id="1938521215">
      <w:marLeft w:val="0"/>
      <w:marRight w:val="0"/>
      <w:marTop w:val="0"/>
      <w:marBottom w:val="0"/>
      <w:divBdr>
        <w:top w:val="none" w:sz="0" w:space="0" w:color="auto"/>
        <w:left w:val="none" w:sz="0" w:space="0" w:color="auto"/>
        <w:bottom w:val="none" w:sz="0" w:space="0" w:color="auto"/>
        <w:right w:val="none" w:sz="0" w:space="0" w:color="auto"/>
      </w:divBdr>
    </w:div>
    <w:div w:id="1938521216">
      <w:marLeft w:val="0"/>
      <w:marRight w:val="0"/>
      <w:marTop w:val="0"/>
      <w:marBottom w:val="0"/>
      <w:divBdr>
        <w:top w:val="none" w:sz="0" w:space="0" w:color="auto"/>
        <w:left w:val="none" w:sz="0" w:space="0" w:color="auto"/>
        <w:bottom w:val="none" w:sz="0" w:space="0" w:color="auto"/>
        <w:right w:val="none" w:sz="0" w:space="0" w:color="auto"/>
      </w:divBdr>
    </w:div>
    <w:div w:id="1938521217">
      <w:marLeft w:val="0"/>
      <w:marRight w:val="0"/>
      <w:marTop w:val="0"/>
      <w:marBottom w:val="0"/>
      <w:divBdr>
        <w:top w:val="none" w:sz="0" w:space="0" w:color="auto"/>
        <w:left w:val="none" w:sz="0" w:space="0" w:color="auto"/>
        <w:bottom w:val="none" w:sz="0" w:space="0" w:color="auto"/>
        <w:right w:val="none" w:sz="0" w:space="0" w:color="auto"/>
      </w:divBdr>
    </w:div>
    <w:div w:id="1938521218">
      <w:marLeft w:val="0"/>
      <w:marRight w:val="0"/>
      <w:marTop w:val="0"/>
      <w:marBottom w:val="0"/>
      <w:divBdr>
        <w:top w:val="none" w:sz="0" w:space="0" w:color="auto"/>
        <w:left w:val="none" w:sz="0" w:space="0" w:color="auto"/>
        <w:bottom w:val="none" w:sz="0" w:space="0" w:color="auto"/>
        <w:right w:val="none" w:sz="0" w:space="0" w:color="auto"/>
      </w:divBdr>
    </w:div>
    <w:div w:id="1938521219">
      <w:marLeft w:val="0"/>
      <w:marRight w:val="0"/>
      <w:marTop w:val="0"/>
      <w:marBottom w:val="0"/>
      <w:divBdr>
        <w:top w:val="none" w:sz="0" w:space="0" w:color="auto"/>
        <w:left w:val="none" w:sz="0" w:space="0" w:color="auto"/>
        <w:bottom w:val="none" w:sz="0" w:space="0" w:color="auto"/>
        <w:right w:val="none" w:sz="0" w:space="0" w:color="auto"/>
      </w:divBdr>
    </w:div>
    <w:div w:id="1938521220">
      <w:marLeft w:val="0"/>
      <w:marRight w:val="0"/>
      <w:marTop w:val="0"/>
      <w:marBottom w:val="0"/>
      <w:divBdr>
        <w:top w:val="none" w:sz="0" w:space="0" w:color="auto"/>
        <w:left w:val="none" w:sz="0" w:space="0" w:color="auto"/>
        <w:bottom w:val="none" w:sz="0" w:space="0" w:color="auto"/>
        <w:right w:val="none" w:sz="0" w:space="0" w:color="auto"/>
      </w:divBdr>
    </w:div>
    <w:div w:id="1938521221">
      <w:marLeft w:val="0"/>
      <w:marRight w:val="0"/>
      <w:marTop w:val="0"/>
      <w:marBottom w:val="0"/>
      <w:divBdr>
        <w:top w:val="none" w:sz="0" w:space="0" w:color="auto"/>
        <w:left w:val="none" w:sz="0" w:space="0" w:color="auto"/>
        <w:bottom w:val="none" w:sz="0" w:space="0" w:color="auto"/>
        <w:right w:val="none" w:sz="0" w:space="0" w:color="auto"/>
      </w:divBdr>
    </w:div>
    <w:div w:id="1938521222">
      <w:marLeft w:val="0"/>
      <w:marRight w:val="0"/>
      <w:marTop w:val="0"/>
      <w:marBottom w:val="0"/>
      <w:divBdr>
        <w:top w:val="none" w:sz="0" w:space="0" w:color="auto"/>
        <w:left w:val="none" w:sz="0" w:space="0" w:color="auto"/>
        <w:bottom w:val="none" w:sz="0" w:space="0" w:color="auto"/>
        <w:right w:val="none" w:sz="0" w:space="0" w:color="auto"/>
      </w:divBdr>
    </w:div>
    <w:div w:id="1938521223">
      <w:marLeft w:val="0"/>
      <w:marRight w:val="0"/>
      <w:marTop w:val="0"/>
      <w:marBottom w:val="0"/>
      <w:divBdr>
        <w:top w:val="none" w:sz="0" w:space="0" w:color="auto"/>
        <w:left w:val="none" w:sz="0" w:space="0" w:color="auto"/>
        <w:bottom w:val="none" w:sz="0" w:space="0" w:color="auto"/>
        <w:right w:val="none" w:sz="0" w:space="0" w:color="auto"/>
      </w:divBdr>
    </w:div>
    <w:div w:id="1938521224">
      <w:marLeft w:val="0"/>
      <w:marRight w:val="0"/>
      <w:marTop w:val="0"/>
      <w:marBottom w:val="0"/>
      <w:divBdr>
        <w:top w:val="none" w:sz="0" w:space="0" w:color="auto"/>
        <w:left w:val="none" w:sz="0" w:space="0" w:color="auto"/>
        <w:bottom w:val="none" w:sz="0" w:space="0" w:color="auto"/>
        <w:right w:val="none" w:sz="0" w:space="0" w:color="auto"/>
      </w:divBdr>
    </w:div>
    <w:div w:id="1938521225">
      <w:marLeft w:val="0"/>
      <w:marRight w:val="0"/>
      <w:marTop w:val="0"/>
      <w:marBottom w:val="0"/>
      <w:divBdr>
        <w:top w:val="none" w:sz="0" w:space="0" w:color="auto"/>
        <w:left w:val="none" w:sz="0" w:space="0" w:color="auto"/>
        <w:bottom w:val="none" w:sz="0" w:space="0" w:color="auto"/>
        <w:right w:val="none" w:sz="0" w:space="0" w:color="auto"/>
      </w:divBdr>
    </w:div>
    <w:div w:id="1938521226">
      <w:marLeft w:val="0"/>
      <w:marRight w:val="0"/>
      <w:marTop w:val="0"/>
      <w:marBottom w:val="0"/>
      <w:divBdr>
        <w:top w:val="none" w:sz="0" w:space="0" w:color="auto"/>
        <w:left w:val="none" w:sz="0" w:space="0" w:color="auto"/>
        <w:bottom w:val="none" w:sz="0" w:space="0" w:color="auto"/>
        <w:right w:val="none" w:sz="0" w:space="0" w:color="auto"/>
      </w:divBdr>
    </w:div>
    <w:div w:id="1938521227">
      <w:marLeft w:val="0"/>
      <w:marRight w:val="0"/>
      <w:marTop w:val="0"/>
      <w:marBottom w:val="0"/>
      <w:divBdr>
        <w:top w:val="none" w:sz="0" w:space="0" w:color="auto"/>
        <w:left w:val="none" w:sz="0" w:space="0" w:color="auto"/>
        <w:bottom w:val="none" w:sz="0" w:space="0" w:color="auto"/>
        <w:right w:val="none" w:sz="0" w:space="0" w:color="auto"/>
      </w:divBdr>
    </w:div>
    <w:div w:id="1938521228">
      <w:marLeft w:val="0"/>
      <w:marRight w:val="0"/>
      <w:marTop w:val="0"/>
      <w:marBottom w:val="0"/>
      <w:divBdr>
        <w:top w:val="none" w:sz="0" w:space="0" w:color="auto"/>
        <w:left w:val="none" w:sz="0" w:space="0" w:color="auto"/>
        <w:bottom w:val="none" w:sz="0" w:space="0" w:color="auto"/>
        <w:right w:val="none" w:sz="0" w:space="0" w:color="auto"/>
      </w:divBdr>
    </w:div>
    <w:div w:id="1938521229">
      <w:marLeft w:val="0"/>
      <w:marRight w:val="0"/>
      <w:marTop w:val="0"/>
      <w:marBottom w:val="0"/>
      <w:divBdr>
        <w:top w:val="none" w:sz="0" w:space="0" w:color="auto"/>
        <w:left w:val="none" w:sz="0" w:space="0" w:color="auto"/>
        <w:bottom w:val="none" w:sz="0" w:space="0" w:color="auto"/>
        <w:right w:val="none" w:sz="0" w:space="0" w:color="auto"/>
      </w:divBdr>
    </w:div>
    <w:div w:id="1938521230">
      <w:marLeft w:val="0"/>
      <w:marRight w:val="0"/>
      <w:marTop w:val="0"/>
      <w:marBottom w:val="0"/>
      <w:divBdr>
        <w:top w:val="none" w:sz="0" w:space="0" w:color="auto"/>
        <w:left w:val="none" w:sz="0" w:space="0" w:color="auto"/>
        <w:bottom w:val="none" w:sz="0" w:space="0" w:color="auto"/>
        <w:right w:val="none" w:sz="0" w:space="0" w:color="auto"/>
      </w:divBdr>
    </w:div>
    <w:div w:id="1938521231">
      <w:marLeft w:val="0"/>
      <w:marRight w:val="0"/>
      <w:marTop w:val="0"/>
      <w:marBottom w:val="0"/>
      <w:divBdr>
        <w:top w:val="none" w:sz="0" w:space="0" w:color="auto"/>
        <w:left w:val="none" w:sz="0" w:space="0" w:color="auto"/>
        <w:bottom w:val="none" w:sz="0" w:space="0" w:color="auto"/>
        <w:right w:val="none" w:sz="0" w:space="0" w:color="auto"/>
      </w:divBdr>
    </w:div>
    <w:div w:id="1938521232">
      <w:marLeft w:val="0"/>
      <w:marRight w:val="0"/>
      <w:marTop w:val="0"/>
      <w:marBottom w:val="0"/>
      <w:divBdr>
        <w:top w:val="none" w:sz="0" w:space="0" w:color="auto"/>
        <w:left w:val="none" w:sz="0" w:space="0" w:color="auto"/>
        <w:bottom w:val="none" w:sz="0" w:space="0" w:color="auto"/>
        <w:right w:val="none" w:sz="0" w:space="0" w:color="auto"/>
      </w:divBdr>
    </w:div>
    <w:div w:id="1938521233">
      <w:marLeft w:val="0"/>
      <w:marRight w:val="0"/>
      <w:marTop w:val="0"/>
      <w:marBottom w:val="0"/>
      <w:divBdr>
        <w:top w:val="none" w:sz="0" w:space="0" w:color="auto"/>
        <w:left w:val="none" w:sz="0" w:space="0" w:color="auto"/>
        <w:bottom w:val="none" w:sz="0" w:space="0" w:color="auto"/>
        <w:right w:val="none" w:sz="0" w:space="0" w:color="auto"/>
      </w:divBdr>
    </w:div>
    <w:div w:id="1938521234">
      <w:marLeft w:val="0"/>
      <w:marRight w:val="0"/>
      <w:marTop w:val="0"/>
      <w:marBottom w:val="0"/>
      <w:divBdr>
        <w:top w:val="none" w:sz="0" w:space="0" w:color="auto"/>
        <w:left w:val="none" w:sz="0" w:space="0" w:color="auto"/>
        <w:bottom w:val="none" w:sz="0" w:space="0" w:color="auto"/>
        <w:right w:val="none" w:sz="0" w:space="0" w:color="auto"/>
      </w:divBdr>
    </w:div>
    <w:div w:id="1938521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sm.europa.eu" TargetMode="External"/><Relationship Id="rId3" Type="http://schemas.openxmlformats.org/officeDocument/2006/relationships/hyperlink" Target="https://ec.europa.eu/eurostat/documents/737960/9861115/Benchmark_revisions_2019.pdf" TargetMode="External"/><Relationship Id="rId7" Type="http://schemas.openxmlformats.org/officeDocument/2006/relationships/hyperlink" Target="https://www.ardal.sk/sk/o-nas/strategia-riadenia-dlhu" TargetMode="External"/><Relationship Id="rId2" Type="http://schemas.openxmlformats.org/officeDocument/2006/relationships/hyperlink" Target="https://ec.europa.eu/eurostat/web/products-manuals-and-guidelines/-/KS-GQ-19-007" TargetMode="External"/><Relationship Id="rId1" Type="http://schemas.openxmlformats.org/officeDocument/2006/relationships/hyperlink" Target="http://www.slovak.statistics.sk" TargetMode="External"/><Relationship Id="rId6" Type="http://schemas.openxmlformats.org/officeDocument/2006/relationships/hyperlink" Target="https://ec.europa.eu/info/sites/info/files/ip052_en_0.pdf" TargetMode="External"/><Relationship Id="rId5" Type="http://schemas.openxmlformats.org/officeDocument/2006/relationships/hyperlink" Target="http://www.finance.gov.sk" TargetMode="External"/><Relationship Id="rId4" Type="http://schemas.openxmlformats.org/officeDocument/2006/relationships/hyperlink" Target="https://ec.europa.eu/eurostat/documents/3859598/9530664/KS-GQ-18-012-EN-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08744640059465E-2"/>
          <c:y val="0.11640659241011381"/>
          <c:w val="0.89533926254968044"/>
          <c:h val="0.67402897214623592"/>
        </c:manualLayout>
      </c:layout>
      <c:lineChart>
        <c:grouping val="standard"/>
        <c:varyColors val="0"/>
        <c:ser>
          <c:idx val="0"/>
          <c:order val="0"/>
          <c:tx>
            <c:v>10-ročný</c:v>
          </c:tx>
          <c:spPr>
            <a:ln w="28575">
              <a:solidFill>
                <a:schemeClr val="accent1">
                  <a:lumMod val="75000"/>
                </a:schemeClr>
              </a:solidFill>
            </a:ln>
          </c:spPr>
          <c:marker>
            <c:symbol val="none"/>
          </c:marker>
          <c:cat>
            <c:numRef>
              <c:f>general!$ME$2:$PJ$2</c:f>
              <c:numCache>
                <c:formatCode>mmm\-yy</c:formatCode>
                <c:ptCount val="84"/>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pt idx="36">
                  <c:v>42005</c:v>
                </c:pt>
                <c:pt idx="37">
                  <c:v>42036</c:v>
                </c:pt>
                <c:pt idx="38">
                  <c:v>42064</c:v>
                </c:pt>
                <c:pt idx="39">
                  <c:v>42095</c:v>
                </c:pt>
                <c:pt idx="40">
                  <c:v>42125</c:v>
                </c:pt>
                <c:pt idx="41">
                  <c:v>42156</c:v>
                </c:pt>
                <c:pt idx="42">
                  <c:v>42186</c:v>
                </c:pt>
                <c:pt idx="43">
                  <c:v>42217</c:v>
                </c:pt>
                <c:pt idx="44">
                  <c:v>42248</c:v>
                </c:pt>
                <c:pt idx="45">
                  <c:v>42278</c:v>
                </c:pt>
                <c:pt idx="46">
                  <c:v>42309</c:v>
                </c:pt>
                <c:pt idx="47">
                  <c:v>42339</c:v>
                </c:pt>
                <c:pt idx="48">
                  <c:v>42370</c:v>
                </c:pt>
                <c:pt idx="49">
                  <c:v>42401</c:v>
                </c:pt>
                <c:pt idx="50">
                  <c:v>42430</c:v>
                </c:pt>
                <c:pt idx="51">
                  <c:v>42461</c:v>
                </c:pt>
                <c:pt idx="52">
                  <c:v>42491</c:v>
                </c:pt>
                <c:pt idx="53">
                  <c:v>42522</c:v>
                </c:pt>
                <c:pt idx="54">
                  <c:v>42552</c:v>
                </c:pt>
                <c:pt idx="55">
                  <c:v>42583</c:v>
                </c:pt>
                <c:pt idx="56">
                  <c:v>42614</c:v>
                </c:pt>
                <c:pt idx="57">
                  <c:v>42644</c:v>
                </c:pt>
                <c:pt idx="58">
                  <c:v>42675</c:v>
                </c:pt>
                <c:pt idx="59">
                  <c:v>42705</c:v>
                </c:pt>
                <c:pt idx="60">
                  <c:v>42736</c:v>
                </c:pt>
                <c:pt idx="61">
                  <c:v>42767</c:v>
                </c:pt>
                <c:pt idx="62">
                  <c:v>42795</c:v>
                </c:pt>
                <c:pt idx="63">
                  <c:v>42826</c:v>
                </c:pt>
                <c:pt idx="64">
                  <c:v>42856</c:v>
                </c:pt>
                <c:pt idx="65">
                  <c:v>42887</c:v>
                </c:pt>
                <c:pt idx="66">
                  <c:v>42917</c:v>
                </c:pt>
                <c:pt idx="67">
                  <c:v>42948</c:v>
                </c:pt>
                <c:pt idx="68">
                  <c:v>42979</c:v>
                </c:pt>
                <c:pt idx="69">
                  <c:v>43009</c:v>
                </c:pt>
                <c:pt idx="70">
                  <c:v>43040</c:v>
                </c:pt>
                <c:pt idx="71">
                  <c:v>43070</c:v>
                </c:pt>
                <c:pt idx="72">
                  <c:v>43101</c:v>
                </c:pt>
                <c:pt idx="73">
                  <c:v>43132</c:v>
                </c:pt>
                <c:pt idx="74">
                  <c:v>43160</c:v>
                </c:pt>
                <c:pt idx="75">
                  <c:v>43191</c:v>
                </c:pt>
                <c:pt idx="76">
                  <c:v>43221</c:v>
                </c:pt>
                <c:pt idx="77">
                  <c:v>43252</c:v>
                </c:pt>
                <c:pt idx="78">
                  <c:v>43282</c:v>
                </c:pt>
                <c:pt idx="79">
                  <c:v>43313</c:v>
                </c:pt>
                <c:pt idx="80">
                  <c:v>43344</c:v>
                </c:pt>
                <c:pt idx="81">
                  <c:v>43374</c:v>
                </c:pt>
                <c:pt idx="82">
                  <c:v>43405</c:v>
                </c:pt>
                <c:pt idx="83">
                  <c:v>43435</c:v>
                </c:pt>
              </c:numCache>
            </c:numRef>
          </c:cat>
          <c:val>
            <c:numRef>
              <c:f>general!$ME$101:$PJ$101</c:f>
              <c:numCache>
                <c:formatCode>0.00</c:formatCode>
                <c:ptCount val="84"/>
                <c:pt idx="0">
                  <c:v>5.5376190476190477</c:v>
                </c:pt>
                <c:pt idx="1">
                  <c:v>4.9666666666666659</c:v>
                </c:pt>
                <c:pt idx="2">
                  <c:v>4.5563636363636366</c:v>
                </c:pt>
                <c:pt idx="3">
                  <c:v>4.2389473684210532</c:v>
                </c:pt>
                <c:pt idx="4">
                  <c:v>4.003333333333333</c:v>
                </c:pt>
                <c:pt idx="5">
                  <c:v>4.0633333333333326</c:v>
                </c:pt>
                <c:pt idx="6">
                  <c:v>3.8342857142857136</c:v>
                </c:pt>
                <c:pt idx="7">
                  <c:v>3.6172727272727272</c:v>
                </c:pt>
                <c:pt idx="8">
                  <c:v>3.4390000000000005</c:v>
                </c:pt>
                <c:pt idx="9">
                  <c:v>3.1543478260869571</c:v>
                </c:pt>
                <c:pt idx="10">
                  <c:v>2.9990476190476185</c:v>
                </c:pt>
                <c:pt idx="11">
                  <c:v>2.8216666666666668</c:v>
                </c:pt>
                <c:pt idx="12">
                  <c:v>3.0518181818181818</c:v>
                </c:pt>
                <c:pt idx="13">
                  <c:v>3.1605000000000003</c:v>
                </c:pt>
                <c:pt idx="14">
                  <c:v>3.1294999999999997</c:v>
                </c:pt>
                <c:pt idx="15">
                  <c:v>2.9590476190476189</c:v>
                </c:pt>
                <c:pt idx="16">
                  <c:v>2.5814285714285723</c:v>
                </c:pt>
                <c:pt idx="17">
                  <c:v>2.6399999999999997</c:v>
                </c:pt>
                <c:pt idx="18">
                  <c:v>2.83</c:v>
                </c:pt>
                <c:pt idx="19">
                  <c:v>2.8995238095238096</c:v>
                </c:pt>
                <c:pt idx="20">
                  <c:v>2.9709523809523808</c:v>
                </c:pt>
                <c:pt idx="21">
                  <c:v>2.9421739130434785</c:v>
                </c:pt>
                <c:pt idx="22">
                  <c:v>2.8775000000000004</c:v>
                </c:pt>
                <c:pt idx="23">
                  <c:v>2.8389473684210524</c:v>
                </c:pt>
                <c:pt idx="24">
                  <c:v>2.8571428571428577</c:v>
                </c:pt>
                <c:pt idx="25">
                  <c:v>2.7629999999999999</c:v>
                </c:pt>
                <c:pt idx="26">
                  <c:v>2.6095238095238096</c:v>
                </c:pt>
                <c:pt idx="27">
                  <c:v>2.4944999999999999</c:v>
                </c:pt>
                <c:pt idx="28">
                  <c:v>2.4005000000000001</c:v>
                </c:pt>
                <c:pt idx="29">
                  <c:v>2.305714285714286</c:v>
                </c:pt>
                <c:pt idx="30">
                  <c:v>2.1978260869565212</c:v>
                </c:pt>
                <c:pt idx="31">
                  <c:v>2.0364999999999998</c:v>
                </c:pt>
                <c:pt idx="32">
                  <c:v>1.7845000000000004</c:v>
                </c:pt>
                <c:pt idx="33">
                  <c:v>1.5926086956521737</c:v>
                </c:pt>
                <c:pt idx="34">
                  <c:v>1.5610526315789475</c:v>
                </c:pt>
                <c:pt idx="35">
                  <c:v>1.483157894736842</c:v>
                </c:pt>
                <c:pt idx="36">
                  <c:v>1.073</c:v>
                </c:pt>
                <c:pt idx="37">
                  <c:v>0.84449999999999981</c:v>
                </c:pt>
                <c:pt idx="38">
                  <c:v>0.59363636363636363</c:v>
                </c:pt>
                <c:pt idx="39">
                  <c:v>0.46600000000000003</c:v>
                </c:pt>
                <c:pt idx="40">
                  <c:v>0.85473684210526313</c:v>
                </c:pt>
                <c:pt idx="41">
                  <c:v>1.3327272727272723</c:v>
                </c:pt>
                <c:pt idx="42">
                  <c:v>1.2404347826086957</c:v>
                </c:pt>
                <c:pt idx="43">
                  <c:v>0.98333333333333328</c:v>
                </c:pt>
                <c:pt idx="44">
                  <c:v>0.97450000000000014</c:v>
                </c:pt>
                <c:pt idx="45">
                  <c:v>0.87545454545454537</c:v>
                </c:pt>
                <c:pt idx="46">
                  <c:v>0.8500000000000002</c:v>
                </c:pt>
                <c:pt idx="47">
                  <c:v>0.83952380952380967</c:v>
                </c:pt>
                <c:pt idx="48">
                  <c:v>0.87761904761904752</c:v>
                </c:pt>
                <c:pt idx="49">
                  <c:v>0.66333333333333311</c:v>
                </c:pt>
                <c:pt idx="50">
                  <c:v>0.61043478260869544</c:v>
                </c:pt>
                <c:pt idx="51">
                  <c:v>0.6295238095238096</c:v>
                </c:pt>
                <c:pt idx="52">
                  <c:v>0.7013636363636363</c:v>
                </c:pt>
                <c:pt idx="53">
                  <c:v>0.60499999999999998</c:v>
                </c:pt>
                <c:pt idx="54">
                  <c:v>0.39761904761904759</c:v>
                </c:pt>
                <c:pt idx="55">
                  <c:v>0.27608695652173909</c:v>
                </c:pt>
                <c:pt idx="56">
                  <c:v>0.28863636363636364</c:v>
                </c:pt>
                <c:pt idx="57">
                  <c:v>0.39476190476190481</c:v>
                </c:pt>
                <c:pt idx="58">
                  <c:v>0.6863636363636364</c:v>
                </c:pt>
                <c:pt idx="59">
                  <c:v>0.88909090909090904</c:v>
                </c:pt>
                <c:pt idx="60">
                  <c:v>0.94409090909090898</c:v>
                </c:pt>
                <c:pt idx="61">
                  <c:v>1.0085000000000002</c:v>
                </c:pt>
                <c:pt idx="62">
                  <c:v>1.09304347826087</c:v>
                </c:pt>
                <c:pt idx="63">
                  <c:v>0.97550000000000003</c:v>
                </c:pt>
                <c:pt idx="64">
                  <c:v>1.0091304347826089</c:v>
                </c:pt>
                <c:pt idx="65">
                  <c:v>0.91999999999999993</c:v>
                </c:pt>
                <c:pt idx="66">
                  <c:v>1.0690476190476192</c:v>
                </c:pt>
                <c:pt idx="67">
                  <c:v>0.9552173913043478</c:v>
                </c:pt>
                <c:pt idx="68">
                  <c:v>0.96952380952380957</c:v>
                </c:pt>
                <c:pt idx="69">
                  <c:v>0.99363636363636376</c:v>
                </c:pt>
                <c:pt idx="70">
                  <c:v>0.93272727272727274</c:v>
                </c:pt>
                <c:pt idx="71">
                  <c:v>0.89380952380952383</c:v>
                </c:pt>
                <c:pt idx="72">
                  <c:v>1.0147826086956522</c:v>
                </c:pt>
                <c:pt idx="73">
                  <c:v>1.1739999999999999</c:v>
                </c:pt>
                <c:pt idx="74">
                  <c:v>1.0781818181818181</c:v>
                </c:pt>
                <c:pt idx="75">
                  <c:v>0.99904761904761863</c:v>
                </c:pt>
                <c:pt idx="76">
                  <c:v>1.0026086956521738</c:v>
                </c:pt>
                <c:pt idx="77">
                  <c:v>0.95380952380952366</c:v>
                </c:pt>
                <c:pt idx="78">
                  <c:v>0.86850000000000005</c:v>
                </c:pt>
                <c:pt idx="79">
                  <c:v>0.84391304347826068</c:v>
                </c:pt>
                <c:pt idx="80">
                  <c:v>0.89749999999999974</c:v>
                </c:pt>
                <c:pt idx="81">
                  <c:v>0.98000000000000009</c:v>
                </c:pt>
                <c:pt idx="82">
                  <c:v>0.91999999999999993</c:v>
                </c:pt>
                <c:pt idx="83">
                  <c:v>0.85047619047619061</c:v>
                </c:pt>
              </c:numCache>
            </c:numRef>
          </c:val>
          <c:smooth val="0"/>
        </c:ser>
        <c:ser>
          <c:idx val="1"/>
          <c:order val="1"/>
          <c:tx>
            <c:v>3-ročný</c:v>
          </c:tx>
          <c:spPr>
            <a:ln w="28575" cmpd="sng">
              <a:solidFill>
                <a:schemeClr val="accent2"/>
              </a:solidFill>
            </a:ln>
          </c:spPr>
          <c:marker>
            <c:symbol val="none"/>
          </c:marker>
          <c:cat>
            <c:numRef>
              <c:f>general!$ME$2:$PJ$2</c:f>
              <c:numCache>
                <c:formatCode>mmm\-yy</c:formatCode>
                <c:ptCount val="84"/>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pt idx="36">
                  <c:v>42005</c:v>
                </c:pt>
                <c:pt idx="37">
                  <c:v>42036</c:v>
                </c:pt>
                <c:pt idx="38">
                  <c:v>42064</c:v>
                </c:pt>
                <c:pt idx="39">
                  <c:v>42095</c:v>
                </c:pt>
                <c:pt idx="40">
                  <c:v>42125</c:v>
                </c:pt>
                <c:pt idx="41">
                  <c:v>42156</c:v>
                </c:pt>
                <c:pt idx="42">
                  <c:v>42186</c:v>
                </c:pt>
                <c:pt idx="43">
                  <c:v>42217</c:v>
                </c:pt>
                <c:pt idx="44">
                  <c:v>42248</c:v>
                </c:pt>
                <c:pt idx="45">
                  <c:v>42278</c:v>
                </c:pt>
                <c:pt idx="46">
                  <c:v>42309</c:v>
                </c:pt>
                <c:pt idx="47">
                  <c:v>42339</c:v>
                </c:pt>
                <c:pt idx="48">
                  <c:v>42370</c:v>
                </c:pt>
                <c:pt idx="49">
                  <c:v>42401</c:v>
                </c:pt>
                <c:pt idx="50">
                  <c:v>42430</c:v>
                </c:pt>
                <c:pt idx="51">
                  <c:v>42461</c:v>
                </c:pt>
                <c:pt idx="52">
                  <c:v>42491</c:v>
                </c:pt>
                <c:pt idx="53">
                  <c:v>42522</c:v>
                </c:pt>
                <c:pt idx="54">
                  <c:v>42552</c:v>
                </c:pt>
                <c:pt idx="55">
                  <c:v>42583</c:v>
                </c:pt>
                <c:pt idx="56">
                  <c:v>42614</c:v>
                </c:pt>
                <c:pt idx="57">
                  <c:v>42644</c:v>
                </c:pt>
                <c:pt idx="58">
                  <c:v>42675</c:v>
                </c:pt>
                <c:pt idx="59">
                  <c:v>42705</c:v>
                </c:pt>
                <c:pt idx="60">
                  <c:v>42736</c:v>
                </c:pt>
                <c:pt idx="61">
                  <c:v>42767</c:v>
                </c:pt>
                <c:pt idx="62">
                  <c:v>42795</c:v>
                </c:pt>
                <c:pt idx="63">
                  <c:v>42826</c:v>
                </c:pt>
                <c:pt idx="64">
                  <c:v>42856</c:v>
                </c:pt>
                <c:pt idx="65">
                  <c:v>42887</c:v>
                </c:pt>
                <c:pt idx="66">
                  <c:v>42917</c:v>
                </c:pt>
                <c:pt idx="67">
                  <c:v>42948</c:v>
                </c:pt>
                <c:pt idx="68">
                  <c:v>42979</c:v>
                </c:pt>
                <c:pt idx="69">
                  <c:v>43009</c:v>
                </c:pt>
                <c:pt idx="70">
                  <c:v>43040</c:v>
                </c:pt>
                <c:pt idx="71">
                  <c:v>43070</c:v>
                </c:pt>
                <c:pt idx="72">
                  <c:v>43101</c:v>
                </c:pt>
                <c:pt idx="73">
                  <c:v>43132</c:v>
                </c:pt>
                <c:pt idx="74">
                  <c:v>43160</c:v>
                </c:pt>
                <c:pt idx="75">
                  <c:v>43191</c:v>
                </c:pt>
                <c:pt idx="76">
                  <c:v>43221</c:v>
                </c:pt>
                <c:pt idx="77">
                  <c:v>43252</c:v>
                </c:pt>
                <c:pt idx="78">
                  <c:v>43282</c:v>
                </c:pt>
                <c:pt idx="79">
                  <c:v>43313</c:v>
                </c:pt>
                <c:pt idx="80">
                  <c:v>43344</c:v>
                </c:pt>
                <c:pt idx="81">
                  <c:v>43374</c:v>
                </c:pt>
                <c:pt idx="82">
                  <c:v>43405</c:v>
                </c:pt>
                <c:pt idx="83">
                  <c:v>43435</c:v>
                </c:pt>
              </c:numCache>
            </c:numRef>
          </c:cat>
          <c:val>
            <c:numRef>
              <c:f>general!$ME$98:$PJ$98</c:f>
              <c:numCache>
                <c:formatCode>0.00</c:formatCode>
                <c:ptCount val="84"/>
                <c:pt idx="0">
                  <c:v>3.2799999999999994</c:v>
                </c:pt>
                <c:pt idx="1">
                  <c:v>2.9442857142857144</c:v>
                </c:pt>
                <c:pt idx="2">
                  <c:v>2.4899999999999998</c:v>
                </c:pt>
                <c:pt idx="3">
                  <c:v>2.0657894736842111</c:v>
                </c:pt>
                <c:pt idx="4">
                  <c:v>1.9147619047619049</c:v>
                </c:pt>
                <c:pt idx="5">
                  <c:v>2.0861904761904762</c:v>
                </c:pt>
                <c:pt idx="6">
                  <c:v>1.8523809523809525</c:v>
                </c:pt>
                <c:pt idx="7">
                  <c:v>1.6209090909090909</c:v>
                </c:pt>
                <c:pt idx="8">
                  <c:v>1.3405</c:v>
                </c:pt>
                <c:pt idx="9">
                  <c:v>1.267391304347826</c:v>
                </c:pt>
                <c:pt idx="10">
                  <c:v>1.0680952380952382</c:v>
                </c:pt>
                <c:pt idx="11">
                  <c:v>0.75555555555555565</c:v>
                </c:pt>
                <c:pt idx="12">
                  <c:v>0.80045454545454564</c:v>
                </c:pt>
                <c:pt idx="13">
                  <c:v>0.98000000000000009</c:v>
                </c:pt>
                <c:pt idx="14">
                  <c:v>1.0399999999999998</c:v>
                </c:pt>
                <c:pt idx="15">
                  <c:v>0.94857142857142862</c:v>
                </c:pt>
                <c:pt idx="16">
                  <c:v>0.79571428571428571</c:v>
                </c:pt>
                <c:pt idx="17">
                  <c:v>0.91649999999999998</c:v>
                </c:pt>
                <c:pt idx="18">
                  <c:v>0.98272727272727278</c:v>
                </c:pt>
                <c:pt idx="19">
                  <c:v>0.93857142857142839</c:v>
                </c:pt>
                <c:pt idx="20">
                  <c:v>1.0014285714285713</c:v>
                </c:pt>
                <c:pt idx="21">
                  <c:v>0.97739130434782628</c:v>
                </c:pt>
                <c:pt idx="22">
                  <c:v>0.87099999999999989</c:v>
                </c:pt>
                <c:pt idx="23">
                  <c:v>0.86473684210526292</c:v>
                </c:pt>
                <c:pt idx="24">
                  <c:v>0.86571428571428566</c:v>
                </c:pt>
                <c:pt idx="25">
                  <c:v>0.75049999999999983</c:v>
                </c:pt>
                <c:pt idx="26">
                  <c:v>0.61904761904761918</c:v>
                </c:pt>
                <c:pt idx="27">
                  <c:v>0.54249999999999998</c:v>
                </c:pt>
                <c:pt idx="28">
                  <c:v>0.45700000000000013</c:v>
                </c:pt>
                <c:pt idx="29">
                  <c:v>0.36952380952380953</c:v>
                </c:pt>
                <c:pt idx="30">
                  <c:v>0.30173913043478262</c:v>
                </c:pt>
                <c:pt idx="31">
                  <c:v>0.24249999999999999</c:v>
                </c:pt>
                <c:pt idx="32">
                  <c:v>8.8000000000000037E-2</c:v>
                </c:pt>
                <c:pt idx="33">
                  <c:v>8.0000000000000029E-2</c:v>
                </c:pt>
                <c:pt idx="34">
                  <c:v>0.15526315789473685</c:v>
                </c:pt>
                <c:pt idx="35">
                  <c:v>0.2010526315789474</c:v>
                </c:pt>
                <c:pt idx="36">
                  <c:v>0.152</c:v>
                </c:pt>
                <c:pt idx="37">
                  <c:v>6.900000000000002E-2</c:v>
                </c:pt>
                <c:pt idx="38">
                  <c:v>1.6818181818181815E-2</c:v>
                </c:pt>
                <c:pt idx="39">
                  <c:v>9.999999999999998E-4</c:v>
                </c:pt>
                <c:pt idx="40">
                  <c:v>6.6842105263157911E-2</c:v>
                </c:pt>
                <c:pt idx="41">
                  <c:v>0.14181818181818182</c:v>
                </c:pt>
                <c:pt idx="42">
                  <c:v>9.3043478260869547E-2</c:v>
                </c:pt>
                <c:pt idx="43">
                  <c:v>-1.5238095238095236E-2</c:v>
                </c:pt>
                <c:pt idx="44">
                  <c:v>-3.4500000000000003E-2</c:v>
                </c:pt>
                <c:pt idx="45">
                  <c:v>-9.1363636363636369E-2</c:v>
                </c:pt>
                <c:pt idx="46">
                  <c:v>-8.4761904761904788E-2</c:v>
                </c:pt>
                <c:pt idx="47">
                  <c:v>-7.0000000000000021E-2</c:v>
                </c:pt>
                <c:pt idx="48">
                  <c:v>-0.16333333333333333</c:v>
                </c:pt>
                <c:pt idx="49">
                  <c:v>-0.21190476190476193</c:v>
                </c:pt>
                <c:pt idx="50">
                  <c:v>-0.24000000000000002</c:v>
                </c:pt>
                <c:pt idx="51">
                  <c:v>-0.21571428571428569</c:v>
                </c:pt>
                <c:pt idx="52">
                  <c:v>-0.2336363636363637</c:v>
                </c:pt>
                <c:pt idx="53">
                  <c:v>-0.34090909090909088</c:v>
                </c:pt>
                <c:pt idx="54">
                  <c:v>-0.39190476190476187</c:v>
                </c:pt>
                <c:pt idx="55">
                  <c:v>-0.39173913043478259</c:v>
                </c:pt>
                <c:pt idx="56">
                  <c:v>-0.41863636363636375</c:v>
                </c:pt>
                <c:pt idx="57">
                  <c:v>-0.45428571428571429</c:v>
                </c:pt>
                <c:pt idx="58">
                  <c:v>-0.41136363636363638</c:v>
                </c:pt>
                <c:pt idx="59">
                  <c:v>-0.49181818181818182</c:v>
                </c:pt>
                <c:pt idx="60">
                  <c:v>-0.50590909090909086</c:v>
                </c:pt>
                <c:pt idx="61">
                  <c:v>-0.55599999999999994</c:v>
                </c:pt>
                <c:pt idx="62">
                  <c:v>-0.51347826086956516</c:v>
                </c:pt>
                <c:pt idx="63">
                  <c:v>-0.56600000000000006</c:v>
                </c:pt>
                <c:pt idx="64">
                  <c:v>-0.52521739130434775</c:v>
                </c:pt>
                <c:pt idx="65">
                  <c:v>-0.56909090909090898</c:v>
                </c:pt>
                <c:pt idx="66">
                  <c:v>-0.48238095238095235</c:v>
                </c:pt>
                <c:pt idx="67">
                  <c:v>-0.5865217391304347</c:v>
                </c:pt>
                <c:pt idx="68">
                  <c:v>-0.60238095238095235</c:v>
                </c:pt>
                <c:pt idx="69">
                  <c:v>-0.62181818181818194</c:v>
                </c:pt>
                <c:pt idx="70">
                  <c:v>-0.65454545454545454</c:v>
                </c:pt>
                <c:pt idx="71">
                  <c:v>-0.63190476190476175</c:v>
                </c:pt>
                <c:pt idx="72">
                  <c:v>-0.56130434782608696</c:v>
                </c:pt>
                <c:pt idx="73">
                  <c:v>-0.47000000000000003</c:v>
                </c:pt>
                <c:pt idx="74">
                  <c:v>-0.51318181818181796</c:v>
                </c:pt>
                <c:pt idx="75">
                  <c:v>-0.50190476190476185</c:v>
                </c:pt>
                <c:pt idx="76">
                  <c:v>-0.46565217391304342</c:v>
                </c:pt>
                <c:pt idx="77">
                  <c:v>-0.41523809523809524</c:v>
                </c:pt>
                <c:pt idx="78">
                  <c:v>-0.36899999999999999</c:v>
                </c:pt>
                <c:pt idx="79">
                  <c:v>-0.31130434782608696</c:v>
                </c:pt>
                <c:pt idx="80">
                  <c:v>-0.28349999999999997</c:v>
                </c:pt>
                <c:pt idx="81">
                  <c:v>3.3913043478260879E-2</c:v>
                </c:pt>
                <c:pt idx="82">
                  <c:v>-4.5454545454545461E-3</c:v>
                </c:pt>
                <c:pt idx="83">
                  <c:v>-3.8571428571428583E-2</c:v>
                </c:pt>
              </c:numCache>
            </c:numRef>
          </c:val>
          <c:smooth val="0"/>
        </c:ser>
        <c:ser>
          <c:idx val="2"/>
          <c:order val="2"/>
          <c:tx>
            <c:v>riziková prirážka na 10-ročný dlhopis</c:v>
          </c:tx>
          <c:spPr>
            <a:ln w="28575">
              <a:solidFill>
                <a:schemeClr val="tx1">
                  <a:lumMod val="50000"/>
                  <a:lumOff val="50000"/>
                </a:schemeClr>
              </a:solidFill>
              <a:prstDash val="dash"/>
            </a:ln>
          </c:spPr>
          <c:marker>
            <c:symbol val="none"/>
          </c:marker>
          <c:cat>
            <c:numRef>
              <c:f>general!$ME$2:$PJ$2</c:f>
              <c:numCache>
                <c:formatCode>mmm\-yy</c:formatCode>
                <c:ptCount val="84"/>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pt idx="36">
                  <c:v>42005</c:v>
                </c:pt>
                <c:pt idx="37">
                  <c:v>42036</c:v>
                </c:pt>
                <c:pt idx="38">
                  <c:v>42064</c:v>
                </c:pt>
                <c:pt idx="39">
                  <c:v>42095</c:v>
                </c:pt>
                <c:pt idx="40">
                  <c:v>42125</c:v>
                </c:pt>
                <c:pt idx="41">
                  <c:v>42156</c:v>
                </c:pt>
                <c:pt idx="42">
                  <c:v>42186</c:v>
                </c:pt>
                <c:pt idx="43">
                  <c:v>42217</c:v>
                </c:pt>
                <c:pt idx="44">
                  <c:v>42248</c:v>
                </c:pt>
                <c:pt idx="45">
                  <c:v>42278</c:v>
                </c:pt>
                <c:pt idx="46">
                  <c:v>42309</c:v>
                </c:pt>
                <c:pt idx="47">
                  <c:v>42339</c:v>
                </c:pt>
                <c:pt idx="48">
                  <c:v>42370</c:v>
                </c:pt>
                <c:pt idx="49">
                  <c:v>42401</c:v>
                </c:pt>
                <c:pt idx="50">
                  <c:v>42430</c:v>
                </c:pt>
                <c:pt idx="51">
                  <c:v>42461</c:v>
                </c:pt>
                <c:pt idx="52">
                  <c:v>42491</c:v>
                </c:pt>
                <c:pt idx="53">
                  <c:v>42522</c:v>
                </c:pt>
                <c:pt idx="54">
                  <c:v>42552</c:v>
                </c:pt>
                <c:pt idx="55">
                  <c:v>42583</c:v>
                </c:pt>
                <c:pt idx="56">
                  <c:v>42614</c:v>
                </c:pt>
                <c:pt idx="57">
                  <c:v>42644</c:v>
                </c:pt>
                <c:pt idx="58">
                  <c:v>42675</c:v>
                </c:pt>
                <c:pt idx="59">
                  <c:v>42705</c:v>
                </c:pt>
                <c:pt idx="60">
                  <c:v>42736</c:v>
                </c:pt>
                <c:pt idx="61">
                  <c:v>42767</c:v>
                </c:pt>
                <c:pt idx="62">
                  <c:v>42795</c:v>
                </c:pt>
                <c:pt idx="63">
                  <c:v>42826</c:v>
                </c:pt>
                <c:pt idx="64">
                  <c:v>42856</c:v>
                </c:pt>
                <c:pt idx="65">
                  <c:v>42887</c:v>
                </c:pt>
                <c:pt idx="66">
                  <c:v>42917</c:v>
                </c:pt>
                <c:pt idx="67">
                  <c:v>42948</c:v>
                </c:pt>
                <c:pt idx="68">
                  <c:v>42979</c:v>
                </c:pt>
                <c:pt idx="69">
                  <c:v>43009</c:v>
                </c:pt>
                <c:pt idx="70">
                  <c:v>43040</c:v>
                </c:pt>
                <c:pt idx="71">
                  <c:v>43070</c:v>
                </c:pt>
                <c:pt idx="72">
                  <c:v>43101</c:v>
                </c:pt>
                <c:pt idx="73">
                  <c:v>43132</c:v>
                </c:pt>
                <c:pt idx="74">
                  <c:v>43160</c:v>
                </c:pt>
                <c:pt idx="75">
                  <c:v>43191</c:v>
                </c:pt>
                <c:pt idx="76">
                  <c:v>43221</c:v>
                </c:pt>
                <c:pt idx="77">
                  <c:v>43252</c:v>
                </c:pt>
                <c:pt idx="78">
                  <c:v>43282</c:v>
                </c:pt>
                <c:pt idx="79">
                  <c:v>43313</c:v>
                </c:pt>
                <c:pt idx="80">
                  <c:v>43344</c:v>
                </c:pt>
                <c:pt idx="81">
                  <c:v>43374</c:v>
                </c:pt>
                <c:pt idx="82">
                  <c:v>43405</c:v>
                </c:pt>
                <c:pt idx="83">
                  <c:v>43435</c:v>
                </c:pt>
              </c:numCache>
            </c:numRef>
          </c:cat>
          <c:val>
            <c:numRef>
              <c:f>general!$ME$219:$PJ$219</c:f>
              <c:numCache>
                <c:formatCode>0.00</c:formatCode>
                <c:ptCount val="84"/>
                <c:pt idx="0">
                  <c:v>3.5198917748917751</c:v>
                </c:pt>
                <c:pt idx="1">
                  <c:v>2.915714285714285</c:v>
                </c:pt>
                <c:pt idx="2">
                  <c:v>2.5050000000000008</c:v>
                </c:pt>
                <c:pt idx="3">
                  <c:v>2.3731578947368428</c:v>
                </c:pt>
                <c:pt idx="4">
                  <c:v>2.4269696969696963</c:v>
                </c:pt>
                <c:pt idx="5">
                  <c:v>2.5290476190476188</c:v>
                </c:pt>
                <c:pt idx="6">
                  <c:v>2.4238311688311684</c:v>
                </c:pt>
                <c:pt idx="7">
                  <c:v>2.0972727272727276</c:v>
                </c:pt>
                <c:pt idx="8">
                  <c:v>1.8110000000000008</c:v>
                </c:pt>
                <c:pt idx="9">
                  <c:v>1.5413043478260871</c:v>
                </c:pt>
                <c:pt idx="10">
                  <c:v>1.5072294372294364</c:v>
                </c:pt>
                <c:pt idx="11">
                  <c:v>1.364607843137255</c:v>
                </c:pt>
                <c:pt idx="12">
                  <c:v>1.4472727272727277</c:v>
                </c:pt>
                <c:pt idx="13">
                  <c:v>1.5294999999999999</c:v>
                </c:pt>
                <c:pt idx="14">
                  <c:v>1.6514999999999995</c:v>
                </c:pt>
                <c:pt idx="15">
                  <c:v>1.6399999999999997</c:v>
                </c:pt>
                <c:pt idx="16">
                  <c:v>1.1550649350649358</c:v>
                </c:pt>
                <c:pt idx="17">
                  <c:v>0.98799999999999966</c:v>
                </c:pt>
                <c:pt idx="18">
                  <c:v>1.1439130434782612</c:v>
                </c:pt>
                <c:pt idx="19">
                  <c:v>1.0131601731601734</c:v>
                </c:pt>
                <c:pt idx="20">
                  <c:v>0.97142857142857131</c:v>
                </c:pt>
                <c:pt idx="21">
                  <c:v>1.0482608695652176</c:v>
                </c:pt>
                <c:pt idx="22">
                  <c:v>1.0427380952380958</c:v>
                </c:pt>
                <c:pt idx="23">
                  <c:v>0.86783625730994141</c:v>
                </c:pt>
                <c:pt idx="24">
                  <c:v>0.91123376623376651</c:v>
                </c:pt>
                <c:pt idx="25">
                  <c:v>1.0389999999999999</c:v>
                </c:pt>
                <c:pt idx="26">
                  <c:v>0.94238095238095254</c:v>
                </c:pt>
                <c:pt idx="27">
                  <c:v>0.8664999999999996</c:v>
                </c:pt>
                <c:pt idx="28">
                  <c:v>0.91430952380952379</c:v>
                </c:pt>
                <c:pt idx="29">
                  <c:v>0.89523809523809561</c:v>
                </c:pt>
                <c:pt idx="30">
                  <c:v>0.93913043478260838</c:v>
                </c:pt>
                <c:pt idx="31">
                  <c:v>0.95554761904761887</c:v>
                </c:pt>
                <c:pt idx="32">
                  <c:v>0.75131818181818233</c:v>
                </c:pt>
                <c:pt idx="33">
                  <c:v>0.68579051383399148</c:v>
                </c:pt>
                <c:pt idx="34">
                  <c:v>0.71405263157894738</c:v>
                </c:pt>
                <c:pt idx="35">
                  <c:v>0.77842105263157868</c:v>
                </c:pt>
                <c:pt idx="36">
                  <c:v>0.61442857142857155</c:v>
                </c:pt>
                <c:pt idx="37">
                  <c:v>0.49249999999999977</c:v>
                </c:pt>
                <c:pt idx="38">
                  <c:v>0.3327272727272727</c:v>
                </c:pt>
                <c:pt idx="39">
                  <c:v>0.30349999999999999</c:v>
                </c:pt>
                <c:pt idx="40">
                  <c:v>0.23631578947368423</c:v>
                </c:pt>
                <c:pt idx="41">
                  <c:v>0.44999999999999934</c:v>
                </c:pt>
                <c:pt idx="42">
                  <c:v>0.43652173913043479</c:v>
                </c:pt>
                <c:pt idx="43">
                  <c:v>0.33142857142857129</c:v>
                </c:pt>
                <c:pt idx="44">
                  <c:v>0.29313636363636392</c:v>
                </c:pt>
                <c:pt idx="45">
                  <c:v>0.32454545454545453</c:v>
                </c:pt>
                <c:pt idx="46">
                  <c:v>0.2833333333333336</c:v>
                </c:pt>
                <c:pt idx="47">
                  <c:v>0.22852380952380963</c:v>
                </c:pt>
                <c:pt idx="48">
                  <c:v>0.3581190476190475</c:v>
                </c:pt>
                <c:pt idx="49">
                  <c:v>0.44666666666666649</c:v>
                </c:pt>
                <c:pt idx="50">
                  <c:v>0.41995859213250497</c:v>
                </c:pt>
                <c:pt idx="51">
                  <c:v>0.46523809523809528</c:v>
                </c:pt>
                <c:pt idx="52">
                  <c:v>0.53326839826839834</c:v>
                </c:pt>
                <c:pt idx="53">
                  <c:v>0.61136363636363633</c:v>
                </c:pt>
                <c:pt idx="54">
                  <c:v>0.54285714285714282</c:v>
                </c:pt>
                <c:pt idx="55">
                  <c:v>0.4256521739130435</c:v>
                </c:pt>
                <c:pt idx="56">
                  <c:v>0.39500000000000002</c:v>
                </c:pt>
                <c:pt idx="57">
                  <c:v>0.40126190476190476</c:v>
                </c:pt>
                <c:pt idx="58">
                  <c:v>0.47363636363636358</c:v>
                </c:pt>
                <c:pt idx="59">
                  <c:v>0.56813852813852805</c:v>
                </c:pt>
                <c:pt idx="60">
                  <c:v>0.60590909090909084</c:v>
                </c:pt>
                <c:pt idx="61">
                  <c:v>0.69800000000000018</c:v>
                </c:pt>
                <c:pt idx="62">
                  <c:v>0.7186956521739134</c:v>
                </c:pt>
                <c:pt idx="63">
                  <c:v>0.71383333333333332</c:v>
                </c:pt>
                <c:pt idx="64">
                  <c:v>0.60913043478260898</c:v>
                </c:pt>
                <c:pt idx="65">
                  <c:v>0.59238095238095234</c:v>
                </c:pt>
                <c:pt idx="66">
                  <c:v>0.51952380952380961</c:v>
                </c:pt>
                <c:pt idx="67">
                  <c:v>0.5434782608695653</c:v>
                </c:pt>
                <c:pt idx="68">
                  <c:v>0.55999999999999994</c:v>
                </c:pt>
                <c:pt idx="69">
                  <c:v>0.54213636363636375</c:v>
                </c:pt>
                <c:pt idx="70">
                  <c:v>0.53136363636363637</c:v>
                </c:pt>
                <c:pt idx="71">
                  <c:v>0.5027568922305764</c:v>
                </c:pt>
                <c:pt idx="72">
                  <c:v>0.44523715415019777</c:v>
                </c:pt>
                <c:pt idx="73">
                  <c:v>0.4270000000000001</c:v>
                </c:pt>
                <c:pt idx="74">
                  <c:v>0.4610389610389608</c:v>
                </c:pt>
                <c:pt idx="75">
                  <c:v>0.42654761904761868</c:v>
                </c:pt>
                <c:pt idx="76">
                  <c:v>0.44832298136645959</c:v>
                </c:pt>
                <c:pt idx="77">
                  <c:v>0.51476190476190442</c:v>
                </c:pt>
                <c:pt idx="78">
                  <c:v>0.51213636363636361</c:v>
                </c:pt>
                <c:pt idx="79">
                  <c:v>0.48565217391304327</c:v>
                </c:pt>
                <c:pt idx="80">
                  <c:v>0.46049999999999969</c:v>
                </c:pt>
                <c:pt idx="81">
                  <c:v>0.50590909090909109</c:v>
                </c:pt>
                <c:pt idx="82">
                  <c:v>0.52478260869565219</c:v>
                </c:pt>
                <c:pt idx="83">
                  <c:v>0.58106442577030826</c:v>
                </c:pt>
              </c:numCache>
            </c:numRef>
          </c:val>
          <c:smooth val="0"/>
        </c:ser>
        <c:dLbls>
          <c:showLegendKey val="0"/>
          <c:showVal val="0"/>
          <c:showCatName val="0"/>
          <c:showSerName val="0"/>
          <c:showPercent val="0"/>
          <c:showBubbleSize val="0"/>
        </c:dLbls>
        <c:smooth val="0"/>
        <c:axId val="176737888"/>
        <c:axId val="176269232"/>
      </c:lineChart>
      <c:dateAx>
        <c:axId val="176737888"/>
        <c:scaling>
          <c:orientation val="minMax"/>
          <c:max val="43465"/>
          <c:min val="40909"/>
        </c:scaling>
        <c:delete val="0"/>
        <c:axPos val="b"/>
        <c:numFmt formatCode="m/d/yyyy" sourceLinked="0"/>
        <c:majorTickMark val="out"/>
        <c:minorTickMark val="none"/>
        <c:tickLblPos val="low"/>
        <c:spPr>
          <a:noFill/>
          <a:ln>
            <a:solidFill>
              <a:schemeClr val="bg2"/>
            </a:solidFill>
          </a:ln>
        </c:spPr>
        <c:txPr>
          <a:bodyPr rot="-5400000" vert="horz" anchor="b" anchorCtr="1"/>
          <a:lstStyle/>
          <a:p>
            <a:pPr>
              <a:defRPr sz="900">
                <a:solidFill>
                  <a:schemeClr val="tx1"/>
                </a:solidFill>
                <a:latin typeface="+mn-lt"/>
              </a:defRPr>
            </a:pPr>
            <a:endParaRPr lang="sk-SK"/>
          </a:p>
        </c:txPr>
        <c:crossAx val="176269232"/>
        <c:crosses val="autoZero"/>
        <c:auto val="0"/>
        <c:lblOffset val="100"/>
        <c:baseTimeUnit val="months"/>
      </c:dateAx>
      <c:valAx>
        <c:axId val="176269232"/>
        <c:scaling>
          <c:orientation val="minMax"/>
          <c:max val="6"/>
          <c:min val="-1"/>
        </c:scaling>
        <c:delete val="0"/>
        <c:axPos val="l"/>
        <c:majorGridlines>
          <c:spPr>
            <a:ln w="9525">
              <a:solidFill>
                <a:schemeClr val="bg2"/>
              </a:solidFill>
              <a:prstDash val="solid"/>
            </a:ln>
          </c:spPr>
        </c:majorGridlines>
        <c:numFmt formatCode="0" sourceLinked="0"/>
        <c:majorTickMark val="out"/>
        <c:minorTickMark val="none"/>
        <c:tickLblPos val="nextTo"/>
        <c:spPr>
          <a:ln>
            <a:noFill/>
          </a:ln>
        </c:spPr>
        <c:txPr>
          <a:bodyPr/>
          <a:lstStyle/>
          <a:p>
            <a:pPr>
              <a:defRPr sz="900">
                <a:latin typeface="+mn-lt"/>
              </a:defRPr>
            </a:pPr>
            <a:endParaRPr lang="sk-SK"/>
          </a:p>
        </c:txPr>
        <c:crossAx val="176737888"/>
        <c:crossesAt val="40544"/>
        <c:crossBetween val="between"/>
        <c:majorUnit val="1"/>
        <c:minorUnit val="1"/>
      </c:valAx>
    </c:plotArea>
    <c:legend>
      <c:legendPos val="r"/>
      <c:legendEntry>
        <c:idx val="2"/>
        <c:txPr>
          <a:bodyPr/>
          <a:lstStyle/>
          <a:p>
            <a:pPr>
              <a:defRPr sz="900"/>
            </a:pPr>
            <a:endParaRPr lang="sk-SK"/>
          </a:p>
        </c:txPr>
      </c:legendEntry>
      <c:layout>
        <c:manualLayout>
          <c:xMode val="edge"/>
          <c:yMode val="edge"/>
          <c:x val="5.976841332435804E-2"/>
          <c:y val="2.7955778560309525E-2"/>
          <c:w val="0.90161364040021308"/>
          <c:h val="6.0927865367614589E-2"/>
        </c:manualLayout>
      </c:layout>
      <c:overlay val="0"/>
      <c:spPr>
        <a:solidFill>
          <a:schemeClr val="bg1"/>
        </a:solidFill>
      </c:spPr>
      <c:txPr>
        <a:bodyPr/>
        <a:lstStyle/>
        <a:p>
          <a:pPr>
            <a:defRPr sz="1000"/>
          </a:pPr>
          <a:endParaRPr lang="sk-SK"/>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9F127-C059-4FD5-BDA9-61F00D67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28877</Words>
  <Characters>163541</Characters>
  <Application>Microsoft Office Word</Application>
  <DocSecurity>0</DocSecurity>
  <Lines>1362</Lines>
  <Paragraphs>384</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192034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zkrajcir</dc:creator>
  <cp:keywords/>
  <dc:description/>
  <cp:lastModifiedBy>Ivanek Peter</cp:lastModifiedBy>
  <cp:revision>3</cp:revision>
  <cp:lastPrinted>2019-10-30T09:17:00Z</cp:lastPrinted>
  <dcterms:created xsi:type="dcterms:W3CDTF">2019-10-30T09:17:00Z</dcterms:created>
  <dcterms:modified xsi:type="dcterms:W3CDTF">2019-10-30T09:18:00Z</dcterms:modified>
</cp:coreProperties>
</file>