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0E670" w14:textId="77777777" w:rsidR="007B4261" w:rsidRPr="009B77EC" w:rsidRDefault="007B4261" w:rsidP="007B4261">
      <w:pPr>
        <w:spacing w:line="300" w:lineRule="auto"/>
        <w:jc w:val="center"/>
        <w:rPr>
          <w:b/>
          <w:bCs/>
          <w:sz w:val="56"/>
          <w:szCs w:val="56"/>
        </w:rPr>
      </w:pPr>
      <w:bookmarkStart w:id="0" w:name="_Toc252456193"/>
      <w:bookmarkStart w:id="1" w:name="_Toc252805695"/>
      <w:bookmarkStart w:id="2" w:name="_Toc275948223"/>
      <w:bookmarkStart w:id="3" w:name="_Toc384124252"/>
      <w:bookmarkStart w:id="4" w:name="_Toc394471503"/>
    </w:p>
    <w:p w14:paraId="38C54069" w14:textId="77777777" w:rsidR="007B4261" w:rsidRPr="009B77EC" w:rsidRDefault="007B4261" w:rsidP="007B4261">
      <w:pPr>
        <w:spacing w:line="300" w:lineRule="auto"/>
        <w:jc w:val="center"/>
        <w:rPr>
          <w:b/>
          <w:bCs/>
          <w:sz w:val="56"/>
          <w:szCs w:val="56"/>
        </w:rPr>
      </w:pPr>
    </w:p>
    <w:p w14:paraId="0244E14D" w14:textId="77777777" w:rsidR="007B4261" w:rsidRPr="009B77EC" w:rsidRDefault="007B4261" w:rsidP="007B4261">
      <w:pPr>
        <w:spacing w:line="300" w:lineRule="auto"/>
        <w:jc w:val="center"/>
        <w:rPr>
          <w:b/>
          <w:bCs/>
          <w:sz w:val="56"/>
          <w:szCs w:val="56"/>
        </w:rPr>
      </w:pPr>
    </w:p>
    <w:p w14:paraId="278402B1" w14:textId="77777777" w:rsidR="007B4261" w:rsidRDefault="007B4261" w:rsidP="007B4261">
      <w:pPr>
        <w:spacing w:line="300" w:lineRule="auto"/>
        <w:jc w:val="center"/>
        <w:rPr>
          <w:b/>
          <w:bCs/>
          <w:sz w:val="56"/>
          <w:szCs w:val="56"/>
        </w:rPr>
      </w:pPr>
    </w:p>
    <w:p w14:paraId="0E68113B" w14:textId="77777777" w:rsidR="007B4261" w:rsidRDefault="007B4261" w:rsidP="007B4261">
      <w:pPr>
        <w:spacing w:line="300" w:lineRule="auto"/>
        <w:jc w:val="center"/>
        <w:rPr>
          <w:b/>
          <w:bCs/>
          <w:sz w:val="56"/>
          <w:szCs w:val="56"/>
        </w:rPr>
      </w:pPr>
    </w:p>
    <w:p w14:paraId="4969AF24" w14:textId="77777777" w:rsidR="007B4261" w:rsidRPr="009B77EC" w:rsidRDefault="007B4261" w:rsidP="007B4261">
      <w:pPr>
        <w:spacing w:line="300" w:lineRule="auto"/>
        <w:jc w:val="center"/>
        <w:rPr>
          <w:b/>
          <w:bCs/>
          <w:sz w:val="56"/>
          <w:szCs w:val="56"/>
        </w:rPr>
      </w:pPr>
    </w:p>
    <w:p w14:paraId="7670E672" w14:textId="77777777" w:rsidR="007B4261" w:rsidRDefault="007B4261" w:rsidP="007B4261">
      <w:pPr>
        <w:pStyle w:val="Normlnywebov"/>
        <w:spacing w:before="0" w:beforeAutospacing="0" w:after="0" w:afterAutospacing="0"/>
        <w:jc w:val="center"/>
        <w:rPr>
          <w:b/>
          <w:bCs/>
          <w:sz w:val="44"/>
          <w:szCs w:val="44"/>
        </w:rPr>
      </w:pPr>
      <w:r>
        <w:rPr>
          <w:b/>
          <w:bCs/>
          <w:sz w:val="44"/>
          <w:szCs w:val="44"/>
        </w:rPr>
        <w:t>Príloha č. 6</w:t>
      </w:r>
    </w:p>
    <w:p w14:paraId="6445929B" w14:textId="77777777" w:rsidR="007B4261" w:rsidRPr="009B77EC" w:rsidRDefault="007B4261" w:rsidP="007B4261">
      <w:pPr>
        <w:spacing w:line="300" w:lineRule="auto"/>
        <w:jc w:val="center"/>
        <w:rPr>
          <w:b/>
          <w:bCs/>
          <w:sz w:val="56"/>
          <w:szCs w:val="56"/>
        </w:rPr>
      </w:pPr>
    </w:p>
    <w:p w14:paraId="5C16336D" w14:textId="1D96169B" w:rsidR="007B4261" w:rsidRPr="00AA74A3" w:rsidRDefault="007B4261" w:rsidP="007B4261">
      <w:pPr>
        <w:spacing w:line="300" w:lineRule="auto"/>
        <w:jc w:val="center"/>
        <w:rPr>
          <w:b/>
          <w:bCs/>
          <w:sz w:val="44"/>
          <w:szCs w:val="56"/>
        </w:rPr>
      </w:pPr>
      <w:r w:rsidRPr="00AA74A3">
        <w:rPr>
          <w:b/>
          <w:bCs/>
          <w:sz w:val="44"/>
          <w:szCs w:val="56"/>
        </w:rPr>
        <w:t xml:space="preserve">Aktualizácia </w:t>
      </w:r>
      <w:r>
        <w:rPr>
          <w:b/>
          <w:bCs/>
          <w:sz w:val="44"/>
          <w:szCs w:val="56"/>
        </w:rPr>
        <w:t>S</w:t>
      </w:r>
      <w:r w:rsidRPr="00AA74A3">
        <w:rPr>
          <w:b/>
          <w:bCs/>
          <w:sz w:val="44"/>
          <w:szCs w:val="56"/>
        </w:rPr>
        <w:t xml:space="preserve">tratégie riadenia štátneho dlhu </w:t>
      </w:r>
      <w:r w:rsidRPr="00AA74A3">
        <w:rPr>
          <w:b/>
          <w:bCs/>
          <w:sz w:val="44"/>
          <w:szCs w:val="56"/>
        </w:rPr>
        <w:br/>
        <w:t>na rok 201</w:t>
      </w:r>
      <w:r w:rsidR="00751E56">
        <w:rPr>
          <w:b/>
          <w:bCs/>
          <w:sz w:val="44"/>
          <w:szCs w:val="56"/>
        </w:rPr>
        <w:t>9</w:t>
      </w:r>
    </w:p>
    <w:p w14:paraId="5ABFC4BF" w14:textId="77777777" w:rsidR="007B4261" w:rsidRPr="009B77EC" w:rsidRDefault="007B4261" w:rsidP="007B4261">
      <w:pPr>
        <w:spacing w:line="300" w:lineRule="auto"/>
        <w:jc w:val="center"/>
        <w:rPr>
          <w:b/>
          <w:bCs/>
          <w:sz w:val="56"/>
          <w:szCs w:val="56"/>
        </w:rPr>
      </w:pPr>
    </w:p>
    <w:p w14:paraId="09EBBFA9" w14:textId="77777777" w:rsidR="007B4261" w:rsidRPr="009B77EC" w:rsidRDefault="007B4261" w:rsidP="007B4261">
      <w:pPr>
        <w:spacing w:line="300" w:lineRule="auto"/>
        <w:jc w:val="center"/>
        <w:rPr>
          <w:b/>
          <w:bCs/>
          <w:sz w:val="56"/>
          <w:szCs w:val="56"/>
        </w:rPr>
      </w:pPr>
    </w:p>
    <w:p w14:paraId="34247BEE" w14:textId="77777777" w:rsidR="007B4261" w:rsidRPr="009B77EC" w:rsidRDefault="007B4261" w:rsidP="007B4261">
      <w:pPr>
        <w:spacing w:line="300" w:lineRule="auto"/>
        <w:jc w:val="center"/>
        <w:rPr>
          <w:b/>
          <w:bCs/>
          <w:sz w:val="56"/>
          <w:szCs w:val="56"/>
        </w:rPr>
      </w:pPr>
    </w:p>
    <w:p w14:paraId="76B32283" w14:textId="77777777" w:rsidR="007B4261" w:rsidRPr="009B77EC" w:rsidRDefault="007B4261" w:rsidP="007B4261">
      <w:pPr>
        <w:spacing w:line="300" w:lineRule="auto"/>
        <w:jc w:val="center"/>
        <w:rPr>
          <w:b/>
          <w:bCs/>
          <w:sz w:val="56"/>
          <w:szCs w:val="56"/>
        </w:rPr>
      </w:pPr>
    </w:p>
    <w:p w14:paraId="513FFF9D" w14:textId="77777777" w:rsidR="007B4261" w:rsidRPr="009B77EC" w:rsidRDefault="007B4261" w:rsidP="007B4261">
      <w:pPr>
        <w:spacing w:line="300" w:lineRule="auto"/>
        <w:jc w:val="center"/>
        <w:rPr>
          <w:b/>
          <w:bCs/>
          <w:sz w:val="56"/>
          <w:szCs w:val="56"/>
        </w:rPr>
      </w:pPr>
    </w:p>
    <w:p w14:paraId="1F3E05F9" w14:textId="77777777" w:rsidR="007B4261" w:rsidRPr="009B77EC" w:rsidRDefault="007B4261" w:rsidP="007B4261">
      <w:pPr>
        <w:spacing w:line="300" w:lineRule="auto"/>
        <w:jc w:val="center"/>
        <w:rPr>
          <w:b/>
          <w:bCs/>
          <w:sz w:val="56"/>
          <w:szCs w:val="56"/>
        </w:rPr>
      </w:pPr>
    </w:p>
    <w:p w14:paraId="2977F66D" w14:textId="77777777" w:rsidR="007B4261" w:rsidRPr="009B77EC" w:rsidRDefault="007B4261" w:rsidP="007B4261">
      <w:pPr>
        <w:spacing w:line="300" w:lineRule="auto"/>
        <w:jc w:val="center"/>
        <w:rPr>
          <w:b/>
          <w:bCs/>
          <w:sz w:val="56"/>
          <w:szCs w:val="56"/>
        </w:rPr>
      </w:pPr>
    </w:p>
    <w:p w14:paraId="7A358CAF" w14:textId="48A606E9" w:rsidR="007B4261" w:rsidRPr="009B77EC" w:rsidRDefault="00D65DC0" w:rsidP="007B4261">
      <w:pPr>
        <w:jc w:val="center"/>
        <w:rPr>
          <w:sz w:val="32"/>
          <w:szCs w:val="22"/>
        </w:rPr>
      </w:pPr>
      <w:r>
        <w:rPr>
          <w:sz w:val="32"/>
          <w:szCs w:val="22"/>
        </w:rPr>
        <w:t>Október</w:t>
      </w:r>
      <w:r w:rsidR="007B4261" w:rsidRPr="009B77EC">
        <w:rPr>
          <w:sz w:val="32"/>
          <w:szCs w:val="22"/>
        </w:rPr>
        <w:t xml:space="preserve"> 201</w:t>
      </w:r>
      <w:r>
        <w:rPr>
          <w:sz w:val="32"/>
          <w:szCs w:val="22"/>
        </w:rPr>
        <w:t>9</w:t>
      </w:r>
    </w:p>
    <w:p w14:paraId="736314A6" w14:textId="77777777" w:rsidR="007B4261" w:rsidRPr="009B77EC" w:rsidRDefault="007B4261" w:rsidP="007B4261">
      <w:pPr>
        <w:pStyle w:val="Textpoznmkypodiarou"/>
      </w:pPr>
    </w:p>
    <w:p w14:paraId="3B1C26E8" w14:textId="77777777" w:rsidR="007B4261" w:rsidRPr="009B77EC" w:rsidRDefault="007B4261" w:rsidP="007B4261">
      <w:pPr>
        <w:pStyle w:val="Textpoznmkypodiarou"/>
      </w:pPr>
    </w:p>
    <w:p w14:paraId="38CF7535" w14:textId="77777777" w:rsidR="008A0FB7" w:rsidRDefault="00CC3215" w:rsidP="00CC3215">
      <w:pPr>
        <w:pStyle w:val="Textpoznmkypodiarou"/>
      </w:pPr>
      <w:r w:rsidRPr="0019148E">
        <w:br w:type="page"/>
      </w:r>
      <w:bookmarkEnd w:id="0"/>
      <w:bookmarkEnd w:id="1"/>
      <w:bookmarkEnd w:id="2"/>
      <w:bookmarkEnd w:id="3"/>
      <w:bookmarkEnd w:id="4"/>
    </w:p>
    <w:p w14:paraId="09D0394B" w14:textId="77777777" w:rsidR="008A0FB7" w:rsidRPr="0003036D" w:rsidRDefault="008A0FB7" w:rsidP="008A0FB7">
      <w:pPr>
        <w:pStyle w:val="Nadpis2"/>
        <w:spacing w:before="480" w:after="840"/>
        <w:rPr>
          <w:rFonts w:ascii="Times New Roman" w:hAnsi="Times New Roman" w:cs="Times New Roman"/>
          <w:i w:val="0"/>
        </w:rPr>
      </w:pPr>
      <w:bookmarkStart w:id="5" w:name="_Toc21537379"/>
      <w:r w:rsidRPr="0003036D">
        <w:rPr>
          <w:rFonts w:ascii="Times New Roman" w:hAnsi="Times New Roman" w:cs="Times New Roman"/>
          <w:i w:val="0"/>
        </w:rPr>
        <w:lastRenderedPageBreak/>
        <w:t>Obsah</w:t>
      </w:r>
      <w:bookmarkEnd w:id="5"/>
    </w:p>
    <w:p w14:paraId="25A028F8" w14:textId="77777777" w:rsidR="00294377" w:rsidRDefault="008A0FB7" w:rsidP="00294377">
      <w:pPr>
        <w:pStyle w:val="Obsah2"/>
        <w:spacing w:line="360" w:lineRule="auto"/>
        <w:rPr>
          <w:rFonts w:asciiTheme="minorHAnsi" w:eastAsiaTheme="minorEastAsia" w:hAnsiTheme="minorHAnsi" w:cstheme="minorBidi"/>
          <w:noProof/>
          <w:sz w:val="22"/>
          <w:szCs w:val="22"/>
        </w:rPr>
      </w:pPr>
      <w:r w:rsidRPr="0003036D">
        <w:rPr>
          <w:b/>
          <w:sz w:val="22"/>
          <w:szCs w:val="22"/>
        </w:rPr>
        <w:fldChar w:fldCharType="begin"/>
      </w:r>
      <w:r w:rsidRPr="0003036D">
        <w:rPr>
          <w:b/>
          <w:sz w:val="22"/>
          <w:szCs w:val="22"/>
        </w:rPr>
        <w:instrText xml:space="preserve"> TOC \o "1-3" \h \z \u </w:instrText>
      </w:r>
      <w:r w:rsidRPr="0003036D">
        <w:rPr>
          <w:b/>
          <w:sz w:val="22"/>
          <w:szCs w:val="22"/>
        </w:rPr>
        <w:fldChar w:fldCharType="separate"/>
      </w:r>
      <w:hyperlink w:anchor="_Toc21537379" w:history="1">
        <w:r w:rsidR="00294377" w:rsidRPr="00BE6A79">
          <w:rPr>
            <w:rStyle w:val="Hypertextovprepojenie"/>
            <w:noProof/>
          </w:rPr>
          <w:t>Obsah</w:t>
        </w:r>
        <w:r w:rsidR="00294377">
          <w:rPr>
            <w:noProof/>
            <w:webHidden/>
          </w:rPr>
          <w:tab/>
        </w:r>
        <w:r w:rsidR="00294377">
          <w:rPr>
            <w:noProof/>
            <w:webHidden/>
          </w:rPr>
          <w:fldChar w:fldCharType="begin"/>
        </w:r>
        <w:r w:rsidR="00294377">
          <w:rPr>
            <w:noProof/>
            <w:webHidden/>
          </w:rPr>
          <w:instrText xml:space="preserve"> PAGEREF _Toc21537379 \h </w:instrText>
        </w:r>
        <w:r w:rsidR="00294377">
          <w:rPr>
            <w:noProof/>
            <w:webHidden/>
          </w:rPr>
        </w:r>
        <w:r w:rsidR="00294377">
          <w:rPr>
            <w:noProof/>
            <w:webHidden/>
          </w:rPr>
          <w:fldChar w:fldCharType="separate"/>
        </w:r>
        <w:r w:rsidR="00C412D0">
          <w:rPr>
            <w:noProof/>
            <w:webHidden/>
          </w:rPr>
          <w:t>1</w:t>
        </w:r>
        <w:r w:rsidR="00294377">
          <w:rPr>
            <w:noProof/>
            <w:webHidden/>
          </w:rPr>
          <w:fldChar w:fldCharType="end"/>
        </w:r>
      </w:hyperlink>
    </w:p>
    <w:p w14:paraId="0C507D1A" w14:textId="77777777" w:rsidR="00294377" w:rsidRDefault="007270C0" w:rsidP="00294377">
      <w:pPr>
        <w:pStyle w:val="Obsah1"/>
        <w:spacing w:line="360" w:lineRule="auto"/>
        <w:rPr>
          <w:rFonts w:asciiTheme="minorHAnsi" w:eastAsiaTheme="minorEastAsia" w:hAnsiTheme="minorHAnsi" w:cstheme="minorBidi"/>
          <w:noProof/>
          <w:sz w:val="22"/>
          <w:szCs w:val="22"/>
        </w:rPr>
      </w:pPr>
      <w:hyperlink w:anchor="_Toc21537380" w:history="1">
        <w:r w:rsidR="00294377" w:rsidRPr="00BE6A79">
          <w:rPr>
            <w:rStyle w:val="Hypertextovprepojenie"/>
            <w:noProof/>
          </w:rPr>
          <w:t>1.</w:t>
        </w:r>
        <w:r w:rsidR="00294377">
          <w:rPr>
            <w:rFonts w:asciiTheme="minorHAnsi" w:eastAsiaTheme="minorEastAsia" w:hAnsiTheme="minorHAnsi" w:cstheme="minorBidi"/>
            <w:noProof/>
            <w:sz w:val="22"/>
            <w:szCs w:val="22"/>
          </w:rPr>
          <w:tab/>
        </w:r>
        <w:r w:rsidR="00294377" w:rsidRPr="00BE6A79">
          <w:rPr>
            <w:rStyle w:val="Hypertextovprepojenie"/>
            <w:noProof/>
          </w:rPr>
          <w:t>Makroekonomické východiská a fiškálny výhľad</w:t>
        </w:r>
        <w:r w:rsidR="00294377">
          <w:rPr>
            <w:noProof/>
            <w:webHidden/>
          </w:rPr>
          <w:tab/>
        </w:r>
        <w:r w:rsidR="00294377">
          <w:rPr>
            <w:noProof/>
            <w:webHidden/>
          </w:rPr>
          <w:fldChar w:fldCharType="begin"/>
        </w:r>
        <w:r w:rsidR="00294377">
          <w:rPr>
            <w:noProof/>
            <w:webHidden/>
          </w:rPr>
          <w:instrText xml:space="preserve"> PAGEREF _Toc21537380 \h </w:instrText>
        </w:r>
        <w:r w:rsidR="00294377">
          <w:rPr>
            <w:noProof/>
            <w:webHidden/>
          </w:rPr>
        </w:r>
        <w:r w:rsidR="00294377">
          <w:rPr>
            <w:noProof/>
            <w:webHidden/>
          </w:rPr>
          <w:fldChar w:fldCharType="separate"/>
        </w:r>
        <w:r w:rsidR="00C412D0">
          <w:rPr>
            <w:noProof/>
            <w:webHidden/>
          </w:rPr>
          <w:t>2</w:t>
        </w:r>
        <w:r w:rsidR="00294377">
          <w:rPr>
            <w:noProof/>
            <w:webHidden/>
          </w:rPr>
          <w:fldChar w:fldCharType="end"/>
        </w:r>
      </w:hyperlink>
    </w:p>
    <w:p w14:paraId="06DBFB1B" w14:textId="77777777" w:rsidR="00294377" w:rsidRDefault="007270C0" w:rsidP="00294377">
      <w:pPr>
        <w:pStyle w:val="Obsah2"/>
        <w:tabs>
          <w:tab w:val="left" w:pos="660"/>
        </w:tabs>
        <w:spacing w:line="360" w:lineRule="auto"/>
        <w:rPr>
          <w:rFonts w:asciiTheme="minorHAnsi" w:eastAsiaTheme="minorEastAsia" w:hAnsiTheme="minorHAnsi" w:cstheme="minorBidi"/>
          <w:noProof/>
          <w:sz w:val="22"/>
          <w:szCs w:val="22"/>
        </w:rPr>
      </w:pPr>
      <w:hyperlink w:anchor="_Toc21537381" w:history="1">
        <w:r w:rsidR="00294377" w:rsidRPr="00BE6A79">
          <w:rPr>
            <w:rStyle w:val="Hypertextovprepojenie"/>
            <w:noProof/>
          </w:rPr>
          <w:t>1.1.</w:t>
        </w:r>
        <w:r w:rsidR="00294377">
          <w:rPr>
            <w:rFonts w:asciiTheme="minorHAnsi" w:eastAsiaTheme="minorEastAsia" w:hAnsiTheme="minorHAnsi" w:cstheme="minorBidi"/>
            <w:noProof/>
            <w:sz w:val="22"/>
            <w:szCs w:val="22"/>
          </w:rPr>
          <w:tab/>
        </w:r>
        <w:r w:rsidR="00294377" w:rsidRPr="00BE6A79">
          <w:rPr>
            <w:rStyle w:val="Hypertextovprepojenie"/>
            <w:noProof/>
          </w:rPr>
          <w:t>Vývoj na finančných trhoch a makroekonomické východiská</w:t>
        </w:r>
        <w:r w:rsidR="00294377">
          <w:rPr>
            <w:noProof/>
            <w:webHidden/>
          </w:rPr>
          <w:tab/>
        </w:r>
        <w:r w:rsidR="00294377">
          <w:rPr>
            <w:noProof/>
            <w:webHidden/>
          </w:rPr>
          <w:fldChar w:fldCharType="begin"/>
        </w:r>
        <w:r w:rsidR="00294377">
          <w:rPr>
            <w:noProof/>
            <w:webHidden/>
          </w:rPr>
          <w:instrText xml:space="preserve"> PAGEREF _Toc21537381 \h </w:instrText>
        </w:r>
        <w:r w:rsidR="00294377">
          <w:rPr>
            <w:noProof/>
            <w:webHidden/>
          </w:rPr>
        </w:r>
        <w:r w:rsidR="00294377">
          <w:rPr>
            <w:noProof/>
            <w:webHidden/>
          </w:rPr>
          <w:fldChar w:fldCharType="separate"/>
        </w:r>
        <w:r w:rsidR="00C412D0">
          <w:rPr>
            <w:noProof/>
            <w:webHidden/>
          </w:rPr>
          <w:t>2</w:t>
        </w:r>
        <w:r w:rsidR="00294377">
          <w:rPr>
            <w:noProof/>
            <w:webHidden/>
          </w:rPr>
          <w:fldChar w:fldCharType="end"/>
        </w:r>
      </w:hyperlink>
    </w:p>
    <w:p w14:paraId="7E09A71E" w14:textId="77777777" w:rsidR="00294377" w:rsidRDefault="007270C0" w:rsidP="00294377">
      <w:pPr>
        <w:pStyle w:val="Obsah2"/>
        <w:tabs>
          <w:tab w:val="left" w:pos="660"/>
        </w:tabs>
        <w:spacing w:line="360" w:lineRule="auto"/>
        <w:rPr>
          <w:rFonts w:asciiTheme="minorHAnsi" w:eastAsiaTheme="minorEastAsia" w:hAnsiTheme="minorHAnsi" w:cstheme="minorBidi"/>
          <w:noProof/>
          <w:sz w:val="22"/>
          <w:szCs w:val="22"/>
        </w:rPr>
      </w:pPr>
      <w:hyperlink w:anchor="_Toc21537383" w:history="1">
        <w:r w:rsidR="00294377" w:rsidRPr="00BE6A79">
          <w:rPr>
            <w:rStyle w:val="Hypertextovprepojenie"/>
            <w:noProof/>
          </w:rPr>
          <w:t>1.2.</w:t>
        </w:r>
        <w:r w:rsidR="00294377">
          <w:rPr>
            <w:rFonts w:asciiTheme="minorHAnsi" w:eastAsiaTheme="minorEastAsia" w:hAnsiTheme="minorHAnsi" w:cstheme="minorBidi"/>
            <w:noProof/>
            <w:sz w:val="22"/>
            <w:szCs w:val="22"/>
          </w:rPr>
          <w:tab/>
        </w:r>
        <w:r w:rsidR="00294377" w:rsidRPr="00BE6A79">
          <w:rPr>
            <w:rStyle w:val="Hypertextovprepojenie"/>
            <w:noProof/>
          </w:rPr>
          <w:t>Fiškálny výhľad</w:t>
        </w:r>
        <w:r w:rsidR="00294377">
          <w:rPr>
            <w:noProof/>
            <w:webHidden/>
          </w:rPr>
          <w:tab/>
        </w:r>
        <w:r w:rsidR="00294377">
          <w:rPr>
            <w:noProof/>
            <w:webHidden/>
          </w:rPr>
          <w:fldChar w:fldCharType="begin"/>
        </w:r>
        <w:r w:rsidR="00294377">
          <w:rPr>
            <w:noProof/>
            <w:webHidden/>
          </w:rPr>
          <w:instrText xml:space="preserve"> PAGEREF _Toc21537383 \h </w:instrText>
        </w:r>
        <w:r w:rsidR="00294377">
          <w:rPr>
            <w:noProof/>
            <w:webHidden/>
          </w:rPr>
        </w:r>
        <w:r w:rsidR="00294377">
          <w:rPr>
            <w:noProof/>
            <w:webHidden/>
          </w:rPr>
          <w:fldChar w:fldCharType="separate"/>
        </w:r>
        <w:r w:rsidR="00C412D0">
          <w:rPr>
            <w:noProof/>
            <w:webHidden/>
          </w:rPr>
          <w:t>4</w:t>
        </w:r>
        <w:r w:rsidR="00294377">
          <w:rPr>
            <w:noProof/>
            <w:webHidden/>
          </w:rPr>
          <w:fldChar w:fldCharType="end"/>
        </w:r>
      </w:hyperlink>
    </w:p>
    <w:p w14:paraId="370B45DE" w14:textId="77777777" w:rsidR="00294377" w:rsidRDefault="007270C0" w:rsidP="00294377">
      <w:pPr>
        <w:pStyle w:val="Obsah1"/>
        <w:spacing w:line="360" w:lineRule="auto"/>
        <w:rPr>
          <w:rFonts w:asciiTheme="minorHAnsi" w:eastAsiaTheme="minorEastAsia" w:hAnsiTheme="minorHAnsi" w:cstheme="minorBidi"/>
          <w:noProof/>
          <w:sz w:val="22"/>
          <w:szCs w:val="22"/>
        </w:rPr>
      </w:pPr>
      <w:hyperlink w:anchor="_Toc21537385" w:history="1">
        <w:r w:rsidR="00294377" w:rsidRPr="00BE6A79">
          <w:rPr>
            <w:rStyle w:val="Hypertextovprepojenie"/>
            <w:noProof/>
          </w:rPr>
          <w:t>2.</w:t>
        </w:r>
        <w:r w:rsidR="00294377">
          <w:rPr>
            <w:rFonts w:asciiTheme="minorHAnsi" w:eastAsiaTheme="minorEastAsia" w:hAnsiTheme="minorHAnsi" w:cstheme="minorBidi"/>
            <w:noProof/>
            <w:sz w:val="22"/>
            <w:szCs w:val="22"/>
          </w:rPr>
          <w:tab/>
        </w:r>
        <w:r w:rsidR="00294377" w:rsidRPr="00BE6A79">
          <w:rPr>
            <w:rStyle w:val="Hypertextovprepojenie"/>
            <w:noProof/>
          </w:rPr>
          <w:t>Zhodnotenie plnenia Stratégie riadenia štátneho dlhu k 30. 9. 2019</w:t>
        </w:r>
        <w:r w:rsidR="00294377">
          <w:rPr>
            <w:noProof/>
            <w:webHidden/>
          </w:rPr>
          <w:tab/>
        </w:r>
        <w:r w:rsidR="00294377">
          <w:rPr>
            <w:noProof/>
            <w:webHidden/>
          </w:rPr>
          <w:fldChar w:fldCharType="begin"/>
        </w:r>
        <w:r w:rsidR="00294377">
          <w:rPr>
            <w:noProof/>
            <w:webHidden/>
          </w:rPr>
          <w:instrText xml:space="preserve"> PAGEREF _Toc21537385 \h </w:instrText>
        </w:r>
        <w:r w:rsidR="00294377">
          <w:rPr>
            <w:noProof/>
            <w:webHidden/>
          </w:rPr>
        </w:r>
        <w:r w:rsidR="00294377">
          <w:rPr>
            <w:noProof/>
            <w:webHidden/>
          </w:rPr>
          <w:fldChar w:fldCharType="separate"/>
        </w:r>
        <w:r w:rsidR="00C412D0">
          <w:rPr>
            <w:noProof/>
            <w:webHidden/>
          </w:rPr>
          <w:t>6</w:t>
        </w:r>
        <w:r w:rsidR="00294377">
          <w:rPr>
            <w:noProof/>
            <w:webHidden/>
          </w:rPr>
          <w:fldChar w:fldCharType="end"/>
        </w:r>
      </w:hyperlink>
    </w:p>
    <w:p w14:paraId="468423E0" w14:textId="77777777" w:rsidR="00294377" w:rsidRDefault="007270C0" w:rsidP="00294377">
      <w:pPr>
        <w:pStyle w:val="Obsah1"/>
        <w:spacing w:line="360" w:lineRule="auto"/>
        <w:rPr>
          <w:rFonts w:asciiTheme="minorHAnsi" w:eastAsiaTheme="minorEastAsia" w:hAnsiTheme="minorHAnsi" w:cstheme="minorBidi"/>
          <w:noProof/>
          <w:sz w:val="22"/>
          <w:szCs w:val="22"/>
        </w:rPr>
      </w:pPr>
      <w:hyperlink w:anchor="_Toc21537386" w:history="1">
        <w:r w:rsidR="00294377" w:rsidRPr="00BE6A79">
          <w:rPr>
            <w:rStyle w:val="Hypertextovprepojenie"/>
            <w:noProof/>
          </w:rPr>
          <w:t>3.</w:t>
        </w:r>
        <w:r w:rsidR="00294377">
          <w:rPr>
            <w:rFonts w:asciiTheme="minorHAnsi" w:eastAsiaTheme="minorEastAsia" w:hAnsiTheme="minorHAnsi" w:cstheme="minorBidi"/>
            <w:noProof/>
            <w:sz w:val="22"/>
            <w:szCs w:val="22"/>
          </w:rPr>
          <w:tab/>
        </w:r>
        <w:r w:rsidR="00294377" w:rsidRPr="00BE6A79">
          <w:rPr>
            <w:rStyle w:val="Hypertextovprepojenie"/>
            <w:noProof/>
          </w:rPr>
          <w:t>Strategické ciele riadenia štátneho dlhu na roky 2015 až 2018</w:t>
        </w:r>
        <w:r w:rsidR="00294377">
          <w:rPr>
            <w:noProof/>
            <w:webHidden/>
          </w:rPr>
          <w:tab/>
        </w:r>
        <w:r w:rsidR="00294377">
          <w:rPr>
            <w:noProof/>
            <w:webHidden/>
          </w:rPr>
          <w:fldChar w:fldCharType="begin"/>
        </w:r>
        <w:r w:rsidR="00294377">
          <w:rPr>
            <w:noProof/>
            <w:webHidden/>
          </w:rPr>
          <w:instrText xml:space="preserve"> PAGEREF _Toc21537386 \h </w:instrText>
        </w:r>
        <w:r w:rsidR="00294377">
          <w:rPr>
            <w:noProof/>
            <w:webHidden/>
          </w:rPr>
        </w:r>
        <w:r w:rsidR="00294377">
          <w:rPr>
            <w:noProof/>
            <w:webHidden/>
          </w:rPr>
          <w:fldChar w:fldCharType="separate"/>
        </w:r>
        <w:r w:rsidR="00C412D0">
          <w:rPr>
            <w:noProof/>
            <w:webHidden/>
          </w:rPr>
          <w:t>9</w:t>
        </w:r>
        <w:r w:rsidR="00294377">
          <w:rPr>
            <w:noProof/>
            <w:webHidden/>
          </w:rPr>
          <w:fldChar w:fldCharType="end"/>
        </w:r>
      </w:hyperlink>
    </w:p>
    <w:p w14:paraId="56611420" w14:textId="77777777" w:rsidR="00294377" w:rsidRDefault="007270C0" w:rsidP="00294377">
      <w:pPr>
        <w:pStyle w:val="Obsah1"/>
        <w:spacing w:line="360" w:lineRule="auto"/>
        <w:rPr>
          <w:rFonts w:asciiTheme="minorHAnsi" w:eastAsiaTheme="minorEastAsia" w:hAnsiTheme="minorHAnsi" w:cstheme="minorBidi"/>
          <w:noProof/>
          <w:sz w:val="22"/>
          <w:szCs w:val="22"/>
        </w:rPr>
      </w:pPr>
      <w:hyperlink w:anchor="_Toc21537387" w:history="1">
        <w:r w:rsidR="00294377" w:rsidRPr="00BE6A79">
          <w:rPr>
            <w:rStyle w:val="Hypertextovprepojenie"/>
            <w:noProof/>
          </w:rPr>
          <w:t>4.</w:t>
        </w:r>
        <w:r w:rsidR="00294377">
          <w:rPr>
            <w:rFonts w:asciiTheme="minorHAnsi" w:eastAsiaTheme="minorEastAsia" w:hAnsiTheme="minorHAnsi" w:cstheme="minorBidi"/>
            <w:noProof/>
            <w:sz w:val="22"/>
            <w:szCs w:val="22"/>
          </w:rPr>
          <w:tab/>
        </w:r>
        <w:r w:rsidR="00294377" w:rsidRPr="00BE6A79">
          <w:rPr>
            <w:rStyle w:val="Hypertextovprepojenie"/>
            <w:noProof/>
          </w:rPr>
          <w:t>Záver</w:t>
        </w:r>
        <w:r w:rsidR="00294377">
          <w:rPr>
            <w:noProof/>
            <w:webHidden/>
          </w:rPr>
          <w:tab/>
        </w:r>
        <w:r w:rsidR="00294377">
          <w:rPr>
            <w:noProof/>
            <w:webHidden/>
          </w:rPr>
          <w:fldChar w:fldCharType="begin"/>
        </w:r>
        <w:r w:rsidR="00294377">
          <w:rPr>
            <w:noProof/>
            <w:webHidden/>
          </w:rPr>
          <w:instrText xml:space="preserve"> PAGEREF _Toc21537387 \h </w:instrText>
        </w:r>
        <w:r w:rsidR="00294377">
          <w:rPr>
            <w:noProof/>
            <w:webHidden/>
          </w:rPr>
        </w:r>
        <w:r w:rsidR="00294377">
          <w:rPr>
            <w:noProof/>
            <w:webHidden/>
          </w:rPr>
          <w:fldChar w:fldCharType="separate"/>
        </w:r>
        <w:r w:rsidR="00C412D0">
          <w:rPr>
            <w:noProof/>
            <w:webHidden/>
          </w:rPr>
          <w:t>10</w:t>
        </w:r>
        <w:r w:rsidR="00294377">
          <w:rPr>
            <w:noProof/>
            <w:webHidden/>
          </w:rPr>
          <w:fldChar w:fldCharType="end"/>
        </w:r>
      </w:hyperlink>
    </w:p>
    <w:p w14:paraId="574DEFA8" w14:textId="77777777" w:rsidR="008A0FB7" w:rsidRDefault="008A0FB7" w:rsidP="00294377">
      <w:pPr>
        <w:pStyle w:val="Textpoznmkypodiarou"/>
        <w:spacing w:line="360" w:lineRule="auto"/>
      </w:pPr>
      <w:r w:rsidRPr="0003036D">
        <w:rPr>
          <w:b/>
          <w:sz w:val="22"/>
          <w:szCs w:val="22"/>
        </w:rPr>
        <w:fldChar w:fldCharType="end"/>
      </w:r>
    </w:p>
    <w:p w14:paraId="63EFD500" w14:textId="77777777" w:rsidR="008A0FB7" w:rsidRDefault="008A0FB7" w:rsidP="00294377">
      <w:pPr>
        <w:pStyle w:val="Textpoznmkypodiarou"/>
        <w:spacing w:line="360" w:lineRule="auto"/>
      </w:pPr>
    </w:p>
    <w:p w14:paraId="02CB3A18" w14:textId="77777777" w:rsidR="008A0FB7" w:rsidRDefault="008A0FB7" w:rsidP="00294377">
      <w:pPr>
        <w:pStyle w:val="Textpoznmkypodiarou"/>
        <w:spacing w:line="360" w:lineRule="auto"/>
      </w:pPr>
    </w:p>
    <w:p w14:paraId="49805D12" w14:textId="77777777" w:rsidR="008A0FB7" w:rsidRDefault="008A0FB7" w:rsidP="00294377">
      <w:pPr>
        <w:pStyle w:val="Textpoznmkypodiarou"/>
        <w:spacing w:line="360" w:lineRule="auto"/>
      </w:pPr>
      <w:bookmarkStart w:id="6" w:name="_GoBack"/>
      <w:bookmarkEnd w:id="6"/>
    </w:p>
    <w:p w14:paraId="5C7F57C7" w14:textId="77777777" w:rsidR="008A0FB7" w:rsidRDefault="008A0FB7" w:rsidP="00CC3215">
      <w:pPr>
        <w:pStyle w:val="Textpoznmkypodiarou"/>
      </w:pPr>
    </w:p>
    <w:p w14:paraId="1C574EC7" w14:textId="77777777" w:rsidR="008A0FB7" w:rsidRDefault="008A0FB7" w:rsidP="00CC3215">
      <w:pPr>
        <w:pStyle w:val="Textpoznmkypodiarou"/>
      </w:pPr>
    </w:p>
    <w:p w14:paraId="5C75E7D5" w14:textId="77777777" w:rsidR="008A0FB7" w:rsidRDefault="008A0FB7" w:rsidP="00CC3215">
      <w:pPr>
        <w:pStyle w:val="Textpoznmkypodiarou"/>
      </w:pPr>
    </w:p>
    <w:p w14:paraId="324BB16B" w14:textId="77777777" w:rsidR="008A0FB7" w:rsidRDefault="008A0FB7" w:rsidP="00CC3215">
      <w:pPr>
        <w:pStyle w:val="Textpoznmkypodiarou"/>
      </w:pPr>
    </w:p>
    <w:p w14:paraId="1CE223F3" w14:textId="77777777" w:rsidR="008A0FB7" w:rsidRDefault="008A0FB7" w:rsidP="00CC3215">
      <w:pPr>
        <w:pStyle w:val="Textpoznmkypodiarou"/>
      </w:pPr>
    </w:p>
    <w:p w14:paraId="2A89DF18" w14:textId="77777777" w:rsidR="008A0FB7" w:rsidRDefault="008A0FB7" w:rsidP="00CC3215">
      <w:pPr>
        <w:pStyle w:val="Textpoznmkypodiarou"/>
      </w:pPr>
    </w:p>
    <w:p w14:paraId="06406FF1" w14:textId="77777777" w:rsidR="008A0FB7" w:rsidRDefault="008A0FB7" w:rsidP="00CC3215">
      <w:pPr>
        <w:pStyle w:val="Textpoznmkypodiarou"/>
      </w:pPr>
    </w:p>
    <w:p w14:paraId="71132A51" w14:textId="77777777" w:rsidR="008A0FB7" w:rsidRDefault="008A0FB7" w:rsidP="00CC3215">
      <w:pPr>
        <w:pStyle w:val="Textpoznmkypodiarou"/>
      </w:pPr>
    </w:p>
    <w:p w14:paraId="074B675B" w14:textId="77777777" w:rsidR="008A0FB7" w:rsidRDefault="008A0FB7" w:rsidP="00CC3215">
      <w:pPr>
        <w:pStyle w:val="Textpoznmkypodiarou"/>
      </w:pPr>
    </w:p>
    <w:p w14:paraId="72C8C055" w14:textId="77777777" w:rsidR="008A0FB7" w:rsidRDefault="008A0FB7" w:rsidP="00CC3215">
      <w:pPr>
        <w:pStyle w:val="Textpoznmkypodiarou"/>
      </w:pPr>
    </w:p>
    <w:p w14:paraId="1A877883" w14:textId="77777777" w:rsidR="008A0FB7" w:rsidRDefault="008A0FB7" w:rsidP="00CC3215">
      <w:pPr>
        <w:pStyle w:val="Textpoznmkypodiarou"/>
      </w:pPr>
    </w:p>
    <w:p w14:paraId="5A270857" w14:textId="77777777" w:rsidR="008A0FB7" w:rsidRDefault="008A0FB7" w:rsidP="00CC3215">
      <w:pPr>
        <w:pStyle w:val="Textpoznmkypodiarou"/>
      </w:pPr>
    </w:p>
    <w:p w14:paraId="2677C7C6" w14:textId="77777777" w:rsidR="008A0FB7" w:rsidRDefault="008A0FB7" w:rsidP="00CC3215">
      <w:pPr>
        <w:pStyle w:val="Textpoznmkypodiarou"/>
      </w:pPr>
    </w:p>
    <w:p w14:paraId="5C37CC6C" w14:textId="77777777" w:rsidR="008A0FB7" w:rsidRDefault="008A0FB7" w:rsidP="00CC3215">
      <w:pPr>
        <w:pStyle w:val="Textpoznmkypodiarou"/>
      </w:pPr>
    </w:p>
    <w:p w14:paraId="63AA2EBD" w14:textId="77777777" w:rsidR="008A0FB7" w:rsidRDefault="008A0FB7" w:rsidP="00CC3215">
      <w:pPr>
        <w:pStyle w:val="Textpoznmkypodiarou"/>
      </w:pPr>
    </w:p>
    <w:p w14:paraId="12CFEAE5" w14:textId="77777777" w:rsidR="008A0FB7" w:rsidRDefault="008A0FB7" w:rsidP="00CC3215">
      <w:pPr>
        <w:pStyle w:val="Textpoznmkypodiarou"/>
      </w:pPr>
    </w:p>
    <w:p w14:paraId="4D730BB0" w14:textId="77777777" w:rsidR="008A0FB7" w:rsidRDefault="008A0FB7" w:rsidP="00CC3215">
      <w:pPr>
        <w:pStyle w:val="Textpoznmkypodiarou"/>
      </w:pPr>
    </w:p>
    <w:p w14:paraId="51943721" w14:textId="77777777" w:rsidR="008A0FB7" w:rsidRDefault="008A0FB7" w:rsidP="00CC3215">
      <w:pPr>
        <w:pStyle w:val="Textpoznmkypodiarou"/>
      </w:pPr>
    </w:p>
    <w:p w14:paraId="3E13BECF" w14:textId="77777777" w:rsidR="008A0FB7" w:rsidRDefault="008A0FB7" w:rsidP="00CC3215">
      <w:pPr>
        <w:pStyle w:val="Textpoznmkypodiarou"/>
      </w:pPr>
    </w:p>
    <w:p w14:paraId="168BF287" w14:textId="77777777" w:rsidR="008A0FB7" w:rsidRDefault="008A0FB7" w:rsidP="00CC3215">
      <w:pPr>
        <w:pStyle w:val="Textpoznmkypodiarou"/>
      </w:pPr>
    </w:p>
    <w:p w14:paraId="11E3EB07" w14:textId="77777777" w:rsidR="008A0FB7" w:rsidRDefault="008A0FB7" w:rsidP="00CC3215">
      <w:pPr>
        <w:pStyle w:val="Textpoznmkypodiarou"/>
      </w:pPr>
    </w:p>
    <w:p w14:paraId="6FBC380B" w14:textId="77777777" w:rsidR="008A0FB7" w:rsidRDefault="008A0FB7" w:rsidP="00CC3215">
      <w:pPr>
        <w:pStyle w:val="Textpoznmkypodiarou"/>
      </w:pPr>
    </w:p>
    <w:p w14:paraId="22BEE94C" w14:textId="77777777" w:rsidR="008A0FB7" w:rsidRDefault="008A0FB7" w:rsidP="00CC3215">
      <w:pPr>
        <w:pStyle w:val="Textpoznmkypodiarou"/>
      </w:pPr>
    </w:p>
    <w:p w14:paraId="1108C049" w14:textId="77777777" w:rsidR="008A0FB7" w:rsidRDefault="008A0FB7" w:rsidP="00CC3215">
      <w:pPr>
        <w:pStyle w:val="Textpoznmkypodiarou"/>
      </w:pPr>
    </w:p>
    <w:p w14:paraId="17C5626D" w14:textId="77777777" w:rsidR="008A0FB7" w:rsidRDefault="008A0FB7" w:rsidP="00CC3215">
      <w:pPr>
        <w:pStyle w:val="Textpoznmkypodiarou"/>
      </w:pPr>
    </w:p>
    <w:p w14:paraId="0A5DA207" w14:textId="77777777" w:rsidR="008A0FB7" w:rsidRDefault="008A0FB7" w:rsidP="00CC3215">
      <w:pPr>
        <w:pStyle w:val="Textpoznmkypodiarou"/>
      </w:pPr>
    </w:p>
    <w:p w14:paraId="451DA362" w14:textId="77777777" w:rsidR="008A0FB7" w:rsidRDefault="008A0FB7" w:rsidP="00CC3215">
      <w:pPr>
        <w:pStyle w:val="Textpoznmkypodiarou"/>
      </w:pPr>
    </w:p>
    <w:p w14:paraId="1D11D353" w14:textId="77777777" w:rsidR="008A0FB7" w:rsidRDefault="008A0FB7" w:rsidP="00CC3215">
      <w:pPr>
        <w:pStyle w:val="Textpoznmkypodiarou"/>
      </w:pPr>
    </w:p>
    <w:p w14:paraId="4FE4E022" w14:textId="77777777" w:rsidR="008A0FB7" w:rsidRDefault="008A0FB7" w:rsidP="00CC3215">
      <w:pPr>
        <w:pStyle w:val="Textpoznmkypodiarou"/>
      </w:pPr>
    </w:p>
    <w:p w14:paraId="1A774F0C" w14:textId="77777777" w:rsidR="008A0FB7" w:rsidRDefault="008A0FB7" w:rsidP="00CC3215">
      <w:pPr>
        <w:pStyle w:val="Textpoznmkypodiarou"/>
      </w:pPr>
    </w:p>
    <w:p w14:paraId="6E2038E7" w14:textId="77777777" w:rsidR="008A0FB7" w:rsidRDefault="008A0FB7" w:rsidP="00CC3215">
      <w:pPr>
        <w:pStyle w:val="Textpoznmkypodiarou"/>
      </w:pPr>
    </w:p>
    <w:p w14:paraId="6533E2F0" w14:textId="77777777" w:rsidR="008A0FB7" w:rsidRDefault="008A0FB7" w:rsidP="00CC3215">
      <w:pPr>
        <w:pStyle w:val="Textpoznmkypodiarou"/>
      </w:pPr>
    </w:p>
    <w:p w14:paraId="1295F61E" w14:textId="77777777" w:rsidR="008A0FB7" w:rsidRDefault="008A0FB7" w:rsidP="00CC3215">
      <w:pPr>
        <w:pStyle w:val="Textpoznmkypodiarou"/>
      </w:pPr>
    </w:p>
    <w:p w14:paraId="1E0FAA14" w14:textId="77777777" w:rsidR="008A0FB7" w:rsidRDefault="008A0FB7" w:rsidP="00CC3215">
      <w:pPr>
        <w:pStyle w:val="Textpoznmkypodiarou"/>
      </w:pPr>
    </w:p>
    <w:p w14:paraId="59FC7830" w14:textId="77777777" w:rsidR="008A0FB7" w:rsidRDefault="008A0FB7" w:rsidP="00CC3215">
      <w:pPr>
        <w:pStyle w:val="Textpoznmkypodiarou"/>
      </w:pPr>
    </w:p>
    <w:p w14:paraId="459BA8BF" w14:textId="77777777" w:rsidR="008A0FB7" w:rsidRDefault="008A0FB7" w:rsidP="00CC3215">
      <w:pPr>
        <w:pStyle w:val="Textpoznmkypodiarou"/>
      </w:pPr>
    </w:p>
    <w:p w14:paraId="0E51795C" w14:textId="77777777" w:rsidR="00DF35B1" w:rsidRPr="007B4261" w:rsidRDefault="008A4341" w:rsidP="00A11E4C">
      <w:pPr>
        <w:pStyle w:val="Textpoznmkypodiarou"/>
        <w:rPr>
          <w:b/>
          <w:sz w:val="24"/>
        </w:rPr>
      </w:pPr>
      <w:r w:rsidRPr="007B4261">
        <w:rPr>
          <w:b/>
          <w:sz w:val="28"/>
        </w:rPr>
        <w:lastRenderedPageBreak/>
        <w:t>Úvod</w:t>
      </w:r>
    </w:p>
    <w:p w14:paraId="66A96934" w14:textId="77777777" w:rsidR="00DF35B1" w:rsidRPr="0019148E" w:rsidRDefault="00DF35B1" w:rsidP="00A11E4C">
      <w:pPr>
        <w:pStyle w:val="Textpoznmkypodiarou"/>
        <w:rPr>
          <w:b/>
        </w:rPr>
      </w:pPr>
    </w:p>
    <w:p w14:paraId="02708EEB" w14:textId="49510E6C" w:rsidR="00150E0E" w:rsidRDefault="00150E0E" w:rsidP="00A11E4C">
      <w:pPr>
        <w:ind w:firstLine="708"/>
        <w:jc w:val="both"/>
      </w:pPr>
      <w:bookmarkStart w:id="7" w:name="_Toc394471509"/>
      <w:bookmarkStart w:id="8" w:name="_Toc422906267"/>
      <w:bookmarkStart w:id="9" w:name="_Toc384124260"/>
      <w:r w:rsidRPr="009053C4">
        <w:t>Aktualizácia Stratégie riadenia štátneho dlhu na rok 201</w:t>
      </w:r>
      <w:r w:rsidR="001E5F8D" w:rsidRPr="009053C4">
        <w:t>9 vychádza zo Stratégie riadenia štátneho dlhu</w:t>
      </w:r>
      <w:r w:rsidRPr="009053C4">
        <w:t xml:space="preserve"> </w:t>
      </w:r>
      <w:r w:rsidR="001E5F8D" w:rsidRPr="009053C4">
        <w:t xml:space="preserve">na roky 2015 </w:t>
      </w:r>
      <w:r w:rsidRPr="009053C4">
        <w:t>až 2018</w:t>
      </w:r>
      <w:r w:rsidR="001E5F8D" w:rsidRPr="009053C4">
        <w:t xml:space="preserve"> </w:t>
      </w:r>
      <w:r w:rsidR="002417A7" w:rsidRPr="009053C4">
        <w:t xml:space="preserve">(ďalej </w:t>
      </w:r>
      <w:r w:rsidR="00FD0D33">
        <w:t>„</w:t>
      </w:r>
      <w:r w:rsidR="002417A7" w:rsidRPr="009053C4">
        <w:t>Stratégia</w:t>
      </w:r>
      <w:r w:rsidR="00FD0D33">
        <w:t>“</w:t>
      </w:r>
      <w:r w:rsidR="002417A7" w:rsidRPr="009053C4">
        <w:t xml:space="preserve">) </w:t>
      </w:r>
      <w:r w:rsidR="001E5F8D" w:rsidRPr="009053C4">
        <w:t>schválenej vládou Slovenskej republiky. V uplynulom období pretrvávalo prostredie extrémne nízkych trhových úrokových sadieb</w:t>
      </w:r>
      <w:r w:rsidRPr="009053C4">
        <w:t xml:space="preserve">, keď </w:t>
      </w:r>
      <w:r w:rsidR="001E5F8D" w:rsidRPr="009053C4">
        <w:t>aj Slovensko bolo a stále je schopné emitovať dlhopisy</w:t>
      </w:r>
      <w:r w:rsidR="00FD0D33">
        <w:t xml:space="preserve"> s krátkodobou splatnosťou so </w:t>
      </w:r>
      <w:r w:rsidR="001E5F8D" w:rsidRPr="009053C4">
        <w:t xml:space="preserve">zápornými </w:t>
      </w:r>
      <w:r w:rsidR="004C5536" w:rsidRPr="009053C4">
        <w:t xml:space="preserve">úrokovými </w:t>
      </w:r>
      <w:r w:rsidR="00FD0D33">
        <w:t>sadzbami.</w:t>
      </w:r>
      <w:r w:rsidR="001E5F8D" w:rsidRPr="009053C4">
        <w:t xml:space="preserve"> Okrem predĺženia priemernej splatnosti portfólia štátneho dlhu </w:t>
      </w:r>
      <w:r w:rsidR="00CB4898" w:rsidRPr="009053C4">
        <w:t>a zmenšen</w:t>
      </w:r>
      <w:r w:rsidR="00013E5D" w:rsidRPr="009053C4">
        <w:t>í</w:t>
      </w:r>
      <w:r w:rsidR="00CB4898" w:rsidRPr="009053C4">
        <w:t xml:space="preserve"> citlivosti portfólia </w:t>
      </w:r>
      <w:r w:rsidR="00013E5D" w:rsidRPr="009053C4">
        <w:t xml:space="preserve">štátneho dlhu </w:t>
      </w:r>
      <w:r w:rsidR="00CB4898" w:rsidRPr="009053C4">
        <w:t>na z</w:t>
      </w:r>
      <w:r w:rsidR="00130E53">
        <w:t>meny trhových úrokových sadzieb</w:t>
      </w:r>
      <w:r w:rsidR="00CB4898" w:rsidRPr="009053C4">
        <w:t xml:space="preserve"> </w:t>
      </w:r>
      <w:r w:rsidR="004C5536" w:rsidRPr="009053C4">
        <w:t>s</w:t>
      </w:r>
      <w:r w:rsidR="001E5F8D" w:rsidRPr="009053C4">
        <w:t xml:space="preserve">a </w:t>
      </w:r>
      <w:r w:rsidR="004C5536" w:rsidRPr="009053C4">
        <w:t>podarilo ďalej znížiť priemerné úrokové náklady na správu štátneho dlhu na súčasnú úroveň 2,1</w:t>
      </w:r>
      <w:r w:rsidR="00130E53">
        <w:t xml:space="preserve"> </w:t>
      </w:r>
      <w:r w:rsidR="004C5536" w:rsidRPr="009053C4">
        <w:t>% p. a. a priemerné úrokové náklady dlhopisového portfólia na úroveň 2,49 % p. a.</w:t>
      </w:r>
      <w:r w:rsidR="005268F6" w:rsidRPr="009053C4">
        <w:t>,</w:t>
      </w:r>
      <w:r w:rsidR="004C5536" w:rsidRPr="009053C4">
        <w:t xml:space="preserve"> čo je približne na úrovni jadrových krajín eurozóny s lepším ratingom ako má Slovensko. </w:t>
      </w:r>
      <w:r w:rsidRPr="009053C4">
        <w:t xml:space="preserve">Riadenie štátneho dlhu je ovplyvnené predovšetkým </w:t>
      </w:r>
      <w:r w:rsidR="00CB4898" w:rsidRPr="009053C4">
        <w:t xml:space="preserve">politikou a </w:t>
      </w:r>
      <w:r w:rsidRPr="009053C4">
        <w:t xml:space="preserve">pôsobením </w:t>
      </w:r>
      <w:r w:rsidR="008E4E0E">
        <w:t>ECB/</w:t>
      </w:r>
      <w:r w:rsidRPr="009053C4">
        <w:t xml:space="preserve">NBS a nakupovaním existujúcich štátnych dlhopisov na sekundárnom trhu. </w:t>
      </w:r>
      <w:r w:rsidR="004C5536" w:rsidRPr="009053C4">
        <w:t xml:space="preserve">V súčasnosti pretrváva výrazná neistota v súvislosti s </w:t>
      </w:r>
      <w:r w:rsidRPr="009053C4">
        <w:t>odchod</w:t>
      </w:r>
      <w:r w:rsidR="004C5536" w:rsidRPr="009053C4">
        <w:t>om</w:t>
      </w:r>
      <w:r w:rsidRPr="009053C4">
        <w:t xml:space="preserve"> Veľkej Británie z Európskej únie, </w:t>
      </w:r>
      <w:r w:rsidR="00ED5EB6" w:rsidRPr="009053C4">
        <w:t xml:space="preserve">nastupujúci </w:t>
      </w:r>
      <w:r w:rsidRPr="009053C4">
        <w:t>protekcionizmu</w:t>
      </w:r>
      <w:r w:rsidR="00ED5EB6" w:rsidRPr="009053C4">
        <w:t>s</w:t>
      </w:r>
      <w:r w:rsidRPr="009053C4">
        <w:t xml:space="preserve"> vo svetovom obchode a</w:t>
      </w:r>
      <w:r w:rsidR="00ED5EB6" w:rsidRPr="009053C4">
        <w:t xml:space="preserve"> ďalšie </w:t>
      </w:r>
      <w:r w:rsidRPr="009053C4">
        <w:t>zväčš</w:t>
      </w:r>
      <w:r w:rsidR="00ED5EB6" w:rsidRPr="009053C4">
        <w:t>ovanie</w:t>
      </w:r>
      <w:r w:rsidRPr="009053C4">
        <w:t xml:space="preserve"> finančnej a bankovej regulácie.  </w:t>
      </w:r>
      <w:r w:rsidR="00ED5EB6" w:rsidRPr="009053C4">
        <w:t>Spomínané neistoty a riziká negatívne ovplyvňujú rozhodovanie potenciálnych investorov do štátneho dlhu</w:t>
      </w:r>
      <w:r w:rsidR="00CB4898" w:rsidRPr="009053C4">
        <w:t>, pričom majú väčšiu váhu pri menších emitentoch, ako je napríklad Slovensko, s menej rozvinutým finančným trhom.</w:t>
      </w:r>
    </w:p>
    <w:p w14:paraId="19E32CA2" w14:textId="77777777" w:rsidR="00A11E4C" w:rsidRPr="009053C4" w:rsidRDefault="00A11E4C" w:rsidP="00A11E4C">
      <w:pPr>
        <w:ind w:firstLine="708"/>
        <w:jc w:val="both"/>
      </w:pPr>
    </w:p>
    <w:p w14:paraId="33277CF4" w14:textId="705854FA" w:rsidR="00150E0E" w:rsidRDefault="00150E0E" w:rsidP="00A11E4C">
      <w:pPr>
        <w:ind w:firstLine="708"/>
        <w:jc w:val="both"/>
      </w:pPr>
      <w:r w:rsidRPr="009053C4">
        <w:t>Parametre štátneho dlhu SR dosahujú štandardnú úroveň krajín eurozóny</w:t>
      </w:r>
      <w:r w:rsidR="00CB4898" w:rsidRPr="009053C4">
        <w:t xml:space="preserve"> a OECD</w:t>
      </w:r>
      <w:r w:rsidRPr="009053C4">
        <w:t xml:space="preserve">. Dôvodom je </w:t>
      </w:r>
      <w:r w:rsidR="00525F44" w:rsidRPr="009053C4">
        <w:t>najmä využitie neštandardných trhových úrokových sadzieb na predĺženie splatnosti záväzkov štátu, výrazné zníženie najmä refinančného rizika portfólia štátnych dlhopisov a veľmi dobré postavenie Slovenska na medzinárodných finančných trhoch</w:t>
      </w:r>
      <w:r w:rsidR="00FD0D33">
        <w:t xml:space="preserve">. </w:t>
      </w:r>
      <w:r w:rsidR="00013E5D" w:rsidRPr="009053C4">
        <w:t>Rizikové prirážky slovenských štátnych dlhopisov dosahujú na sekundárnom trhu pri niektorých splatnostiach rovnaké a v niektorých prípadoch aj nižšie úrovne ako prirážky krajín eurozóny s lepším úverovým ratingom.</w:t>
      </w:r>
    </w:p>
    <w:p w14:paraId="597AD827" w14:textId="77777777" w:rsidR="00A11E4C" w:rsidRPr="009053C4" w:rsidRDefault="00A11E4C" w:rsidP="00A11E4C">
      <w:pPr>
        <w:ind w:firstLine="708"/>
        <w:jc w:val="both"/>
      </w:pPr>
    </w:p>
    <w:p w14:paraId="229280F1" w14:textId="24981709" w:rsidR="00150E0E" w:rsidRPr="00CB4898" w:rsidRDefault="00525F44" w:rsidP="00A11E4C">
      <w:pPr>
        <w:ind w:firstLine="708"/>
        <w:jc w:val="both"/>
        <w:rPr>
          <w:sz w:val="22"/>
          <w:szCs w:val="22"/>
        </w:rPr>
      </w:pPr>
      <w:r w:rsidRPr="009053C4">
        <w:t xml:space="preserve">Predložená </w:t>
      </w:r>
      <w:r w:rsidR="00150E0E" w:rsidRPr="009053C4">
        <w:t xml:space="preserve">aktualizácia </w:t>
      </w:r>
      <w:r w:rsidR="00013E5D" w:rsidRPr="009053C4">
        <w:t xml:space="preserve">Stratégie na rok 2019 </w:t>
      </w:r>
      <w:r w:rsidR="00150E0E" w:rsidRPr="009053C4">
        <w:t xml:space="preserve">nevyžaduje modifikovanie kvantitatívnych cieľov riadenia rizika </w:t>
      </w:r>
      <w:r w:rsidR="00013E5D" w:rsidRPr="009053C4">
        <w:t xml:space="preserve">a </w:t>
      </w:r>
      <w:r w:rsidR="00150E0E" w:rsidRPr="009053C4">
        <w:t>ani ostatných cieľov stanovených v</w:t>
      </w:r>
      <w:r w:rsidRPr="009053C4">
        <w:t> </w:t>
      </w:r>
      <w:r w:rsidR="00150E0E" w:rsidRPr="009053C4">
        <w:t>Stratégii</w:t>
      </w:r>
      <w:r w:rsidRPr="009053C4">
        <w:t xml:space="preserve"> riadenia štátneho dlhu </w:t>
      </w:r>
      <w:r w:rsidR="009E051F">
        <w:t xml:space="preserve">na roky </w:t>
      </w:r>
      <w:r w:rsidRPr="009053C4">
        <w:t>2015 až 2018</w:t>
      </w:r>
      <w:r w:rsidR="00150E0E" w:rsidRPr="009053C4">
        <w:t>.</w:t>
      </w:r>
    </w:p>
    <w:p w14:paraId="280EA6D4" w14:textId="77777777" w:rsidR="00150E0E" w:rsidRPr="00CB4898" w:rsidRDefault="00150E0E" w:rsidP="00A11E4C">
      <w:pPr>
        <w:ind w:firstLine="708"/>
        <w:jc w:val="both"/>
        <w:rPr>
          <w:sz w:val="22"/>
          <w:szCs w:val="22"/>
        </w:rPr>
      </w:pPr>
    </w:p>
    <w:p w14:paraId="0E00F5CB" w14:textId="77777777" w:rsidR="003B3F5B" w:rsidRDefault="00BA2F20" w:rsidP="00A11E4C">
      <w:pPr>
        <w:pStyle w:val="Nadpis1"/>
        <w:numPr>
          <w:ilvl w:val="0"/>
          <w:numId w:val="9"/>
        </w:numPr>
        <w:spacing w:before="0" w:after="0"/>
        <w:rPr>
          <w:rFonts w:ascii="Times New Roman" w:hAnsi="Times New Roman" w:cs="Times New Roman"/>
          <w:sz w:val="28"/>
        </w:rPr>
      </w:pPr>
      <w:bookmarkStart w:id="10" w:name="_Toc21537380"/>
      <w:r w:rsidRPr="007B4261">
        <w:rPr>
          <w:rFonts w:ascii="Times New Roman" w:hAnsi="Times New Roman" w:cs="Times New Roman"/>
          <w:sz w:val="28"/>
        </w:rPr>
        <w:t>Makroekonomické východiská a fiškálny výhľad</w:t>
      </w:r>
      <w:bookmarkEnd w:id="7"/>
      <w:bookmarkEnd w:id="8"/>
      <w:bookmarkEnd w:id="10"/>
    </w:p>
    <w:p w14:paraId="58C336AB" w14:textId="77777777" w:rsidR="00A11E4C" w:rsidRPr="00A11E4C" w:rsidRDefault="00A11E4C" w:rsidP="00A11E4C"/>
    <w:p w14:paraId="55E22431" w14:textId="77777777" w:rsidR="001F5022" w:rsidRDefault="00235994" w:rsidP="00A11E4C">
      <w:pPr>
        <w:pStyle w:val="Nadpis2"/>
        <w:keepLines/>
        <w:numPr>
          <w:ilvl w:val="1"/>
          <w:numId w:val="9"/>
        </w:numPr>
        <w:spacing w:before="0" w:after="0" w:line="276" w:lineRule="auto"/>
        <w:ind w:left="720" w:hanging="720"/>
        <w:jc w:val="both"/>
        <w:rPr>
          <w:rFonts w:ascii="Times New Roman" w:hAnsi="Times New Roman" w:cs="Times New Roman"/>
          <w:bCs w:val="0"/>
          <w:i w:val="0"/>
          <w:iCs w:val="0"/>
          <w:color w:val="000000" w:themeColor="text1"/>
          <w:sz w:val="24"/>
        </w:rPr>
      </w:pPr>
      <w:bookmarkStart w:id="11" w:name="_Toc275948230"/>
      <w:bookmarkStart w:id="12" w:name="_Toc394471510"/>
      <w:bookmarkStart w:id="13" w:name="_Toc422906268"/>
      <w:bookmarkStart w:id="14" w:name="_Toc21537381"/>
      <w:r w:rsidRPr="00E438DF">
        <w:rPr>
          <w:rFonts w:ascii="Times New Roman" w:hAnsi="Times New Roman" w:cs="Times New Roman"/>
          <w:bCs w:val="0"/>
          <w:i w:val="0"/>
          <w:iCs w:val="0"/>
          <w:color w:val="000000" w:themeColor="text1"/>
          <w:sz w:val="24"/>
        </w:rPr>
        <w:t>Vývoj na finančných trhoch a makroekonomické východiská</w:t>
      </w:r>
      <w:bookmarkEnd w:id="11"/>
      <w:bookmarkEnd w:id="12"/>
      <w:bookmarkEnd w:id="13"/>
      <w:bookmarkEnd w:id="14"/>
    </w:p>
    <w:p w14:paraId="6EFE95B0" w14:textId="77777777" w:rsidR="00A11E4C" w:rsidRPr="00A11E4C" w:rsidRDefault="00A11E4C" w:rsidP="00A11E4C"/>
    <w:p w14:paraId="27446B65" w14:textId="5CAB5E29" w:rsidR="00294377" w:rsidRDefault="00294377" w:rsidP="00A11E4C">
      <w:pPr>
        <w:ind w:firstLine="708"/>
        <w:jc w:val="both"/>
      </w:pPr>
      <w:bookmarkStart w:id="15" w:name="_Toc394471515"/>
      <w:bookmarkStart w:id="16" w:name="_Toc422906269"/>
      <w:bookmarkStart w:id="17" w:name="_Toc394471516"/>
      <w:bookmarkStart w:id="18" w:name="_Toc422906270"/>
      <w:r w:rsidRPr="009053C4">
        <w:t>Nasledujúce roky budú poznačené pokračovaním menového stimulu (nákupy aktív) v eurozóne, po ktorom bude pravdepodobne nasledovať zvýšenie kľúčových úrokových sadzieb z veľmi nízkej úrovne. ECB v septembri 2019 znížila kľúčovú depozitnú sadzbu na historické minimum a po krátkej prestávke obnovila program nákupu aktív, tentoraz s otvoreným časovým rámcom. Podľa usmernenia ECB a na základe trhových očakávaní sa tak nárast úrokových sadzieb očakáva</w:t>
      </w:r>
      <w:r w:rsidR="00B70B29">
        <w:t>,</w:t>
      </w:r>
      <w:r w:rsidRPr="009053C4">
        <w:t xml:space="preserve"> až keď budú inflačné vyhliadky stabilne konvergovať k 2 %.</w:t>
      </w:r>
    </w:p>
    <w:p w14:paraId="37C17C0C" w14:textId="77777777" w:rsidR="00A11E4C" w:rsidRPr="009053C4" w:rsidRDefault="00A11E4C" w:rsidP="00A11E4C">
      <w:pPr>
        <w:ind w:firstLine="708"/>
        <w:jc w:val="both"/>
      </w:pPr>
    </w:p>
    <w:p w14:paraId="06D8CDE6" w14:textId="2EB69DFA" w:rsidR="00294377" w:rsidRPr="009053C4" w:rsidRDefault="00294377" w:rsidP="00A11E4C">
      <w:pPr>
        <w:ind w:firstLine="708"/>
        <w:jc w:val="both"/>
      </w:pPr>
      <w:r w:rsidRPr="009053C4">
        <w:t xml:space="preserve">Ukončenie monetárneho stimulu môže viesť k epizódam zvýšenej volatility, aj keď volatilita, v našom prípade meraná indexom VIX, sa od krízy v eurozóne blížila </w:t>
      </w:r>
      <w:r w:rsidR="00B369DD">
        <w:t xml:space="preserve">k historickým minimám. </w:t>
      </w:r>
      <w:r w:rsidRPr="009053C4">
        <w:t>V priebehu roku 2019 sme zaznamenali zvýšenú volatilitu kvôli napätiu v medzinárodnom obchode a nadmernému zadĺženiu niektorých krajín.</w:t>
      </w:r>
    </w:p>
    <w:p w14:paraId="077CC09C" w14:textId="77777777" w:rsidR="00B13E71" w:rsidRDefault="00B13E71" w:rsidP="00A11E4C">
      <w:pPr>
        <w:jc w:val="both"/>
        <w:rPr>
          <w:sz w:val="22"/>
          <w:szCs w:val="22"/>
        </w:rPr>
      </w:pPr>
    </w:p>
    <w:p w14:paraId="4247FFC6" w14:textId="77777777" w:rsidR="00CB4898" w:rsidRDefault="00CB4898" w:rsidP="00294377">
      <w:pPr>
        <w:spacing w:after="240"/>
        <w:jc w:val="both"/>
        <w:rPr>
          <w:sz w:val="22"/>
          <w:szCs w:val="22"/>
        </w:rPr>
      </w:pPr>
    </w:p>
    <w:p w14:paraId="5F2C2BD7" w14:textId="77777777" w:rsidR="00CB4898" w:rsidRDefault="00CB4898" w:rsidP="00294377">
      <w:pPr>
        <w:spacing w:after="240"/>
        <w:jc w:val="both"/>
        <w:rPr>
          <w:sz w:val="22"/>
          <w:szCs w:val="22"/>
        </w:rPr>
      </w:pPr>
    </w:p>
    <w:tbl>
      <w:tblPr>
        <w:tblpPr w:leftFromText="141" w:rightFromText="141" w:vertAnchor="text" w:horzAnchor="margin" w:tblpY="367"/>
        <w:tblW w:w="929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661"/>
        <w:gridCol w:w="160"/>
        <w:gridCol w:w="4475"/>
      </w:tblGrid>
      <w:tr w:rsidR="009053C4" w:rsidRPr="00431CDC" w14:paraId="5E3198B9" w14:textId="77777777" w:rsidTr="009053C4">
        <w:trPr>
          <w:trHeight w:val="283"/>
        </w:trPr>
        <w:tc>
          <w:tcPr>
            <w:tcW w:w="4661" w:type="dxa"/>
            <w:tcBorders>
              <w:top w:val="nil"/>
              <w:left w:val="nil"/>
              <w:bottom w:val="single" w:sz="4" w:space="0" w:color="000000"/>
              <w:right w:val="nil"/>
            </w:tcBorders>
            <w:shd w:val="clear" w:color="auto" w:fill="auto"/>
          </w:tcPr>
          <w:p w14:paraId="46D3ADF9" w14:textId="77777777" w:rsidR="009053C4" w:rsidRDefault="009053C4" w:rsidP="009053C4">
            <w:pPr>
              <w:pStyle w:val="Tabuk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imes New Roman" w:eastAsia="Times New Roman" w:hAnsi="Times New Roman" w:cs="Times New Roman"/>
                <w:bCs w:val="0"/>
                <w:color w:val="auto"/>
                <w:sz w:val="22"/>
                <w:szCs w:val="16"/>
                <w:bdr w:val="none" w:sz="0" w:space="0" w:color="auto"/>
              </w:rPr>
            </w:pPr>
          </w:p>
          <w:p w14:paraId="41C5F728" w14:textId="77777777" w:rsidR="009053C4" w:rsidRDefault="009053C4" w:rsidP="009053C4">
            <w:pPr>
              <w:pStyle w:val="Tabuk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eastAsia="Times New Roman" w:hAnsi="Times New Roman" w:cs="Times New Roman"/>
                <w:bCs w:val="0"/>
                <w:color w:val="auto"/>
                <w:sz w:val="22"/>
                <w:szCs w:val="16"/>
                <w:bdr w:val="none" w:sz="0" w:space="0" w:color="auto"/>
              </w:rPr>
            </w:pPr>
          </w:p>
          <w:p w14:paraId="62A7A13B" w14:textId="77777777" w:rsidR="009053C4" w:rsidRPr="00BF0BEB" w:rsidRDefault="009053C4" w:rsidP="009053C4">
            <w:pPr>
              <w:pStyle w:val="Tabuk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Franklin Gothic Book" w:hAnsi="Franklin Gothic Book"/>
                <w:color w:val="076F93"/>
                <w:sz w:val="22"/>
              </w:rPr>
            </w:pPr>
            <w:r w:rsidRPr="00B13E71">
              <w:rPr>
                <w:rFonts w:ascii="Times New Roman" w:eastAsia="Times New Roman" w:hAnsi="Times New Roman" w:cs="Times New Roman"/>
                <w:bCs w:val="0"/>
                <w:color w:val="auto"/>
                <w:sz w:val="22"/>
                <w:szCs w:val="16"/>
                <w:bdr w:val="none" w:sz="0" w:space="0" w:color="auto"/>
              </w:rPr>
              <w:t>VIX index, január 1990 – október 2019</w:t>
            </w:r>
          </w:p>
        </w:tc>
        <w:tc>
          <w:tcPr>
            <w:tcW w:w="160" w:type="dxa"/>
            <w:tcBorders>
              <w:top w:val="nil"/>
              <w:left w:val="nil"/>
              <w:bottom w:val="nil"/>
              <w:right w:val="nil"/>
            </w:tcBorders>
            <w:shd w:val="clear" w:color="auto" w:fill="auto"/>
            <w:vAlign w:val="center"/>
          </w:tcPr>
          <w:p w14:paraId="53E13D42" w14:textId="77777777" w:rsidR="009053C4" w:rsidRPr="00431CDC" w:rsidRDefault="009053C4" w:rsidP="009053C4">
            <w:pPr>
              <w:pStyle w:val="Tabuk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Franklin Gothic Book" w:hAnsi="Franklin Gothic Book"/>
              </w:rPr>
            </w:pPr>
          </w:p>
        </w:tc>
        <w:tc>
          <w:tcPr>
            <w:tcW w:w="4475" w:type="dxa"/>
            <w:tcBorders>
              <w:top w:val="nil"/>
              <w:left w:val="nil"/>
              <w:bottom w:val="single" w:sz="4" w:space="0" w:color="000000"/>
              <w:right w:val="nil"/>
            </w:tcBorders>
            <w:shd w:val="clear" w:color="auto" w:fill="auto"/>
            <w:vAlign w:val="center"/>
          </w:tcPr>
          <w:p w14:paraId="02F7EB3E" w14:textId="77777777" w:rsidR="009053C4" w:rsidRDefault="009053C4" w:rsidP="009053C4">
            <w:pPr>
              <w:pStyle w:val="Tabuk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eastAsia="Times New Roman" w:hAnsi="Times New Roman" w:cs="Times New Roman"/>
                <w:bCs w:val="0"/>
                <w:color w:val="auto"/>
                <w:sz w:val="22"/>
                <w:szCs w:val="16"/>
                <w:bdr w:val="none" w:sz="0" w:space="0" w:color="auto"/>
              </w:rPr>
            </w:pPr>
          </w:p>
          <w:p w14:paraId="7C0849F7" w14:textId="77777777" w:rsidR="009053C4" w:rsidRDefault="009053C4" w:rsidP="009053C4">
            <w:pPr>
              <w:pStyle w:val="Tabuk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eastAsia="Times New Roman" w:hAnsi="Times New Roman" w:cs="Times New Roman"/>
                <w:bCs w:val="0"/>
                <w:color w:val="auto"/>
                <w:sz w:val="22"/>
                <w:szCs w:val="16"/>
                <w:bdr w:val="none" w:sz="0" w:space="0" w:color="auto"/>
              </w:rPr>
            </w:pPr>
          </w:p>
          <w:p w14:paraId="650A7B85" w14:textId="77777777" w:rsidR="009053C4" w:rsidRPr="00431CDC" w:rsidRDefault="009053C4" w:rsidP="009053C4">
            <w:pPr>
              <w:pStyle w:val="Tabuk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Franklin Gothic Book" w:hAnsi="Franklin Gothic Book"/>
              </w:rPr>
            </w:pPr>
            <w:r>
              <w:rPr>
                <w:rFonts w:ascii="Times New Roman" w:eastAsia="Times New Roman" w:hAnsi="Times New Roman" w:cs="Times New Roman"/>
                <w:bCs w:val="0"/>
                <w:color w:val="auto"/>
                <w:sz w:val="22"/>
                <w:szCs w:val="16"/>
                <w:bdr w:val="none" w:sz="0" w:space="0" w:color="auto"/>
              </w:rPr>
              <w:t>Prirážky</w:t>
            </w:r>
            <w:r w:rsidRPr="00B13E71">
              <w:rPr>
                <w:rFonts w:ascii="Times New Roman" w:eastAsia="Times New Roman" w:hAnsi="Times New Roman" w:cs="Times New Roman"/>
                <w:bCs w:val="0"/>
                <w:color w:val="auto"/>
                <w:sz w:val="22"/>
                <w:szCs w:val="16"/>
                <w:bdr w:val="none" w:sz="0" w:space="0" w:color="auto"/>
              </w:rPr>
              <w:t xml:space="preserve"> slovenských štátnych dlhopisov voči dlhopisom eurozóny s ratingom AAA</w:t>
            </w:r>
          </w:p>
        </w:tc>
      </w:tr>
      <w:tr w:rsidR="009053C4" w:rsidRPr="00431CDC" w14:paraId="402093AA" w14:textId="77777777" w:rsidTr="009053C4">
        <w:trPr>
          <w:trHeight w:val="920"/>
        </w:trPr>
        <w:tc>
          <w:tcPr>
            <w:tcW w:w="4661" w:type="dxa"/>
            <w:tcBorders>
              <w:top w:val="single" w:sz="4" w:space="0" w:color="000000"/>
              <w:left w:val="nil"/>
              <w:bottom w:val="single" w:sz="4" w:space="0" w:color="000000"/>
              <w:right w:val="nil"/>
            </w:tcBorders>
            <w:shd w:val="clear" w:color="auto" w:fill="auto"/>
            <w:vAlign w:val="center"/>
          </w:tcPr>
          <w:p w14:paraId="2FBCD144" w14:textId="77777777" w:rsidR="009053C4" w:rsidRPr="00431CDC" w:rsidRDefault="009053C4" w:rsidP="009053C4">
            <w:pPr>
              <w:spacing w:before="40" w:after="40"/>
              <w:jc w:val="center"/>
              <w:rPr>
                <w:rFonts w:ascii="Franklin Gothic Book" w:hAnsi="Franklin Gothic Book"/>
              </w:rPr>
            </w:pPr>
            <w:r>
              <w:rPr>
                <w:noProof/>
              </w:rPr>
              <w:drawing>
                <wp:inline distT="0" distB="0" distL="0" distR="0" wp14:anchorId="30631831" wp14:editId="64A3E4FE">
                  <wp:extent cx="2870835" cy="2143125"/>
                  <wp:effectExtent l="0" t="0" r="5715" b="0"/>
                  <wp:docPr id="15" name="Graf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160" w:type="dxa"/>
            <w:tcBorders>
              <w:top w:val="nil"/>
              <w:left w:val="nil"/>
              <w:bottom w:val="nil"/>
              <w:right w:val="nil"/>
            </w:tcBorders>
            <w:shd w:val="clear" w:color="auto" w:fill="auto"/>
            <w:vAlign w:val="center"/>
          </w:tcPr>
          <w:p w14:paraId="79B4F24B" w14:textId="77777777" w:rsidR="009053C4" w:rsidRPr="00431CDC" w:rsidRDefault="009053C4" w:rsidP="009053C4">
            <w:pPr>
              <w:spacing w:before="40" w:after="40"/>
              <w:jc w:val="center"/>
              <w:rPr>
                <w:rFonts w:ascii="Franklin Gothic Book" w:hAnsi="Franklin Gothic Book"/>
              </w:rPr>
            </w:pPr>
          </w:p>
        </w:tc>
        <w:tc>
          <w:tcPr>
            <w:tcW w:w="4475" w:type="dxa"/>
            <w:tcBorders>
              <w:top w:val="single" w:sz="4" w:space="0" w:color="000000"/>
              <w:left w:val="nil"/>
              <w:bottom w:val="single" w:sz="4" w:space="0" w:color="000000"/>
              <w:right w:val="nil"/>
            </w:tcBorders>
            <w:shd w:val="clear" w:color="auto" w:fill="auto"/>
            <w:vAlign w:val="center"/>
          </w:tcPr>
          <w:p w14:paraId="2DC02A39" w14:textId="77777777" w:rsidR="009053C4" w:rsidRPr="00431CDC" w:rsidRDefault="009053C4" w:rsidP="009053C4">
            <w:pPr>
              <w:spacing w:before="40" w:after="40"/>
              <w:rPr>
                <w:rFonts w:ascii="Franklin Gothic Book" w:hAnsi="Franklin Gothic Book"/>
              </w:rPr>
            </w:pPr>
            <w:r>
              <w:rPr>
                <w:noProof/>
              </w:rPr>
              <w:drawing>
                <wp:inline distT="0" distB="0" distL="0" distR="0" wp14:anchorId="7E94D244" wp14:editId="2E536D6B">
                  <wp:extent cx="2752725" cy="2133600"/>
                  <wp:effectExtent l="0" t="0" r="0" b="0"/>
                  <wp:docPr id="13" name="Graf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9053C4" w:rsidRPr="00431CDC" w14:paraId="4F2A9A02" w14:textId="77777777" w:rsidTr="009053C4">
        <w:trPr>
          <w:trHeight w:val="227"/>
        </w:trPr>
        <w:tc>
          <w:tcPr>
            <w:tcW w:w="4661" w:type="dxa"/>
            <w:tcBorders>
              <w:top w:val="single" w:sz="4" w:space="0" w:color="000000"/>
              <w:left w:val="nil"/>
              <w:bottom w:val="nil"/>
              <w:right w:val="nil"/>
            </w:tcBorders>
            <w:shd w:val="clear" w:color="auto" w:fill="auto"/>
            <w:vAlign w:val="center"/>
          </w:tcPr>
          <w:p w14:paraId="3CCDBB1F" w14:textId="77777777" w:rsidR="009053C4" w:rsidRPr="00B13E71" w:rsidRDefault="009053C4" w:rsidP="009053C4">
            <w:pPr>
              <w:pStyle w:val="poznmka"/>
              <w:rPr>
                <w:rFonts w:ascii="Times New Roman" w:hAnsi="Times New Roman" w:cs="Times New Roman"/>
                <w:color w:val="000000"/>
                <w:sz w:val="18"/>
                <w:lang w:eastAsia="en-US"/>
              </w:rPr>
            </w:pPr>
            <w:r w:rsidRPr="00B13E71">
              <w:rPr>
                <w:rFonts w:ascii="Times New Roman" w:hAnsi="Times New Roman" w:cs="Times New Roman"/>
                <w:color w:val="000000"/>
                <w:sz w:val="18"/>
                <w:lang w:eastAsia="en-US"/>
              </w:rPr>
              <w:t>Zdroj: CBOE</w:t>
            </w:r>
          </w:p>
        </w:tc>
        <w:tc>
          <w:tcPr>
            <w:tcW w:w="160" w:type="dxa"/>
            <w:tcBorders>
              <w:top w:val="nil"/>
              <w:left w:val="nil"/>
              <w:bottom w:val="nil"/>
              <w:right w:val="nil"/>
            </w:tcBorders>
            <w:shd w:val="clear" w:color="auto" w:fill="auto"/>
            <w:vAlign w:val="center"/>
          </w:tcPr>
          <w:p w14:paraId="3B907059" w14:textId="77777777" w:rsidR="009053C4" w:rsidRPr="00B13E71" w:rsidRDefault="009053C4" w:rsidP="009053C4">
            <w:pPr>
              <w:pStyle w:val="poznmka"/>
              <w:rPr>
                <w:rFonts w:ascii="Times New Roman" w:hAnsi="Times New Roman" w:cs="Times New Roman"/>
                <w:color w:val="000000"/>
                <w:sz w:val="18"/>
                <w:lang w:eastAsia="en-US"/>
              </w:rPr>
            </w:pPr>
          </w:p>
        </w:tc>
        <w:tc>
          <w:tcPr>
            <w:tcW w:w="4475" w:type="dxa"/>
            <w:tcBorders>
              <w:top w:val="single" w:sz="4" w:space="0" w:color="000000"/>
              <w:left w:val="nil"/>
              <w:bottom w:val="nil"/>
              <w:right w:val="nil"/>
            </w:tcBorders>
            <w:shd w:val="clear" w:color="auto" w:fill="auto"/>
            <w:vAlign w:val="center"/>
          </w:tcPr>
          <w:p w14:paraId="2F32E93D" w14:textId="77777777" w:rsidR="009053C4" w:rsidRPr="00B13E71" w:rsidRDefault="009053C4" w:rsidP="009053C4">
            <w:pPr>
              <w:pStyle w:val="poznmka"/>
              <w:rPr>
                <w:rFonts w:ascii="Times New Roman" w:hAnsi="Times New Roman" w:cs="Times New Roman"/>
                <w:color w:val="000000"/>
                <w:sz w:val="18"/>
                <w:lang w:eastAsia="en-US"/>
              </w:rPr>
            </w:pPr>
            <w:r w:rsidRPr="00B13E71">
              <w:rPr>
                <w:rFonts w:ascii="Times New Roman" w:hAnsi="Times New Roman" w:cs="Times New Roman"/>
                <w:color w:val="000000"/>
                <w:sz w:val="18"/>
                <w:lang w:eastAsia="en-US"/>
              </w:rPr>
              <w:t>Zdroj: ECB a Národná banka Slovenska</w:t>
            </w:r>
          </w:p>
        </w:tc>
      </w:tr>
    </w:tbl>
    <w:p w14:paraId="648C7009" w14:textId="77777777" w:rsidR="00525F44" w:rsidRDefault="00525F44" w:rsidP="00294377">
      <w:pPr>
        <w:spacing w:after="240"/>
        <w:jc w:val="both"/>
        <w:rPr>
          <w:sz w:val="22"/>
          <w:szCs w:val="22"/>
        </w:rPr>
      </w:pPr>
    </w:p>
    <w:p w14:paraId="3C9AB9F0" w14:textId="77777777" w:rsidR="00CB4898" w:rsidRPr="00294377" w:rsidRDefault="00CB4898" w:rsidP="00294377">
      <w:pPr>
        <w:spacing w:after="240"/>
        <w:jc w:val="both"/>
        <w:rPr>
          <w:sz w:val="22"/>
          <w:szCs w:val="22"/>
        </w:rPr>
      </w:pPr>
    </w:p>
    <w:p w14:paraId="05512E1C" w14:textId="77777777" w:rsidR="00294377" w:rsidRPr="00431CDC" w:rsidRDefault="00294377" w:rsidP="00294377">
      <w:pPr>
        <w:pStyle w:val="poznmka"/>
      </w:pPr>
    </w:p>
    <w:p w14:paraId="0A240322" w14:textId="0654304C" w:rsidR="00294377" w:rsidRDefault="00294377" w:rsidP="00A11E4C">
      <w:pPr>
        <w:ind w:firstLine="708"/>
        <w:jc w:val="both"/>
      </w:pPr>
      <w:r w:rsidRPr="009053C4">
        <w:t>Jedným z kľúčových globálnych rizík je politická nestabilita spojená s vysokou úrovňou verejného dlhu v niektorých členských štátoch eurozóny. Toto riziko je v prípade Slovenska zmiernené nárast</w:t>
      </w:r>
      <w:r w:rsidR="00ED5EB6" w:rsidRPr="009053C4">
        <w:t>om</w:t>
      </w:r>
      <w:r w:rsidRPr="009053C4">
        <w:t xml:space="preserve"> </w:t>
      </w:r>
      <w:r w:rsidR="00ED5EB6" w:rsidRPr="009053C4">
        <w:t>prirážok</w:t>
      </w:r>
      <w:r w:rsidRPr="009053C4">
        <w:t xml:space="preserve"> voči výnosom na nemeckých dlhopisoch </w:t>
      </w:r>
      <w:r w:rsidR="00013E5D" w:rsidRPr="009053C4">
        <w:t>a</w:t>
      </w:r>
      <w:r w:rsidRPr="009053C4">
        <w:t xml:space="preserve"> spravidla </w:t>
      </w:r>
      <w:r w:rsidR="00013E5D" w:rsidRPr="009053C4">
        <w:t xml:space="preserve">sa </w:t>
      </w:r>
      <w:r w:rsidRPr="009053C4">
        <w:t xml:space="preserve">zhoduje s poklesom nemeckých výnosov. </w:t>
      </w:r>
    </w:p>
    <w:p w14:paraId="0494B2BF" w14:textId="77777777" w:rsidR="00A11E4C" w:rsidRPr="009053C4" w:rsidRDefault="00A11E4C" w:rsidP="00A11E4C">
      <w:pPr>
        <w:ind w:firstLine="708"/>
        <w:jc w:val="both"/>
      </w:pPr>
    </w:p>
    <w:p w14:paraId="13EB07E3" w14:textId="16673F8A" w:rsidR="00294377" w:rsidRDefault="00294377" w:rsidP="00A11E4C">
      <w:pPr>
        <w:spacing w:line="259" w:lineRule="auto"/>
        <w:jc w:val="both"/>
        <w:rPr>
          <w:b/>
        </w:rPr>
      </w:pPr>
      <w:r w:rsidRPr="009053C4">
        <w:rPr>
          <w:b/>
        </w:rPr>
        <w:t>Slovensko</w:t>
      </w:r>
    </w:p>
    <w:p w14:paraId="674DA269" w14:textId="77777777" w:rsidR="002C66AE" w:rsidRPr="009053C4" w:rsidRDefault="002C66AE" w:rsidP="00A11E4C">
      <w:pPr>
        <w:spacing w:line="259" w:lineRule="auto"/>
        <w:jc w:val="both"/>
        <w:rPr>
          <w:b/>
        </w:rPr>
      </w:pPr>
    </w:p>
    <w:p w14:paraId="3A9A4F87" w14:textId="3B829130" w:rsidR="00294377" w:rsidRDefault="00294377" w:rsidP="00A11E4C">
      <w:pPr>
        <w:ind w:firstLine="708"/>
        <w:jc w:val="both"/>
      </w:pPr>
      <w:r w:rsidRPr="009053C4">
        <w:t>Hospodársky rast Slovenska v roku 2019 spomalí na 2,4 % v dôsledku zníženia výkonu v eurozóne. Príčinou spomalenia je aj nižšia spotreba domácností v prvom polroku. Kým v prvom polroku ťahal investičnú aktivitu súkromný sektor, v druhom polroku by vo väčšej miere mali prispieť aj investície vo verejnom sektore. V roku 2020 ekonomika ďalej zmierni tempo rastu na 2,3</w:t>
      </w:r>
      <w:r w:rsidR="00FA35BC" w:rsidRPr="009053C4">
        <w:t xml:space="preserve"> </w:t>
      </w:r>
      <w:r w:rsidRPr="009053C4">
        <w:t xml:space="preserve">%, miera nezamestnanosti bude stagnovať a zvyšovanie miezd pribrzdí. </w:t>
      </w:r>
    </w:p>
    <w:p w14:paraId="0C2E96AA" w14:textId="77777777" w:rsidR="00A11E4C" w:rsidRPr="009053C4" w:rsidRDefault="00A11E4C" w:rsidP="00A11E4C">
      <w:pPr>
        <w:ind w:firstLine="708"/>
        <w:jc w:val="both"/>
      </w:pPr>
    </w:p>
    <w:p w14:paraId="4CE9D37F" w14:textId="39AC00CB" w:rsidR="00294377" w:rsidRDefault="00294377" w:rsidP="00A11E4C">
      <w:pPr>
        <w:ind w:firstLine="708"/>
        <w:jc w:val="both"/>
      </w:pPr>
      <w:r w:rsidRPr="009053C4">
        <w:t xml:space="preserve">V ďalších rokoch nastane opätovné oživenie ekonomiky, ktorá stúpne mierne nad svoj potenciál. Export porastie rýchlejšie ako zahraničný dopyt vďaka pozitívnemu príspevku automobilky Jaguar Land Rover. S blížiacim sa záverom tretieho programového obdobia čerpania eurofondov </w:t>
      </w:r>
      <w:r w:rsidR="00FA35BC" w:rsidRPr="009053C4">
        <w:t xml:space="preserve">sa </w:t>
      </w:r>
      <w:r w:rsidRPr="009053C4">
        <w:t xml:space="preserve">budú zrýchľovať celkové investície </w:t>
      </w:r>
      <w:r w:rsidR="00FA35BC" w:rsidRPr="009053C4">
        <w:t xml:space="preserve">a </w:t>
      </w:r>
      <w:r w:rsidRPr="009053C4">
        <w:t xml:space="preserve">aj vládna spotreba. </w:t>
      </w:r>
    </w:p>
    <w:p w14:paraId="7256A8FC" w14:textId="77777777" w:rsidR="00A11E4C" w:rsidRPr="009053C4" w:rsidRDefault="00A11E4C" w:rsidP="00A11E4C">
      <w:pPr>
        <w:ind w:firstLine="708"/>
        <w:jc w:val="both"/>
      </w:pPr>
    </w:p>
    <w:p w14:paraId="416386BA" w14:textId="39638FD0" w:rsidR="00294377" w:rsidRDefault="00C21337" w:rsidP="00A11E4C">
      <w:pPr>
        <w:ind w:firstLine="708"/>
        <w:jc w:val="both"/>
      </w:pPr>
      <w:r>
        <w:t>Vývoz v roku 2020 stúpne o 5,3</w:t>
      </w:r>
      <w:r w:rsidR="00294377" w:rsidRPr="009053C4">
        <w:t xml:space="preserve"> % aj vďaka novým produkčným kapacitám, ale aj novým modelom s vyššou pridanou hodnotou. Riziká vyplývajúce z vysokej závislosti od zahraničných investícií a silnej špecializácie v automobilovom sektore sú tlmené širokým mixom producentov a modelov, geografickou diverzifikáciou exportu a vysokou produktivitou</w:t>
      </w:r>
      <w:r w:rsidR="0051046B">
        <w:t xml:space="preserve"> týchto výrobcov, ktorá je jednou</w:t>
      </w:r>
      <w:r w:rsidR="00294377" w:rsidRPr="009053C4">
        <w:t xml:space="preserve"> z najvyšších v rámci daných koncernov.</w:t>
      </w:r>
    </w:p>
    <w:p w14:paraId="019DB25A" w14:textId="77777777" w:rsidR="00A11E4C" w:rsidRPr="009053C4" w:rsidRDefault="00A11E4C" w:rsidP="00A11E4C">
      <w:pPr>
        <w:ind w:firstLine="708"/>
        <w:jc w:val="both"/>
      </w:pPr>
    </w:p>
    <w:p w14:paraId="22347460" w14:textId="77777777" w:rsidR="00294377" w:rsidRDefault="00294377" w:rsidP="00A11E4C">
      <w:pPr>
        <w:ind w:firstLine="708"/>
        <w:jc w:val="both"/>
      </w:pPr>
      <w:r w:rsidRPr="009053C4">
        <w:t xml:space="preserve">Nezamestnanosť dosiahne v roku 2019 historicky najnižšiu úroveň 5,8 %, ktorú si udrží aj v priebehu roka 2020. Napnutý trh práce a nedostatočná ponuka pracovných síl v niektorých regiónoch vyvolávajú dodatočný tlak na nominálne mzdy, ktoré sa zvýšia o viac ako 7 % v roku 2019. Dynamika reálnych miezd výrazne prekročí 4 % a posilní tak rozpočet domácností a súkromnú spotrebu. </w:t>
      </w:r>
    </w:p>
    <w:p w14:paraId="19CFE244" w14:textId="77777777" w:rsidR="00A11E4C" w:rsidRPr="009053C4" w:rsidRDefault="00A11E4C" w:rsidP="00A11E4C">
      <w:pPr>
        <w:ind w:firstLine="708"/>
        <w:jc w:val="both"/>
      </w:pPr>
    </w:p>
    <w:p w14:paraId="51614271" w14:textId="77777777" w:rsidR="00294377" w:rsidRDefault="00294377" w:rsidP="00A11E4C">
      <w:pPr>
        <w:ind w:firstLine="708"/>
        <w:jc w:val="both"/>
        <w:rPr>
          <w:sz w:val="22"/>
          <w:szCs w:val="22"/>
        </w:rPr>
      </w:pPr>
      <w:r w:rsidRPr="009053C4">
        <w:lastRenderedPageBreak/>
        <w:t>Inflácia v roku 2019 dosiahne 2,5 %. Prehrievanie trhu práce zvoľní v dôsledku spomalenia ekonomickej aktivity, no ceny služieb zostanú hlavným motorom inflačného vývoja. Ceny obchodovateľných tovarov budú odrážať cenový vývoj v zahraničí a budú taktiež pod vplyvom globálneho ochladenia.</w:t>
      </w:r>
      <w:r w:rsidRPr="00294377">
        <w:rPr>
          <w:sz w:val="22"/>
          <w:szCs w:val="22"/>
        </w:rPr>
        <w:t xml:space="preserve"> </w:t>
      </w:r>
    </w:p>
    <w:p w14:paraId="1D55C85A" w14:textId="77777777" w:rsidR="00A11E4C" w:rsidRPr="00294377" w:rsidRDefault="00A11E4C" w:rsidP="00A11E4C">
      <w:pPr>
        <w:ind w:firstLine="708"/>
        <w:jc w:val="both"/>
        <w:rPr>
          <w:sz w:val="22"/>
          <w:szCs w:val="22"/>
        </w:rPr>
      </w:pPr>
    </w:p>
    <w:tbl>
      <w:tblPr>
        <w:tblW w:w="9072" w:type="dxa"/>
        <w:tblLayout w:type="fixed"/>
        <w:tblLook w:val="04A0" w:firstRow="1" w:lastRow="0" w:firstColumn="1" w:lastColumn="0" w:noHBand="0" w:noVBand="1"/>
      </w:tblPr>
      <w:tblGrid>
        <w:gridCol w:w="476"/>
        <w:gridCol w:w="132"/>
        <w:gridCol w:w="524"/>
        <w:gridCol w:w="1558"/>
        <w:gridCol w:w="1982"/>
        <w:gridCol w:w="333"/>
        <w:gridCol w:w="379"/>
        <w:gridCol w:w="709"/>
        <w:gridCol w:w="160"/>
        <w:gridCol w:w="123"/>
        <w:gridCol w:w="570"/>
        <w:gridCol w:w="203"/>
        <w:gridCol w:w="506"/>
        <w:gridCol w:w="709"/>
        <w:gridCol w:w="708"/>
      </w:tblGrid>
      <w:tr w:rsidR="00206B7B" w:rsidRPr="00206B7B" w14:paraId="0034299B" w14:textId="77777777" w:rsidTr="00334E0B">
        <w:tc>
          <w:tcPr>
            <w:tcW w:w="9072" w:type="dxa"/>
            <w:gridSpan w:val="15"/>
          </w:tcPr>
          <w:p w14:paraId="2C8833B3" w14:textId="77777777" w:rsidR="00206B7B" w:rsidRPr="00206B7B" w:rsidRDefault="00206B7B" w:rsidP="00334E0B">
            <w:pPr>
              <w:pStyle w:val="Nadpis3"/>
              <w:rPr>
                <w:rFonts w:ascii="Times New Roman" w:hAnsi="Times New Roman" w:cs="Times New Roman"/>
                <w:i/>
                <w:color w:val="FF0000"/>
                <w:sz w:val="16"/>
                <w:szCs w:val="16"/>
              </w:rPr>
            </w:pPr>
            <w:bookmarkStart w:id="19" w:name="_Toc521421824"/>
            <w:bookmarkStart w:id="20" w:name="_Toc521492697"/>
            <w:bookmarkStart w:id="21" w:name="_Toc521498237"/>
            <w:bookmarkStart w:id="22" w:name="_Toc521492696"/>
            <w:bookmarkStart w:id="23" w:name="_Toc521498236"/>
            <w:bookmarkStart w:id="24" w:name="_Toc21537382"/>
            <w:r w:rsidRPr="00206B7B">
              <w:rPr>
                <w:rFonts w:ascii="Times New Roman" w:hAnsi="Times New Roman" w:cs="Times New Roman"/>
                <w:bCs w:val="0"/>
                <w:sz w:val="16"/>
                <w:szCs w:val="16"/>
              </w:rPr>
              <w:t>Makroekonomická prognóza</w:t>
            </w:r>
            <w:bookmarkEnd w:id="22"/>
            <w:bookmarkEnd w:id="23"/>
            <w:r w:rsidRPr="00206B7B">
              <w:rPr>
                <w:rFonts w:ascii="Times New Roman" w:hAnsi="Times New Roman" w:cs="Times New Roman"/>
                <w:bCs w:val="0"/>
                <w:sz w:val="16"/>
                <w:szCs w:val="16"/>
              </w:rPr>
              <w:t xml:space="preserve"> Slovenska</w:t>
            </w:r>
            <w:bookmarkEnd w:id="24"/>
            <w:r w:rsidRPr="00206B7B">
              <w:rPr>
                <w:rFonts w:ascii="Times New Roman" w:hAnsi="Times New Roman" w:cs="Times New Roman"/>
                <w:i/>
                <w:color w:val="076F93"/>
                <w:sz w:val="16"/>
                <w:szCs w:val="16"/>
              </w:rPr>
              <w:t xml:space="preserve"> </w:t>
            </w:r>
          </w:p>
        </w:tc>
      </w:tr>
      <w:tr w:rsidR="00206B7B" w:rsidRPr="00206B7B" w14:paraId="1087CAC6" w14:textId="77777777" w:rsidTr="00334E0B">
        <w:tblPrEx>
          <w:jc w:val="center"/>
          <w:tblCellMar>
            <w:left w:w="70" w:type="dxa"/>
            <w:right w:w="70" w:type="dxa"/>
          </w:tblCellMar>
        </w:tblPrEx>
        <w:trPr>
          <w:trHeight w:val="283"/>
          <w:jc w:val="center"/>
        </w:trPr>
        <w:tc>
          <w:tcPr>
            <w:tcW w:w="476" w:type="dxa"/>
            <w:tcBorders>
              <w:top w:val="single" w:sz="8" w:space="0" w:color="auto"/>
              <w:left w:val="nil"/>
              <w:bottom w:val="single" w:sz="6" w:space="0" w:color="auto"/>
              <w:right w:val="nil"/>
            </w:tcBorders>
            <w:shd w:val="clear" w:color="auto" w:fill="auto"/>
            <w:noWrap/>
            <w:vAlign w:val="center"/>
            <w:hideMark/>
          </w:tcPr>
          <w:p w14:paraId="6C2CCF09" w14:textId="77777777" w:rsidR="00206B7B" w:rsidRPr="00206B7B" w:rsidRDefault="00206B7B" w:rsidP="00334E0B">
            <w:pPr>
              <w:rPr>
                <w:b/>
                <w:bCs/>
                <w:color w:val="000000"/>
                <w:sz w:val="16"/>
                <w:szCs w:val="16"/>
              </w:rPr>
            </w:pPr>
            <w:r w:rsidRPr="00206B7B">
              <w:rPr>
                <w:b/>
                <w:bCs/>
                <w:color w:val="000000"/>
                <w:sz w:val="16"/>
                <w:szCs w:val="16"/>
              </w:rPr>
              <w:t xml:space="preserve"> </w:t>
            </w:r>
          </w:p>
        </w:tc>
        <w:tc>
          <w:tcPr>
            <w:tcW w:w="4529" w:type="dxa"/>
            <w:gridSpan w:val="5"/>
            <w:tcBorders>
              <w:top w:val="single" w:sz="8" w:space="0" w:color="auto"/>
              <w:left w:val="nil"/>
              <w:bottom w:val="single" w:sz="6" w:space="0" w:color="auto"/>
              <w:right w:val="nil"/>
            </w:tcBorders>
            <w:shd w:val="clear" w:color="auto" w:fill="auto"/>
            <w:noWrap/>
            <w:vAlign w:val="center"/>
            <w:hideMark/>
          </w:tcPr>
          <w:p w14:paraId="0E0F812A" w14:textId="77777777" w:rsidR="00206B7B" w:rsidRPr="00206B7B" w:rsidRDefault="00206B7B" w:rsidP="00334E0B">
            <w:pPr>
              <w:rPr>
                <w:b/>
                <w:bCs/>
                <w:color w:val="000000"/>
                <w:sz w:val="16"/>
                <w:szCs w:val="16"/>
              </w:rPr>
            </w:pPr>
          </w:p>
        </w:tc>
        <w:tc>
          <w:tcPr>
            <w:tcW w:w="1941" w:type="dxa"/>
            <w:gridSpan w:val="5"/>
            <w:tcBorders>
              <w:top w:val="single" w:sz="8" w:space="0" w:color="auto"/>
              <w:left w:val="nil"/>
              <w:bottom w:val="single" w:sz="6" w:space="0" w:color="auto"/>
              <w:right w:val="nil"/>
            </w:tcBorders>
            <w:shd w:val="clear" w:color="auto" w:fill="auto"/>
            <w:noWrap/>
            <w:vAlign w:val="center"/>
            <w:hideMark/>
          </w:tcPr>
          <w:p w14:paraId="03DAD18C" w14:textId="77777777" w:rsidR="00206B7B" w:rsidRPr="00206B7B" w:rsidRDefault="00206B7B" w:rsidP="00334E0B">
            <w:pPr>
              <w:rPr>
                <w:b/>
                <w:bCs/>
                <w:color w:val="000000"/>
                <w:sz w:val="16"/>
                <w:szCs w:val="16"/>
                <w:lang w:eastAsia="en-US"/>
              </w:rPr>
            </w:pPr>
            <w:r w:rsidRPr="00206B7B">
              <w:rPr>
                <w:b/>
                <w:bCs/>
                <w:color w:val="000000"/>
                <w:sz w:val="16"/>
                <w:szCs w:val="16"/>
                <w:lang w:eastAsia="en-US"/>
              </w:rPr>
              <w:t>skutočnosť</w:t>
            </w:r>
          </w:p>
        </w:tc>
        <w:tc>
          <w:tcPr>
            <w:tcW w:w="203" w:type="dxa"/>
            <w:tcBorders>
              <w:top w:val="single" w:sz="8" w:space="0" w:color="auto"/>
              <w:left w:val="nil"/>
              <w:bottom w:val="single" w:sz="6" w:space="0" w:color="auto"/>
              <w:right w:val="nil"/>
            </w:tcBorders>
          </w:tcPr>
          <w:p w14:paraId="7CA59E8E" w14:textId="77777777" w:rsidR="00206B7B" w:rsidRPr="00206B7B" w:rsidRDefault="00206B7B" w:rsidP="00334E0B">
            <w:pPr>
              <w:jc w:val="center"/>
              <w:rPr>
                <w:b/>
                <w:bCs/>
                <w:color w:val="000000"/>
                <w:sz w:val="16"/>
                <w:szCs w:val="16"/>
                <w:lang w:eastAsia="en-US"/>
              </w:rPr>
            </w:pPr>
          </w:p>
        </w:tc>
        <w:tc>
          <w:tcPr>
            <w:tcW w:w="1923" w:type="dxa"/>
            <w:gridSpan w:val="3"/>
            <w:tcBorders>
              <w:top w:val="single" w:sz="8" w:space="0" w:color="auto"/>
              <w:left w:val="nil"/>
              <w:bottom w:val="single" w:sz="6" w:space="0" w:color="auto"/>
              <w:right w:val="nil"/>
            </w:tcBorders>
            <w:shd w:val="clear" w:color="auto" w:fill="auto"/>
            <w:vAlign w:val="center"/>
          </w:tcPr>
          <w:p w14:paraId="78C09E5A" w14:textId="77777777" w:rsidR="00206B7B" w:rsidRPr="00206B7B" w:rsidRDefault="00206B7B" w:rsidP="00334E0B">
            <w:pPr>
              <w:rPr>
                <w:b/>
                <w:bCs/>
                <w:color w:val="000000"/>
                <w:sz w:val="16"/>
                <w:szCs w:val="16"/>
                <w:lang w:eastAsia="en-US"/>
              </w:rPr>
            </w:pPr>
            <w:r w:rsidRPr="00206B7B">
              <w:rPr>
                <w:b/>
                <w:bCs/>
                <w:color w:val="000000"/>
                <w:sz w:val="16"/>
                <w:szCs w:val="16"/>
                <w:lang w:eastAsia="en-US"/>
              </w:rPr>
              <w:t>prognóza</w:t>
            </w:r>
          </w:p>
        </w:tc>
      </w:tr>
      <w:tr w:rsidR="00206B7B" w:rsidRPr="00206B7B" w14:paraId="17C2B539" w14:textId="77777777" w:rsidTr="00334E0B">
        <w:tblPrEx>
          <w:jc w:val="center"/>
          <w:tblCellMar>
            <w:left w:w="70" w:type="dxa"/>
            <w:right w:w="70" w:type="dxa"/>
          </w:tblCellMar>
        </w:tblPrEx>
        <w:trPr>
          <w:trHeight w:val="235"/>
          <w:jc w:val="center"/>
        </w:trPr>
        <w:tc>
          <w:tcPr>
            <w:tcW w:w="1132" w:type="dxa"/>
            <w:gridSpan w:val="3"/>
            <w:tcBorders>
              <w:top w:val="single" w:sz="6" w:space="0" w:color="auto"/>
              <w:left w:val="nil"/>
              <w:bottom w:val="single" w:sz="6" w:space="0" w:color="auto"/>
              <w:right w:val="nil"/>
            </w:tcBorders>
            <w:shd w:val="clear" w:color="auto" w:fill="auto"/>
            <w:noWrap/>
            <w:vAlign w:val="center"/>
            <w:hideMark/>
          </w:tcPr>
          <w:p w14:paraId="447ACCF2" w14:textId="77777777" w:rsidR="00206B7B" w:rsidRPr="00206B7B" w:rsidRDefault="00206B7B" w:rsidP="00334E0B">
            <w:pPr>
              <w:jc w:val="center"/>
              <w:rPr>
                <w:b/>
                <w:bCs/>
                <w:color w:val="000000"/>
                <w:sz w:val="16"/>
                <w:szCs w:val="16"/>
              </w:rPr>
            </w:pPr>
            <w:r w:rsidRPr="00206B7B">
              <w:rPr>
                <w:b/>
                <w:bCs/>
                <w:color w:val="000000"/>
                <w:sz w:val="16"/>
                <w:szCs w:val="16"/>
              </w:rPr>
              <w:t> </w:t>
            </w:r>
          </w:p>
        </w:tc>
        <w:tc>
          <w:tcPr>
            <w:tcW w:w="3540" w:type="dxa"/>
            <w:gridSpan w:val="2"/>
            <w:tcBorders>
              <w:top w:val="single" w:sz="6" w:space="0" w:color="auto"/>
              <w:left w:val="nil"/>
              <w:bottom w:val="single" w:sz="6" w:space="0" w:color="auto"/>
              <w:right w:val="nil"/>
            </w:tcBorders>
            <w:shd w:val="clear" w:color="auto" w:fill="auto"/>
            <w:noWrap/>
            <w:vAlign w:val="center"/>
            <w:hideMark/>
          </w:tcPr>
          <w:p w14:paraId="3615308A" w14:textId="77777777" w:rsidR="00206B7B" w:rsidRPr="00206B7B" w:rsidRDefault="00206B7B" w:rsidP="00334E0B">
            <w:pPr>
              <w:rPr>
                <w:b/>
                <w:bCs/>
                <w:color w:val="000000"/>
                <w:sz w:val="16"/>
                <w:szCs w:val="16"/>
              </w:rPr>
            </w:pPr>
          </w:p>
        </w:tc>
        <w:tc>
          <w:tcPr>
            <w:tcW w:w="712" w:type="dxa"/>
            <w:gridSpan w:val="2"/>
            <w:tcBorders>
              <w:top w:val="single" w:sz="6" w:space="0" w:color="auto"/>
              <w:left w:val="nil"/>
              <w:bottom w:val="single" w:sz="6" w:space="0" w:color="auto"/>
              <w:right w:val="nil"/>
            </w:tcBorders>
            <w:shd w:val="clear" w:color="auto" w:fill="auto"/>
            <w:noWrap/>
            <w:vAlign w:val="center"/>
            <w:hideMark/>
          </w:tcPr>
          <w:p w14:paraId="65F3E2B1" w14:textId="77777777" w:rsidR="00206B7B" w:rsidRPr="00206B7B" w:rsidRDefault="00206B7B" w:rsidP="00334E0B">
            <w:pPr>
              <w:jc w:val="center"/>
              <w:rPr>
                <w:b/>
                <w:bCs/>
                <w:color w:val="000000"/>
                <w:sz w:val="16"/>
                <w:szCs w:val="16"/>
                <w:lang w:eastAsia="en-US"/>
              </w:rPr>
            </w:pPr>
            <w:r w:rsidRPr="00206B7B">
              <w:rPr>
                <w:b/>
                <w:bCs/>
                <w:color w:val="000000"/>
                <w:sz w:val="16"/>
                <w:szCs w:val="16"/>
                <w:lang w:eastAsia="en-US"/>
              </w:rPr>
              <w:t>2017</w:t>
            </w:r>
          </w:p>
        </w:tc>
        <w:tc>
          <w:tcPr>
            <w:tcW w:w="709" w:type="dxa"/>
            <w:tcBorders>
              <w:top w:val="single" w:sz="6" w:space="0" w:color="auto"/>
              <w:left w:val="nil"/>
              <w:bottom w:val="single" w:sz="6" w:space="0" w:color="auto"/>
              <w:right w:val="nil"/>
            </w:tcBorders>
            <w:shd w:val="clear" w:color="auto" w:fill="auto"/>
            <w:noWrap/>
            <w:vAlign w:val="center"/>
            <w:hideMark/>
          </w:tcPr>
          <w:p w14:paraId="584C81DB" w14:textId="77777777" w:rsidR="00206B7B" w:rsidRPr="00206B7B" w:rsidRDefault="00206B7B" w:rsidP="00334E0B">
            <w:pPr>
              <w:jc w:val="center"/>
              <w:rPr>
                <w:b/>
                <w:bCs/>
                <w:color w:val="000000"/>
                <w:sz w:val="16"/>
                <w:szCs w:val="16"/>
                <w:lang w:eastAsia="en-US"/>
              </w:rPr>
            </w:pPr>
            <w:r w:rsidRPr="00206B7B">
              <w:rPr>
                <w:b/>
                <w:bCs/>
                <w:color w:val="000000"/>
                <w:sz w:val="16"/>
                <w:szCs w:val="16"/>
                <w:lang w:eastAsia="en-US"/>
              </w:rPr>
              <w:t>2018</w:t>
            </w:r>
          </w:p>
        </w:tc>
        <w:tc>
          <w:tcPr>
            <w:tcW w:w="160" w:type="dxa"/>
            <w:tcBorders>
              <w:top w:val="single" w:sz="6" w:space="0" w:color="auto"/>
              <w:left w:val="nil"/>
              <w:bottom w:val="single" w:sz="6" w:space="0" w:color="auto"/>
              <w:right w:val="nil"/>
            </w:tcBorders>
          </w:tcPr>
          <w:p w14:paraId="0A1E9B6F" w14:textId="77777777" w:rsidR="00206B7B" w:rsidRPr="00206B7B" w:rsidRDefault="00206B7B" w:rsidP="00334E0B">
            <w:pPr>
              <w:jc w:val="center"/>
              <w:rPr>
                <w:b/>
                <w:bCs/>
                <w:color w:val="000000"/>
                <w:sz w:val="16"/>
                <w:szCs w:val="16"/>
                <w:lang w:eastAsia="en-US"/>
              </w:rPr>
            </w:pPr>
          </w:p>
          <w:p w14:paraId="533DA1E0" w14:textId="77777777" w:rsidR="00206B7B" w:rsidRPr="00206B7B" w:rsidRDefault="00206B7B" w:rsidP="00334E0B">
            <w:pPr>
              <w:rPr>
                <w:b/>
                <w:bCs/>
                <w:color w:val="000000"/>
                <w:sz w:val="16"/>
                <w:szCs w:val="16"/>
                <w:lang w:eastAsia="en-US"/>
              </w:rPr>
            </w:pPr>
          </w:p>
        </w:tc>
        <w:tc>
          <w:tcPr>
            <w:tcW w:w="693" w:type="dxa"/>
            <w:gridSpan w:val="2"/>
            <w:tcBorders>
              <w:top w:val="single" w:sz="6" w:space="0" w:color="auto"/>
              <w:left w:val="nil"/>
              <w:bottom w:val="single" w:sz="6" w:space="0" w:color="auto"/>
              <w:right w:val="nil"/>
            </w:tcBorders>
            <w:shd w:val="clear" w:color="auto" w:fill="auto"/>
            <w:noWrap/>
            <w:vAlign w:val="center"/>
            <w:hideMark/>
          </w:tcPr>
          <w:p w14:paraId="7E78032F" w14:textId="77777777" w:rsidR="00206B7B" w:rsidRPr="00206B7B" w:rsidRDefault="00206B7B" w:rsidP="00334E0B">
            <w:pPr>
              <w:jc w:val="center"/>
              <w:rPr>
                <w:b/>
                <w:bCs/>
                <w:color w:val="000000"/>
                <w:sz w:val="16"/>
                <w:szCs w:val="16"/>
                <w:lang w:eastAsia="en-US"/>
              </w:rPr>
            </w:pPr>
            <w:r w:rsidRPr="00206B7B">
              <w:rPr>
                <w:b/>
                <w:bCs/>
                <w:color w:val="000000"/>
                <w:sz w:val="16"/>
                <w:szCs w:val="16"/>
                <w:lang w:eastAsia="en-US"/>
              </w:rPr>
              <w:t>2019</w:t>
            </w:r>
          </w:p>
        </w:tc>
        <w:tc>
          <w:tcPr>
            <w:tcW w:w="709" w:type="dxa"/>
            <w:gridSpan w:val="2"/>
            <w:tcBorders>
              <w:top w:val="single" w:sz="6" w:space="0" w:color="auto"/>
              <w:left w:val="nil"/>
              <w:bottom w:val="single" w:sz="6" w:space="0" w:color="auto"/>
              <w:right w:val="nil"/>
            </w:tcBorders>
            <w:shd w:val="clear" w:color="auto" w:fill="auto"/>
            <w:noWrap/>
            <w:vAlign w:val="center"/>
            <w:hideMark/>
          </w:tcPr>
          <w:p w14:paraId="5D1F2918" w14:textId="77777777" w:rsidR="00206B7B" w:rsidRPr="00206B7B" w:rsidRDefault="00206B7B" w:rsidP="00334E0B">
            <w:pPr>
              <w:jc w:val="center"/>
              <w:rPr>
                <w:b/>
                <w:bCs/>
                <w:color w:val="000000"/>
                <w:sz w:val="16"/>
                <w:szCs w:val="16"/>
                <w:lang w:eastAsia="en-US"/>
              </w:rPr>
            </w:pPr>
            <w:r w:rsidRPr="00206B7B">
              <w:rPr>
                <w:b/>
                <w:bCs/>
                <w:color w:val="000000"/>
                <w:sz w:val="16"/>
                <w:szCs w:val="16"/>
                <w:lang w:eastAsia="en-US"/>
              </w:rPr>
              <w:t>2020</w:t>
            </w:r>
          </w:p>
        </w:tc>
        <w:tc>
          <w:tcPr>
            <w:tcW w:w="709" w:type="dxa"/>
            <w:tcBorders>
              <w:top w:val="single" w:sz="6" w:space="0" w:color="auto"/>
              <w:left w:val="nil"/>
              <w:bottom w:val="single" w:sz="6" w:space="0" w:color="auto"/>
              <w:right w:val="nil"/>
            </w:tcBorders>
            <w:shd w:val="clear" w:color="auto" w:fill="auto"/>
            <w:noWrap/>
            <w:vAlign w:val="center"/>
            <w:hideMark/>
          </w:tcPr>
          <w:p w14:paraId="0F7863D9" w14:textId="77777777" w:rsidR="00206B7B" w:rsidRPr="00206B7B" w:rsidRDefault="00206B7B" w:rsidP="00334E0B">
            <w:pPr>
              <w:jc w:val="center"/>
              <w:rPr>
                <w:b/>
                <w:bCs/>
                <w:color w:val="000000"/>
                <w:sz w:val="16"/>
                <w:szCs w:val="16"/>
                <w:lang w:eastAsia="en-US"/>
              </w:rPr>
            </w:pPr>
            <w:r w:rsidRPr="00206B7B">
              <w:rPr>
                <w:b/>
                <w:bCs/>
                <w:color w:val="000000"/>
                <w:sz w:val="16"/>
                <w:szCs w:val="16"/>
                <w:lang w:eastAsia="en-US"/>
              </w:rPr>
              <w:t>2021</w:t>
            </w:r>
          </w:p>
        </w:tc>
        <w:tc>
          <w:tcPr>
            <w:tcW w:w="708" w:type="dxa"/>
            <w:tcBorders>
              <w:top w:val="single" w:sz="6" w:space="0" w:color="auto"/>
              <w:left w:val="nil"/>
              <w:bottom w:val="single" w:sz="6" w:space="0" w:color="auto"/>
              <w:right w:val="nil"/>
            </w:tcBorders>
            <w:shd w:val="clear" w:color="auto" w:fill="auto"/>
            <w:noWrap/>
            <w:vAlign w:val="center"/>
            <w:hideMark/>
          </w:tcPr>
          <w:p w14:paraId="189B456A" w14:textId="77777777" w:rsidR="00206B7B" w:rsidRPr="00206B7B" w:rsidRDefault="00206B7B" w:rsidP="00334E0B">
            <w:pPr>
              <w:jc w:val="center"/>
              <w:rPr>
                <w:b/>
                <w:bCs/>
                <w:color w:val="000000"/>
                <w:sz w:val="16"/>
                <w:szCs w:val="16"/>
                <w:lang w:eastAsia="en-US"/>
              </w:rPr>
            </w:pPr>
            <w:r w:rsidRPr="00206B7B">
              <w:rPr>
                <w:b/>
                <w:bCs/>
                <w:color w:val="000000"/>
                <w:sz w:val="16"/>
                <w:szCs w:val="16"/>
                <w:lang w:eastAsia="en-US"/>
              </w:rPr>
              <w:t>2022</w:t>
            </w:r>
          </w:p>
        </w:tc>
      </w:tr>
      <w:tr w:rsidR="00206B7B" w:rsidRPr="00206B7B" w14:paraId="41B9EB3C" w14:textId="77777777" w:rsidTr="00334E0B">
        <w:tblPrEx>
          <w:jc w:val="center"/>
          <w:tblCellMar>
            <w:left w:w="70" w:type="dxa"/>
            <w:right w:w="70" w:type="dxa"/>
          </w:tblCellMar>
        </w:tblPrEx>
        <w:trPr>
          <w:trHeight w:val="272"/>
          <w:jc w:val="center"/>
        </w:trPr>
        <w:tc>
          <w:tcPr>
            <w:tcW w:w="2690" w:type="dxa"/>
            <w:gridSpan w:val="4"/>
            <w:tcBorders>
              <w:top w:val="single" w:sz="6" w:space="0" w:color="auto"/>
              <w:left w:val="nil"/>
              <w:bottom w:val="nil"/>
              <w:right w:val="nil"/>
            </w:tcBorders>
            <w:shd w:val="clear" w:color="auto" w:fill="auto"/>
            <w:noWrap/>
            <w:vAlign w:val="bottom"/>
            <w:hideMark/>
          </w:tcPr>
          <w:p w14:paraId="23AF0AA6" w14:textId="77777777" w:rsidR="00206B7B" w:rsidRPr="00206B7B" w:rsidRDefault="00206B7B" w:rsidP="00334E0B">
            <w:pPr>
              <w:rPr>
                <w:color w:val="000000"/>
                <w:sz w:val="16"/>
                <w:szCs w:val="16"/>
                <w:lang w:eastAsia="en-US"/>
              </w:rPr>
            </w:pPr>
            <w:r w:rsidRPr="00206B7B">
              <w:rPr>
                <w:color w:val="000000"/>
                <w:sz w:val="16"/>
                <w:szCs w:val="16"/>
                <w:lang w:eastAsia="en-US"/>
              </w:rPr>
              <w:t>HDP</w:t>
            </w:r>
          </w:p>
        </w:tc>
        <w:tc>
          <w:tcPr>
            <w:tcW w:w="1982" w:type="dxa"/>
            <w:tcBorders>
              <w:top w:val="single" w:sz="6" w:space="0" w:color="auto"/>
              <w:left w:val="nil"/>
              <w:bottom w:val="nil"/>
              <w:right w:val="nil"/>
            </w:tcBorders>
            <w:shd w:val="clear" w:color="auto" w:fill="auto"/>
            <w:noWrap/>
            <w:vAlign w:val="center"/>
            <w:hideMark/>
          </w:tcPr>
          <w:p w14:paraId="0D384BF6" w14:textId="77777777" w:rsidR="00206B7B" w:rsidRPr="00206B7B" w:rsidRDefault="00206B7B" w:rsidP="00334E0B">
            <w:pPr>
              <w:jc w:val="center"/>
              <w:rPr>
                <w:color w:val="000000"/>
                <w:sz w:val="16"/>
                <w:szCs w:val="16"/>
                <w:lang w:eastAsia="en-US"/>
              </w:rPr>
            </w:pPr>
            <w:r w:rsidRPr="00206B7B">
              <w:rPr>
                <w:color w:val="000000"/>
                <w:sz w:val="16"/>
                <w:szCs w:val="16"/>
                <w:lang w:eastAsia="en-US"/>
              </w:rPr>
              <w:t>%</w:t>
            </w:r>
          </w:p>
        </w:tc>
        <w:tc>
          <w:tcPr>
            <w:tcW w:w="712" w:type="dxa"/>
            <w:gridSpan w:val="2"/>
            <w:tcBorders>
              <w:top w:val="single" w:sz="6" w:space="0" w:color="auto"/>
              <w:left w:val="nil"/>
              <w:bottom w:val="nil"/>
              <w:right w:val="nil"/>
            </w:tcBorders>
            <w:shd w:val="clear" w:color="auto" w:fill="auto"/>
            <w:noWrap/>
            <w:vAlign w:val="bottom"/>
            <w:hideMark/>
          </w:tcPr>
          <w:p w14:paraId="43C6E50C" w14:textId="77777777" w:rsidR="00206B7B" w:rsidRPr="00206B7B" w:rsidRDefault="00206B7B" w:rsidP="00334E0B">
            <w:pPr>
              <w:jc w:val="center"/>
              <w:rPr>
                <w:color w:val="000000"/>
                <w:sz w:val="16"/>
                <w:szCs w:val="16"/>
                <w:lang w:eastAsia="en-US"/>
              </w:rPr>
            </w:pPr>
            <w:r w:rsidRPr="00206B7B">
              <w:rPr>
                <w:color w:val="000000"/>
                <w:sz w:val="16"/>
                <w:szCs w:val="16"/>
                <w:lang w:eastAsia="en-US"/>
              </w:rPr>
              <w:t>3.0</w:t>
            </w:r>
          </w:p>
        </w:tc>
        <w:tc>
          <w:tcPr>
            <w:tcW w:w="709" w:type="dxa"/>
            <w:tcBorders>
              <w:top w:val="single" w:sz="6" w:space="0" w:color="auto"/>
              <w:left w:val="nil"/>
              <w:bottom w:val="nil"/>
              <w:right w:val="nil"/>
            </w:tcBorders>
            <w:shd w:val="clear" w:color="auto" w:fill="auto"/>
            <w:noWrap/>
            <w:vAlign w:val="bottom"/>
            <w:hideMark/>
          </w:tcPr>
          <w:p w14:paraId="404DDE8B" w14:textId="77777777" w:rsidR="00206B7B" w:rsidRPr="00206B7B" w:rsidRDefault="00206B7B" w:rsidP="00334E0B">
            <w:pPr>
              <w:jc w:val="center"/>
              <w:rPr>
                <w:color w:val="000000"/>
                <w:sz w:val="16"/>
                <w:szCs w:val="16"/>
                <w:lang w:eastAsia="en-US"/>
              </w:rPr>
            </w:pPr>
            <w:r w:rsidRPr="00206B7B">
              <w:rPr>
                <w:color w:val="000000"/>
                <w:sz w:val="16"/>
                <w:szCs w:val="16"/>
                <w:lang w:eastAsia="en-US"/>
              </w:rPr>
              <w:t>4.0</w:t>
            </w:r>
          </w:p>
        </w:tc>
        <w:tc>
          <w:tcPr>
            <w:tcW w:w="283" w:type="dxa"/>
            <w:gridSpan w:val="2"/>
            <w:tcBorders>
              <w:top w:val="single" w:sz="6" w:space="0" w:color="auto"/>
              <w:left w:val="nil"/>
              <w:bottom w:val="nil"/>
              <w:right w:val="nil"/>
            </w:tcBorders>
          </w:tcPr>
          <w:p w14:paraId="065F4487" w14:textId="77777777" w:rsidR="00206B7B" w:rsidRPr="00206B7B" w:rsidRDefault="00206B7B" w:rsidP="00334E0B">
            <w:pPr>
              <w:jc w:val="center"/>
              <w:rPr>
                <w:color w:val="000000"/>
                <w:sz w:val="16"/>
                <w:szCs w:val="16"/>
                <w:lang w:eastAsia="en-US"/>
              </w:rPr>
            </w:pPr>
          </w:p>
        </w:tc>
        <w:tc>
          <w:tcPr>
            <w:tcW w:w="570" w:type="dxa"/>
            <w:tcBorders>
              <w:top w:val="single" w:sz="6" w:space="0" w:color="auto"/>
              <w:left w:val="nil"/>
              <w:bottom w:val="nil"/>
              <w:right w:val="nil"/>
            </w:tcBorders>
            <w:shd w:val="clear" w:color="auto" w:fill="auto"/>
            <w:noWrap/>
            <w:vAlign w:val="bottom"/>
            <w:hideMark/>
          </w:tcPr>
          <w:p w14:paraId="0FD4B434" w14:textId="77777777" w:rsidR="00206B7B" w:rsidRPr="00206B7B" w:rsidRDefault="00206B7B" w:rsidP="00334E0B">
            <w:pPr>
              <w:jc w:val="center"/>
              <w:rPr>
                <w:color w:val="000000"/>
                <w:sz w:val="16"/>
                <w:szCs w:val="16"/>
                <w:lang w:eastAsia="en-US"/>
              </w:rPr>
            </w:pPr>
            <w:r w:rsidRPr="00206B7B">
              <w:rPr>
                <w:color w:val="000000"/>
                <w:sz w:val="16"/>
                <w:szCs w:val="16"/>
                <w:lang w:eastAsia="en-US"/>
              </w:rPr>
              <w:t>2.4</w:t>
            </w:r>
          </w:p>
        </w:tc>
        <w:tc>
          <w:tcPr>
            <w:tcW w:w="709" w:type="dxa"/>
            <w:gridSpan w:val="2"/>
            <w:tcBorders>
              <w:top w:val="single" w:sz="6" w:space="0" w:color="auto"/>
              <w:left w:val="nil"/>
              <w:bottom w:val="nil"/>
              <w:right w:val="nil"/>
            </w:tcBorders>
            <w:shd w:val="clear" w:color="auto" w:fill="auto"/>
            <w:noWrap/>
            <w:vAlign w:val="bottom"/>
            <w:hideMark/>
          </w:tcPr>
          <w:p w14:paraId="6E11FB77" w14:textId="77777777" w:rsidR="00206B7B" w:rsidRPr="00206B7B" w:rsidRDefault="00206B7B" w:rsidP="00334E0B">
            <w:pPr>
              <w:jc w:val="center"/>
              <w:rPr>
                <w:color w:val="000000"/>
                <w:sz w:val="16"/>
                <w:szCs w:val="16"/>
                <w:lang w:eastAsia="en-US"/>
              </w:rPr>
            </w:pPr>
            <w:r w:rsidRPr="00206B7B">
              <w:rPr>
                <w:color w:val="000000"/>
                <w:sz w:val="16"/>
                <w:szCs w:val="16"/>
                <w:lang w:eastAsia="en-US"/>
              </w:rPr>
              <w:t>2.3</w:t>
            </w:r>
          </w:p>
        </w:tc>
        <w:tc>
          <w:tcPr>
            <w:tcW w:w="709" w:type="dxa"/>
            <w:tcBorders>
              <w:top w:val="single" w:sz="6" w:space="0" w:color="auto"/>
              <w:left w:val="nil"/>
              <w:bottom w:val="nil"/>
              <w:right w:val="nil"/>
            </w:tcBorders>
            <w:shd w:val="clear" w:color="auto" w:fill="auto"/>
            <w:noWrap/>
            <w:vAlign w:val="bottom"/>
            <w:hideMark/>
          </w:tcPr>
          <w:p w14:paraId="42E8F67F" w14:textId="77777777" w:rsidR="00206B7B" w:rsidRPr="00206B7B" w:rsidRDefault="00206B7B" w:rsidP="00334E0B">
            <w:pPr>
              <w:jc w:val="center"/>
              <w:rPr>
                <w:color w:val="000000"/>
                <w:sz w:val="16"/>
                <w:szCs w:val="16"/>
                <w:lang w:eastAsia="en-US"/>
              </w:rPr>
            </w:pPr>
            <w:r w:rsidRPr="00206B7B">
              <w:rPr>
                <w:color w:val="000000"/>
                <w:sz w:val="16"/>
                <w:szCs w:val="16"/>
                <w:lang w:eastAsia="en-US"/>
              </w:rPr>
              <w:t>2.8</w:t>
            </w:r>
          </w:p>
        </w:tc>
        <w:tc>
          <w:tcPr>
            <w:tcW w:w="708" w:type="dxa"/>
            <w:tcBorders>
              <w:top w:val="single" w:sz="6" w:space="0" w:color="auto"/>
              <w:left w:val="nil"/>
              <w:bottom w:val="nil"/>
              <w:right w:val="nil"/>
            </w:tcBorders>
            <w:shd w:val="clear" w:color="auto" w:fill="auto"/>
            <w:noWrap/>
            <w:vAlign w:val="bottom"/>
            <w:hideMark/>
          </w:tcPr>
          <w:p w14:paraId="7E45401F" w14:textId="77777777" w:rsidR="00206B7B" w:rsidRPr="00206B7B" w:rsidRDefault="00206B7B" w:rsidP="00334E0B">
            <w:pPr>
              <w:jc w:val="center"/>
              <w:rPr>
                <w:color w:val="000000"/>
                <w:sz w:val="16"/>
                <w:szCs w:val="16"/>
                <w:lang w:eastAsia="en-US"/>
              </w:rPr>
            </w:pPr>
            <w:r w:rsidRPr="00206B7B">
              <w:rPr>
                <w:color w:val="000000"/>
                <w:sz w:val="16"/>
                <w:szCs w:val="16"/>
                <w:lang w:eastAsia="en-US"/>
              </w:rPr>
              <w:t>2.7</w:t>
            </w:r>
          </w:p>
        </w:tc>
      </w:tr>
      <w:tr w:rsidR="00206B7B" w:rsidRPr="00206B7B" w14:paraId="60CC231E" w14:textId="77777777" w:rsidTr="00334E0B">
        <w:tblPrEx>
          <w:jc w:val="center"/>
          <w:tblCellMar>
            <w:left w:w="70" w:type="dxa"/>
            <w:right w:w="70" w:type="dxa"/>
          </w:tblCellMar>
        </w:tblPrEx>
        <w:trPr>
          <w:trHeight w:val="272"/>
          <w:jc w:val="center"/>
        </w:trPr>
        <w:tc>
          <w:tcPr>
            <w:tcW w:w="2690" w:type="dxa"/>
            <w:gridSpan w:val="4"/>
            <w:tcBorders>
              <w:top w:val="nil"/>
              <w:left w:val="nil"/>
              <w:bottom w:val="nil"/>
              <w:right w:val="nil"/>
            </w:tcBorders>
            <w:shd w:val="clear" w:color="auto" w:fill="auto"/>
            <w:noWrap/>
            <w:vAlign w:val="bottom"/>
            <w:hideMark/>
          </w:tcPr>
          <w:p w14:paraId="14822DF2" w14:textId="77777777" w:rsidR="00206B7B" w:rsidRPr="00206B7B" w:rsidRDefault="00206B7B" w:rsidP="00334E0B">
            <w:pPr>
              <w:rPr>
                <w:color w:val="000000"/>
                <w:sz w:val="16"/>
                <w:szCs w:val="16"/>
                <w:lang w:eastAsia="en-US"/>
              </w:rPr>
            </w:pPr>
            <w:r w:rsidRPr="00206B7B">
              <w:rPr>
                <w:color w:val="000000"/>
                <w:sz w:val="16"/>
                <w:szCs w:val="16"/>
                <w:lang w:eastAsia="en-US"/>
              </w:rPr>
              <w:t>Fixné investície</w:t>
            </w:r>
          </w:p>
        </w:tc>
        <w:tc>
          <w:tcPr>
            <w:tcW w:w="1982" w:type="dxa"/>
            <w:tcBorders>
              <w:top w:val="nil"/>
              <w:left w:val="nil"/>
              <w:bottom w:val="nil"/>
              <w:right w:val="nil"/>
            </w:tcBorders>
            <w:shd w:val="clear" w:color="auto" w:fill="auto"/>
            <w:noWrap/>
            <w:vAlign w:val="center"/>
            <w:hideMark/>
          </w:tcPr>
          <w:p w14:paraId="61296BE3" w14:textId="77777777" w:rsidR="00206B7B" w:rsidRPr="00206B7B" w:rsidRDefault="00206B7B" w:rsidP="00334E0B">
            <w:pPr>
              <w:jc w:val="center"/>
              <w:rPr>
                <w:color w:val="000000"/>
                <w:sz w:val="16"/>
                <w:szCs w:val="16"/>
                <w:lang w:eastAsia="en-US"/>
              </w:rPr>
            </w:pPr>
            <w:r w:rsidRPr="00206B7B">
              <w:rPr>
                <w:color w:val="000000"/>
                <w:sz w:val="16"/>
                <w:szCs w:val="16"/>
                <w:lang w:eastAsia="en-US"/>
              </w:rPr>
              <w:t>%</w:t>
            </w:r>
          </w:p>
        </w:tc>
        <w:tc>
          <w:tcPr>
            <w:tcW w:w="712" w:type="dxa"/>
            <w:gridSpan w:val="2"/>
            <w:tcBorders>
              <w:top w:val="nil"/>
              <w:left w:val="nil"/>
              <w:bottom w:val="nil"/>
              <w:right w:val="nil"/>
            </w:tcBorders>
            <w:shd w:val="clear" w:color="auto" w:fill="auto"/>
            <w:noWrap/>
            <w:vAlign w:val="bottom"/>
            <w:hideMark/>
          </w:tcPr>
          <w:p w14:paraId="0D1CCE8A" w14:textId="77777777" w:rsidR="00206B7B" w:rsidRPr="00206B7B" w:rsidRDefault="00206B7B" w:rsidP="00334E0B">
            <w:pPr>
              <w:jc w:val="center"/>
              <w:rPr>
                <w:color w:val="000000"/>
                <w:sz w:val="16"/>
                <w:szCs w:val="16"/>
                <w:lang w:eastAsia="en-US"/>
              </w:rPr>
            </w:pPr>
            <w:r w:rsidRPr="00206B7B">
              <w:rPr>
                <w:color w:val="000000"/>
                <w:sz w:val="16"/>
                <w:szCs w:val="16"/>
                <w:lang w:eastAsia="en-US"/>
              </w:rPr>
              <w:t>3.9</w:t>
            </w:r>
          </w:p>
        </w:tc>
        <w:tc>
          <w:tcPr>
            <w:tcW w:w="709" w:type="dxa"/>
            <w:tcBorders>
              <w:top w:val="nil"/>
              <w:left w:val="nil"/>
              <w:bottom w:val="nil"/>
              <w:right w:val="nil"/>
            </w:tcBorders>
            <w:shd w:val="clear" w:color="auto" w:fill="auto"/>
            <w:noWrap/>
            <w:vAlign w:val="bottom"/>
            <w:hideMark/>
          </w:tcPr>
          <w:p w14:paraId="252C4D44" w14:textId="77777777" w:rsidR="00206B7B" w:rsidRPr="00206B7B" w:rsidRDefault="00206B7B" w:rsidP="00334E0B">
            <w:pPr>
              <w:jc w:val="center"/>
              <w:rPr>
                <w:color w:val="000000"/>
                <w:sz w:val="16"/>
                <w:szCs w:val="16"/>
                <w:lang w:eastAsia="en-US"/>
              </w:rPr>
            </w:pPr>
            <w:r w:rsidRPr="00206B7B">
              <w:rPr>
                <w:color w:val="000000"/>
                <w:sz w:val="16"/>
                <w:szCs w:val="16"/>
                <w:lang w:eastAsia="en-US"/>
              </w:rPr>
              <w:t>3.7</w:t>
            </w:r>
          </w:p>
        </w:tc>
        <w:tc>
          <w:tcPr>
            <w:tcW w:w="283" w:type="dxa"/>
            <w:gridSpan w:val="2"/>
            <w:tcBorders>
              <w:top w:val="nil"/>
              <w:left w:val="nil"/>
              <w:bottom w:val="nil"/>
              <w:right w:val="nil"/>
            </w:tcBorders>
          </w:tcPr>
          <w:p w14:paraId="2F9CE7F8" w14:textId="77777777" w:rsidR="00206B7B" w:rsidRPr="00206B7B" w:rsidRDefault="00206B7B" w:rsidP="00334E0B">
            <w:pPr>
              <w:jc w:val="center"/>
              <w:rPr>
                <w:color w:val="000000"/>
                <w:sz w:val="16"/>
                <w:szCs w:val="16"/>
                <w:lang w:eastAsia="en-US"/>
              </w:rPr>
            </w:pPr>
          </w:p>
        </w:tc>
        <w:tc>
          <w:tcPr>
            <w:tcW w:w="570" w:type="dxa"/>
            <w:tcBorders>
              <w:top w:val="nil"/>
              <w:left w:val="nil"/>
              <w:bottom w:val="nil"/>
              <w:right w:val="nil"/>
            </w:tcBorders>
            <w:shd w:val="clear" w:color="auto" w:fill="auto"/>
            <w:noWrap/>
            <w:vAlign w:val="bottom"/>
            <w:hideMark/>
          </w:tcPr>
          <w:p w14:paraId="317BECC3" w14:textId="77777777" w:rsidR="00206B7B" w:rsidRPr="00206B7B" w:rsidRDefault="00206B7B" w:rsidP="00334E0B">
            <w:pPr>
              <w:jc w:val="center"/>
              <w:rPr>
                <w:color w:val="000000"/>
                <w:sz w:val="16"/>
                <w:szCs w:val="16"/>
                <w:lang w:eastAsia="en-US"/>
              </w:rPr>
            </w:pPr>
            <w:r w:rsidRPr="00206B7B">
              <w:rPr>
                <w:color w:val="000000"/>
                <w:sz w:val="16"/>
                <w:szCs w:val="16"/>
                <w:lang w:eastAsia="en-US"/>
              </w:rPr>
              <w:t>1.9</w:t>
            </w:r>
          </w:p>
        </w:tc>
        <w:tc>
          <w:tcPr>
            <w:tcW w:w="709" w:type="dxa"/>
            <w:gridSpan w:val="2"/>
            <w:tcBorders>
              <w:top w:val="nil"/>
              <w:left w:val="nil"/>
              <w:bottom w:val="nil"/>
              <w:right w:val="nil"/>
            </w:tcBorders>
            <w:shd w:val="clear" w:color="auto" w:fill="auto"/>
            <w:noWrap/>
            <w:vAlign w:val="bottom"/>
            <w:hideMark/>
          </w:tcPr>
          <w:p w14:paraId="7A36BC3E" w14:textId="77777777" w:rsidR="00206B7B" w:rsidRPr="00206B7B" w:rsidRDefault="00206B7B" w:rsidP="00334E0B">
            <w:pPr>
              <w:jc w:val="center"/>
              <w:rPr>
                <w:color w:val="000000"/>
                <w:sz w:val="16"/>
                <w:szCs w:val="16"/>
                <w:lang w:eastAsia="en-US"/>
              </w:rPr>
            </w:pPr>
            <w:r w:rsidRPr="00206B7B">
              <w:rPr>
                <w:color w:val="000000"/>
                <w:sz w:val="16"/>
                <w:szCs w:val="16"/>
                <w:lang w:eastAsia="en-US"/>
              </w:rPr>
              <w:t>3.6</w:t>
            </w:r>
          </w:p>
        </w:tc>
        <w:tc>
          <w:tcPr>
            <w:tcW w:w="709" w:type="dxa"/>
            <w:tcBorders>
              <w:top w:val="nil"/>
              <w:left w:val="nil"/>
              <w:bottom w:val="nil"/>
              <w:right w:val="nil"/>
            </w:tcBorders>
            <w:shd w:val="clear" w:color="auto" w:fill="auto"/>
            <w:noWrap/>
            <w:vAlign w:val="bottom"/>
            <w:hideMark/>
          </w:tcPr>
          <w:p w14:paraId="20E09AB3" w14:textId="77777777" w:rsidR="00206B7B" w:rsidRPr="00206B7B" w:rsidRDefault="00206B7B" w:rsidP="00334E0B">
            <w:pPr>
              <w:jc w:val="center"/>
              <w:rPr>
                <w:color w:val="000000"/>
                <w:sz w:val="16"/>
                <w:szCs w:val="16"/>
                <w:lang w:eastAsia="en-US"/>
              </w:rPr>
            </w:pPr>
            <w:r w:rsidRPr="00206B7B">
              <w:rPr>
                <w:color w:val="000000"/>
                <w:sz w:val="16"/>
                <w:szCs w:val="16"/>
                <w:lang w:eastAsia="en-US"/>
              </w:rPr>
              <w:t>3.3</w:t>
            </w:r>
          </w:p>
        </w:tc>
        <w:tc>
          <w:tcPr>
            <w:tcW w:w="708" w:type="dxa"/>
            <w:tcBorders>
              <w:top w:val="nil"/>
              <w:left w:val="nil"/>
              <w:bottom w:val="nil"/>
              <w:right w:val="nil"/>
            </w:tcBorders>
            <w:shd w:val="clear" w:color="auto" w:fill="auto"/>
            <w:noWrap/>
            <w:vAlign w:val="bottom"/>
            <w:hideMark/>
          </w:tcPr>
          <w:p w14:paraId="639B8863" w14:textId="77777777" w:rsidR="00206B7B" w:rsidRPr="00206B7B" w:rsidRDefault="00206B7B" w:rsidP="00334E0B">
            <w:pPr>
              <w:jc w:val="center"/>
              <w:rPr>
                <w:color w:val="000000"/>
                <w:sz w:val="16"/>
                <w:szCs w:val="16"/>
                <w:lang w:eastAsia="en-US"/>
              </w:rPr>
            </w:pPr>
            <w:r w:rsidRPr="00206B7B">
              <w:rPr>
                <w:color w:val="000000"/>
                <w:sz w:val="16"/>
                <w:szCs w:val="16"/>
                <w:lang w:eastAsia="en-US"/>
              </w:rPr>
              <w:t>3.8</w:t>
            </w:r>
          </w:p>
        </w:tc>
      </w:tr>
      <w:tr w:rsidR="00206B7B" w:rsidRPr="00206B7B" w14:paraId="4E90D7FF" w14:textId="77777777" w:rsidTr="00334E0B">
        <w:tblPrEx>
          <w:jc w:val="center"/>
          <w:tblCellMar>
            <w:left w:w="70" w:type="dxa"/>
            <w:right w:w="70" w:type="dxa"/>
          </w:tblCellMar>
        </w:tblPrEx>
        <w:trPr>
          <w:trHeight w:val="272"/>
          <w:jc w:val="center"/>
        </w:trPr>
        <w:tc>
          <w:tcPr>
            <w:tcW w:w="2690" w:type="dxa"/>
            <w:gridSpan w:val="4"/>
            <w:tcBorders>
              <w:top w:val="nil"/>
              <w:left w:val="nil"/>
              <w:bottom w:val="nil"/>
              <w:right w:val="nil"/>
            </w:tcBorders>
            <w:shd w:val="clear" w:color="auto" w:fill="auto"/>
            <w:vAlign w:val="bottom"/>
            <w:hideMark/>
          </w:tcPr>
          <w:p w14:paraId="126C17FC" w14:textId="77777777" w:rsidR="00206B7B" w:rsidRPr="00206B7B" w:rsidRDefault="00206B7B" w:rsidP="00334E0B">
            <w:pPr>
              <w:rPr>
                <w:color w:val="000000"/>
                <w:sz w:val="16"/>
                <w:szCs w:val="16"/>
                <w:lang w:eastAsia="en-US"/>
              </w:rPr>
            </w:pPr>
            <w:r w:rsidRPr="00206B7B">
              <w:rPr>
                <w:color w:val="000000"/>
                <w:sz w:val="16"/>
                <w:szCs w:val="16"/>
                <w:lang w:eastAsia="en-US"/>
              </w:rPr>
              <w:t>Mzdy, nominálne</w:t>
            </w:r>
          </w:p>
        </w:tc>
        <w:tc>
          <w:tcPr>
            <w:tcW w:w="1982" w:type="dxa"/>
            <w:tcBorders>
              <w:top w:val="nil"/>
              <w:left w:val="nil"/>
              <w:bottom w:val="nil"/>
              <w:right w:val="nil"/>
            </w:tcBorders>
            <w:shd w:val="clear" w:color="auto" w:fill="auto"/>
            <w:noWrap/>
            <w:vAlign w:val="center"/>
            <w:hideMark/>
          </w:tcPr>
          <w:p w14:paraId="57E0C91B" w14:textId="77777777" w:rsidR="00206B7B" w:rsidRPr="00206B7B" w:rsidRDefault="00206B7B" w:rsidP="00334E0B">
            <w:pPr>
              <w:jc w:val="center"/>
              <w:rPr>
                <w:color w:val="000000"/>
                <w:sz w:val="16"/>
                <w:szCs w:val="16"/>
                <w:lang w:eastAsia="en-US"/>
              </w:rPr>
            </w:pPr>
            <w:r w:rsidRPr="00206B7B">
              <w:rPr>
                <w:color w:val="000000"/>
                <w:sz w:val="16"/>
                <w:szCs w:val="16"/>
                <w:lang w:eastAsia="en-US"/>
              </w:rPr>
              <w:t>%</w:t>
            </w:r>
          </w:p>
        </w:tc>
        <w:tc>
          <w:tcPr>
            <w:tcW w:w="712" w:type="dxa"/>
            <w:gridSpan w:val="2"/>
            <w:tcBorders>
              <w:top w:val="nil"/>
              <w:left w:val="nil"/>
              <w:bottom w:val="nil"/>
              <w:right w:val="nil"/>
            </w:tcBorders>
            <w:shd w:val="clear" w:color="auto" w:fill="auto"/>
            <w:noWrap/>
            <w:vAlign w:val="bottom"/>
            <w:hideMark/>
          </w:tcPr>
          <w:p w14:paraId="658FF13D" w14:textId="77777777" w:rsidR="00206B7B" w:rsidRPr="00206B7B" w:rsidRDefault="00206B7B" w:rsidP="00334E0B">
            <w:pPr>
              <w:jc w:val="center"/>
              <w:rPr>
                <w:color w:val="000000"/>
                <w:sz w:val="16"/>
                <w:szCs w:val="16"/>
                <w:lang w:eastAsia="en-US"/>
              </w:rPr>
            </w:pPr>
            <w:r w:rsidRPr="00206B7B">
              <w:rPr>
                <w:color w:val="000000"/>
                <w:sz w:val="16"/>
                <w:szCs w:val="16"/>
                <w:lang w:eastAsia="en-US"/>
              </w:rPr>
              <w:t>4.6</w:t>
            </w:r>
          </w:p>
        </w:tc>
        <w:tc>
          <w:tcPr>
            <w:tcW w:w="709" w:type="dxa"/>
            <w:tcBorders>
              <w:top w:val="nil"/>
              <w:left w:val="nil"/>
              <w:bottom w:val="nil"/>
              <w:right w:val="nil"/>
            </w:tcBorders>
            <w:shd w:val="clear" w:color="auto" w:fill="auto"/>
            <w:noWrap/>
            <w:vAlign w:val="bottom"/>
            <w:hideMark/>
          </w:tcPr>
          <w:p w14:paraId="5E26A898" w14:textId="77777777" w:rsidR="00206B7B" w:rsidRPr="00206B7B" w:rsidRDefault="00206B7B" w:rsidP="00334E0B">
            <w:pPr>
              <w:jc w:val="center"/>
              <w:rPr>
                <w:color w:val="000000"/>
                <w:sz w:val="16"/>
                <w:szCs w:val="16"/>
                <w:lang w:eastAsia="en-US"/>
              </w:rPr>
            </w:pPr>
            <w:r w:rsidRPr="00206B7B">
              <w:rPr>
                <w:color w:val="000000"/>
                <w:sz w:val="16"/>
                <w:szCs w:val="16"/>
                <w:lang w:eastAsia="en-US"/>
              </w:rPr>
              <w:t>6.2</w:t>
            </w:r>
          </w:p>
        </w:tc>
        <w:tc>
          <w:tcPr>
            <w:tcW w:w="283" w:type="dxa"/>
            <w:gridSpan w:val="2"/>
            <w:tcBorders>
              <w:top w:val="nil"/>
              <w:left w:val="nil"/>
              <w:bottom w:val="nil"/>
              <w:right w:val="nil"/>
            </w:tcBorders>
          </w:tcPr>
          <w:p w14:paraId="0C1EBD97" w14:textId="77777777" w:rsidR="00206B7B" w:rsidRPr="00206B7B" w:rsidRDefault="00206B7B" w:rsidP="00334E0B">
            <w:pPr>
              <w:jc w:val="center"/>
              <w:rPr>
                <w:color w:val="000000"/>
                <w:sz w:val="16"/>
                <w:szCs w:val="16"/>
                <w:lang w:eastAsia="en-US"/>
              </w:rPr>
            </w:pPr>
          </w:p>
        </w:tc>
        <w:tc>
          <w:tcPr>
            <w:tcW w:w="570" w:type="dxa"/>
            <w:tcBorders>
              <w:top w:val="nil"/>
              <w:left w:val="nil"/>
              <w:bottom w:val="nil"/>
              <w:right w:val="nil"/>
            </w:tcBorders>
            <w:shd w:val="clear" w:color="auto" w:fill="auto"/>
            <w:noWrap/>
            <w:vAlign w:val="bottom"/>
            <w:hideMark/>
          </w:tcPr>
          <w:p w14:paraId="125C12B0" w14:textId="77777777" w:rsidR="00206B7B" w:rsidRPr="00206B7B" w:rsidRDefault="00206B7B" w:rsidP="00334E0B">
            <w:pPr>
              <w:jc w:val="center"/>
              <w:rPr>
                <w:color w:val="000000"/>
                <w:sz w:val="16"/>
                <w:szCs w:val="16"/>
                <w:lang w:eastAsia="en-US"/>
              </w:rPr>
            </w:pPr>
            <w:r w:rsidRPr="00206B7B">
              <w:rPr>
                <w:color w:val="000000"/>
                <w:sz w:val="16"/>
                <w:szCs w:val="16"/>
                <w:lang w:eastAsia="en-US"/>
              </w:rPr>
              <w:t>7.4</w:t>
            </w:r>
          </w:p>
        </w:tc>
        <w:tc>
          <w:tcPr>
            <w:tcW w:w="709" w:type="dxa"/>
            <w:gridSpan w:val="2"/>
            <w:tcBorders>
              <w:top w:val="nil"/>
              <w:left w:val="nil"/>
              <w:bottom w:val="nil"/>
              <w:right w:val="nil"/>
            </w:tcBorders>
            <w:shd w:val="clear" w:color="auto" w:fill="auto"/>
            <w:noWrap/>
            <w:vAlign w:val="bottom"/>
            <w:hideMark/>
          </w:tcPr>
          <w:p w14:paraId="7145B2B1" w14:textId="77777777" w:rsidR="00206B7B" w:rsidRPr="00206B7B" w:rsidRDefault="00206B7B" w:rsidP="00334E0B">
            <w:pPr>
              <w:jc w:val="center"/>
              <w:rPr>
                <w:color w:val="000000"/>
                <w:sz w:val="16"/>
                <w:szCs w:val="16"/>
                <w:lang w:eastAsia="en-US"/>
              </w:rPr>
            </w:pPr>
            <w:r w:rsidRPr="00206B7B">
              <w:rPr>
                <w:color w:val="000000"/>
                <w:sz w:val="16"/>
                <w:szCs w:val="16"/>
                <w:lang w:eastAsia="en-US"/>
              </w:rPr>
              <w:t>4.7</w:t>
            </w:r>
          </w:p>
        </w:tc>
        <w:tc>
          <w:tcPr>
            <w:tcW w:w="709" w:type="dxa"/>
            <w:tcBorders>
              <w:top w:val="nil"/>
              <w:left w:val="nil"/>
              <w:bottom w:val="nil"/>
              <w:right w:val="nil"/>
            </w:tcBorders>
            <w:shd w:val="clear" w:color="auto" w:fill="auto"/>
            <w:noWrap/>
            <w:vAlign w:val="bottom"/>
            <w:hideMark/>
          </w:tcPr>
          <w:p w14:paraId="19E51874" w14:textId="77777777" w:rsidR="00206B7B" w:rsidRPr="00206B7B" w:rsidRDefault="00206B7B" w:rsidP="00334E0B">
            <w:pPr>
              <w:jc w:val="center"/>
              <w:rPr>
                <w:color w:val="000000"/>
                <w:sz w:val="16"/>
                <w:szCs w:val="16"/>
                <w:lang w:eastAsia="en-US"/>
              </w:rPr>
            </w:pPr>
            <w:r w:rsidRPr="00206B7B">
              <w:rPr>
                <w:color w:val="000000"/>
                <w:sz w:val="16"/>
                <w:szCs w:val="16"/>
                <w:lang w:eastAsia="en-US"/>
              </w:rPr>
              <w:t>5.1</w:t>
            </w:r>
          </w:p>
        </w:tc>
        <w:tc>
          <w:tcPr>
            <w:tcW w:w="708" w:type="dxa"/>
            <w:tcBorders>
              <w:top w:val="nil"/>
              <w:left w:val="nil"/>
              <w:bottom w:val="nil"/>
              <w:right w:val="nil"/>
            </w:tcBorders>
            <w:shd w:val="clear" w:color="auto" w:fill="auto"/>
            <w:noWrap/>
            <w:vAlign w:val="bottom"/>
            <w:hideMark/>
          </w:tcPr>
          <w:p w14:paraId="04E7E034" w14:textId="77777777" w:rsidR="00206B7B" w:rsidRPr="00206B7B" w:rsidRDefault="00206B7B" w:rsidP="00334E0B">
            <w:pPr>
              <w:jc w:val="center"/>
              <w:rPr>
                <w:color w:val="000000"/>
                <w:sz w:val="16"/>
                <w:szCs w:val="16"/>
                <w:lang w:eastAsia="en-US"/>
              </w:rPr>
            </w:pPr>
            <w:r w:rsidRPr="00206B7B">
              <w:rPr>
                <w:color w:val="000000"/>
                <w:sz w:val="16"/>
                <w:szCs w:val="16"/>
                <w:lang w:eastAsia="en-US"/>
              </w:rPr>
              <w:t>4.8</w:t>
            </w:r>
          </w:p>
        </w:tc>
      </w:tr>
      <w:tr w:rsidR="00206B7B" w:rsidRPr="00206B7B" w14:paraId="4EE52BDE" w14:textId="77777777" w:rsidTr="00334E0B">
        <w:tblPrEx>
          <w:jc w:val="center"/>
          <w:tblCellMar>
            <w:left w:w="70" w:type="dxa"/>
            <w:right w:w="70" w:type="dxa"/>
          </w:tblCellMar>
        </w:tblPrEx>
        <w:trPr>
          <w:trHeight w:val="272"/>
          <w:jc w:val="center"/>
        </w:trPr>
        <w:tc>
          <w:tcPr>
            <w:tcW w:w="2690" w:type="dxa"/>
            <w:gridSpan w:val="4"/>
            <w:tcBorders>
              <w:top w:val="nil"/>
              <w:left w:val="nil"/>
              <w:bottom w:val="nil"/>
              <w:right w:val="nil"/>
            </w:tcBorders>
            <w:shd w:val="clear" w:color="auto" w:fill="auto"/>
            <w:vAlign w:val="bottom"/>
            <w:hideMark/>
          </w:tcPr>
          <w:p w14:paraId="25BB38D1" w14:textId="77777777" w:rsidR="00206B7B" w:rsidRPr="00206B7B" w:rsidRDefault="00206B7B" w:rsidP="00334E0B">
            <w:pPr>
              <w:rPr>
                <w:color w:val="000000"/>
                <w:sz w:val="16"/>
                <w:szCs w:val="16"/>
                <w:lang w:eastAsia="en-US"/>
              </w:rPr>
            </w:pPr>
            <w:r w:rsidRPr="00206B7B">
              <w:rPr>
                <w:color w:val="000000"/>
                <w:sz w:val="16"/>
                <w:szCs w:val="16"/>
                <w:lang w:eastAsia="en-US"/>
              </w:rPr>
              <w:t>Mzdy, reálne</w:t>
            </w:r>
          </w:p>
        </w:tc>
        <w:tc>
          <w:tcPr>
            <w:tcW w:w="1982" w:type="dxa"/>
            <w:tcBorders>
              <w:top w:val="nil"/>
              <w:left w:val="nil"/>
              <w:bottom w:val="nil"/>
              <w:right w:val="nil"/>
            </w:tcBorders>
            <w:shd w:val="clear" w:color="auto" w:fill="auto"/>
            <w:noWrap/>
            <w:vAlign w:val="center"/>
            <w:hideMark/>
          </w:tcPr>
          <w:p w14:paraId="1A7F61FA" w14:textId="77777777" w:rsidR="00206B7B" w:rsidRPr="00206B7B" w:rsidRDefault="00206B7B" w:rsidP="00334E0B">
            <w:pPr>
              <w:jc w:val="center"/>
              <w:rPr>
                <w:color w:val="000000"/>
                <w:sz w:val="16"/>
                <w:szCs w:val="16"/>
                <w:lang w:eastAsia="en-US"/>
              </w:rPr>
            </w:pPr>
            <w:r w:rsidRPr="00206B7B">
              <w:rPr>
                <w:color w:val="000000"/>
                <w:sz w:val="16"/>
                <w:szCs w:val="16"/>
                <w:lang w:eastAsia="en-US"/>
              </w:rPr>
              <w:t>%</w:t>
            </w:r>
          </w:p>
        </w:tc>
        <w:tc>
          <w:tcPr>
            <w:tcW w:w="712" w:type="dxa"/>
            <w:gridSpan w:val="2"/>
            <w:tcBorders>
              <w:top w:val="nil"/>
              <w:left w:val="nil"/>
              <w:bottom w:val="nil"/>
              <w:right w:val="nil"/>
            </w:tcBorders>
            <w:shd w:val="clear" w:color="auto" w:fill="auto"/>
            <w:noWrap/>
            <w:vAlign w:val="bottom"/>
            <w:hideMark/>
          </w:tcPr>
          <w:p w14:paraId="23DE6234" w14:textId="77777777" w:rsidR="00206B7B" w:rsidRPr="00206B7B" w:rsidRDefault="00206B7B" w:rsidP="00334E0B">
            <w:pPr>
              <w:jc w:val="center"/>
              <w:rPr>
                <w:color w:val="000000"/>
                <w:sz w:val="16"/>
                <w:szCs w:val="16"/>
                <w:lang w:eastAsia="en-US"/>
              </w:rPr>
            </w:pPr>
            <w:r w:rsidRPr="00206B7B">
              <w:rPr>
                <w:color w:val="000000"/>
                <w:sz w:val="16"/>
                <w:szCs w:val="16"/>
                <w:lang w:eastAsia="en-US"/>
              </w:rPr>
              <w:t>3.3</w:t>
            </w:r>
          </w:p>
        </w:tc>
        <w:tc>
          <w:tcPr>
            <w:tcW w:w="709" w:type="dxa"/>
            <w:tcBorders>
              <w:top w:val="nil"/>
              <w:left w:val="nil"/>
              <w:bottom w:val="nil"/>
              <w:right w:val="nil"/>
            </w:tcBorders>
            <w:shd w:val="clear" w:color="auto" w:fill="auto"/>
            <w:noWrap/>
            <w:vAlign w:val="bottom"/>
            <w:hideMark/>
          </w:tcPr>
          <w:p w14:paraId="256A2914" w14:textId="77777777" w:rsidR="00206B7B" w:rsidRPr="00206B7B" w:rsidRDefault="00206B7B" w:rsidP="00334E0B">
            <w:pPr>
              <w:jc w:val="center"/>
              <w:rPr>
                <w:color w:val="000000"/>
                <w:sz w:val="16"/>
                <w:szCs w:val="16"/>
                <w:lang w:eastAsia="en-US"/>
              </w:rPr>
            </w:pPr>
            <w:r w:rsidRPr="00206B7B">
              <w:rPr>
                <w:color w:val="000000"/>
                <w:sz w:val="16"/>
                <w:szCs w:val="16"/>
                <w:lang w:eastAsia="en-US"/>
              </w:rPr>
              <w:t>3.6</w:t>
            </w:r>
          </w:p>
        </w:tc>
        <w:tc>
          <w:tcPr>
            <w:tcW w:w="283" w:type="dxa"/>
            <w:gridSpan w:val="2"/>
            <w:tcBorders>
              <w:top w:val="nil"/>
              <w:left w:val="nil"/>
              <w:bottom w:val="nil"/>
              <w:right w:val="nil"/>
            </w:tcBorders>
          </w:tcPr>
          <w:p w14:paraId="74B6A2FA" w14:textId="77777777" w:rsidR="00206B7B" w:rsidRPr="00206B7B" w:rsidRDefault="00206B7B" w:rsidP="00334E0B">
            <w:pPr>
              <w:jc w:val="center"/>
              <w:rPr>
                <w:color w:val="000000"/>
                <w:sz w:val="16"/>
                <w:szCs w:val="16"/>
                <w:lang w:eastAsia="en-US"/>
              </w:rPr>
            </w:pPr>
          </w:p>
        </w:tc>
        <w:tc>
          <w:tcPr>
            <w:tcW w:w="570" w:type="dxa"/>
            <w:tcBorders>
              <w:top w:val="nil"/>
              <w:left w:val="nil"/>
              <w:bottom w:val="nil"/>
              <w:right w:val="nil"/>
            </w:tcBorders>
            <w:shd w:val="clear" w:color="auto" w:fill="auto"/>
            <w:noWrap/>
            <w:vAlign w:val="bottom"/>
            <w:hideMark/>
          </w:tcPr>
          <w:p w14:paraId="1D97524C" w14:textId="77777777" w:rsidR="00206B7B" w:rsidRPr="00206B7B" w:rsidRDefault="00206B7B" w:rsidP="00334E0B">
            <w:pPr>
              <w:jc w:val="center"/>
              <w:rPr>
                <w:color w:val="000000"/>
                <w:sz w:val="16"/>
                <w:szCs w:val="16"/>
                <w:lang w:eastAsia="en-US"/>
              </w:rPr>
            </w:pPr>
            <w:r w:rsidRPr="00206B7B">
              <w:rPr>
                <w:color w:val="000000"/>
                <w:sz w:val="16"/>
                <w:szCs w:val="16"/>
                <w:lang w:eastAsia="en-US"/>
              </w:rPr>
              <w:t>4.8</w:t>
            </w:r>
          </w:p>
        </w:tc>
        <w:tc>
          <w:tcPr>
            <w:tcW w:w="709" w:type="dxa"/>
            <w:gridSpan w:val="2"/>
            <w:tcBorders>
              <w:top w:val="nil"/>
              <w:left w:val="nil"/>
              <w:bottom w:val="nil"/>
              <w:right w:val="nil"/>
            </w:tcBorders>
            <w:shd w:val="clear" w:color="auto" w:fill="auto"/>
            <w:noWrap/>
            <w:vAlign w:val="bottom"/>
            <w:hideMark/>
          </w:tcPr>
          <w:p w14:paraId="513D02A7" w14:textId="77777777" w:rsidR="00206B7B" w:rsidRPr="00206B7B" w:rsidRDefault="00206B7B" w:rsidP="00334E0B">
            <w:pPr>
              <w:jc w:val="center"/>
              <w:rPr>
                <w:color w:val="000000"/>
                <w:sz w:val="16"/>
                <w:szCs w:val="16"/>
                <w:lang w:eastAsia="en-US"/>
              </w:rPr>
            </w:pPr>
            <w:r w:rsidRPr="00206B7B">
              <w:rPr>
                <w:color w:val="000000"/>
                <w:sz w:val="16"/>
                <w:szCs w:val="16"/>
                <w:lang w:eastAsia="en-US"/>
              </w:rPr>
              <w:t>2.5</w:t>
            </w:r>
          </w:p>
        </w:tc>
        <w:tc>
          <w:tcPr>
            <w:tcW w:w="709" w:type="dxa"/>
            <w:tcBorders>
              <w:top w:val="nil"/>
              <w:left w:val="nil"/>
              <w:bottom w:val="nil"/>
              <w:right w:val="nil"/>
            </w:tcBorders>
            <w:shd w:val="clear" w:color="auto" w:fill="auto"/>
            <w:noWrap/>
            <w:vAlign w:val="bottom"/>
            <w:hideMark/>
          </w:tcPr>
          <w:p w14:paraId="2C9BA0BA" w14:textId="77777777" w:rsidR="00206B7B" w:rsidRPr="00206B7B" w:rsidRDefault="00206B7B" w:rsidP="00334E0B">
            <w:pPr>
              <w:jc w:val="center"/>
              <w:rPr>
                <w:color w:val="000000"/>
                <w:sz w:val="16"/>
                <w:szCs w:val="16"/>
                <w:lang w:eastAsia="en-US"/>
              </w:rPr>
            </w:pPr>
            <w:r w:rsidRPr="00206B7B">
              <w:rPr>
                <w:color w:val="000000"/>
                <w:sz w:val="16"/>
                <w:szCs w:val="16"/>
                <w:lang w:eastAsia="en-US"/>
              </w:rPr>
              <w:t>2.9</w:t>
            </w:r>
          </w:p>
        </w:tc>
        <w:tc>
          <w:tcPr>
            <w:tcW w:w="708" w:type="dxa"/>
            <w:tcBorders>
              <w:top w:val="nil"/>
              <w:left w:val="nil"/>
              <w:bottom w:val="nil"/>
              <w:right w:val="nil"/>
            </w:tcBorders>
            <w:shd w:val="clear" w:color="auto" w:fill="auto"/>
            <w:noWrap/>
            <w:vAlign w:val="bottom"/>
            <w:hideMark/>
          </w:tcPr>
          <w:p w14:paraId="6971D42A" w14:textId="77777777" w:rsidR="00206B7B" w:rsidRPr="00206B7B" w:rsidRDefault="00206B7B" w:rsidP="00334E0B">
            <w:pPr>
              <w:jc w:val="center"/>
              <w:rPr>
                <w:color w:val="000000"/>
                <w:sz w:val="16"/>
                <w:szCs w:val="16"/>
                <w:lang w:eastAsia="en-US"/>
              </w:rPr>
            </w:pPr>
            <w:r w:rsidRPr="00206B7B">
              <w:rPr>
                <w:color w:val="000000"/>
                <w:sz w:val="16"/>
                <w:szCs w:val="16"/>
                <w:lang w:eastAsia="en-US"/>
              </w:rPr>
              <w:t>2.4</w:t>
            </w:r>
          </w:p>
        </w:tc>
      </w:tr>
      <w:tr w:rsidR="00206B7B" w:rsidRPr="00206B7B" w14:paraId="35861E77" w14:textId="77777777" w:rsidTr="00334E0B">
        <w:tblPrEx>
          <w:jc w:val="center"/>
          <w:tblCellMar>
            <w:left w:w="70" w:type="dxa"/>
            <w:right w:w="70" w:type="dxa"/>
          </w:tblCellMar>
        </w:tblPrEx>
        <w:trPr>
          <w:trHeight w:val="272"/>
          <w:jc w:val="center"/>
        </w:trPr>
        <w:tc>
          <w:tcPr>
            <w:tcW w:w="2690" w:type="dxa"/>
            <w:gridSpan w:val="4"/>
            <w:tcBorders>
              <w:top w:val="nil"/>
              <w:left w:val="nil"/>
              <w:bottom w:val="nil"/>
              <w:right w:val="nil"/>
            </w:tcBorders>
            <w:shd w:val="clear" w:color="auto" w:fill="auto"/>
            <w:vAlign w:val="bottom"/>
            <w:hideMark/>
          </w:tcPr>
          <w:p w14:paraId="48D0D0F8" w14:textId="77777777" w:rsidR="00206B7B" w:rsidRPr="00206B7B" w:rsidRDefault="00206B7B" w:rsidP="00334E0B">
            <w:pPr>
              <w:rPr>
                <w:color w:val="000000"/>
                <w:sz w:val="16"/>
                <w:szCs w:val="16"/>
                <w:lang w:eastAsia="en-US"/>
              </w:rPr>
            </w:pPr>
            <w:r w:rsidRPr="00206B7B">
              <w:rPr>
                <w:color w:val="000000"/>
                <w:sz w:val="16"/>
                <w:szCs w:val="16"/>
                <w:lang w:eastAsia="en-US"/>
              </w:rPr>
              <w:t>Nezamestnanosť</w:t>
            </w:r>
          </w:p>
        </w:tc>
        <w:tc>
          <w:tcPr>
            <w:tcW w:w="1982" w:type="dxa"/>
            <w:tcBorders>
              <w:top w:val="nil"/>
              <w:left w:val="nil"/>
              <w:bottom w:val="nil"/>
              <w:right w:val="nil"/>
            </w:tcBorders>
            <w:shd w:val="clear" w:color="auto" w:fill="auto"/>
            <w:noWrap/>
            <w:vAlign w:val="center"/>
            <w:hideMark/>
          </w:tcPr>
          <w:p w14:paraId="0DED9476" w14:textId="77777777" w:rsidR="00206B7B" w:rsidRPr="00206B7B" w:rsidRDefault="00206B7B" w:rsidP="00334E0B">
            <w:pPr>
              <w:jc w:val="center"/>
              <w:rPr>
                <w:color w:val="000000"/>
                <w:sz w:val="16"/>
                <w:szCs w:val="16"/>
                <w:lang w:eastAsia="en-US"/>
              </w:rPr>
            </w:pPr>
            <w:r w:rsidRPr="00206B7B">
              <w:rPr>
                <w:color w:val="000000"/>
                <w:sz w:val="16"/>
                <w:szCs w:val="16"/>
                <w:lang w:eastAsia="en-US"/>
              </w:rPr>
              <w:t>%</w:t>
            </w:r>
          </w:p>
        </w:tc>
        <w:tc>
          <w:tcPr>
            <w:tcW w:w="712" w:type="dxa"/>
            <w:gridSpan w:val="2"/>
            <w:tcBorders>
              <w:top w:val="nil"/>
              <w:left w:val="nil"/>
              <w:bottom w:val="nil"/>
              <w:right w:val="nil"/>
            </w:tcBorders>
            <w:shd w:val="clear" w:color="auto" w:fill="auto"/>
            <w:noWrap/>
            <w:vAlign w:val="bottom"/>
            <w:hideMark/>
          </w:tcPr>
          <w:p w14:paraId="6E652897" w14:textId="77777777" w:rsidR="00206B7B" w:rsidRPr="00206B7B" w:rsidRDefault="00206B7B" w:rsidP="00334E0B">
            <w:pPr>
              <w:jc w:val="center"/>
              <w:rPr>
                <w:color w:val="000000"/>
                <w:sz w:val="16"/>
                <w:szCs w:val="16"/>
                <w:lang w:eastAsia="en-US"/>
              </w:rPr>
            </w:pPr>
            <w:r w:rsidRPr="00206B7B">
              <w:rPr>
                <w:color w:val="000000"/>
                <w:sz w:val="16"/>
                <w:szCs w:val="16"/>
                <w:lang w:eastAsia="en-US"/>
              </w:rPr>
              <w:t>8.1</w:t>
            </w:r>
          </w:p>
        </w:tc>
        <w:tc>
          <w:tcPr>
            <w:tcW w:w="709" w:type="dxa"/>
            <w:tcBorders>
              <w:top w:val="nil"/>
              <w:left w:val="nil"/>
              <w:bottom w:val="nil"/>
              <w:right w:val="nil"/>
            </w:tcBorders>
            <w:shd w:val="clear" w:color="auto" w:fill="auto"/>
            <w:noWrap/>
            <w:vAlign w:val="bottom"/>
            <w:hideMark/>
          </w:tcPr>
          <w:p w14:paraId="39D30BC3" w14:textId="77777777" w:rsidR="00206B7B" w:rsidRPr="00206B7B" w:rsidRDefault="00206B7B" w:rsidP="00334E0B">
            <w:pPr>
              <w:jc w:val="center"/>
              <w:rPr>
                <w:color w:val="000000"/>
                <w:sz w:val="16"/>
                <w:szCs w:val="16"/>
                <w:lang w:eastAsia="en-US"/>
              </w:rPr>
            </w:pPr>
            <w:r w:rsidRPr="00206B7B">
              <w:rPr>
                <w:color w:val="000000"/>
                <w:sz w:val="16"/>
                <w:szCs w:val="16"/>
                <w:lang w:eastAsia="en-US"/>
              </w:rPr>
              <w:t>6.6</w:t>
            </w:r>
          </w:p>
        </w:tc>
        <w:tc>
          <w:tcPr>
            <w:tcW w:w="283" w:type="dxa"/>
            <w:gridSpan w:val="2"/>
            <w:tcBorders>
              <w:top w:val="nil"/>
              <w:left w:val="nil"/>
              <w:bottom w:val="nil"/>
              <w:right w:val="nil"/>
            </w:tcBorders>
          </w:tcPr>
          <w:p w14:paraId="707708AF" w14:textId="77777777" w:rsidR="00206B7B" w:rsidRPr="00206B7B" w:rsidRDefault="00206B7B" w:rsidP="00334E0B">
            <w:pPr>
              <w:jc w:val="center"/>
              <w:rPr>
                <w:color w:val="000000"/>
                <w:sz w:val="16"/>
                <w:szCs w:val="16"/>
                <w:lang w:eastAsia="en-US"/>
              </w:rPr>
            </w:pPr>
          </w:p>
        </w:tc>
        <w:tc>
          <w:tcPr>
            <w:tcW w:w="570" w:type="dxa"/>
            <w:tcBorders>
              <w:top w:val="nil"/>
              <w:left w:val="nil"/>
              <w:bottom w:val="nil"/>
              <w:right w:val="nil"/>
            </w:tcBorders>
            <w:shd w:val="clear" w:color="auto" w:fill="auto"/>
            <w:noWrap/>
            <w:vAlign w:val="bottom"/>
            <w:hideMark/>
          </w:tcPr>
          <w:p w14:paraId="21952167" w14:textId="77777777" w:rsidR="00206B7B" w:rsidRPr="00206B7B" w:rsidRDefault="00206B7B" w:rsidP="00334E0B">
            <w:pPr>
              <w:jc w:val="center"/>
              <w:rPr>
                <w:color w:val="000000"/>
                <w:sz w:val="16"/>
                <w:szCs w:val="16"/>
                <w:lang w:eastAsia="en-US"/>
              </w:rPr>
            </w:pPr>
            <w:r w:rsidRPr="00206B7B">
              <w:rPr>
                <w:color w:val="000000"/>
                <w:sz w:val="16"/>
                <w:szCs w:val="16"/>
                <w:lang w:eastAsia="en-US"/>
              </w:rPr>
              <w:t>5.8</w:t>
            </w:r>
          </w:p>
        </w:tc>
        <w:tc>
          <w:tcPr>
            <w:tcW w:w="709" w:type="dxa"/>
            <w:gridSpan w:val="2"/>
            <w:tcBorders>
              <w:top w:val="nil"/>
              <w:left w:val="nil"/>
              <w:bottom w:val="nil"/>
              <w:right w:val="nil"/>
            </w:tcBorders>
            <w:shd w:val="clear" w:color="auto" w:fill="auto"/>
            <w:noWrap/>
            <w:vAlign w:val="bottom"/>
            <w:hideMark/>
          </w:tcPr>
          <w:p w14:paraId="712F41C2" w14:textId="77777777" w:rsidR="00206B7B" w:rsidRPr="00206B7B" w:rsidRDefault="00206B7B" w:rsidP="00334E0B">
            <w:pPr>
              <w:jc w:val="center"/>
              <w:rPr>
                <w:color w:val="000000"/>
                <w:sz w:val="16"/>
                <w:szCs w:val="16"/>
                <w:lang w:eastAsia="en-US"/>
              </w:rPr>
            </w:pPr>
            <w:r w:rsidRPr="00206B7B">
              <w:rPr>
                <w:color w:val="000000"/>
                <w:sz w:val="16"/>
                <w:szCs w:val="16"/>
                <w:lang w:eastAsia="en-US"/>
              </w:rPr>
              <w:t>5.8</w:t>
            </w:r>
          </w:p>
        </w:tc>
        <w:tc>
          <w:tcPr>
            <w:tcW w:w="709" w:type="dxa"/>
            <w:tcBorders>
              <w:top w:val="nil"/>
              <w:left w:val="nil"/>
              <w:bottom w:val="nil"/>
              <w:right w:val="nil"/>
            </w:tcBorders>
            <w:shd w:val="clear" w:color="auto" w:fill="auto"/>
            <w:noWrap/>
            <w:vAlign w:val="bottom"/>
            <w:hideMark/>
          </w:tcPr>
          <w:p w14:paraId="3CFAAB69" w14:textId="77777777" w:rsidR="00206B7B" w:rsidRPr="00206B7B" w:rsidRDefault="00206B7B" w:rsidP="00334E0B">
            <w:pPr>
              <w:jc w:val="center"/>
              <w:rPr>
                <w:color w:val="000000"/>
                <w:sz w:val="16"/>
                <w:szCs w:val="16"/>
                <w:lang w:eastAsia="en-US"/>
              </w:rPr>
            </w:pPr>
            <w:r w:rsidRPr="00206B7B">
              <w:rPr>
                <w:color w:val="000000"/>
                <w:sz w:val="16"/>
                <w:szCs w:val="16"/>
                <w:lang w:eastAsia="en-US"/>
              </w:rPr>
              <w:t>5.8</w:t>
            </w:r>
          </w:p>
        </w:tc>
        <w:tc>
          <w:tcPr>
            <w:tcW w:w="708" w:type="dxa"/>
            <w:tcBorders>
              <w:top w:val="nil"/>
              <w:left w:val="nil"/>
              <w:bottom w:val="nil"/>
              <w:right w:val="nil"/>
            </w:tcBorders>
            <w:shd w:val="clear" w:color="auto" w:fill="auto"/>
            <w:noWrap/>
            <w:vAlign w:val="bottom"/>
            <w:hideMark/>
          </w:tcPr>
          <w:p w14:paraId="778E9F67" w14:textId="77777777" w:rsidR="00206B7B" w:rsidRPr="00206B7B" w:rsidRDefault="00206B7B" w:rsidP="00334E0B">
            <w:pPr>
              <w:jc w:val="center"/>
              <w:rPr>
                <w:color w:val="000000"/>
                <w:sz w:val="16"/>
                <w:szCs w:val="16"/>
                <w:lang w:eastAsia="en-US"/>
              </w:rPr>
            </w:pPr>
            <w:r w:rsidRPr="00206B7B">
              <w:rPr>
                <w:color w:val="000000"/>
                <w:sz w:val="16"/>
                <w:szCs w:val="16"/>
                <w:lang w:eastAsia="en-US"/>
              </w:rPr>
              <w:t>5.7</w:t>
            </w:r>
          </w:p>
        </w:tc>
      </w:tr>
      <w:tr w:rsidR="00206B7B" w:rsidRPr="00206B7B" w14:paraId="1F5BD617" w14:textId="77777777" w:rsidTr="00334E0B">
        <w:tblPrEx>
          <w:jc w:val="center"/>
          <w:tblCellMar>
            <w:left w:w="70" w:type="dxa"/>
            <w:right w:w="70" w:type="dxa"/>
          </w:tblCellMar>
        </w:tblPrEx>
        <w:trPr>
          <w:trHeight w:val="272"/>
          <w:jc w:val="center"/>
        </w:trPr>
        <w:tc>
          <w:tcPr>
            <w:tcW w:w="2690" w:type="dxa"/>
            <w:gridSpan w:val="4"/>
            <w:tcBorders>
              <w:top w:val="nil"/>
              <w:left w:val="nil"/>
              <w:bottom w:val="nil"/>
              <w:right w:val="nil"/>
            </w:tcBorders>
            <w:shd w:val="clear" w:color="auto" w:fill="auto"/>
            <w:vAlign w:val="bottom"/>
            <w:hideMark/>
          </w:tcPr>
          <w:p w14:paraId="754B925F" w14:textId="77777777" w:rsidR="00206B7B" w:rsidRPr="00206B7B" w:rsidRDefault="00206B7B" w:rsidP="00334E0B">
            <w:pPr>
              <w:rPr>
                <w:color w:val="000000"/>
                <w:sz w:val="16"/>
                <w:szCs w:val="16"/>
                <w:lang w:eastAsia="en-US"/>
              </w:rPr>
            </w:pPr>
            <w:r w:rsidRPr="00206B7B">
              <w:rPr>
                <w:color w:val="000000"/>
                <w:sz w:val="16"/>
                <w:szCs w:val="16"/>
                <w:lang w:eastAsia="en-US"/>
              </w:rPr>
              <w:t>Inflácia</w:t>
            </w:r>
          </w:p>
        </w:tc>
        <w:tc>
          <w:tcPr>
            <w:tcW w:w="1982" w:type="dxa"/>
            <w:tcBorders>
              <w:top w:val="nil"/>
              <w:left w:val="nil"/>
              <w:bottom w:val="nil"/>
              <w:right w:val="nil"/>
            </w:tcBorders>
            <w:shd w:val="clear" w:color="auto" w:fill="auto"/>
            <w:noWrap/>
            <w:vAlign w:val="center"/>
            <w:hideMark/>
          </w:tcPr>
          <w:p w14:paraId="6F3B29DD" w14:textId="77777777" w:rsidR="00206B7B" w:rsidRPr="00206B7B" w:rsidRDefault="00206B7B" w:rsidP="00334E0B">
            <w:pPr>
              <w:jc w:val="center"/>
              <w:rPr>
                <w:color w:val="000000"/>
                <w:sz w:val="16"/>
                <w:szCs w:val="16"/>
                <w:lang w:eastAsia="en-US"/>
              </w:rPr>
            </w:pPr>
            <w:r w:rsidRPr="00206B7B">
              <w:rPr>
                <w:color w:val="000000"/>
                <w:sz w:val="16"/>
                <w:szCs w:val="16"/>
                <w:lang w:eastAsia="en-US"/>
              </w:rPr>
              <w:t>%</w:t>
            </w:r>
          </w:p>
        </w:tc>
        <w:tc>
          <w:tcPr>
            <w:tcW w:w="712" w:type="dxa"/>
            <w:gridSpan w:val="2"/>
            <w:tcBorders>
              <w:top w:val="nil"/>
              <w:left w:val="nil"/>
              <w:bottom w:val="nil"/>
              <w:right w:val="nil"/>
            </w:tcBorders>
            <w:shd w:val="clear" w:color="auto" w:fill="auto"/>
            <w:noWrap/>
            <w:vAlign w:val="bottom"/>
            <w:hideMark/>
          </w:tcPr>
          <w:p w14:paraId="4BC1FE18" w14:textId="77777777" w:rsidR="00206B7B" w:rsidRPr="00206B7B" w:rsidRDefault="00206B7B" w:rsidP="00334E0B">
            <w:pPr>
              <w:jc w:val="center"/>
              <w:rPr>
                <w:color w:val="000000"/>
                <w:sz w:val="16"/>
                <w:szCs w:val="16"/>
                <w:lang w:eastAsia="en-US"/>
              </w:rPr>
            </w:pPr>
            <w:r w:rsidRPr="00206B7B">
              <w:rPr>
                <w:color w:val="000000"/>
                <w:sz w:val="16"/>
                <w:szCs w:val="16"/>
                <w:lang w:eastAsia="en-US"/>
              </w:rPr>
              <w:t>1.3</w:t>
            </w:r>
          </w:p>
        </w:tc>
        <w:tc>
          <w:tcPr>
            <w:tcW w:w="709" w:type="dxa"/>
            <w:tcBorders>
              <w:top w:val="nil"/>
              <w:left w:val="nil"/>
              <w:bottom w:val="nil"/>
              <w:right w:val="nil"/>
            </w:tcBorders>
            <w:shd w:val="clear" w:color="auto" w:fill="auto"/>
            <w:noWrap/>
            <w:vAlign w:val="bottom"/>
            <w:hideMark/>
          </w:tcPr>
          <w:p w14:paraId="6C3DAD77" w14:textId="77777777" w:rsidR="00206B7B" w:rsidRPr="00206B7B" w:rsidRDefault="00206B7B" w:rsidP="00334E0B">
            <w:pPr>
              <w:jc w:val="center"/>
              <w:rPr>
                <w:color w:val="000000"/>
                <w:sz w:val="16"/>
                <w:szCs w:val="16"/>
                <w:lang w:eastAsia="en-US"/>
              </w:rPr>
            </w:pPr>
            <w:r w:rsidRPr="00206B7B">
              <w:rPr>
                <w:color w:val="000000"/>
                <w:sz w:val="16"/>
                <w:szCs w:val="16"/>
                <w:lang w:eastAsia="en-US"/>
              </w:rPr>
              <w:t>2.5</w:t>
            </w:r>
          </w:p>
        </w:tc>
        <w:tc>
          <w:tcPr>
            <w:tcW w:w="283" w:type="dxa"/>
            <w:gridSpan w:val="2"/>
            <w:tcBorders>
              <w:top w:val="nil"/>
              <w:left w:val="nil"/>
              <w:bottom w:val="nil"/>
              <w:right w:val="nil"/>
            </w:tcBorders>
          </w:tcPr>
          <w:p w14:paraId="1534AAC4" w14:textId="77777777" w:rsidR="00206B7B" w:rsidRPr="00206B7B" w:rsidRDefault="00206B7B" w:rsidP="00334E0B">
            <w:pPr>
              <w:jc w:val="center"/>
              <w:rPr>
                <w:color w:val="000000"/>
                <w:sz w:val="16"/>
                <w:szCs w:val="16"/>
                <w:lang w:eastAsia="en-US"/>
              </w:rPr>
            </w:pPr>
          </w:p>
        </w:tc>
        <w:tc>
          <w:tcPr>
            <w:tcW w:w="570" w:type="dxa"/>
            <w:tcBorders>
              <w:top w:val="nil"/>
              <w:left w:val="nil"/>
              <w:bottom w:val="nil"/>
              <w:right w:val="nil"/>
            </w:tcBorders>
            <w:shd w:val="clear" w:color="auto" w:fill="auto"/>
            <w:noWrap/>
            <w:vAlign w:val="bottom"/>
            <w:hideMark/>
          </w:tcPr>
          <w:p w14:paraId="2087D07C" w14:textId="77777777" w:rsidR="00206B7B" w:rsidRPr="00206B7B" w:rsidRDefault="00206B7B" w:rsidP="00334E0B">
            <w:pPr>
              <w:jc w:val="center"/>
              <w:rPr>
                <w:color w:val="000000"/>
                <w:sz w:val="16"/>
                <w:szCs w:val="16"/>
                <w:lang w:eastAsia="en-US"/>
              </w:rPr>
            </w:pPr>
            <w:r w:rsidRPr="00206B7B">
              <w:rPr>
                <w:color w:val="000000"/>
                <w:sz w:val="16"/>
                <w:szCs w:val="16"/>
                <w:lang w:eastAsia="en-US"/>
              </w:rPr>
              <w:t>2.5</w:t>
            </w:r>
          </w:p>
        </w:tc>
        <w:tc>
          <w:tcPr>
            <w:tcW w:w="709" w:type="dxa"/>
            <w:gridSpan w:val="2"/>
            <w:tcBorders>
              <w:top w:val="nil"/>
              <w:left w:val="nil"/>
              <w:bottom w:val="nil"/>
              <w:right w:val="nil"/>
            </w:tcBorders>
            <w:shd w:val="clear" w:color="auto" w:fill="auto"/>
            <w:noWrap/>
            <w:vAlign w:val="bottom"/>
            <w:hideMark/>
          </w:tcPr>
          <w:p w14:paraId="1555F021" w14:textId="77777777" w:rsidR="00206B7B" w:rsidRPr="00206B7B" w:rsidRDefault="00206B7B" w:rsidP="00334E0B">
            <w:pPr>
              <w:jc w:val="center"/>
              <w:rPr>
                <w:color w:val="000000"/>
                <w:sz w:val="16"/>
                <w:szCs w:val="16"/>
                <w:lang w:eastAsia="en-US"/>
              </w:rPr>
            </w:pPr>
            <w:r w:rsidRPr="00206B7B">
              <w:rPr>
                <w:color w:val="000000"/>
                <w:sz w:val="16"/>
                <w:szCs w:val="16"/>
                <w:lang w:eastAsia="en-US"/>
              </w:rPr>
              <w:t>2.1</w:t>
            </w:r>
          </w:p>
        </w:tc>
        <w:tc>
          <w:tcPr>
            <w:tcW w:w="709" w:type="dxa"/>
            <w:tcBorders>
              <w:top w:val="nil"/>
              <w:left w:val="nil"/>
              <w:bottom w:val="nil"/>
              <w:right w:val="nil"/>
            </w:tcBorders>
            <w:shd w:val="clear" w:color="auto" w:fill="auto"/>
            <w:noWrap/>
            <w:vAlign w:val="bottom"/>
            <w:hideMark/>
          </w:tcPr>
          <w:p w14:paraId="1CE9D59E" w14:textId="77777777" w:rsidR="00206B7B" w:rsidRPr="00206B7B" w:rsidRDefault="00206B7B" w:rsidP="00334E0B">
            <w:pPr>
              <w:jc w:val="center"/>
              <w:rPr>
                <w:color w:val="000000"/>
                <w:sz w:val="16"/>
                <w:szCs w:val="16"/>
                <w:lang w:eastAsia="en-US"/>
              </w:rPr>
            </w:pPr>
            <w:r w:rsidRPr="00206B7B">
              <w:rPr>
                <w:color w:val="000000"/>
                <w:sz w:val="16"/>
                <w:szCs w:val="16"/>
                <w:lang w:eastAsia="en-US"/>
              </w:rPr>
              <w:t>2.2</w:t>
            </w:r>
          </w:p>
        </w:tc>
        <w:tc>
          <w:tcPr>
            <w:tcW w:w="708" w:type="dxa"/>
            <w:tcBorders>
              <w:top w:val="nil"/>
              <w:left w:val="nil"/>
              <w:bottom w:val="nil"/>
              <w:right w:val="nil"/>
            </w:tcBorders>
            <w:shd w:val="clear" w:color="auto" w:fill="auto"/>
            <w:noWrap/>
            <w:vAlign w:val="bottom"/>
            <w:hideMark/>
          </w:tcPr>
          <w:p w14:paraId="51B4C7A5" w14:textId="77777777" w:rsidR="00206B7B" w:rsidRPr="00206B7B" w:rsidRDefault="00206B7B" w:rsidP="00334E0B">
            <w:pPr>
              <w:jc w:val="center"/>
              <w:rPr>
                <w:color w:val="000000"/>
                <w:sz w:val="16"/>
                <w:szCs w:val="16"/>
                <w:lang w:eastAsia="en-US"/>
              </w:rPr>
            </w:pPr>
            <w:r w:rsidRPr="00206B7B">
              <w:rPr>
                <w:color w:val="000000"/>
                <w:sz w:val="16"/>
                <w:szCs w:val="16"/>
                <w:lang w:eastAsia="en-US"/>
              </w:rPr>
              <w:t>2.3</w:t>
            </w:r>
          </w:p>
        </w:tc>
      </w:tr>
      <w:tr w:rsidR="00206B7B" w:rsidRPr="00206B7B" w14:paraId="69452E27" w14:textId="77777777" w:rsidTr="00334E0B">
        <w:tblPrEx>
          <w:jc w:val="center"/>
          <w:tblCellMar>
            <w:left w:w="70" w:type="dxa"/>
            <w:right w:w="70" w:type="dxa"/>
          </w:tblCellMar>
        </w:tblPrEx>
        <w:trPr>
          <w:trHeight w:val="272"/>
          <w:jc w:val="center"/>
        </w:trPr>
        <w:tc>
          <w:tcPr>
            <w:tcW w:w="2690" w:type="dxa"/>
            <w:gridSpan w:val="4"/>
            <w:tcBorders>
              <w:top w:val="nil"/>
              <w:left w:val="nil"/>
              <w:bottom w:val="nil"/>
              <w:right w:val="nil"/>
            </w:tcBorders>
            <w:shd w:val="clear" w:color="auto" w:fill="auto"/>
            <w:noWrap/>
            <w:vAlign w:val="bottom"/>
            <w:hideMark/>
          </w:tcPr>
          <w:p w14:paraId="2130FF55" w14:textId="77777777" w:rsidR="00206B7B" w:rsidRPr="00206B7B" w:rsidRDefault="00206B7B" w:rsidP="00334E0B">
            <w:pPr>
              <w:rPr>
                <w:color w:val="000000"/>
                <w:sz w:val="16"/>
                <w:szCs w:val="16"/>
                <w:lang w:eastAsia="en-US"/>
              </w:rPr>
            </w:pPr>
            <w:r w:rsidRPr="00206B7B">
              <w:rPr>
                <w:color w:val="000000"/>
                <w:sz w:val="16"/>
                <w:szCs w:val="16"/>
                <w:lang w:eastAsia="en-US"/>
              </w:rPr>
              <w:t>Export tovarov a služieb</w:t>
            </w:r>
          </w:p>
        </w:tc>
        <w:tc>
          <w:tcPr>
            <w:tcW w:w="1982" w:type="dxa"/>
            <w:tcBorders>
              <w:top w:val="nil"/>
              <w:left w:val="nil"/>
              <w:bottom w:val="nil"/>
              <w:right w:val="nil"/>
            </w:tcBorders>
            <w:shd w:val="clear" w:color="auto" w:fill="auto"/>
            <w:noWrap/>
            <w:vAlign w:val="center"/>
            <w:hideMark/>
          </w:tcPr>
          <w:p w14:paraId="6FC02496" w14:textId="77777777" w:rsidR="00206B7B" w:rsidRPr="00206B7B" w:rsidRDefault="00206B7B" w:rsidP="00334E0B">
            <w:pPr>
              <w:jc w:val="center"/>
              <w:rPr>
                <w:color w:val="000000"/>
                <w:sz w:val="16"/>
                <w:szCs w:val="16"/>
                <w:lang w:eastAsia="en-US"/>
              </w:rPr>
            </w:pPr>
            <w:r w:rsidRPr="00206B7B">
              <w:rPr>
                <w:color w:val="000000"/>
                <w:sz w:val="16"/>
                <w:szCs w:val="16"/>
                <w:lang w:eastAsia="en-US"/>
              </w:rPr>
              <w:t>%</w:t>
            </w:r>
          </w:p>
        </w:tc>
        <w:tc>
          <w:tcPr>
            <w:tcW w:w="712" w:type="dxa"/>
            <w:gridSpan w:val="2"/>
            <w:tcBorders>
              <w:top w:val="nil"/>
              <w:left w:val="nil"/>
              <w:bottom w:val="nil"/>
              <w:right w:val="nil"/>
            </w:tcBorders>
            <w:shd w:val="clear" w:color="auto" w:fill="auto"/>
            <w:noWrap/>
            <w:vAlign w:val="bottom"/>
            <w:hideMark/>
          </w:tcPr>
          <w:p w14:paraId="39487DFC" w14:textId="77777777" w:rsidR="00206B7B" w:rsidRPr="00206B7B" w:rsidRDefault="00206B7B" w:rsidP="00334E0B">
            <w:pPr>
              <w:jc w:val="center"/>
              <w:rPr>
                <w:color w:val="000000"/>
                <w:sz w:val="16"/>
                <w:szCs w:val="16"/>
                <w:lang w:eastAsia="en-US"/>
              </w:rPr>
            </w:pPr>
            <w:r w:rsidRPr="00206B7B">
              <w:rPr>
                <w:color w:val="000000"/>
                <w:sz w:val="16"/>
                <w:szCs w:val="16"/>
                <w:lang w:eastAsia="en-US"/>
              </w:rPr>
              <w:t>3.5</w:t>
            </w:r>
          </w:p>
        </w:tc>
        <w:tc>
          <w:tcPr>
            <w:tcW w:w="709" w:type="dxa"/>
            <w:tcBorders>
              <w:top w:val="nil"/>
              <w:left w:val="nil"/>
              <w:bottom w:val="nil"/>
              <w:right w:val="nil"/>
            </w:tcBorders>
            <w:shd w:val="clear" w:color="auto" w:fill="auto"/>
            <w:noWrap/>
            <w:vAlign w:val="bottom"/>
            <w:hideMark/>
          </w:tcPr>
          <w:p w14:paraId="2D16112D" w14:textId="77777777" w:rsidR="00206B7B" w:rsidRPr="00206B7B" w:rsidRDefault="00206B7B" w:rsidP="00334E0B">
            <w:pPr>
              <w:jc w:val="center"/>
              <w:rPr>
                <w:color w:val="000000"/>
                <w:sz w:val="16"/>
                <w:szCs w:val="16"/>
                <w:lang w:eastAsia="en-US"/>
              </w:rPr>
            </w:pPr>
            <w:r w:rsidRPr="00206B7B">
              <w:rPr>
                <w:color w:val="000000"/>
                <w:sz w:val="16"/>
                <w:szCs w:val="16"/>
                <w:lang w:eastAsia="en-US"/>
              </w:rPr>
              <w:t>5.4</w:t>
            </w:r>
          </w:p>
        </w:tc>
        <w:tc>
          <w:tcPr>
            <w:tcW w:w="283" w:type="dxa"/>
            <w:gridSpan w:val="2"/>
            <w:tcBorders>
              <w:top w:val="nil"/>
              <w:left w:val="nil"/>
              <w:bottom w:val="nil"/>
              <w:right w:val="nil"/>
            </w:tcBorders>
          </w:tcPr>
          <w:p w14:paraId="429DC304" w14:textId="77777777" w:rsidR="00206B7B" w:rsidRPr="00206B7B" w:rsidRDefault="00206B7B" w:rsidP="00334E0B">
            <w:pPr>
              <w:jc w:val="center"/>
              <w:rPr>
                <w:color w:val="000000"/>
                <w:sz w:val="16"/>
                <w:szCs w:val="16"/>
                <w:lang w:eastAsia="en-US"/>
              </w:rPr>
            </w:pPr>
          </w:p>
        </w:tc>
        <w:tc>
          <w:tcPr>
            <w:tcW w:w="570" w:type="dxa"/>
            <w:tcBorders>
              <w:top w:val="nil"/>
              <w:left w:val="nil"/>
              <w:bottom w:val="nil"/>
              <w:right w:val="nil"/>
            </w:tcBorders>
            <w:shd w:val="clear" w:color="auto" w:fill="auto"/>
            <w:noWrap/>
            <w:vAlign w:val="bottom"/>
            <w:hideMark/>
          </w:tcPr>
          <w:p w14:paraId="394F37DC" w14:textId="77777777" w:rsidR="00206B7B" w:rsidRPr="00206B7B" w:rsidRDefault="00206B7B" w:rsidP="00334E0B">
            <w:pPr>
              <w:jc w:val="center"/>
              <w:rPr>
                <w:color w:val="000000"/>
                <w:sz w:val="16"/>
                <w:szCs w:val="16"/>
                <w:lang w:eastAsia="en-US"/>
              </w:rPr>
            </w:pPr>
            <w:r w:rsidRPr="00206B7B">
              <w:rPr>
                <w:color w:val="000000"/>
                <w:sz w:val="16"/>
                <w:szCs w:val="16"/>
                <w:lang w:eastAsia="en-US"/>
              </w:rPr>
              <w:t>2.8</w:t>
            </w:r>
          </w:p>
        </w:tc>
        <w:tc>
          <w:tcPr>
            <w:tcW w:w="709" w:type="dxa"/>
            <w:gridSpan w:val="2"/>
            <w:tcBorders>
              <w:top w:val="nil"/>
              <w:left w:val="nil"/>
              <w:bottom w:val="nil"/>
              <w:right w:val="nil"/>
            </w:tcBorders>
            <w:shd w:val="clear" w:color="auto" w:fill="auto"/>
            <w:noWrap/>
            <w:vAlign w:val="bottom"/>
            <w:hideMark/>
          </w:tcPr>
          <w:p w14:paraId="2F1ED0BC" w14:textId="77777777" w:rsidR="00206B7B" w:rsidRPr="00206B7B" w:rsidRDefault="00206B7B" w:rsidP="00334E0B">
            <w:pPr>
              <w:jc w:val="center"/>
              <w:rPr>
                <w:color w:val="000000"/>
                <w:sz w:val="16"/>
                <w:szCs w:val="16"/>
                <w:lang w:eastAsia="en-US"/>
              </w:rPr>
            </w:pPr>
            <w:r w:rsidRPr="00206B7B">
              <w:rPr>
                <w:color w:val="000000"/>
                <w:sz w:val="16"/>
                <w:szCs w:val="16"/>
                <w:lang w:eastAsia="en-US"/>
              </w:rPr>
              <w:t>5.3</w:t>
            </w:r>
          </w:p>
        </w:tc>
        <w:tc>
          <w:tcPr>
            <w:tcW w:w="709" w:type="dxa"/>
            <w:tcBorders>
              <w:top w:val="nil"/>
              <w:left w:val="nil"/>
              <w:bottom w:val="nil"/>
              <w:right w:val="nil"/>
            </w:tcBorders>
            <w:shd w:val="clear" w:color="auto" w:fill="auto"/>
            <w:noWrap/>
            <w:vAlign w:val="bottom"/>
            <w:hideMark/>
          </w:tcPr>
          <w:p w14:paraId="4C3A7FA8" w14:textId="77777777" w:rsidR="00206B7B" w:rsidRPr="00206B7B" w:rsidRDefault="00206B7B" w:rsidP="00334E0B">
            <w:pPr>
              <w:jc w:val="center"/>
              <w:rPr>
                <w:color w:val="000000"/>
                <w:sz w:val="16"/>
                <w:szCs w:val="16"/>
                <w:lang w:eastAsia="en-US"/>
              </w:rPr>
            </w:pPr>
            <w:r w:rsidRPr="00206B7B">
              <w:rPr>
                <w:color w:val="000000"/>
                <w:sz w:val="16"/>
                <w:szCs w:val="16"/>
                <w:lang w:eastAsia="en-US"/>
              </w:rPr>
              <w:t>4.6</w:t>
            </w:r>
          </w:p>
        </w:tc>
        <w:tc>
          <w:tcPr>
            <w:tcW w:w="708" w:type="dxa"/>
            <w:tcBorders>
              <w:top w:val="nil"/>
              <w:left w:val="nil"/>
              <w:bottom w:val="nil"/>
              <w:right w:val="nil"/>
            </w:tcBorders>
            <w:shd w:val="clear" w:color="auto" w:fill="auto"/>
            <w:noWrap/>
            <w:vAlign w:val="bottom"/>
            <w:hideMark/>
          </w:tcPr>
          <w:p w14:paraId="7B40352E" w14:textId="77777777" w:rsidR="00206B7B" w:rsidRPr="00206B7B" w:rsidRDefault="00206B7B" w:rsidP="00334E0B">
            <w:pPr>
              <w:jc w:val="center"/>
              <w:rPr>
                <w:color w:val="000000"/>
                <w:sz w:val="16"/>
                <w:szCs w:val="16"/>
                <w:lang w:eastAsia="en-US"/>
              </w:rPr>
            </w:pPr>
            <w:r w:rsidRPr="00206B7B">
              <w:rPr>
                <w:color w:val="000000"/>
                <w:sz w:val="16"/>
                <w:szCs w:val="16"/>
                <w:lang w:eastAsia="en-US"/>
              </w:rPr>
              <w:t>4.2</w:t>
            </w:r>
          </w:p>
        </w:tc>
      </w:tr>
      <w:tr w:rsidR="00206B7B" w:rsidRPr="00206B7B" w14:paraId="77849112" w14:textId="77777777" w:rsidTr="00334E0B">
        <w:tblPrEx>
          <w:jc w:val="center"/>
          <w:tblCellMar>
            <w:left w:w="70" w:type="dxa"/>
            <w:right w:w="70" w:type="dxa"/>
          </w:tblCellMar>
        </w:tblPrEx>
        <w:trPr>
          <w:trHeight w:val="272"/>
          <w:jc w:val="center"/>
        </w:trPr>
        <w:tc>
          <w:tcPr>
            <w:tcW w:w="2690" w:type="dxa"/>
            <w:gridSpan w:val="4"/>
            <w:tcBorders>
              <w:top w:val="nil"/>
              <w:left w:val="nil"/>
              <w:bottom w:val="nil"/>
              <w:right w:val="nil"/>
            </w:tcBorders>
            <w:shd w:val="clear" w:color="auto" w:fill="auto"/>
            <w:noWrap/>
            <w:vAlign w:val="bottom"/>
            <w:hideMark/>
          </w:tcPr>
          <w:p w14:paraId="1E088588" w14:textId="77777777" w:rsidR="00206B7B" w:rsidRPr="00206B7B" w:rsidRDefault="00206B7B" w:rsidP="00334E0B">
            <w:pPr>
              <w:rPr>
                <w:color w:val="000000"/>
                <w:sz w:val="16"/>
                <w:szCs w:val="16"/>
                <w:lang w:eastAsia="en-US"/>
              </w:rPr>
            </w:pPr>
            <w:r w:rsidRPr="00206B7B">
              <w:rPr>
                <w:color w:val="000000"/>
                <w:sz w:val="16"/>
                <w:szCs w:val="16"/>
                <w:lang w:eastAsia="en-US"/>
              </w:rPr>
              <w:t>Import</w:t>
            </w:r>
          </w:p>
        </w:tc>
        <w:tc>
          <w:tcPr>
            <w:tcW w:w="1982" w:type="dxa"/>
            <w:tcBorders>
              <w:top w:val="nil"/>
              <w:left w:val="nil"/>
              <w:bottom w:val="nil"/>
              <w:right w:val="nil"/>
            </w:tcBorders>
            <w:shd w:val="clear" w:color="auto" w:fill="auto"/>
            <w:noWrap/>
            <w:vAlign w:val="center"/>
            <w:hideMark/>
          </w:tcPr>
          <w:p w14:paraId="47F77372" w14:textId="77777777" w:rsidR="00206B7B" w:rsidRPr="00206B7B" w:rsidRDefault="00206B7B" w:rsidP="00334E0B">
            <w:pPr>
              <w:jc w:val="center"/>
              <w:rPr>
                <w:color w:val="000000"/>
                <w:sz w:val="16"/>
                <w:szCs w:val="16"/>
                <w:lang w:eastAsia="en-US"/>
              </w:rPr>
            </w:pPr>
            <w:r w:rsidRPr="00206B7B">
              <w:rPr>
                <w:color w:val="000000"/>
                <w:sz w:val="16"/>
                <w:szCs w:val="16"/>
                <w:lang w:eastAsia="en-US"/>
              </w:rPr>
              <w:t>%</w:t>
            </w:r>
          </w:p>
        </w:tc>
        <w:tc>
          <w:tcPr>
            <w:tcW w:w="712" w:type="dxa"/>
            <w:gridSpan w:val="2"/>
            <w:tcBorders>
              <w:top w:val="nil"/>
              <w:left w:val="nil"/>
              <w:bottom w:val="nil"/>
              <w:right w:val="nil"/>
            </w:tcBorders>
            <w:shd w:val="clear" w:color="auto" w:fill="auto"/>
            <w:noWrap/>
            <w:vAlign w:val="bottom"/>
            <w:hideMark/>
          </w:tcPr>
          <w:p w14:paraId="7B14A95D" w14:textId="77777777" w:rsidR="00206B7B" w:rsidRPr="00206B7B" w:rsidRDefault="00206B7B" w:rsidP="00334E0B">
            <w:pPr>
              <w:jc w:val="center"/>
              <w:rPr>
                <w:color w:val="000000"/>
                <w:sz w:val="16"/>
                <w:szCs w:val="16"/>
                <w:lang w:eastAsia="en-US"/>
              </w:rPr>
            </w:pPr>
            <w:r w:rsidRPr="00206B7B">
              <w:rPr>
                <w:color w:val="000000"/>
                <w:sz w:val="16"/>
                <w:szCs w:val="16"/>
                <w:lang w:eastAsia="en-US"/>
              </w:rPr>
              <w:t>3.9</w:t>
            </w:r>
          </w:p>
        </w:tc>
        <w:tc>
          <w:tcPr>
            <w:tcW w:w="709" w:type="dxa"/>
            <w:tcBorders>
              <w:top w:val="nil"/>
              <w:left w:val="nil"/>
              <w:bottom w:val="nil"/>
              <w:right w:val="nil"/>
            </w:tcBorders>
            <w:shd w:val="clear" w:color="auto" w:fill="auto"/>
            <w:noWrap/>
            <w:vAlign w:val="bottom"/>
            <w:hideMark/>
          </w:tcPr>
          <w:p w14:paraId="62B24387" w14:textId="77777777" w:rsidR="00206B7B" w:rsidRPr="00206B7B" w:rsidRDefault="00206B7B" w:rsidP="00334E0B">
            <w:pPr>
              <w:jc w:val="center"/>
              <w:rPr>
                <w:color w:val="000000"/>
                <w:sz w:val="16"/>
                <w:szCs w:val="16"/>
                <w:lang w:eastAsia="en-US"/>
              </w:rPr>
            </w:pPr>
            <w:r w:rsidRPr="00206B7B">
              <w:rPr>
                <w:color w:val="000000"/>
                <w:sz w:val="16"/>
                <w:szCs w:val="16"/>
                <w:lang w:eastAsia="en-US"/>
              </w:rPr>
              <w:t>5.0</w:t>
            </w:r>
          </w:p>
        </w:tc>
        <w:tc>
          <w:tcPr>
            <w:tcW w:w="283" w:type="dxa"/>
            <w:gridSpan w:val="2"/>
            <w:tcBorders>
              <w:top w:val="nil"/>
              <w:left w:val="nil"/>
              <w:bottom w:val="nil"/>
              <w:right w:val="nil"/>
            </w:tcBorders>
          </w:tcPr>
          <w:p w14:paraId="6BD57DDD" w14:textId="77777777" w:rsidR="00206B7B" w:rsidRPr="00206B7B" w:rsidRDefault="00206B7B" w:rsidP="00334E0B">
            <w:pPr>
              <w:jc w:val="center"/>
              <w:rPr>
                <w:color w:val="000000"/>
                <w:sz w:val="16"/>
                <w:szCs w:val="16"/>
                <w:lang w:eastAsia="en-US"/>
              </w:rPr>
            </w:pPr>
          </w:p>
        </w:tc>
        <w:tc>
          <w:tcPr>
            <w:tcW w:w="570" w:type="dxa"/>
            <w:tcBorders>
              <w:top w:val="nil"/>
              <w:left w:val="nil"/>
              <w:bottom w:val="nil"/>
              <w:right w:val="nil"/>
            </w:tcBorders>
            <w:shd w:val="clear" w:color="auto" w:fill="auto"/>
            <w:noWrap/>
            <w:vAlign w:val="bottom"/>
            <w:hideMark/>
          </w:tcPr>
          <w:p w14:paraId="784A6FBB" w14:textId="77777777" w:rsidR="00206B7B" w:rsidRPr="00206B7B" w:rsidRDefault="00206B7B" w:rsidP="00334E0B">
            <w:pPr>
              <w:jc w:val="center"/>
              <w:rPr>
                <w:color w:val="000000"/>
                <w:sz w:val="16"/>
                <w:szCs w:val="16"/>
                <w:lang w:eastAsia="en-US"/>
              </w:rPr>
            </w:pPr>
            <w:r w:rsidRPr="00206B7B">
              <w:rPr>
                <w:color w:val="000000"/>
                <w:sz w:val="16"/>
                <w:szCs w:val="16"/>
                <w:lang w:eastAsia="en-US"/>
              </w:rPr>
              <w:t>3.2</w:t>
            </w:r>
          </w:p>
        </w:tc>
        <w:tc>
          <w:tcPr>
            <w:tcW w:w="709" w:type="dxa"/>
            <w:gridSpan w:val="2"/>
            <w:tcBorders>
              <w:top w:val="nil"/>
              <w:left w:val="nil"/>
              <w:bottom w:val="nil"/>
              <w:right w:val="nil"/>
            </w:tcBorders>
            <w:shd w:val="clear" w:color="auto" w:fill="auto"/>
            <w:noWrap/>
            <w:vAlign w:val="bottom"/>
            <w:hideMark/>
          </w:tcPr>
          <w:p w14:paraId="5AAD613A" w14:textId="77777777" w:rsidR="00206B7B" w:rsidRPr="00206B7B" w:rsidRDefault="00206B7B" w:rsidP="00334E0B">
            <w:pPr>
              <w:jc w:val="center"/>
              <w:rPr>
                <w:color w:val="000000"/>
                <w:sz w:val="16"/>
                <w:szCs w:val="16"/>
                <w:lang w:eastAsia="en-US"/>
              </w:rPr>
            </w:pPr>
            <w:r w:rsidRPr="00206B7B">
              <w:rPr>
                <w:color w:val="000000"/>
                <w:sz w:val="16"/>
                <w:szCs w:val="16"/>
                <w:lang w:eastAsia="en-US"/>
              </w:rPr>
              <w:t>4.1</w:t>
            </w:r>
          </w:p>
        </w:tc>
        <w:tc>
          <w:tcPr>
            <w:tcW w:w="709" w:type="dxa"/>
            <w:tcBorders>
              <w:top w:val="nil"/>
              <w:left w:val="nil"/>
              <w:bottom w:val="nil"/>
              <w:right w:val="nil"/>
            </w:tcBorders>
            <w:shd w:val="clear" w:color="auto" w:fill="auto"/>
            <w:noWrap/>
            <w:vAlign w:val="bottom"/>
            <w:hideMark/>
          </w:tcPr>
          <w:p w14:paraId="4877D77F" w14:textId="77777777" w:rsidR="00206B7B" w:rsidRPr="00206B7B" w:rsidRDefault="00206B7B" w:rsidP="00334E0B">
            <w:pPr>
              <w:jc w:val="center"/>
              <w:rPr>
                <w:color w:val="000000"/>
                <w:sz w:val="16"/>
                <w:szCs w:val="16"/>
                <w:lang w:eastAsia="en-US"/>
              </w:rPr>
            </w:pPr>
            <w:r w:rsidRPr="00206B7B">
              <w:rPr>
                <w:color w:val="000000"/>
                <w:sz w:val="16"/>
                <w:szCs w:val="16"/>
                <w:lang w:eastAsia="en-US"/>
              </w:rPr>
              <w:t>3.8</w:t>
            </w:r>
          </w:p>
        </w:tc>
        <w:tc>
          <w:tcPr>
            <w:tcW w:w="708" w:type="dxa"/>
            <w:tcBorders>
              <w:top w:val="nil"/>
              <w:left w:val="nil"/>
              <w:bottom w:val="nil"/>
              <w:right w:val="nil"/>
            </w:tcBorders>
            <w:shd w:val="clear" w:color="auto" w:fill="auto"/>
            <w:noWrap/>
            <w:vAlign w:val="bottom"/>
            <w:hideMark/>
          </w:tcPr>
          <w:p w14:paraId="3892EC6B" w14:textId="77777777" w:rsidR="00206B7B" w:rsidRPr="00206B7B" w:rsidRDefault="00206B7B" w:rsidP="00334E0B">
            <w:pPr>
              <w:jc w:val="center"/>
              <w:rPr>
                <w:color w:val="000000"/>
                <w:sz w:val="16"/>
                <w:szCs w:val="16"/>
                <w:lang w:eastAsia="en-US"/>
              </w:rPr>
            </w:pPr>
            <w:r w:rsidRPr="00206B7B">
              <w:rPr>
                <w:color w:val="000000"/>
                <w:sz w:val="16"/>
                <w:szCs w:val="16"/>
                <w:lang w:eastAsia="en-US"/>
              </w:rPr>
              <w:t>3.8</w:t>
            </w:r>
          </w:p>
        </w:tc>
      </w:tr>
      <w:tr w:rsidR="00206B7B" w:rsidRPr="00206B7B" w14:paraId="47838040" w14:textId="77777777" w:rsidTr="00334E0B">
        <w:tblPrEx>
          <w:jc w:val="center"/>
          <w:tblCellMar>
            <w:left w:w="70" w:type="dxa"/>
            <w:right w:w="70" w:type="dxa"/>
          </w:tblCellMar>
        </w:tblPrEx>
        <w:trPr>
          <w:trHeight w:val="227"/>
          <w:jc w:val="center"/>
        </w:trPr>
        <w:tc>
          <w:tcPr>
            <w:tcW w:w="608" w:type="dxa"/>
            <w:gridSpan w:val="2"/>
            <w:tcBorders>
              <w:top w:val="single" w:sz="8" w:space="0" w:color="auto"/>
              <w:left w:val="nil"/>
              <w:bottom w:val="nil"/>
              <w:right w:val="nil"/>
            </w:tcBorders>
          </w:tcPr>
          <w:p w14:paraId="33BE5554" w14:textId="77777777" w:rsidR="00206B7B" w:rsidRPr="00206B7B" w:rsidRDefault="00206B7B" w:rsidP="00334E0B">
            <w:pPr>
              <w:pStyle w:val="poznmka"/>
              <w:rPr>
                <w:rFonts w:ascii="Times New Roman" w:hAnsi="Times New Roman" w:cs="Times New Roman"/>
              </w:rPr>
            </w:pPr>
          </w:p>
        </w:tc>
        <w:tc>
          <w:tcPr>
            <w:tcW w:w="8464" w:type="dxa"/>
            <w:gridSpan w:val="13"/>
            <w:tcBorders>
              <w:top w:val="single" w:sz="8" w:space="0" w:color="auto"/>
              <w:left w:val="nil"/>
              <w:bottom w:val="nil"/>
              <w:right w:val="nil"/>
            </w:tcBorders>
            <w:shd w:val="clear" w:color="auto" w:fill="auto"/>
            <w:noWrap/>
            <w:vAlign w:val="center"/>
            <w:hideMark/>
          </w:tcPr>
          <w:p w14:paraId="27DC3FAC" w14:textId="1ADBFE21" w:rsidR="00206B7B" w:rsidRPr="00206B7B" w:rsidRDefault="00206B7B" w:rsidP="00334E0B">
            <w:pPr>
              <w:pStyle w:val="poznmka"/>
              <w:rPr>
                <w:rFonts w:ascii="Times New Roman" w:hAnsi="Times New Roman" w:cs="Times New Roman"/>
                <w:i w:val="0"/>
              </w:rPr>
            </w:pPr>
            <w:r w:rsidRPr="00206B7B">
              <w:rPr>
                <w:rFonts w:ascii="Times New Roman" w:hAnsi="Times New Roman" w:cs="Times New Roman"/>
              </w:rPr>
              <w:t xml:space="preserve"> </w:t>
            </w:r>
            <w:r w:rsidRPr="00206B7B">
              <w:rPr>
                <w:rFonts w:ascii="Times New Roman" w:hAnsi="Times New Roman" w:cs="Times New Roman"/>
                <w:i w:val="0"/>
                <w:color w:val="000000"/>
                <w:lang w:eastAsia="en-US"/>
              </w:rPr>
              <w:t>Zdroj: Ministerstvo financií</w:t>
            </w:r>
            <w:r w:rsidRPr="00206B7B">
              <w:rPr>
                <w:rFonts w:ascii="Times New Roman" w:hAnsi="Times New Roman" w:cs="Times New Roman"/>
                <w:i w:val="0"/>
                <w:color w:val="000000"/>
                <w:lang w:eastAsia="en-US"/>
              </w:rPr>
              <w:t xml:space="preserve"> SR</w:t>
            </w:r>
          </w:p>
        </w:tc>
      </w:tr>
    </w:tbl>
    <w:p w14:paraId="41A91DD2" w14:textId="77777777" w:rsidR="00294377" w:rsidRPr="00206B7B" w:rsidRDefault="00294377" w:rsidP="00294377">
      <w:pPr>
        <w:rPr>
          <w:bCs/>
          <w:color w:val="076F93"/>
          <w:sz w:val="16"/>
          <w:szCs w:val="16"/>
        </w:rPr>
      </w:pPr>
    </w:p>
    <w:p w14:paraId="63657DE1" w14:textId="77777777" w:rsidR="004C21D5" w:rsidRDefault="004C21D5" w:rsidP="00A11E4C">
      <w:pPr>
        <w:pStyle w:val="Nadpis2"/>
        <w:keepLines/>
        <w:numPr>
          <w:ilvl w:val="1"/>
          <w:numId w:val="9"/>
        </w:numPr>
        <w:spacing w:after="0" w:line="276" w:lineRule="auto"/>
        <w:ind w:left="720" w:hanging="720"/>
        <w:jc w:val="both"/>
        <w:rPr>
          <w:rFonts w:ascii="Times New Roman" w:hAnsi="Times New Roman" w:cs="Times New Roman"/>
          <w:bCs w:val="0"/>
          <w:i w:val="0"/>
          <w:iCs w:val="0"/>
          <w:color w:val="000000" w:themeColor="text1"/>
          <w:sz w:val="24"/>
        </w:rPr>
      </w:pPr>
      <w:bookmarkStart w:id="25" w:name="_Toc21537383"/>
      <w:bookmarkEnd w:id="19"/>
      <w:bookmarkEnd w:id="20"/>
      <w:bookmarkEnd w:id="21"/>
      <w:r w:rsidRPr="008A0FB7">
        <w:rPr>
          <w:rFonts w:ascii="Times New Roman" w:hAnsi="Times New Roman" w:cs="Times New Roman"/>
          <w:bCs w:val="0"/>
          <w:i w:val="0"/>
          <w:iCs w:val="0"/>
          <w:color w:val="000000" w:themeColor="text1"/>
          <w:sz w:val="24"/>
        </w:rPr>
        <w:t>Fiškálny výhľad</w:t>
      </w:r>
      <w:bookmarkEnd w:id="15"/>
      <w:bookmarkEnd w:id="16"/>
      <w:bookmarkEnd w:id="25"/>
    </w:p>
    <w:p w14:paraId="186B5C4A" w14:textId="77777777" w:rsidR="00A11E4C" w:rsidRPr="00A11E4C" w:rsidRDefault="00A11E4C" w:rsidP="00A11E4C"/>
    <w:p w14:paraId="47C85914" w14:textId="77777777" w:rsidR="00294377" w:rsidRDefault="00294377" w:rsidP="00A11E4C">
      <w:pPr>
        <w:ind w:firstLine="708"/>
        <w:jc w:val="both"/>
      </w:pPr>
      <w:r w:rsidRPr="00C834B9">
        <w:t>Hlavným cieľom fiškálnej politiky Slovenska je zabezpečiť efektívnu a dlhodobú udržateľnosť verejných financií a stabilný hospodársky cyklus.</w:t>
      </w:r>
    </w:p>
    <w:p w14:paraId="69C04E2F" w14:textId="77777777" w:rsidR="00A11E4C" w:rsidRPr="00C834B9" w:rsidRDefault="00A11E4C" w:rsidP="00A11E4C">
      <w:pPr>
        <w:ind w:firstLine="708"/>
        <w:jc w:val="both"/>
      </w:pPr>
    </w:p>
    <w:p w14:paraId="6C0E4016" w14:textId="7CDC9553" w:rsidR="00294377" w:rsidRDefault="00294377" w:rsidP="00A11E4C">
      <w:pPr>
        <w:ind w:firstLine="708"/>
        <w:jc w:val="both"/>
      </w:pPr>
      <w:r w:rsidRPr="0050392F">
        <w:t>V súlade s týmto cieľom sa očakáva pokles nominálneho deficitu verejných financií na historicky najnižšiu úroveň 0,6</w:t>
      </w:r>
      <w:r w:rsidR="00864EE4" w:rsidRPr="0050392F">
        <w:t>8</w:t>
      </w:r>
      <w:r w:rsidR="0017489F" w:rsidRPr="0050392F">
        <w:t xml:space="preserve"> </w:t>
      </w:r>
      <w:r w:rsidRPr="0050392F">
        <w:t>% HDP v roku 2019. V budúcom roku bude vláda hospodáriť s n</w:t>
      </w:r>
      <w:r w:rsidR="00BF127A" w:rsidRPr="0050392F">
        <w:t>ominálnym schodkom na úrovni 0,49</w:t>
      </w:r>
      <w:r w:rsidRPr="0050392F">
        <w:t xml:space="preserve"> % HDP. V ďalších rokoch rozpočet výhľadovo cieli plne vyrovnané nominál</w:t>
      </w:r>
      <w:r w:rsidR="00D71C74" w:rsidRPr="0050392F">
        <w:t>ne hospodárenie verejnej správy</w:t>
      </w:r>
      <w:r w:rsidRPr="0050392F">
        <w:t xml:space="preserve"> so zámerom udržať dlh pod sankčnými pásmami ústavného zákona o rozpočtovej zodpovednosti. Na dosiahnutie ci</w:t>
      </w:r>
      <w:r w:rsidR="003A7997">
        <w:t>eľov vyrovnaného rozpočtu v rokoch</w:t>
      </w:r>
      <w:r w:rsidRPr="0050392F">
        <w:t xml:space="preserve"> 2021 a 2022 bude potrebné prijať dodatočné opatrenia v</w:t>
      </w:r>
      <w:r w:rsidR="0017489F" w:rsidRPr="0050392F">
        <w:t xml:space="preserve"> hodnote </w:t>
      </w:r>
      <w:r w:rsidRPr="0050392F">
        <w:t>0,7 % HDP</w:t>
      </w:r>
      <w:r w:rsidR="0017489F" w:rsidRPr="0050392F">
        <w:t>,</w:t>
      </w:r>
      <w:r w:rsidRPr="0050392F">
        <w:t xml:space="preserve"> resp. 1,1 % HDP. K plánovanému zlepšeniu salda verejnej správy pozitívne prispievajú aj klesajúce úrokové náklady. Na základe súčasnej prognózy sa očakáva, že úrokové náklady verejnej správy klesnú do roku 2022 na 0,9 % HDP. Po odpočítaní úrokových nákladov dosahuje SR primárny prebytok už od roku 2017, ktorý by sa mal udržať na celom horizonte prognózy. Zlepšovanie bilancie hospodárenia verejnej správy je výsledkom zvyšovania efektivity na strane príjmov a hodnotenia kvality výdavkov. Vo výraznej miere pomáhal aj hospodársky rast.</w:t>
      </w:r>
    </w:p>
    <w:p w14:paraId="11844FF9" w14:textId="77777777" w:rsidR="00A11E4C" w:rsidRPr="00C834B9" w:rsidRDefault="00A11E4C" w:rsidP="00A11E4C">
      <w:pPr>
        <w:ind w:firstLine="708"/>
        <w:jc w:val="both"/>
      </w:pPr>
    </w:p>
    <w:p w14:paraId="79BD7470" w14:textId="77777777" w:rsidR="00294377" w:rsidRDefault="00294377" w:rsidP="00A11E4C">
      <w:pPr>
        <w:ind w:firstLine="708"/>
        <w:jc w:val="both"/>
      </w:pPr>
      <w:r w:rsidRPr="00C834B9">
        <w:t>Ekonomický výhľad Slovenska prispieva k postupnému poklesu pomeru dlhu</w:t>
      </w:r>
      <w:r w:rsidRPr="00C834B9">
        <w:br/>
        <w:t>k HDP. V kombinácii s očakávanou fiškálnou konsolidáciou to bude viesť k menšej potrebe financovania. Hospodársky rast, trh práce a súkromná spotreba pozitívne prispievajú k príjmom vlády, a to najmä zo sociálnych príspevkov a dane z príjmov fyzických osôb. Pokračujúci boj proti daňovým únikom zlepšuje výber DPH. Od roku 2012 došlo k zníženiu daňovej medzery o viac ako štvrtinu a ďalšie zlepšenie ostáva kľúčovou prioritou vlády. Súčasne sa ako hlavný nástroj na zlepšenie kvality verejných financií používajú revízie výdavkov. Takéto iniciatívy podporujú predovšetkým efektívnosť výdavkov prostredníctvom preskúmania priorít v existujúcich verejných politikách uplatňovaním princípu hodnoty za peniaze ("value for money").</w:t>
      </w:r>
    </w:p>
    <w:p w14:paraId="216B3B26" w14:textId="77777777" w:rsidR="00A11E4C" w:rsidRDefault="00A11E4C" w:rsidP="00A11E4C">
      <w:pPr>
        <w:ind w:firstLine="708"/>
        <w:jc w:val="both"/>
      </w:pPr>
    </w:p>
    <w:p w14:paraId="29C8F46D" w14:textId="77777777" w:rsidR="00A11E4C" w:rsidRDefault="00A11E4C" w:rsidP="00A11E4C">
      <w:pPr>
        <w:ind w:firstLine="708"/>
        <w:jc w:val="both"/>
      </w:pPr>
    </w:p>
    <w:p w14:paraId="1BFCB057" w14:textId="77777777" w:rsidR="00A11E4C" w:rsidRPr="00C834B9" w:rsidRDefault="00A11E4C" w:rsidP="00A11E4C">
      <w:pPr>
        <w:ind w:firstLine="708"/>
        <w:jc w:val="both"/>
      </w:pPr>
    </w:p>
    <w:p w14:paraId="7428F4FB" w14:textId="78D1C5F4" w:rsidR="00294377" w:rsidRDefault="00294377" w:rsidP="00A11E4C">
      <w:pPr>
        <w:ind w:firstLine="708"/>
        <w:jc w:val="both"/>
      </w:pPr>
      <w:r w:rsidRPr="00C834B9">
        <w:lastRenderedPageBreak/>
        <w:t>Údaje ukazujú klesajúcu dynamiku pomeru dlhu k nominálnemu HDP od roku 2013. Očakáva sa, že hrubý dlh klesne v roku 2019 pod najnižšie pásmo dlhovej brzdy (47,</w:t>
      </w:r>
      <w:r w:rsidR="00864EE4" w:rsidRPr="00C834B9">
        <w:t xml:space="preserve">9 </w:t>
      </w:r>
      <w:r w:rsidRPr="00C834B9">
        <w:t>% HDP) a v roku 2022 dosiahne 44,</w:t>
      </w:r>
      <w:r w:rsidR="00A34EDA" w:rsidRPr="00C834B9">
        <w:t>8</w:t>
      </w:r>
      <w:r w:rsidRPr="00C834B9">
        <w:t xml:space="preserve"> % HDP. Pokles bude spôsobený kombináciou očakávaných primárnych prebytkov a rastu nominálneho HDP.</w:t>
      </w:r>
    </w:p>
    <w:p w14:paraId="4805CBE0" w14:textId="77777777" w:rsidR="00A11E4C" w:rsidRPr="00C834B9" w:rsidRDefault="00A11E4C" w:rsidP="00A11E4C">
      <w:pPr>
        <w:ind w:firstLine="708"/>
        <w:jc w:val="both"/>
      </w:pPr>
    </w:p>
    <w:p w14:paraId="624B2A9B" w14:textId="56E7C950" w:rsidR="00294377" w:rsidRDefault="00294377" w:rsidP="00A11E4C">
      <w:pPr>
        <w:ind w:firstLine="708"/>
        <w:jc w:val="both"/>
      </w:pPr>
      <w:r w:rsidRPr="00C834B9">
        <w:t>Podľa Európskej komisie je riziko udržateľnosti slovenského verejného dlhu v strednodobom horizonte na veľmi nízkej úrovni. Z dlhodobého hľadiska je riziko mierne. V rámci zákona o rozpočtovej zodpovednosti Slovensko uplatňuje prísnejšie kritéria pri posudzovaní dlhovej udržateľnosti ako vyžaduje Pakt stability a rastu.</w:t>
      </w:r>
    </w:p>
    <w:p w14:paraId="6071E108" w14:textId="77777777" w:rsidR="00C752E2" w:rsidRPr="00C834B9" w:rsidRDefault="00C752E2" w:rsidP="00A11E4C">
      <w:pPr>
        <w:ind w:firstLine="708"/>
        <w:jc w:val="both"/>
        <w:rPr>
          <w:rFonts w:ascii="Franklin Gothic Book" w:hAnsi="Franklin Gothic Book"/>
        </w:rPr>
      </w:pPr>
    </w:p>
    <w:tbl>
      <w:tblPr>
        <w:tblW w:w="9356" w:type="dxa"/>
        <w:tblLayout w:type="fixed"/>
        <w:tblLook w:val="04A0" w:firstRow="1" w:lastRow="0" w:firstColumn="1" w:lastColumn="0" w:noHBand="0" w:noVBand="1"/>
      </w:tblPr>
      <w:tblGrid>
        <w:gridCol w:w="2219"/>
        <w:gridCol w:w="3414"/>
        <w:gridCol w:w="604"/>
        <w:gridCol w:w="616"/>
        <w:gridCol w:w="610"/>
        <w:gridCol w:w="610"/>
        <w:gridCol w:w="610"/>
        <w:gridCol w:w="673"/>
      </w:tblGrid>
      <w:tr w:rsidR="00294377" w:rsidRPr="00C834B9" w14:paraId="56731BB6" w14:textId="77777777" w:rsidTr="00294377">
        <w:trPr>
          <w:trHeight w:val="233"/>
        </w:trPr>
        <w:tc>
          <w:tcPr>
            <w:tcW w:w="9356" w:type="dxa"/>
            <w:gridSpan w:val="8"/>
            <w:shd w:val="clear" w:color="auto" w:fill="auto"/>
          </w:tcPr>
          <w:p w14:paraId="78AE6C06" w14:textId="4A1CC49C" w:rsidR="00294377" w:rsidRPr="00C834B9" w:rsidRDefault="00294377" w:rsidP="00294377">
            <w:pPr>
              <w:pStyle w:val="Nadpis3"/>
              <w:rPr>
                <w:rFonts w:ascii="Times New Roman" w:hAnsi="Times New Roman" w:cs="Times New Roman"/>
                <w:i/>
                <w:color w:val="FF0000"/>
                <w:sz w:val="16"/>
                <w:szCs w:val="16"/>
              </w:rPr>
            </w:pPr>
            <w:bookmarkStart w:id="26" w:name="_Toc521492699"/>
            <w:bookmarkStart w:id="27" w:name="_Toc521498239"/>
            <w:bookmarkStart w:id="28" w:name="_Toc21537384"/>
            <w:r w:rsidRPr="00C834B9">
              <w:rPr>
                <w:rFonts w:ascii="Times New Roman" w:hAnsi="Times New Roman" w:cs="Times New Roman"/>
                <w:bCs w:val="0"/>
                <w:sz w:val="16"/>
                <w:szCs w:val="16"/>
              </w:rPr>
              <w:t>Vývoj štátneho dlhu a prognóza dlhu</w:t>
            </w:r>
            <w:bookmarkEnd w:id="26"/>
            <w:bookmarkEnd w:id="27"/>
            <w:bookmarkEnd w:id="28"/>
            <w:r w:rsidRPr="00C834B9">
              <w:rPr>
                <w:rFonts w:ascii="Times New Roman" w:hAnsi="Times New Roman" w:cs="Times New Roman"/>
                <w:i/>
                <w:color w:val="076F93"/>
                <w:sz w:val="16"/>
                <w:szCs w:val="16"/>
              </w:rPr>
              <w:t xml:space="preserve"> </w:t>
            </w:r>
          </w:p>
        </w:tc>
      </w:tr>
      <w:tr w:rsidR="00294377" w:rsidRPr="00C834B9" w14:paraId="15860DAB" w14:textId="77777777" w:rsidTr="00294377">
        <w:tblPrEx>
          <w:jc w:val="center"/>
          <w:tblCellMar>
            <w:left w:w="70" w:type="dxa"/>
            <w:right w:w="70" w:type="dxa"/>
          </w:tblCellMar>
        </w:tblPrEx>
        <w:trPr>
          <w:trHeight w:val="294"/>
          <w:jc w:val="center"/>
        </w:trPr>
        <w:tc>
          <w:tcPr>
            <w:tcW w:w="2219" w:type="dxa"/>
            <w:tcBorders>
              <w:top w:val="single" w:sz="8" w:space="0" w:color="auto"/>
              <w:left w:val="nil"/>
              <w:bottom w:val="single" w:sz="6" w:space="0" w:color="auto"/>
              <w:right w:val="nil"/>
            </w:tcBorders>
            <w:shd w:val="clear" w:color="auto" w:fill="auto"/>
            <w:noWrap/>
            <w:vAlign w:val="center"/>
            <w:hideMark/>
          </w:tcPr>
          <w:p w14:paraId="18FB06F0" w14:textId="77777777" w:rsidR="00294377" w:rsidRPr="00C834B9" w:rsidRDefault="00294377" w:rsidP="00294377">
            <w:pPr>
              <w:jc w:val="center"/>
              <w:rPr>
                <w:b/>
                <w:bCs/>
                <w:color w:val="000000"/>
                <w:sz w:val="16"/>
                <w:szCs w:val="16"/>
              </w:rPr>
            </w:pPr>
          </w:p>
        </w:tc>
        <w:tc>
          <w:tcPr>
            <w:tcW w:w="3414" w:type="dxa"/>
            <w:tcBorders>
              <w:top w:val="single" w:sz="8" w:space="0" w:color="auto"/>
              <w:left w:val="nil"/>
              <w:bottom w:val="single" w:sz="6" w:space="0" w:color="auto"/>
              <w:right w:val="nil"/>
            </w:tcBorders>
            <w:shd w:val="clear" w:color="auto" w:fill="auto"/>
            <w:noWrap/>
            <w:vAlign w:val="center"/>
            <w:hideMark/>
          </w:tcPr>
          <w:p w14:paraId="7145D54A" w14:textId="77777777" w:rsidR="00294377" w:rsidRPr="00C834B9" w:rsidRDefault="00294377" w:rsidP="00294377">
            <w:pPr>
              <w:jc w:val="center"/>
              <w:rPr>
                <w:b/>
                <w:bCs/>
                <w:color w:val="000000"/>
                <w:sz w:val="16"/>
                <w:szCs w:val="16"/>
              </w:rPr>
            </w:pPr>
            <w:r w:rsidRPr="00C834B9">
              <w:rPr>
                <w:b/>
                <w:bCs/>
                <w:color w:val="000000"/>
                <w:sz w:val="16"/>
                <w:szCs w:val="16"/>
              </w:rPr>
              <w:t> </w:t>
            </w:r>
          </w:p>
        </w:tc>
        <w:tc>
          <w:tcPr>
            <w:tcW w:w="1220" w:type="dxa"/>
            <w:gridSpan w:val="2"/>
            <w:tcBorders>
              <w:top w:val="single" w:sz="8" w:space="0" w:color="auto"/>
              <w:left w:val="nil"/>
              <w:bottom w:val="single" w:sz="6" w:space="0" w:color="auto"/>
              <w:right w:val="nil"/>
            </w:tcBorders>
            <w:shd w:val="clear" w:color="auto" w:fill="auto"/>
            <w:noWrap/>
            <w:vAlign w:val="center"/>
            <w:hideMark/>
          </w:tcPr>
          <w:p w14:paraId="1F146940" w14:textId="1E9C0943" w:rsidR="00294377" w:rsidRPr="00C834B9" w:rsidRDefault="004C47B3" w:rsidP="001E2EEB">
            <w:pPr>
              <w:rPr>
                <w:b/>
                <w:bCs/>
                <w:color w:val="000000"/>
                <w:sz w:val="16"/>
                <w:szCs w:val="16"/>
                <w:lang w:eastAsia="en-US"/>
              </w:rPr>
            </w:pPr>
            <w:r w:rsidRPr="00C834B9">
              <w:rPr>
                <w:b/>
                <w:bCs/>
                <w:color w:val="000000"/>
                <w:sz w:val="16"/>
                <w:szCs w:val="16"/>
                <w:lang w:eastAsia="en-US"/>
              </w:rPr>
              <w:t>skutočnosť</w:t>
            </w:r>
          </w:p>
        </w:tc>
        <w:tc>
          <w:tcPr>
            <w:tcW w:w="2503" w:type="dxa"/>
            <w:gridSpan w:val="4"/>
            <w:tcBorders>
              <w:top w:val="single" w:sz="8" w:space="0" w:color="auto"/>
              <w:left w:val="nil"/>
              <w:bottom w:val="single" w:sz="6" w:space="0" w:color="auto"/>
              <w:right w:val="nil"/>
            </w:tcBorders>
            <w:shd w:val="clear" w:color="auto" w:fill="auto"/>
            <w:noWrap/>
            <w:vAlign w:val="center"/>
            <w:hideMark/>
          </w:tcPr>
          <w:p w14:paraId="6D168F58" w14:textId="77777777" w:rsidR="00294377" w:rsidRPr="00C834B9" w:rsidRDefault="00294377" w:rsidP="000927C8">
            <w:pPr>
              <w:jc w:val="center"/>
              <w:rPr>
                <w:b/>
                <w:bCs/>
                <w:color w:val="000000"/>
                <w:sz w:val="16"/>
                <w:szCs w:val="16"/>
                <w:lang w:eastAsia="en-US"/>
              </w:rPr>
            </w:pPr>
            <w:r w:rsidRPr="00C834B9">
              <w:rPr>
                <w:b/>
                <w:bCs/>
                <w:color w:val="000000"/>
                <w:sz w:val="16"/>
                <w:szCs w:val="16"/>
                <w:lang w:eastAsia="en-US"/>
              </w:rPr>
              <w:t>prognóza</w:t>
            </w:r>
          </w:p>
        </w:tc>
      </w:tr>
      <w:tr w:rsidR="00294377" w:rsidRPr="00C834B9" w14:paraId="51F964B7" w14:textId="77777777" w:rsidTr="004C47B3">
        <w:tblPrEx>
          <w:jc w:val="center"/>
          <w:tblCellMar>
            <w:left w:w="70" w:type="dxa"/>
            <w:right w:w="70" w:type="dxa"/>
          </w:tblCellMar>
        </w:tblPrEx>
        <w:trPr>
          <w:trHeight w:val="294"/>
          <w:jc w:val="center"/>
        </w:trPr>
        <w:tc>
          <w:tcPr>
            <w:tcW w:w="2219" w:type="dxa"/>
            <w:tcBorders>
              <w:top w:val="single" w:sz="6" w:space="0" w:color="auto"/>
              <w:left w:val="nil"/>
              <w:bottom w:val="single" w:sz="6" w:space="0" w:color="auto"/>
              <w:right w:val="nil"/>
            </w:tcBorders>
            <w:shd w:val="clear" w:color="auto" w:fill="auto"/>
            <w:noWrap/>
            <w:vAlign w:val="center"/>
            <w:hideMark/>
          </w:tcPr>
          <w:p w14:paraId="52C725C6" w14:textId="77777777" w:rsidR="00294377" w:rsidRPr="00C834B9" w:rsidRDefault="00294377" w:rsidP="00294377">
            <w:pPr>
              <w:jc w:val="center"/>
              <w:rPr>
                <w:b/>
                <w:bCs/>
                <w:color w:val="000000"/>
                <w:sz w:val="16"/>
                <w:szCs w:val="16"/>
                <w:highlight w:val="yellow"/>
              </w:rPr>
            </w:pPr>
            <w:r w:rsidRPr="00C834B9">
              <w:rPr>
                <w:b/>
                <w:bCs/>
                <w:color w:val="000000"/>
                <w:sz w:val="16"/>
                <w:szCs w:val="16"/>
              </w:rPr>
              <w:t> </w:t>
            </w:r>
          </w:p>
        </w:tc>
        <w:tc>
          <w:tcPr>
            <w:tcW w:w="3414" w:type="dxa"/>
            <w:tcBorders>
              <w:top w:val="single" w:sz="6" w:space="0" w:color="auto"/>
              <w:left w:val="nil"/>
              <w:bottom w:val="single" w:sz="6" w:space="0" w:color="auto"/>
              <w:right w:val="nil"/>
            </w:tcBorders>
            <w:shd w:val="clear" w:color="auto" w:fill="auto"/>
            <w:noWrap/>
            <w:vAlign w:val="center"/>
            <w:hideMark/>
          </w:tcPr>
          <w:p w14:paraId="3D00EFCD" w14:textId="77777777" w:rsidR="00294377" w:rsidRPr="00C834B9" w:rsidRDefault="00294377" w:rsidP="00294377">
            <w:pPr>
              <w:rPr>
                <w:b/>
                <w:bCs/>
                <w:color w:val="000000"/>
                <w:sz w:val="16"/>
                <w:szCs w:val="16"/>
                <w:highlight w:val="yellow"/>
              </w:rPr>
            </w:pPr>
          </w:p>
        </w:tc>
        <w:tc>
          <w:tcPr>
            <w:tcW w:w="604" w:type="dxa"/>
            <w:tcBorders>
              <w:top w:val="single" w:sz="6" w:space="0" w:color="auto"/>
              <w:left w:val="nil"/>
              <w:bottom w:val="single" w:sz="6" w:space="0" w:color="auto"/>
              <w:right w:val="nil"/>
            </w:tcBorders>
            <w:shd w:val="clear" w:color="auto" w:fill="auto"/>
            <w:noWrap/>
            <w:vAlign w:val="center"/>
            <w:hideMark/>
          </w:tcPr>
          <w:p w14:paraId="67FC6143" w14:textId="77777777" w:rsidR="00294377" w:rsidRPr="00C834B9" w:rsidRDefault="00294377" w:rsidP="00294377">
            <w:pPr>
              <w:rPr>
                <w:b/>
                <w:bCs/>
                <w:color w:val="000000"/>
                <w:sz w:val="16"/>
                <w:szCs w:val="16"/>
                <w:lang w:eastAsia="en-US"/>
              </w:rPr>
            </w:pPr>
            <w:r w:rsidRPr="00C834B9">
              <w:rPr>
                <w:b/>
                <w:bCs/>
                <w:color w:val="000000"/>
                <w:sz w:val="16"/>
                <w:szCs w:val="16"/>
                <w:lang w:eastAsia="en-US"/>
              </w:rPr>
              <w:t>2017</w:t>
            </w:r>
          </w:p>
        </w:tc>
        <w:tc>
          <w:tcPr>
            <w:tcW w:w="616" w:type="dxa"/>
            <w:tcBorders>
              <w:top w:val="single" w:sz="6" w:space="0" w:color="auto"/>
              <w:left w:val="nil"/>
              <w:bottom w:val="single" w:sz="6" w:space="0" w:color="auto"/>
              <w:right w:val="nil"/>
            </w:tcBorders>
            <w:shd w:val="clear" w:color="auto" w:fill="auto"/>
            <w:noWrap/>
            <w:vAlign w:val="center"/>
            <w:hideMark/>
          </w:tcPr>
          <w:p w14:paraId="582C46B7" w14:textId="77777777" w:rsidR="00294377" w:rsidRPr="00C834B9" w:rsidRDefault="00294377" w:rsidP="00294377">
            <w:pPr>
              <w:rPr>
                <w:b/>
                <w:bCs/>
                <w:color w:val="000000"/>
                <w:sz w:val="16"/>
                <w:szCs w:val="16"/>
                <w:lang w:eastAsia="en-US"/>
              </w:rPr>
            </w:pPr>
            <w:r w:rsidRPr="00C834B9">
              <w:rPr>
                <w:b/>
                <w:bCs/>
                <w:color w:val="000000"/>
                <w:sz w:val="16"/>
                <w:szCs w:val="16"/>
                <w:lang w:eastAsia="en-US"/>
              </w:rPr>
              <w:t>2018</w:t>
            </w:r>
          </w:p>
        </w:tc>
        <w:tc>
          <w:tcPr>
            <w:tcW w:w="610" w:type="dxa"/>
            <w:tcBorders>
              <w:top w:val="single" w:sz="6" w:space="0" w:color="auto"/>
              <w:left w:val="nil"/>
              <w:bottom w:val="single" w:sz="6" w:space="0" w:color="auto"/>
              <w:right w:val="nil"/>
            </w:tcBorders>
            <w:shd w:val="clear" w:color="auto" w:fill="auto"/>
            <w:noWrap/>
            <w:vAlign w:val="center"/>
            <w:hideMark/>
          </w:tcPr>
          <w:p w14:paraId="35A1D297" w14:textId="77777777" w:rsidR="00294377" w:rsidRPr="00C834B9" w:rsidRDefault="00294377" w:rsidP="00294377">
            <w:pPr>
              <w:rPr>
                <w:b/>
                <w:bCs/>
                <w:color w:val="000000"/>
                <w:sz w:val="16"/>
                <w:szCs w:val="16"/>
                <w:lang w:eastAsia="en-US"/>
              </w:rPr>
            </w:pPr>
            <w:r w:rsidRPr="00C834B9">
              <w:rPr>
                <w:b/>
                <w:bCs/>
                <w:color w:val="000000"/>
                <w:sz w:val="16"/>
                <w:szCs w:val="16"/>
                <w:lang w:eastAsia="en-US"/>
              </w:rPr>
              <w:t>2019</w:t>
            </w:r>
          </w:p>
        </w:tc>
        <w:tc>
          <w:tcPr>
            <w:tcW w:w="610" w:type="dxa"/>
            <w:tcBorders>
              <w:top w:val="single" w:sz="6" w:space="0" w:color="auto"/>
              <w:left w:val="nil"/>
              <w:bottom w:val="single" w:sz="6" w:space="0" w:color="auto"/>
              <w:right w:val="nil"/>
            </w:tcBorders>
            <w:shd w:val="clear" w:color="auto" w:fill="auto"/>
            <w:noWrap/>
            <w:vAlign w:val="center"/>
            <w:hideMark/>
          </w:tcPr>
          <w:p w14:paraId="1C18CB37" w14:textId="77777777" w:rsidR="00294377" w:rsidRPr="00C834B9" w:rsidRDefault="00294377" w:rsidP="00294377">
            <w:pPr>
              <w:rPr>
                <w:b/>
                <w:bCs/>
                <w:color w:val="000000"/>
                <w:sz w:val="16"/>
                <w:szCs w:val="16"/>
                <w:lang w:eastAsia="en-US"/>
              </w:rPr>
            </w:pPr>
            <w:r w:rsidRPr="00C834B9">
              <w:rPr>
                <w:b/>
                <w:bCs/>
                <w:color w:val="000000"/>
                <w:sz w:val="16"/>
                <w:szCs w:val="16"/>
                <w:lang w:eastAsia="en-US"/>
              </w:rPr>
              <w:t>2020</w:t>
            </w:r>
          </w:p>
        </w:tc>
        <w:tc>
          <w:tcPr>
            <w:tcW w:w="610" w:type="dxa"/>
            <w:tcBorders>
              <w:top w:val="single" w:sz="6" w:space="0" w:color="auto"/>
              <w:left w:val="nil"/>
              <w:bottom w:val="single" w:sz="6" w:space="0" w:color="auto"/>
              <w:right w:val="nil"/>
            </w:tcBorders>
            <w:shd w:val="clear" w:color="auto" w:fill="auto"/>
            <w:noWrap/>
            <w:vAlign w:val="center"/>
            <w:hideMark/>
          </w:tcPr>
          <w:p w14:paraId="7E38C715" w14:textId="77777777" w:rsidR="00294377" w:rsidRPr="00C834B9" w:rsidRDefault="00294377" w:rsidP="00294377">
            <w:pPr>
              <w:rPr>
                <w:b/>
                <w:bCs/>
                <w:color w:val="000000"/>
                <w:sz w:val="16"/>
                <w:szCs w:val="16"/>
                <w:lang w:eastAsia="en-US"/>
              </w:rPr>
            </w:pPr>
            <w:r w:rsidRPr="00C834B9">
              <w:rPr>
                <w:b/>
                <w:bCs/>
                <w:color w:val="000000"/>
                <w:sz w:val="16"/>
                <w:szCs w:val="16"/>
                <w:lang w:eastAsia="en-US"/>
              </w:rPr>
              <w:t>2021</w:t>
            </w:r>
          </w:p>
        </w:tc>
        <w:tc>
          <w:tcPr>
            <w:tcW w:w="673" w:type="dxa"/>
            <w:tcBorders>
              <w:top w:val="single" w:sz="6" w:space="0" w:color="auto"/>
              <w:left w:val="nil"/>
              <w:bottom w:val="single" w:sz="6" w:space="0" w:color="auto"/>
              <w:right w:val="nil"/>
            </w:tcBorders>
            <w:shd w:val="clear" w:color="auto" w:fill="auto"/>
            <w:noWrap/>
            <w:vAlign w:val="center"/>
            <w:hideMark/>
          </w:tcPr>
          <w:p w14:paraId="633A631E" w14:textId="77777777" w:rsidR="00294377" w:rsidRPr="00C834B9" w:rsidRDefault="00294377" w:rsidP="00294377">
            <w:pPr>
              <w:rPr>
                <w:b/>
                <w:bCs/>
                <w:color w:val="000000"/>
                <w:sz w:val="16"/>
                <w:szCs w:val="16"/>
                <w:lang w:eastAsia="en-US"/>
              </w:rPr>
            </w:pPr>
            <w:r w:rsidRPr="00C834B9">
              <w:rPr>
                <w:b/>
                <w:bCs/>
                <w:color w:val="000000"/>
                <w:sz w:val="16"/>
                <w:szCs w:val="16"/>
                <w:lang w:eastAsia="en-US"/>
              </w:rPr>
              <w:t>2022</w:t>
            </w:r>
          </w:p>
        </w:tc>
      </w:tr>
      <w:tr w:rsidR="00294377" w:rsidRPr="00C834B9" w14:paraId="44792113" w14:textId="77777777" w:rsidTr="004C47B3">
        <w:tblPrEx>
          <w:jc w:val="center"/>
          <w:tblCellMar>
            <w:left w:w="70" w:type="dxa"/>
            <w:right w:w="70" w:type="dxa"/>
          </w:tblCellMar>
        </w:tblPrEx>
        <w:trPr>
          <w:trHeight w:val="282"/>
          <w:jc w:val="center"/>
        </w:trPr>
        <w:tc>
          <w:tcPr>
            <w:tcW w:w="2219" w:type="dxa"/>
            <w:tcBorders>
              <w:top w:val="single" w:sz="6" w:space="0" w:color="auto"/>
              <w:left w:val="nil"/>
              <w:bottom w:val="nil"/>
              <w:right w:val="nil"/>
            </w:tcBorders>
            <w:shd w:val="clear" w:color="auto" w:fill="auto"/>
            <w:noWrap/>
            <w:vAlign w:val="bottom"/>
            <w:hideMark/>
          </w:tcPr>
          <w:p w14:paraId="6799B31E" w14:textId="77777777" w:rsidR="00294377" w:rsidRPr="00C834B9" w:rsidRDefault="00294377" w:rsidP="00294377">
            <w:pPr>
              <w:rPr>
                <w:color w:val="000000"/>
                <w:sz w:val="16"/>
                <w:szCs w:val="16"/>
                <w:lang w:eastAsia="en-US"/>
              </w:rPr>
            </w:pPr>
            <w:r w:rsidRPr="00C834B9">
              <w:rPr>
                <w:color w:val="000000"/>
                <w:sz w:val="16"/>
                <w:szCs w:val="16"/>
                <w:lang w:eastAsia="en-US"/>
              </w:rPr>
              <w:t>Hrubý dlh</w:t>
            </w:r>
          </w:p>
        </w:tc>
        <w:tc>
          <w:tcPr>
            <w:tcW w:w="3414" w:type="dxa"/>
            <w:tcBorders>
              <w:top w:val="single" w:sz="6" w:space="0" w:color="auto"/>
              <w:left w:val="nil"/>
              <w:bottom w:val="nil"/>
              <w:right w:val="nil"/>
            </w:tcBorders>
            <w:shd w:val="clear" w:color="auto" w:fill="auto"/>
            <w:noWrap/>
            <w:vAlign w:val="center"/>
            <w:hideMark/>
          </w:tcPr>
          <w:p w14:paraId="0E7982A8" w14:textId="77777777" w:rsidR="00294377" w:rsidRPr="00C834B9" w:rsidRDefault="00294377" w:rsidP="00294377">
            <w:pPr>
              <w:rPr>
                <w:color w:val="000000"/>
                <w:sz w:val="16"/>
                <w:szCs w:val="16"/>
                <w:lang w:eastAsia="en-US"/>
              </w:rPr>
            </w:pPr>
            <w:r w:rsidRPr="00C834B9">
              <w:rPr>
                <w:color w:val="000000"/>
                <w:sz w:val="16"/>
                <w:szCs w:val="16"/>
                <w:lang w:eastAsia="en-US"/>
              </w:rPr>
              <w:t>% HDP</w:t>
            </w:r>
          </w:p>
        </w:tc>
        <w:tc>
          <w:tcPr>
            <w:tcW w:w="604" w:type="dxa"/>
            <w:tcBorders>
              <w:top w:val="single" w:sz="6" w:space="0" w:color="auto"/>
              <w:left w:val="nil"/>
              <w:bottom w:val="nil"/>
              <w:right w:val="nil"/>
            </w:tcBorders>
            <w:shd w:val="clear" w:color="auto" w:fill="auto"/>
            <w:noWrap/>
            <w:vAlign w:val="bottom"/>
            <w:hideMark/>
          </w:tcPr>
          <w:p w14:paraId="66962B10" w14:textId="77777777" w:rsidR="00294377" w:rsidRPr="00C834B9" w:rsidRDefault="00294377" w:rsidP="00294377">
            <w:pPr>
              <w:jc w:val="right"/>
              <w:rPr>
                <w:color w:val="000000"/>
                <w:sz w:val="16"/>
                <w:szCs w:val="16"/>
                <w:lang w:eastAsia="en-US"/>
              </w:rPr>
            </w:pPr>
            <w:r w:rsidRPr="00C834B9">
              <w:rPr>
                <w:color w:val="000000"/>
                <w:sz w:val="16"/>
                <w:szCs w:val="16"/>
                <w:lang w:eastAsia="en-US"/>
              </w:rPr>
              <w:t>51.3</w:t>
            </w:r>
          </w:p>
        </w:tc>
        <w:tc>
          <w:tcPr>
            <w:tcW w:w="616" w:type="dxa"/>
            <w:tcBorders>
              <w:top w:val="single" w:sz="6" w:space="0" w:color="auto"/>
              <w:left w:val="nil"/>
              <w:bottom w:val="nil"/>
              <w:right w:val="nil"/>
            </w:tcBorders>
            <w:shd w:val="clear" w:color="auto" w:fill="auto"/>
            <w:noWrap/>
            <w:vAlign w:val="bottom"/>
            <w:hideMark/>
          </w:tcPr>
          <w:p w14:paraId="29FF0252" w14:textId="77777777" w:rsidR="00294377" w:rsidRPr="00C834B9" w:rsidRDefault="00294377" w:rsidP="00294377">
            <w:pPr>
              <w:jc w:val="right"/>
              <w:rPr>
                <w:color w:val="000000"/>
                <w:sz w:val="16"/>
                <w:szCs w:val="16"/>
                <w:lang w:eastAsia="en-US"/>
              </w:rPr>
            </w:pPr>
            <w:r w:rsidRPr="00C834B9">
              <w:rPr>
                <w:color w:val="000000"/>
                <w:sz w:val="16"/>
                <w:szCs w:val="16"/>
                <w:lang w:eastAsia="en-US"/>
              </w:rPr>
              <w:t>49.4</w:t>
            </w:r>
          </w:p>
        </w:tc>
        <w:tc>
          <w:tcPr>
            <w:tcW w:w="610" w:type="dxa"/>
            <w:tcBorders>
              <w:top w:val="single" w:sz="6" w:space="0" w:color="auto"/>
              <w:left w:val="nil"/>
              <w:bottom w:val="nil"/>
              <w:right w:val="nil"/>
            </w:tcBorders>
            <w:shd w:val="clear" w:color="auto" w:fill="auto"/>
            <w:noWrap/>
            <w:vAlign w:val="bottom"/>
            <w:hideMark/>
          </w:tcPr>
          <w:p w14:paraId="3708C0C8" w14:textId="22A4200C" w:rsidR="00294377" w:rsidRPr="00C834B9" w:rsidRDefault="00294377" w:rsidP="00864EE4">
            <w:pPr>
              <w:jc w:val="right"/>
              <w:rPr>
                <w:color w:val="000000"/>
                <w:sz w:val="16"/>
                <w:szCs w:val="16"/>
                <w:lang w:eastAsia="en-US"/>
              </w:rPr>
            </w:pPr>
            <w:r w:rsidRPr="00C834B9">
              <w:rPr>
                <w:color w:val="000000"/>
                <w:sz w:val="16"/>
                <w:szCs w:val="16"/>
                <w:lang w:eastAsia="en-US"/>
              </w:rPr>
              <w:t>47.</w:t>
            </w:r>
            <w:r w:rsidR="00864EE4" w:rsidRPr="00C834B9">
              <w:rPr>
                <w:color w:val="000000"/>
                <w:sz w:val="16"/>
                <w:szCs w:val="16"/>
                <w:lang w:eastAsia="en-US"/>
              </w:rPr>
              <w:t>9</w:t>
            </w:r>
          </w:p>
        </w:tc>
        <w:tc>
          <w:tcPr>
            <w:tcW w:w="610" w:type="dxa"/>
            <w:tcBorders>
              <w:top w:val="single" w:sz="6" w:space="0" w:color="auto"/>
              <w:left w:val="nil"/>
              <w:bottom w:val="nil"/>
              <w:right w:val="nil"/>
            </w:tcBorders>
            <w:shd w:val="clear" w:color="auto" w:fill="auto"/>
            <w:noWrap/>
            <w:vAlign w:val="bottom"/>
            <w:hideMark/>
          </w:tcPr>
          <w:p w14:paraId="65D88CF3" w14:textId="3376B3CF" w:rsidR="00294377" w:rsidRPr="00C834B9" w:rsidRDefault="00294377" w:rsidP="00A34EDA">
            <w:pPr>
              <w:jc w:val="right"/>
              <w:rPr>
                <w:color w:val="000000"/>
                <w:sz w:val="16"/>
                <w:szCs w:val="16"/>
                <w:lang w:eastAsia="en-US"/>
              </w:rPr>
            </w:pPr>
            <w:r w:rsidRPr="00C834B9">
              <w:rPr>
                <w:color w:val="000000"/>
                <w:sz w:val="16"/>
                <w:szCs w:val="16"/>
                <w:lang w:eastAsia="en-US"/>
              </w:rPr>
              <w:t>46.</w:t>
            </w:r>
            <w:r w:rsidR="00A34EDA" w:rsidRPr="00C834B9">
              <w:rPr>
                <w:color w:val="000000"/>
                <w:sz w:val="16"/>
                <w:szCs w:val="16"/>
                <w:lang w:eastAsia="en-US"/>
              </w:rPr>
              <w:t>8</w:t>
            </w:r>
          </w:p>
        </w:tc>
        <w:tc>
          <w:tcPr>
            <w:tcW w:w="610" w:type="dxa"/>
            <w:tcBorders>
              <w:top w:val="single" w:sz="6" w:space="0" w:color="auto"/>
              <w:left w:val="nil"/>
              <w:bottom w:val="nil"/>
              <w:right w:val="nil"/>
            </w:tcBorders>
            <w:shd w:val="clear" w:color="auto" w:fill="auto"/>
            <w:noWrap/>
            <w:vAlign w:val="bottom"/>
            <w:hideMark/>
          </w:tcPr>
          <w:p w14:paraId="3FA42D61" w14:textId="0D6E3053" w:rsidR="00294377" w:rsidRPr="00C834B9" w:rsidRDefault="00294377" w:rsidP="00864EE4">
            <w:pPr>
              <w:jc w:val="right"/>
              <w:rPr>
                <w:color w:val="000000"/>
                <w:sz w:val="16"/>
                <w:szCs w:val="16"/>
                <w:lang w:eastAsia="en-US"/>
              </w:rPr>
            </w:pPr>
            <w:r w:rsidRPr="00C834B9">
              <w:rPr>
                <w:color w:val="000000"/>
                <w:sz w:val="16"/>
                <w:szCs w:val="16"/>
                <w:lang w:eastAsia="en-US"/>
              </w:rPr>
              <w:t>45.</w:t>
            </w:r>
            <w:r w:rsidR="00864EE4" w:rsidRPr="00C834B9">
              <w:rPr>
                <w:color w:val="000000"/>
                <w:sz w:val="16"/>
                <w:szCs w:val="16"/>
                <w:lang w:eastAsia="en-US"/>
              </w:rPr>
              <w:t>9</w:t>
            </w:r>
          </w:p>
        </w:tc>
        <w:tc>
          <w:tcPr>
            <w:tcW w:w="673" w:type="dxa"/>
            <w:tcBorders>
              <w:top w:val="single" w:sz="6" w:space="0" w:color="auto"/>
              <w:left w:val="nil"/>
              <w:bottom w:val="nil"/>
              <w:right w:val="nil"/>
            </w:tcBorders>
            <w:shd w:val="clear" w:color="auto" w:fill="auto"/>
            <w:noWrap/>
            <w:vAlign w:val="bottom"/>
            <w:hideMark/>
          </w:tcPr>
          <w:p w14:paraId="186DB9AF" w14:textId="619F0F23" w:rsidR="00294377" w:rsidRPr="00C834B9" w:rsidRDefault="00294377" w:rsidP="00A34EDA">
            <w:pPr>
              <w:jc w:val="right"/>
              <w:rPr>
                <w:color w:val="000000"/>
                <w:sz w:val="16"/>
                <w:szCs w:val="16"/>
                <w:lang w:eastAsia="en-US"/>
              </w:rPr>
            </w:pPr>
            <w:r w:rsidRPr="00C834B9">
              <w:rPr>
                <w:color w:val="000000"/>
                <w:sz w:val="16"/>
                <w:szCs w:val="16"/>
                <w:lang w:eastAsia="en-US"/>
              </w:rPr>
              <w:t>44.</w:t>
            </w:r>
            <w:r w:rsidR="00A34EDA" w:rsidRPr="00C834B9">
              <w:rPr>
                <w:color w:val="000000"/>
                <w:sz w:val="16"/>
                <w:szCs w:val="16"/>
                <w:lang w:eastAsia="en-US"/>
              </w:rPr>
              <w:t>8</w:t>
            </w:r>
          </w:p>
        </w:tc>
      </w:tr>
      <w:tr w:rsidR="00294377" w:rsidRPr="00C834B9" w14:paraId="0E3404F1" w14:textId="77777777" w:rsidTr="004C47B3">
        <w:tblPrEx>
          <w:jc w:val="center"/>
          <w:tblCellMar>
            <w:left w:w="70" w:type="dxa"/>
            <w:right w:w="70" w:type="dxa"/>
          </w:tblCellMar>
        </w:tblPrEx>
        <w:trPr>
          <w:trHeight w:val="282"/>
          <w:jc w:val="center"/>
        </w:trPr>
        <w:tc>
          <w:tcPr>
            <w:tcW w:w="2219" w:type="dxa"/>
            <w:tcBorders>
              <w:top w:val="nil"/>
              <w:left w:val="nil"/>
              <w:bottom w:val="nil"/>
              <w:right w:val="nil"/>
            </w:tcBorders>
            <w:shd w:val="clear" w:color="auto" w:fill="auto"/>
            <w:noWrap/>
            <w:vAlign w:val="bottom"/>
            <w:hideMark/>
          </w:tcPr>
          <w:p w14:paraId="75F6C013" w14:textId="77777777" w:rsidR="00294377" w:rsidRPr="00C834B9" w:rsidRDefault="00294377" w:rsidP="00294377">
            <w:pPr>
              <w:rPr>
                <w:color w:val="000000"/>
                <w:sz w:val="16"/>
                <w:szCs w:val="16"/>
                <w:lang w:eastAsia="en-US"/>
              </w:rPr>
            </w:pPr>
            <w:r w:rsidRPr="00C834B9">
              <w:rPr>
                <w:color w:val="000000"/>
                <w:sz w:val="16"/>
                <w:szCs w:val="16"/>
                <w:lang w:eastAsia="en-US"/>
              </w:rPr>
              <w:t>Hrubý dlh</w:t>
            </w:r>
          </w:p>
        </w:tc>
        <w:tc>
          <w:tcPr>
            <w:tcW w:w="3414" w:type="dxa"/>
            <w:tcBorders>
              <w:top w:val="nil"/>
              <w:left w:val="nil"/>
              <w:bottom w:val="nil"/>
              <w:right w:val="nil"/>
            </w:tcBorders>
            <w:shd w:val="clear" w:color="auto" w:fill="auto"/>
            <w:noWrap/>
            <w:vAlign w:val="center"/>
            <w:hideMark/>
          </w:tcPr>
          <w:p w14:paraId="16338181" w14:textId="77777777" w:rsidR="00294377" w:rsidRPr="00C834B9" w:rsidRDefault="00294377" w:rsidP="00294377">
            <w:pPr>
              <w:rPr>
                <w:color w:val="000000"/>
                <w:sz w:val="16"/>
                <w:szCs w:val="16"/>
                <w:lang w:eastAsia="en-US"/>
              </w:rPr>
            </w:pPr>
            <w:r w:rsidRPr="00C834B9">
              <w:rPr>
                <w:color w:val="000000"/>
                <w:sz w:val="16"/>
                <w:szCs w:val="16"/>
                <w:lang w:eastAsia="en-US"/>
              </w:rPr>
              <w:t>mld. EUR</w:t>
            </w:r>
          </w:p>
        </w:tc>
        <w:tc>
          <w:tcPr>
            <w:tcW w:w="604" w:type="dxa"/>
            <w:tcBorders>
              <w:top w:val="nil"/>
              <w:left w:val="nil"/>
              <w:bottom w:val="nil"/>
              <w:right w:val="nil"/>
            </w:tcBorders>
            <w:shd w:val="clear" w:color="auto" w:fill="auto"/>
            <w:noWrap/>
            <w:vAlign w:val="bottom"/>
            <w:hideMark/>
          </w:tcPr>
          <w:p w14:paraId="50FBFB38" w14:textId="77777777" w:rsidR="00294377" w:rsidRPr="00C834B9" w:rsidRDefault="00294377" w:rsidP="00294377">
            <w:pPr>
              <w:jc w:val="right"/>
              <w:rPr>
                <w:color w:val="000000"/>
                <w:sz w:val="16"/>
                <w:szCs w:val="16"/>
                <w:lang w:eastAsia="en-US"/>
              </w:rPr>
            </w:pPr>
            <w:r w:rsidRPr="00C834B9">
              <w:rPr>
                <w:color w:val="000000"/>
                <w:sz w:val="16"/>
                <w:szCs w:val="16"/>
                <w:lang w:eastAsia="en-US"/>
              </w:rPr>
              <w:t>43.4</w:t>
            </w:r>
          </w:p>
        </w:tc>
        <w:tc>
          <w:tcPr>
            <w:tcW w:w="616" w:type="dxa"/>
            <w:tcBorders>
              <w:top w:val="nil"/>
              <w:left w:val="nil"/>
              <w:bottom w:val="nil"/>
              <w:right w:val="nil"/>
            </w:tcBorders>
            <w:shd w:val="clear" w:color="auto" w:fill="auto"/>
            <w:noWrap/>
            <w:vAlign w:val="bottom"/>
            <w:hideMark/>
          </w:tcPr>
          <w:p w14:paraId="6DE16683" w14:textId="77777777" w:rsidR="00294377" w:rsidRPr="00C834B9" w:rsidRDefault="00294377" w:rsidP="00294377">
            <w:pPr>
              <w:jc w:val="right"/>
              <w:rPr>
                <w:color w:val="000000"/>
                <w:sz w:val="16"/>
                <w:szCs w:val="16"/>
                <w:lang w:eastAsia="en-US"/>
              </w:rPr>
            </w:pPr>
            <w:r w:rsidRPr="00C834B9">
              <w:rPr>
                <w:color w:val="000000"/>
                <w:sz w:val="16"/>
                <w:szCs w:val="16"/>
                <w:lang w:eastAsia="en-US"/>
              </w:rPr>
              <w:t>44.3</w:t>
            </w:r>
          </w:p>
        </w:tc>
        <w:tc>
          <w:tcPr>
            <w:tcW w:w="610" w:type="dxa"/>
            <w:tcBorders>
              <w:top w:val="nil"/>
              <w:left w:val="nil"/>
              <w:bottom w:val="nil"/>
              <w:right w:val="nil"/>
            </w:tcBorders>
            <w:shd w:val="clear" w:color="auto" w:fill="auto"/>
            <w:noWrap/>
            <w:vAlign w:val="bottom"/>
            <w:hideMark/>
          </w:tcPr>
          <w:p w14:paraId="7B26A141" w14:textId="574089F6" w:rsidR="00294377" w:rsidRPr="00C834B9" w:rsidRDefault="00294377" w:rsidP="00864EE4">
            <w:pPr>
              <w:jc w:val="right"/>
              <w:rPr>
                <w:color w:val="000000"/>
                <w:sz w:val="16"/>
                <w:szCs w:val="16"/>
                <w:lang w:eastAsia="en-US"/>
              </w:rPr>
            </w:pPr>
            <w:r w:rsidRPr="00C834B9">
              <w:rPr>
                <w:color w:val="000000"/>
                <w:sz w:val="16"/>
                <w:szCs w:val="16"/>
                <w:lang w:eastAsia="en-US"/>
              </w:rPr>
              <w:t>45.</w:t>
            </w:r>
            <w:r w:rsidR="00864EE4" w:rsidRPr="00C834B9">
              <w:rPr>
                <w:color w:val="000000"/>
                <w:sz w:val="16"/>
                <w:szCs w:val="16"/>
                <w:lang w:eastAsia="en-US"/>
              </w:rPr>
              <w:t>1</w:t>
            </w:r>
          </w:p>
        </w:tc>
        <w:tc>
          <w:tcPr>
            <w:tcW w:w="610" w:type="dxa"/>
            <w:tcBorders>
              <w:top w:val="nil"/>
              <w:left w:val="nil"/>
              <w:bottom w:val="nil"/>
              <w:right w:val="nil"/>
            </w:tcBorders>
            <w:shd w:val="clear" w:color="auto" w:fill="auto"/>
            <w:noWrap/>
            <w:vAlign w:val="bottom"/>
            <w:hideMark/>
          </w:tcPr>
          <w:p w14:paraId="14052996" w14:textId="6457E87C" w:rsidR="00294377" w:rsidRPr="00C834B9" w:rsidRDefault="00294377" w:rsidP="00A34EDA">
            <w:pPr>
              <w:jc w:val="right"/>
              <w:rPr>
                <w:color w:val="000000"/>
                <w:sz w:val="16"/>
                <w:szCs w:val="16"/>
                <w:lang w:eastAsia="en-US"/>
              </w:rPr>
            </w:pPr>
            <w:r w:rsidRPr="00C834B9">
              <w:rPr>
                <w:color w:val="000000"/>
                <w:sz w:val="16"/>
                <w:szCs w:val="16"/>
                <w:lang w:eastAsia="en-US"/>
              </w:rPr>
              <w:t>4</w:t>
            </w:r>
            <w:r w:rsidR="00A34EDA" w:rsidRPr="00C834B9">
              <w:rPr>
                <w:color w:val="000000"/>
                <w:sz w:val="16"/>
                <w:szCs w:val="16"/>
                <w:lang w:eastAsia="en-US"/>
              </w:rPr>
              <w:t>5</w:t>
            </w:r>
            <w:r w:rsidRPr="00C834B9">
              <w:rPr>
                <w:color w:val="000000"/>
                <w:sz w:val="16"/>
                <w:szCs w:val="16"/>
                <w:lang w:eastAsia="en-US"/>
              </w:rPr>
              <w:t>.</w:t>
            </w:r>
            <w:r w:rsidR="00A34EDA" w:rsidRPr="00C834B9">
              <w:rPr>
                <w:color w:val="000000"/>
                <w:sz w:val="16"/>
                <w:szCs w:val="16"/>
                <w:lang w:eastAsia="en-US"/>
              </w:rPr>
              <w:t>9</w:t>
            </w:r>
          </w:p>
        </w:tc>
        <w:tc>
          <w:tcPr>
            <w:tcW w:w="610" w:type="dxa"/>
            <w:tcBorders>
              <w:top w:val="nil"/>
              <w:left w:val="nil"/>
              <w:bottom w:val="nil"/>
              <w:right w:val="nil"/>
            </w:tcBorders>
            <w:shd w:val="clear" w:color="auto" w:fill="auto"/>
            <w:noWrap/>
            <w:vAlign w:val="bottom"/>
            <w:hideMark/>
          </w:tcPr>
          <w:p w14:paraId="2519136B" w14:textId="61F989D7" w:rsidR="00294377" w:rsidRPr="00C834B9" w:rsidRDefault="00294377" w:rsidP="00864EE4">
            <w:pPr>
              <w:jc w:val="right"/>
              <w:rPr>
                <w:color w:val="000000"/>
                <w:sz w:val="16"/>
                <w:szCs w:val="16"/>
                <w:lang w:eastAsia="en-US"/>
              </w:rPr>
            </w:pPr>
            <w:r w:rsidRPr="00C834B9">
              <w:rPr>
                <w:color w:val="000000"/>
                <w:sz w:val="16"/>
                <w:szCs w:val="16"/>
                <w:lang w:eastAsia="en-US"/>
              </w:rPr>
              <w:t>47.</w:t>
            </w:r>
            <w:r w:rsidR="00864EE4" w:rsidRPr="00C834B9">
              <w:rPr>
                <w:color w:val="000000"/>
                <w:sz w:val="16"/>
                <w:szCs w:val="16"/>
                <w:lang w:eastAsia="en-US"/>
              </w:rPr>
              <w:t>3</w:t>
            </w:r>
          </w:p>
        </w:tc>
        <w:tc>
          <w:tcPr>
            <w:tcW w:w="673" w:type="dxa"/>
            <w:tcBorders>
              <w:top w:val="nil"/>
              <w:left w:val="nil"/>
              <w:bottom w:val="nil"/>
              <w:right w:val="nil"/>
            </w:tcBorders>
            <w:shd w:val="clear" w:color="auto" w:fill="auto"/>
            <w:noWrap/>
            <w:vAlign w:val="bottom"/>
            <w:hideMark/>
          </w:tcPr>
          <w:p w14:paraId="4E0AC4FD" w14:textId="02ACA13F" w:rsidR="00294377" w:rsidRPr="00C834B9" w:rsidRDefault="00294377" w:rsidP="00A34EDA">
            <w:pPr>
              <w:jc w:val="right"/>
              <w:rPr>
                <w:color w:val="000000"/>
                <w:sz w:val="16"/>
                <w:szCs w:val="16"/>
                <w:lang w:eastAsia="en-US"/>
              </w:rPr>
            </w:pPr>
            <w:r w:rsidRPr="00C834B9">
              <w:rPr>
                <w:color w:val="000000"/>
                <w:sz w:val="16"/>
                <w:szCs w:val="16"/>
                <w:lang w:eastAsia="en-US"/>
              </w:rPr>
              <w:t>48.</w:t>
            </w:r>
            <w:r w:rsidR="00A34EDA" w:rsidRPr="00C834B9">
              <w:rPr>
                <w:color w:val="000000"/>
                <w:sz w:val="16"/>
                <w:szCs w:val="16"/>
                <w:lang w:eastAsia="en-US"/>
              </w:rPr>
              <w:t>5</w:t>
            </w:r>
          </w:p>
        </w:tc>
      </w:tr>
      <w:tr w:rsidR="00294377" w:rsidRPr="00C834B9" w14:paraId="5009A140" w14:textId="77777777" w:rsidTr="004C47B3">
        <w:tblPrEx>
          <w:jc w:val="center"/>
          <w:tblCellMar>
            <w:left w:w="70" w:type="dxa"/>
            <w:right w:w="70" w:type="dxa"/>
          </w:tblCellMar>
        </w:tblPrEx>
        <w:trPr>
          <w:trHeight w:val="282"/>
          <w:jc w:val="center"/>
        </w:trPr>
        <w:tc>
          <w:tcPr>
            <w:tcW w:w="2219" w:type="dxa"/>
            <w:tcBorders>
              <w:top w:val="nil"/>
              <w:left w:val="nil"/>
              <w:bottom w:val="nil"/>
              <w:right w:val="nil"/>
            </w:tcBorders>
            <w:shd w:val="clear" w:color="auto" w:fill="auto"/>
            <w:vAlign w:val="bottom"/>
          </w:tcPr>
          <w:p w14:paraId="7CAE3BA8" w14:textId="77777777" w:rsidR="00294377" w:rsidRPr="00C834B9" w:rsidRDefault="00294377" w:rsidP="00294377">
            <w:pPr>
              <w:rPr>
                <w:color w:val="000000"/>
                <w:sz w:val="16"/>
                <w:szCs w:val="16"/>
                <w:lang w:eastAsia="en-US"/>
              </w:rPr>
            </w:pPr>
            <w:r w:rsidRPr="00C834B9">
              <w:rPr>
                <w:color w:val="000000"/>
                <w:sz w:val="16"/>
                <w:szCs w:val="16"/>
                <w:lang w:eastAsia="en-US"/>
              </w:rPr>
              <w:t>Nominálne saldo</w:t>
            </w:r>
          </w:p>
        </w:tc>
        <w:tc>
          <w:tcPr>
            <w:tcW w:w="3414" w:type="dxa"/>
            <w:tcBorders>
              <w:top w:val="nil"/>
              <w:left w:val="nil"/>
              <w:bottom w:val="nil"/>
              <w:right w:val="nil"/>
            </w:tcBorders>
            <w:shd w:val="clear" w:color="auto" w:fill="auto"/>
            <w:noWrap/>
            <w:vAlign w:val="center"/>
          </w:tcPr>
          <w:p w14:paraId="43339F61" w14:textId="77777777" w:rsidR="00294377" w:rsidRPr="00C834B9" w:rsidRDefault="00294377" w:rsidP="00294377">
            <w:pPr>
              <w:rPr>
                <w:color w:val="000000"/>
                <w:sz w:val="16"/>
                <w:szCs w:val="16"/>
                <w:lang w:eastAsia="en-US"/>
              </w:rPr>
            </w:pPr>
            <w:r w:rsidRPr="00C834B9">
              <w:rPr>
                <w:color w:val="000000"/>
                <w:sz w:val="16"/>
                <w:szCs w:val="16"/>
                <w:lang w:eastAsia="en-US"/>
              </w:rPr>
              <w:t>% HDP</w:t>
            </w:r>
          </w:p>
        </w:tc>
        <w:tc>
          <w:tcPr>
            <w:tcW w:w="604" w:type="dxa"/>
            <w:tcBorders>
              <w:top w:val="nil"/>
              <w:left w:val="nil"/>
              <w:bottom w:val="nil"/>
              <w:right w:val="nil"/>
            </w:tcBorders>
            <w:shd w:val="clear" w:color="auto" w:fill="auto"/>
            <w:noWrap/>
            <w:vAlign w:val="bottom"/>
          </w:tcPr>
          <w:p w14:paraId="2E76361D" w14:textId="77777777" w:rsidR="00294377" w:rsidRPr="00C834B9" w:rsidRDefault="00294377" w:rsidP="00294377">
            <w:pPr>
              <w:jc w:val="right"/>
              <w:rPr>
                <w:color w:val="000000"/>
                <w:sz w:val="16"/>
                <w:szCs w:val="16"/>
                <w:lang w:eastAsia="en-US"/>
              </w:rPr>
            </w:pPr>
            <w:r w:rsidRPr="00C834B9">
              <w:rPr>
                <w:color w:val="000000"/>
                <w:sz w:val="16"/>
                <w:szCs w:val="16"/>
                <w:lang w:eastAsia="en-US"/>
              </w:rPr>
              <w:t>-1.0</w:t>
            </w:r>
          </w:p>
        </w:tc>
        <w:tc>
          <w:tcPr>
            <w:tcW w:w="616" w:type="dxa"/>
            <w:tcBorders>
              <w:top w:val="nil"/>
              <w:left w:val="nil"/>
              <w:bottom w:val="nil"/>
              <w:right w:val="nil"/>
            </w:tcBorders>
            <w:shd w:val="clear" w:color="auto" w:fill="auto"/>
            <w:noWrap/>
            <w:vAlign w:val="bottom"/>
          </w:tcPr>
          <w:p w14:paraId="0806C344" w14:textId="77777777" w:rsidR="00294377" w:rsidRPr="00C834B9" w:rsidRDefault="00294377" w:rsidP="00294377">
            <w:pPr>
              <w:jc w:val="right"/>
              <w:rPr>
                <w:color w:val="000000"/>
                <w:sz w:val="16"/>
                <w:szCs w:val="16"/>
                <w:lang w:eastAsia="en-US"/>
              </w:rPr>
            </w:pPr>
            <w:r w:rsidRPr="00C834B9">
              <w:rPr>
                <w:color w:val="000000"/>
                <w:sz w:val="16"/>
                <w:szCs w:val="16"/>
                <w:lang w:eastAsia="en-US"/>
              </w:rPr>
              <w:t>-1.1</w:t>
            </w:r>
          </w:p>
        </w:tc>
        <w:tc>
          <w:tcPr>
            <w:tcW w:w="610" w:type="dxa"/>
            <w:tcBorders>
              <w:top w:val="nil"/>
              <w:left w:val="nil"/>
              <w:bottom w:val="nil"/>
              <w:right w:val="nil"/>
            </w:tcBorders>
            <w:shd w:val="clear" w:color="auto" w:fill="auto"/>
            <w:noWrap/>
            <w:vAlign w:val="bottom"/>
          </w:tcPr>
          <w:p w14:paraId="067DBB2F" w14:textId="77777777" w:rsidR="00294377" w:rsidRPr="00C834B9" w:rsidRDefault="00294377" w:rsidP="00294377">
            <w:pPr>
              <w:jc w:val="right"/>
              <w:rPr>
                <w:color w:val="000000"/>
                <w:sz w:val="16"/>
                <w:szCs w:val="16"/>
                <w:lang w:eastAsia="en-US"/>
              </w:rPr>
            </w:pPr>
            <w:r w:rsidRPr="00C834B9">
              <w:rPr>
                <w:color w:val="000000"/>
                <w:sz w:val="16"/>
                <w:szCs w:val="16"/>
                <w:lang w:eastAsia="en-US"/>
              </w:rPr>
              <w:t>-0.7</w:t>
            </w:r>
          </w:p>
        </w:tc>
        <w:tc>
          <w:tcPr>
            <w:tcW w:w="610" w:type="dxa"/>
            <w:tcBorders>
              <w:top w:val="nil"/>
              <w:left w:val="nil"/>
              <w:bottom w:val="nil"/>
              <w:right w:val="nil"/>
            </w:tcBorders>
            <w:shd w:val="clear" w:color="auto" w:fill="auto"/>
            <w:noWrap/>
            <w:vAlign w:val="bottom"/>
          </w:tcPr>
          <w:p w14:paraId="2082A563" w14:textId="77777777" w:rsidR="00294377" w:rsidRPr="00C834B9" w:rsidRDefault="00294377" w:rsidP="00294377">
            <w:pPr>
              <w:jc w:val="right"/>
              <w:rPr>
                <w:color w:val="000000"/>
                <w:sz w:val="16"/>
                <w:szCs w:val="16"/>
                <w:lang w:eastAsia="en-US"/>
              </w:rPr>
            </w:pPr>
            <w:r w:rsidRPr="00C834B9">
              <w:rPr>
                <w:color w:val="000000"/>
                <w:sz w:val="16"/>
                <w:szCs w:val="16"/>
                <w:lang w:eastAsia="en-US"/>
              </w:rPr>
              <w:t>-0.5</w:t>
            </w:r>
          </w:p>
        </w:tc>
        <w:tc>
          <w:tcPr>
            <w:tcW w:w="610" w:type="dxa"/>
            <w:tcBorders>
              <w:top w:val="nil"/>
              <w:left w:val="nil"/>
              <w:bottom w:val="nil"/>
              <w:right w:val="nil"/>
            </w:tcBorders>
            <w:shd w:val="clear" w:color="auto" w:fill="auto"/>
            <w:noWrap/>
            <w:vAlign w:val="bottom"/>
          </w:tcPr>
          <w:p w14:paraId="4F0F79FE" w14:textId="77777777" w:rsidR="00294377" w:rsidRPr="00C834B9" w:rsidRDefault="00294377" w:rsidP="00294377">
            <w:pPr>
              <w:jc w:val="right"/>
              <w:rPr>
                <w:color w:val="000000"/>
                <w:sz w:val="16"/>
                <w:szCs w:val="16"/>
                <w:lang w:eastAsia="en-US"/>
              </w:rPr>
            </w:pPr>
            <w:r w:rsidRPr="00C834B9">
              <w:rPr>
                <w:color w:val="000000"/>
                <w:sz w:val="16"/>
                <w:szCs w:val="16"/>
                <w:lang w:eastAsia="en-US"/>
              </w:rPr>
              <w:t>0.0</w:t>
            </w:r>
          </w:p>
        </w:tc>
        <w:tc>
          <w:tcPr>
            <w:tcW w:w="673" w:type="dxa"/>
            <w:tcBorders>
              <w:top w:val="nil"/>
              <w:left w:val="nil"/>
              <w:bottom w:val="nil"/>
              <w:right w:val="nil"/>
            </w:tcBorders>
            <w:shd w:val="clear" w:color="auto" w:fill="auto"/>
            <w:noWrap/>
            <w:vAlign w:val="bottom"/>
          </w:tcPr>
          <w:p w14:paraId="1FC7D380" w14:textId="77777777" w:rsidR="00294377" w:rsidRPr="00C834B9" w:rsidRDefault="00294377" w:rsidP="00294377">
            <w:pPr>
              <w:jc w:val="right"/>
              <w:rPr>
                <w:color w:val="000000"/>
                <w:sz w:val="16"/>
                <w:szCs w:val="16"/>
                <w:lang w:eastAsia="en-US"/>
              </w:rPr>
            </w:pPr>
            <w:r w:rsidRPr="00C834B9">
              <w:rPr>
                <w:color w:val="000000"/>
                <w:sz w:val="16"/>
                <w:szCs w:val="16"/>
                <w:lang w:eastAsia="en-US"/>
              </w:rPr>
              <w:t>0.0</w:t>
            </w:r>
          </w:p>
        </w:tc>
      </w:tr>
      <w:tr w:rsidR="00294377" w:rsidRPr="00C834B9" w14:paraId="168770C8" w14:textId="77777777" w:rsidTr="004C47B3">
        <w:tblPrEx>
          <w:jc w:val="center"/>
          <w:tblCellMar>
            <w:left w:w="70" w:type="dxa"/>
            <w:right w:w="70" w:type="dxa"/>
          </w:tblCellMar>
        </w:tblPrEx>
        <w:trPr>
          <w:trHeight w:val="282"/>
          <w:jc w:val="center"/>
        </w:trPr>
        <w:tc>
          <w:tcPr>
            <w:tcW w:w="2219" w:type="dxa"/>
            <w:tcBorders>
              <w:top w:val="nil"/>
              <w:left w:val="nil"/>
              <w:bottom w:val="nil"/>
              <w:right w:val="nil"/>
            </w:tcBorders>
            <w:shd w:val="clear" w:color="auto" w:fill="auto"/>
            <w:vAlign w:val="bottom"/>
            <w:hideMark/>
          </w:tcPr>
          <w:p w14:paraId="1C7C0698" w14:textId="77777777" w:rsidR="00294377" w:rsidRPr="00C834B9" w:rsidRDefault="00294377" w:rsidP="00294377">
            <w:pPr>
              <w:rPr>
                <w:color w:val="000000"/>
                <w:sz w:val="16"/>
                <w:szCs w:val="16"/>
                <w:lang w:eastAsia="en-US"/>
              </w:rPr>
            </w:pPr>
            <w:r w:rsidRPr="00C834B9">
              <w:rPr>
                <w:color w:val="000000"/>
                <w:sz w:val="16"/>
                <w:szCs w:val="16"/>
                <w:lang w:eastAsia="en-US"/>
              </w:rPr>
              <w:t>Štrukturálne saldo</w:t>
            </w:r>
          </w:p>
        </w:tc>
        <w:tc>
          <w:tcPr>
            <w:tcW w:w="3414" w:type="dxa"/>
            <w:tcBorders>
              <w:top w:val="nil"/>
              <w:left w:val="nil"/>
              <w:bottom w:val="nil"/>
              <w:right w:val="nil"/>
            </w:tcBorders>
            <w:shd w:val="clear" w:color="auto" w:fill="auto"/>
            <w:noWrap/>
            <w:vAlign w:val="center"/>
            <w:hideMark/>
          </w:tcPr>
          <w:p w14:paraId="5D15AFBC" w14:textId="77777777" w:rsidR="00294377" w:rsidRPr="00C834B9" w:rsidRDefault="00294377" w:rsidP="00294377">
            <w:pPr>
              <w:rPr>
                <w:color w:val="000000"/>
                <w:sz w:val="16"/>
                <w:szCs w:val="16"/>
                <w:lang w:eastAsia="en-US"/>
              </w:rPr>
            </w:pPr>
            <w:r w:rsidRPr="00C834B9">
              <w:rPr>
                <w:color w:val="000000"/>
                <w:sz w:val="16"/>
                <w:szCs w:val="16"/>
                <w:lang w:eastAsia="en-US"/>
              </w:rPr>
              <w:t>% HDP</w:t>
            </w:r>
          </w:p>
        </w:tc>
        <w:tc>
          <w:tcPr>
            <w:tcW w:w="604" w:type="dxa"/>
            <w:tcBorders>
              <w:top w:val="nil"/>
              <w:left w:val="nil"/>
              <w:bottom w:val="nil"/>
              <w:right w:val="nil"/>
            </w:tcBorders>
            <w:shd w:val="clear" w:color="auto" w:fill="auto"/>
            <w:noWrap/>
            <w:vAlign w:val="bottom"/>
            <w:hideMark/>
          </w:tcPr>
          <w:p w14:paraId="2403BA2E" w14:textId="77777777" w:rsidR="00294377" w:rsidRPr="00C834B9" w:rsidRDefault="00294377" w:rsidP="00294377">
            <w:pPr>
              <w:jc w:val="right"/>
              <w:rPr>
                <w:color w:val="000000"/>
                <w:sz w:val="16"/>
                <w:szCs w:val="16"/>
                <w:lang w:eastAsia="en-US"/>
              </w:rPr>
            </w:pPr>
            <w:r w:rsidRPr="00C834B9">
              <w:rPr>
                <w:color w:val="000000"/>
                <w:sz w:val="16"/>
                <w:szCs w:val="16"/>
                <w:lang w:eastAsia="en-US"/>
              </w:rPr>
              <w:t>-1.1</w:t>
            </w:r>
          </w:p>
        </w:tc>
        <w:tc>
          <w:tcPr>
            <w:tcW w:w="616" w:type="dxa"/>
            <w:tcBorders>
              <w:top w:val="nil"/>
              <w:left w:val="nil"/>
              <w:bottom w:val="nil"/>
              <w:right w:val="nil"/>
            </w:tcBorders>
            <w:shd w:val="clear" w:color="auto" w:fill="auto"/>
            <w:noWrap/>
            <w:vAlign w:val="bottom"/>
            <w:hideMark/>
          </w:tcPr>
          <w:p w14:paraId="3E0A4C5B" w14:textId="77777777" w:rsidR="00294377" w:rsidRPr="00C834B9" w:rsidRDefault="00294377" w:rsidP="00294377">
            <w:pPr>
              <w:jc w:val="right"/>
              <w:rPr>
                <w:color w:val="000000"/>
                <w:sz w:val="16"/>
                <w:szCs w:val="16"/>
                <w:lang w:eastAsia="en-US"/>
              </w:rPr>
            </w:pPr>
            <w:r w:rsidRPr="00C834B9">
              <w:rPr>
                <w:color w:val="000000"/>
                <w:sz w:val="16"/>
                <w:szCs w:val="16"/>
                <w:lang w:eastAsia="en-US"/>
              </w:rPr>
              <w:t>-1.5</w:t>
            </w:r>
          </w:p>
        </w:tc>
        <w:tc>
          <w:tcPr>
            <w:tcW w:w="610" w:type="dxa"/>
            <w:tcBorders>
              <w:top w:val="nil"/>
              <w:left w:val="nil"/>
              <w:bottom w:val="nil"/>
              <w:right w:val="nil"/>
            </w:tcBorders>
            <w:shd w:val="clear" w:color="auto" w:fill="auto"/>
            <w:noWrap/>
            <w:vAlign w:val="bottom"/>
            <w:hideMark/>
          </w:tcPr>
          <w:p w14:paraId="2C200A23" w14:textId="77777777" w:rsidR="00294377" w:rsidRPr="00C834B9" w:rsidRDefault="00294377" w:rsidP="00294377">
            <w:pPr>
              <w:jc w:val="right"/>
              <w:rPr>
                <w:color w:val="000000"/>
                <w:sz w:val="16"/>
                <w:szCs w:val="16"/>
                <w:lang w:eastAsia="en-US"/>
              </w:rPr>
            </w:pPr>
            <w:r w:rsidRPr="00C834B9">
              <w:rPr>
                <w:color w:val="000000"/>
                <w:sz w:val="16"/>
                <w:szCs w:val="16"/>
                <w:lang w:eastAsia="en-US"/>
              </w:rPr>
              <w:t>-0.9</w:t>
            </w:r>
          </w:p>
        </w:tc>
        <w:tc>
          <w:tcPr>
            <w:tcW w:w="610" w:type="dxa"/>
            <w:tcBorders>
              <w:top w:val="nil"/>
              <w:left w:val="nil"/>
              <w:bottom w:val="nil"/>
              <w:right w:val="nil"/>
            </w:tcBorders>
            <w:shd w:val="clear" w:color="auto" w:fill="auto"/>
            <w:noWrap/>
            <w:vAlign w:val="bottom"/>
            <w:hideMark/>
          </w:tcPr>
          <w:p w14:paraId="6431BAB4" w14:textId="77777777" w:rsidR="00294377" w:rsidRPr="00C834B9" w:rsidRDefault="00294377" w:rsidP="00294377">
            <w:pPr>
              <w:jc w:val="right"/>
              <w:rPr>
                <w:color w:val="000000"/>
                <w:sz w:val="16"/>
                <w:szCs w:val="16"/>
                <w:lang w:eastAsia="en-US"/>
              </w:rPr>
            </w:pPr>
            <w:r w:rsidRPr="00C834B9">
              <w:rPr>
                <w:color w:val="000000"/>
                <w:sz w:val="16"/>
                <w:szCs w:val="16"/>
                <w:lang w:eastAsia="en-US"/>
              </w:rPr>
              <w:t>-0.5</w:t>
            </w:r>
          </w:p>
        </w:tc>
        <w:tc>
          <w:tcPr>
            <w:tcW w:w="610" w:type="dxa"/>
            <w:tcBorders>
              <w:top w:val="nil"/>
              <w:left w:val="nil"/>
              <w:bottom w:val="nil"/>
              <w:right w:val="nil"/>
            </w:tcBorders>
            <w:shd w:val="clear" w:color="auto" w:fill="auto"/>
            <w:noWrap/>
            <w:vAlign w:val="bottom"/>
            <w:hideMark/>
          </w:tcPr>
          <w:p w14:paraId="62D46AFF" w14:textId="77777777" w:rsidR="00294377" w:rsidRPr="00C834B9" w:rsidRDefault="00294377" w:rsidP="00294377">
            <w:pPr>
              <w:jc w:val="right"/>
              <w:rPr>
                <w:color w:val="000000"/>
                <w:sz w:val="16"/>
                <w:szCs w:val="16"/>
                <w:lang w:eastAsia="en-US"/>
              </w:rPr>
            </w:pPr>
            <w:r w:rsidRPr="00C834B9">
              <w:rPr>
                <w:color w:val="000000"/>
                <w:sz w:val="16"/>
                <w:szCs w:val="16"/>
                <w:lang w:eastAsia="en-US"/>
              </w:rPr>
              <w:t>-0.1</w:t>
            </w:r>
          </w:p>
        </w:tc>
        <w:tc>
          <w:tcPr>
            <w:tcW w:w="673" w:type="dxa"/>
            <w:tcBorders>
              <w:top w:val="nil"/>
              <w:left w:val="nil"/>
              <w:bottom w:val="nil"/>
              <w:right w:val="nil"/>
            </w:tcBorders>
            <w:shd w:val="clear" w:color="auto" w:fill="auto"/>
            <w:noWrap/>
            <w:vAlign w:val="bottom"/>
            <w:hideMark/>
          </w:tcPr>
          <w:p w14:paraId="0A19B027" w14:textId="77777777" w:rsidR="00294377" w:rsidRPr="00C834B9" w:rsidRDefault="00294377" w:rsidP="00294377">
            <w:pPr>
              <w:jc w:val="right"/>
              <w:rPr>
                <w:color w:val="000000"/>
                <w:sz w:val="16"/>
                <w:szCs w:val="16"/>
                <w:lang w:eastAsia="en-US"/>
              </w:rPr>
            </w:pPr>
            <w:r w:rsidRPr="00C834B9">
              <w:rPr>
                <w:color w:val="000000"/>
                <w:sz w:val="16"/>
                <w:szCs w:val="16"/>
                <w:lang w:eastAsia="en-US"/>
              </w:rPr>
              <w:t>-0.2</w:t>
            </w:r>
          </w:p>
        </w:tc>
      </w:tr>
      <w:tr w:rsidR="00294377" w:rsidRPr="00C834B9" w14:paraId="190ABB2E" w14:textId="77777777" w:rsidTr="004C47B3">
        <w:tblPrEx>
          <w:jc w:val="center"/>
          <w:tblCellMar>
            <w:left w:w="70" w:type="dxa"/>
            <w:right w:w="70" w:type="dxa"/>
          </w:tblCellMar>
        </w:tblPrEx>
        <w:trPr>
          <w:trHeight w:val="282"/>
          <w:jc w:val="center"/>
        </w:trPr>
        <w:tc>
          <w:tcPr>
            <w:tcW w:w="2219" w:type="dxa"/>
            <w:tcBorders>
              <w:top w:val="nil"/>
              <w:left w:val="nil"/>
              <w:bottom w:val="nil"/>
              <w:right w:val="nil"/>
            </w:tcBorders>
            <w:shd w:val="clear" w:color="auto" w:fill="auto"/>
            <w:vAlign w:val="bottom"/>
            <w:hideMark/>
          </w:tcPr>
          <w:p w14:paraId="64FE6D5D" w14:textId="77777777" w:rsidR="00294377" w:rsidRPr="00C834B9" w:rsidRDefault="00294377" w:rsidP="00294377">
            <w:pPr>
              <w:rPr>
                <w:color w:val="000000"/>
                <w:sz w:val="16"/>
                <w:szCs w:val="16"/>
                <w:lang w:eastAsia="en-US"/>
              </w:rPr>
            </w:pPr>
            <w:r w:rsidRPr="00C834B9">
              <w:rPr>
                <w:color w:val="000000"/>
                <w:sz w:val="16"/>
                <w:szCs w:val="16"/>
                <w:lang w:eastAsia="en-US"/>
              </w:rPr>
              <w:t xml:space="preserve">Úrokové náklady </w:t>
            </w:r>
          </w:p>
        </w:tc>
        <w:tc>
          <w:tcPr>
            <w:tcW w:w="3414" w:type="dxa"/>
            <w:tcBorders>
              <w:top w:val="nil"/>
              <w:left w:val="nil"/>
              <w:bottom w:val="nil"/>
              <w:right w:val="nil"/>
            </w:tcBorders>
            <w:shd w:val="clear" w:color="auto" w:fill="auto"/>
            <w:noWrap/>
            <w:vAlign w:val="center"/>
            <w:hideMark/>
          </w:tcPr>
          <w:p w14:paraId="0FB67848" w14:textId="77777777" w:rsidR="00294377" w:rsidRPr="00C834B9" w:rsidRDefault="00294377" w:rsidP="00294377">
            <w:pPr>
              <w:rPr>
                <w:color w:val="000000"/>
                <w:sz w:val="16"/>
                <w:szCs w:val="16"/>
                <w:lang w:eastAsia="en-US"/>
              </w:rPr>
            </w:pPr>
            <w:r w:rsidRPr="00C834B9">
              <w:rPr>
                <w:color w:val="000000"/>
                <w:sz w:val="16"/>
                <w:szCs w:val="16"/>
                <w:lang w:eastAsia="en-US"/>
              </w:rPr>
              <w:t>% HDP</w:t>
            </w:r>
          </w:p>
        </w:tc>
        <w:tc>
          <w:tcPr>
            <w:tcW w:w="604" w:type="dxa"/>
            <w:tcBorders>
              <w:top w:val="nil"/>
              <w:left w:val="nil"/>
              <w:bottom w:val="nil"/>
              <w:right w:val="nil"/>
            </w:tcBorders>
            <w:shd w:val="clear" w:color="auto" w:fill="auto"/>
            <w:noWrap/>
            <w:vAlign w:val="bottom"/>
            <w:hideMark/>
          </w:tcPr>
          <w:p w14:paraId="6631206B" w14:textId="77777777" w:rsidR="00294377" w:rsidRPr="00C834B9" w:rsidRDefault="00294377" w:rsidP="00294377">
            <w:pPr>
              <w:jc w:val="right"/>
              <w:rPr>
                <w:color w:val="000000"/>
                <w:sz w:val="16"/>
                <w:szCs w:val="16"/>
                <w:lang w:eastAsia="en-US"/>
              </w:rPr>
            </w:pPr>
            <w:r w:rsidRPr="00C834B9">
              <w:rPr>
                <w:color w:val="000000"/>
                <w:sz w:val="16"/>
                <w:szCs w:val="16"/>
                <w:lang w:eastAsia="en-US"/>
              </w:rPr>
              <w:t>1.4</w:t>
            </w:r>
          </w:p>
        </w:tc>
        <w:tc>
          <w:tcPr>
            <w:tcW w:w="616" w:type="dxa"/>
            <w:tcBorders>
              <w:top w:val="nil"/>
              <w:left w:val="nil"/>
              <w:bottom w:val="nil"/>
              <w:right w:val="nil"/>
            </w:tcBorders>
            <w:shd w:val="clear" w:color="auto" w:fill="auto"/>
            <w:noWrap/>
            <w:vAlign w:val="bottom"/>
            <w:hideMark/>
          </w:tcPr>
          <w:p w14:paraId="05B5A6E8" w14:textId="77777777" w:rsidR="00294377" w:rsidRPr="00C834B9" w:rsidRDefault="00294377" w:rsidP="00294377">
            <w:pPr>
              <w:jc w:val="right"/>
              <w:rPr>
                <w:color w:val="000000"/>
                <w:sz w:val="16"/>
                <w:szCs w:val="16"/>
                <w:lang w:eastAsia="en-US"/>
              </w:rPr>
            </w:pPr>
            <w:r w:rsidRPr="00C834B9">
              <w:rPr>
                <w:color w:val="000000"/>
                <w:sz w:val="16"/>
                <w:szCs w:val="16"/>
                <w:lang w:eastAsia="en-US"/>
              </w:rPr>
              <w:t>1.3</w:t>
            </w:r>
          </w:p>
        </w:tc>
        <w:tc>
          <w:tcPr>
            <w:tcW w:w="610" w:type="dxa"/>
            <w:tcBorders>
              <w:top w:val="nil"/>
              <w:left w:val="nil"/>
              <w:bottom w:val="nil"/>
              <w:right w:val="nil"/>
            </w:tcBorders>
            <w:shd w:val="clear" w:color="auto" w:fill="auto"/>
            <w:noWrap/>
            <w:vAlign w:val="bottom"/>
            <w:hideMark/>
          </w:tcPr>
          <w:p w14:paraId="24D0B354" w14:textId="77777777" w:rsidR="00294377" w:rsidRPr="00C834B9" w:rsidRDefault="00294377" w:rsidP="00294377">
            <w:pPr>
              <w:jc w:val="right"/>
              <w:rPr>
                <w:color w:val="000000"/>
                <w:sz w:val="16"/>
                <w:szCs w:val="16"/>
                <w:lang w:eastAsia="en-US"/>
              </w:rPr>
            </w:pPr>
            <w:r w:rsidRPr="00C834B9">
              <w:rPr>
                <w:color w:val="000000"/>
                <w:sz w:val="16"/>
                <w:szCs w:val="16"/>
                <w:lang w:eastAsia="en-US"/>
              </w:rPr>
              <w:t>1.2</w:t>
            </w:r>
          </w:p>
        </w:tc>
        <w:tc>
          <w:tcPr>
            <w:tcW w:w="610" w:type="dxa"/>
            <w:tcBorders>
              <w:top w:val="nil"/>
              <w:left w:val="nil"/>
              <w:bottom w:val="nil"/>
              <w:right w:val="nil"/>
            </w:tcBorders>
            <w:shd w:val="clear" w:color="auto" w:fill="auto"/>
            <w:noWrap/>
            <w:vAlign w:val="bottom"/>
            <w:hideMark/>
          </w:tcPr>
          <w:p w14:paraId="757C54F6" w14:textId="77777777" w:rsidR="00294377" w:rsidRPr="00C834B9" w:rsidRDefault="00294377" w:rsidP="00294377">
            <w:pPr>
              <w:jc w:val="right"/>
              <w:rPr>
                <w:color w:val="000000"/>
                <w:sz w:val="16"/>
                <w:szCs w:val="16"/>
                <w:lang w:eastAsia="en-US"/>
              </w:rPr>
            </w:pPr>
            <w:r w:rsidRPr="00C834B9">
              <w:rPr>
                <w:color w:val="000000"/>
                <w:sz w:val="16"/>
                <w:szCs w:val="16"/>
                <w:lang w:eastAsia="en-US"/>
              </w:rPr>
              <w:t>1.1</w:t>
            </w:r>
          </w:p>
        </w:tc>
        <w:tc>
          <w:tcPr>
            <w:tcW w:w="610" w:type="dxa"/>
            <w:tcBorders>
              <w:top w:val="nil"/>
              <w:left w:val="nil"/>
              <w:bottom w:val="nil"/>
              <w:right w:val="nil"/>
            </w:tcBorders>
            <w:shd w:val="clear" w:color="auto" w:fill="auto"/>
            <w:noWrap/>
            <w:vAlign w:val="bottom"/>
            <w:hideMark/>
          </w:tcPr>
          <w:p w14:paraId="3DD44B17" w14:textId="77777777" w:rsidR="00294377" w:rsidRPr="00C834B9" w:rsidRDefault="00294377" w:rsidP="00294377">
            <w:pPr>
              <w:jc w:val="right"/>
              <w:rPr>
                <w:color w:val="000000"/>
                <w:sz w:val="16"/>
                <w:szCs w:val="16"/>
                <w:lang w:eastAsia="en-US"/>
              </w:rPr>
            </w:pPr>
            <w:r w:rsidRPr="00C834B9">
              <w:rPr>
                <w:color w:val="000000"/>
                <w:sz w:val="16"/>
                <w:szCs w:val="16"/>
                <w:lang w:eastAsia="en-US"/>
              </w:rPr>
              <w:t>1.0</w:t>
            </w:r>
          </w:p>
        </w:tc>
        <w:tc>
          <w:tcPr>
            <w:tcW w:w="673" w:type="dxa"/>
            <w:tcBorders>
              <w:top w:val="nil"/>
              <w:left w:val="nil"/>
              <w:bottom w:val="nil"/>
              <w:right w:val="nil"/>
            </w:tcBorders>
            <w:shd w:val="clear" w:color="auto" w:fill="auto"/>
            <w:noWrap/>
            <w:vAlign w:val="bottom"/>
            <w:hideMark/>
          </w:tcPr>
          <w:p w14:paraId="14519696" w14:textId="77777777" w:rsidR="00294377" w:rsidRPr="00C834B9" w:rsidRDefault="00294377" w:rsidP="00294377">
            <w:pPr>
              <w:jc w:val="right"/>
              <w:rPr>
                <w:color w:val="000000"/>
                <w:sz w:val="16"/>
                <w:szCs w:val="16"/>
                <w:lang w:eastAsia="en-US"/>
              </w:rPr>
            </w:pPr>
            <w:r w:rsidRPr="00C834B9">
              <w:rPr>
                <w:color w:val="000000"/>
                <w:sz w:val="16"/>
                <w:szCs w:val="16"/>
                <w:lang w:eastAsia="en-US"/>
              </w:rPr>
              <w:t>0.9</w:t>
            </w:r>
          </w:p>
        </w:tc>
      </w:tr>
      <w:tr w:rsidR="00294377" w:rsidRPr="00C834B9" w14:paraId="0BC8F443" w14:textId="77777777" w:rsidTr="004C47B3">
        <w:tblPrEx>
          <w:jc w:val="center"/>
          <w:tblCellMar>
            <w:left w:w="70" w:type="dxa"/>
            <w:right w:w="70" w:type="dxa"/>
          </w:tblCellMar>
        </w:tblPrEx>
        <w:trPr>
          <w:trHeight w:val="282"/>
          <w:jc w:val="center"/>
        </w:trPr>
        <w:tc>
          <w:tcPr>
            <w:tcW w:w="2219" w:type="dxa"/>
            <w:tcBorders>
              <w:top w:val="nil"/>
              <w:left w:val="nil"/>
              <w:right w:val="nil"/>
            </w:tcBorders>
            <w:shd w:val="clear" w:color="auto" w:fill="auto"/>
            <w:vAlign w:val="bottom"/>
            <w:hideMark/>
          </w:tcPr>
          <w:p w14:paraId="4BBBA083" w14:textId="77777777" w:rsidR="00294377" w:rsidRPr="00C834B9" w:rsidRDefault="00294377" w:rsidP="00294377">
            <w:pPr>
              <w:rPr>
                <w:color w:val="000000"/>
                <w:sz w:val="16"/>
                <w:szCs w:val="16"/>
                <w:lang w:eastAsia="en-US"/>
              </w:rPr>
            </w:pPr>
            <w:r w:rsidRPr="00C834B9">
              <w:rPr>
                <w:color w:val="000000"/>
                <w:sz w:val="16"/>
                <w:szCs w:val="16"/>
                <w:lang w:eastAsia="en-US"/>
              </w:rPr>
              <w:t>Primárne saldo</w:t>
            </w:r>
          </w:p>
        </w:tc>
        <w:tc>
          <w:tcPr>
            <w:tcW w:w="3414" w:type="dxa"/>
            <w:tcBorders>
              <w:top w:val="nil"/>
              <w:left w:val="nil"/>
              <w:right w:val="nil"/>
            </w:tcBorders>
            <w:shd w:val="clear" w:color="auto" w:fill="auto"/>
            <w:noWrap/>
            <w:vAlign w:val="center"/>
            <w:hideMark/>
          </w:tcPr>
          <w:p w14:paraId="7809A265" w14:textId="77777777" w:rsidR="00294377" w:rsidRPr="00C834B9" w:rsidRDefault="00294377" w:rsidP="00294377">
            <w:pPr>
              <w:rPr>
                <w:color w:val="000000"/>
                <w:sz w:val="16"/>
                <w:szCs w:val="16"/>
                <w:lang w:eastAsia="en-US"/>
              </w:rPr>
            </w:pPr>
            <w:r w:rsidRPr="00C834B9">
              <w:rPr>
                <w:color w:val="000000"/>
                <w:sz w:val="16"/>
                <w:szCs w:val="16"/>
                <w:lang w:eastAsia="en-US"/>
              </w:rPr>
              <w:t>% HDP</w:t>
            </w:r>
          </w:p>
        </w:tc>
        <w:tc>
          <w:tcPr>
            <w:tcW w:w="604" w:type="dxa"/>
            <w:tcBorders>
              <w:top w:val="nil"/>
              <w:left w:val="nil"/>
              <w:right w:val="nil"/>
            </w:tcBorders>
            <w:shd w:val="clear" w:color="auto" w:fill="auto"/>
            <w:noWrap/>
            <w:vAlign w:val="bottom"/>
            <w:hideMark/>
          </w:tcPr>
          <w:p w14:paraId="24A7F09C" w14:textId="77777777" w:rsidR="00294377" w:rsidRPr="00C834B9" w:rsidRDefault="00294377" w:rsidP="00294377">
            <w:pPr>
              <w:jc w:val="right"/>
              <w:rPr>
                <w:color w:val="000000"/>
                <w:sz w:val="16"/>
                <w:szCs w:val="16"/>
                <w:lang w:eastAsia="en-US"/>
              </w:rPr>
            </w:pPr>
            <w:r w:rsidRPr="00C834B9">
              <w:rPr>
                <w:color w:val="000000"/>
                <w:sz w:val="16"/>
                <w:szCs w:val="16"/>
                <w:lang w:eastAsia="en-US"/>
              </w:rPr>
              <w:t>0.5</w:t>
            </w:r>
          </w:p>
        </w:tc>
        <w:tc>
          <w:tcPr>
            <w:tcW w:w="616" w:type="dxa"/>
            <w:tcBorders>
              <w:top w:val="nil"/>
              <w:left w:val="nil"/>
              <w:right w:val="nil"/>
            </w:tcBorders>
            <w:shd w:val="clear" w:color="auto" w:fill="auto"/>
            <w:noWrap/>
            <w:vAlign w:val="bottom"/>
            <w:hideMark/>
          </w:tcPr>
          <w:p w14:paraId="59C64425" w14:textId="77777777" w:rsidR="00294377" w:rsidRPr="00C834B9" w:rsidRDefault="00294377" w:rsidP="00294377">
            <w:pPr>
              <w:jc w:val="right"/>
              <w:rPr>
                <w:color w:val="000000"/>
                <w:sz w:val="16"/>
                <w:szCs w:val="16"/>
                <w:lang w:eastAsia="en-US"/>
              </w:rPr>
            </w:pPr>
            <w:r w:rsidRPr="00C834B9">
              <w:rPr>
                <w:color w:val="000000"/>
                <w:sz w:val="16"/>
                <w:szCs w:val="16"/>
                <w:lang w:eastAsia="en-US"/>
              </w:rPr>
              <w:t>0.3</w:t>
            </w:r>
          </w:p>
        </w:tc>
        <w:tc>
          <w:tcPr>
            <w:tcW w:w="610" w:type="dxa"/>
            <w:tcBorders>
              <w:top w:val="nil"/>
              <w:left w:val="nil"/>
              <w:right w:val="nil"/>
            </w:tcBorders>
            <w:shd w:val="clear" w:color="auto" w:fill="auto"/>
            <w:noWrap/>
            <w:vAlign w:val="bottom"/>
            <w:hideMark/>
          </w:tcPr>
          <w:p w14:paraId="2631377A" w14:textId="77777777" w:rsidR="00294377" w:rsidRPr="00C834B9" w:rsidRDefault="00294377" w:rsidP="00294377">
            <w:pPr>
              <w:jc w:val="right"/>
              <w:rPr>
                <w:color w:val="000000"/>
                <w:sz w:val="16"/>
                <w:szCs w:val="16"/>
                <w:lang w:eastAsia="en-US"/>
              </w:rPr>
            </w:pPr>
            <w:r w:rsidRPr="00C834B9">
              <w:rPr>
                <w:color w:val="000000"/>
                <w:sz w:val="16"/>
                <w:szCs w:val="16"/>
                <w:lang w:eastAsia="en-US"/>
              </w:rPr>
              <w:t>0.5</w:t>
            </w:r>
          </w:p>
        </w:tc>
        <w:tc>
          <w:tcPr>
            <w:tcW w:w="610" w:type="dxa"/>
            <w:tcBorders>
              <w:top w:val="nil"/>
              <w:left w:val="nil"/>
              <w:right w:val="nil"/>
            </w:tcBorders>
            <w:shd w:val="clear" w:color="auto" w:fill="auto"/>
            <w:noWrap/>
            <w:vAlign w:val="bottom"/>
            <w:hideMark/>
          </w:tcPr>
          <w:p w14:paraId="492A1CB6" w14:textId="77777777" w:rsidR="00294377" w:rsidRPr="00C834B9" w:rsidRDefault="00294377" w:rsidP="00294377">
            <w:pPr>
              <w:jc w:val="right"/>
              <w:rPr>
                <w:color w:val="000000"/>
                <w:sz w:val="16"/>
                <w:szCs w:val="16"/>
                <w:lang w:eastAsia="en-US"/>
              </w:rPr>
            </w:pPr>
            <w:r w:rsidRPr="00C834B9">
              <w:rPr>
                <w:color w:val="000000"/>
                <w:sz w:val="16"/>
                <w:szCs w:val="16"/>
                <w:lang w:eastAsia="en-US"/>
              </w:rPr>
              <w:t>0.6</w:t>
            </w:r>
          </w:p>
        </w:tc>
        <w:tc>
          <w:tcPr>
            <w:tcW w:w="610" w:type="dxa"/>
            <w:tcBorders>
              <w:top w:val="nil"/>
              <w:left w:val="nil"/>
              <w:right w:val="nil"/>
            </w:tcBorders>
            <w:shd w:val="clear" w:color="auto" w:fill="auto"/>
            <w:noWrap/>
            <w:vAlign w:val="bottom"/>
            <w:hideMark/>
          </w:tcPr>
          <w:p w14:paraId="6F9C4057" w14:textId="77777777" w:rsidR="00294377" w:rsidRPr="00C834B9" w:rsidRDefault="00294377" w:rsidP="00294377">
            <w:pPr>
              <w:jc w:val="right"/>
              <w:rPr>
                <w:color w:val="000000"/>
                <w:sz w:val="16"/>
                <w:szCs w:val="16"/>
                <w:lang w:eastAsia="en-US"/>
              </w:rPr>
            </w:pPr>
            <w:r w:rsidRPr="00C834B9">
              <w:rPr>
                <w:color w:val="000000"/>
                <w:sz w:val="16"/>
                <w:szCs w:val="16"/>
                <w:lang w:eastAsia="en-US"/>
              </w:rPr>
              <w:t>1.0</w:t>
            </w:r>
          </w:p>
        </w:tc>
        <w:tc>
          <w:tcPr>
            <w:tcW w:w="673" w:type="dxa"/>
            <w:tcBorders>
              <w:top w:val="nil"/>
              <w:left w:val="nil"/>
              <w:right w:val="nil"/>
            </w:tcBorders>
            <w:shd w:val="clear" w:color="auto" w:fill="auto"/>
            <w:noWrap/>
            <w:vAlign w:val="bottom"/>
            <w:hideMark/>
          </w:tcPr>
          <w:p w14:paraId="585D3BB8" w14:textId="77777777" w:rsidR="00294377" w:rsidRPr="00C834B9" w:rsidRDefault="00294377" w:rsidP="00294377">
            <w:pPr>
              <w:jc w:val="right"/>
              <w:rPr>
                <w:color w:val="000000"/>
                <w:sz w:val="16"/>
                <w:szCs w:val="16"/>
                <w:lang w:eastAsia="en-US"/>
              </w:rPr>
            </w:pPr>
            <w:r w:rsidRPr="00C834B9">
              <w:rPr>
                <w:color w:val="000000"/>
                <w:sz w:val="16"/>
                <w:szCs w:val="16"/>
                <w:lang w:eastAsia="en-US"/>
              </w:rPr>
              <w:t>0.9</w:t>
            </w:r>
          </w:p>
        </w:tc>
      </w:tr>
      <w:tr w:rsidR="00294377" w:rsidRPr="00C834B9" w14:paraId="54A5546D" w14:textId="77777777" w:rsidTr="004C47B3">
        <w:tblPrEx>
          <w:jc w:val="center"/>
          <w:tblCellMar>
            <w:left w:w="70" w:type="dxa"/>
            <w:right w:w="70" w:type="dxa"/>
          </w:tblCellMar>
        </w:tblPrEx>
        <w:trPr>
          <w:trHeight w:val="282"/>
          <w:jc w:val="center"/>
        </w:trPr>
        <w:tc>
          <w:tcPr>
            <w:tcW w:w="2219" w:type="dxa"/>
            <w:tcBorders>
              <w:top w:val="nil"/>
              <w:left w:val="nil"/>
              <w:bottom w:val="single" w:sz="4" w:space="0" w:color="auto"/>
              <w:right w:val="nil"/>
            </w:tcBorders>
            <w:shd w:val="clear" w:color="auto" w:fill="auto"/>
            <w:vAlign w:val="bottom"/>
            <w:hideMark/>
          </w:tcPr>
          <w:p w14:paraId="374F6FD4" w14:textId="77777777" w:rsidR="00294377" w:rsidRPr="00C834B9" w:rsidRDefault="00294377" w:rsidP="00294377">
            <w:pPr>
              <w:rPr>
                <w:color w:val="000000"/>
                <w:sz w:val="16"/>
                <w:szCs w:val="16"/>
                <w:lang w:eastAsia="en-US"/>
              </w:rPr>
            </w:pPr>
            <w:r w:rsidRPr="00C834B9">
              <w:rPr>
                <w:color w:val="000000"/>
                <w:sz w:val="16"/>
                <w:szCs w:val="16"/>
                <w:lang w:eastAsia="en-US"/>
              </w:rPr>
              <w:t>Primárne saldo</w:t>
            </w:r>
          </w:p>
        </w:tc>
        <w:tc>
          <w:tcPr>
            <w:tcW w:w="3414" w:type="dxa"/>
            <w:tcBorders>
              <w:top w:val="nil"/>
              <w:left w:val="nil"/>
              <w:bottom w:val="single" w:sz="4" w:space="0" w:color="auto"/>
              <w:right w:val="nil"/>
            </w:tcBorders>
            <w:shd w:val="clear" w:color="auto" w:fill="auto"/>
            <w:noWrap/>
            <w:vAlign w:val="center"/>
            <w:hideMark/>
          </w:tcPr>
          <w:p w14:paraId="7D81E869" w14:textId="77777777" w:rsidR="00294377" w:rsidRPr="00C834B9" w:rsidRDefault="00294377" w:rsidP="00294377">
            <w:pPr>
              <w:rPr>
                <w:color w:val="000000"/>
                <w:sz w:val="16"/>
                <w:szCs w:val="16"/>
                <w:lang w:eastAsia="en-US"/>
              </w:rPr>
            </w:pPr>
            <w:r w:rsidRPr="00C834B9">
              <w:rPr>
                <w:color w:val="000000"/>
                <w:sz w:val="16"/>
                <w:szCs w:val="16"/>
                <w:lang w:eastAsia="en-US"/>
              </w:rPr>
              <w:t>medziročná zmena</w:t>
            </w:r>
          </w:p>
        </w:tc>
        <w:tc>
          <w:tcPr>
            <w:tcW w:w="604" w:type="dxa"/>
            <w:tcBorders>
              <w:top w:val="nil"/>
              <w:left w:val="nil"/>
              <w:bottom w:val="single" w:sz="4" w:space="0" w:color="auto"/>
              <w:right w:val="nil"/>
            </w:tcBorders>
            <w:shd w:val="clear" w:color="auto" w:fill="auto"/>
            <w:noWrap/>
            <w:vAlign w:val="bottom"/>
            <w:hideMark/>
          </w:tcPr>
          <w:p w14:paraId="7BBE0086" w14:textId="77777777" w:rsidR="00294377" w:rsidRPr="00C834B9" w:rsidRDefault="00294377" w:rsidP="00294377">
            <w:pPr>
              <w:jc w:val="right"/>
              <w:rPr>
                <w:color w:val="000000"/>
                <w:sz w:val="16"/>
                <w:szCs w:val="16"/>
                <w:lang w:eastAsia="en-US"/>
              </w:rPr>
            </w:pPr>
            <w:r w:rsidRPr="00C834B9">
              <w:rPr>
                <w:color w:val="000000"/>
                <w:sz w:val="16"/>
                <w:szCs w:val="16"/>
                <w:lang w:eastAsia="en-US"/>
              </w:rPr>
              <w:t>1.3</w:t>
            </w:r>
          </w:p>
        </w:tc>
        <w:tc>
          <w:tcPr>
            <w:tcW w:w="616" w:type="dxa"/>
            <w:tcBorders>
              <w:top w:val="nil"/>
              <w:left w:val="nil"/>
              <w:bottom w:val="single" w:sz="4" w:space="0" w:color="auto"/>
              <w:right w:val="nil"/>
            </w:tcBorders>
            <w:shd w:val="clear" w:color="auto" w:fill="auto"/>
            <w:noWrap/>
            <w:vAlign w:val="bottom"/>
            <w:hideMark/>
          </w:tcPr>
          <w:p w14:paraId="4327029A" w14:textId="77777777" w:rsidR="00294377" w:rsidRPr="00C834B9" w:rsidRDefault="00294377" w:rsidP="00294377">
            <w:pPr>
              <w:jc w:val="right"/>
              <w:rPr>
                <w:color w:val="000000"/>
                <w:sz w:val="16"/>
                <w:szCs w:val="16"/>
                <w:lang w:eastAsia="en-US"/>
              </w:rPr>
            </w:pPr>
            <w:r w:rsidRPr="00C834B9">
              <w:rPr>
                <w:color w:val="000000"/>
                <w:sz w:val="16"/>
                <w:szCs w:val="16"/>
                <w:lang w:eastAsia="en-US"/>
              </w:rPr>
              <w:t>-0.2</w:t>
            </w:r>
          </w:p>
        </w:tc>
        <w:tc>
          <w:tcPr>
            <w:tcW w:w="610" w:type="dxa"/>
            <w:tcBorders>
              <w:top w:val="nil"/>
              <w:left w:val="nil"/>
              <w:bottom w:val="single" w:sz="4" w:space="0" w:color="auto"/>
              <w:right w:val="nil"/>
            </w:tcBorders>
            <w:shd w:val="clear" w:color="auto" w:fill="auto"/>
            <w:noWrap/>
            <w:vAlign w:val="bottom"/>
            <w:hideMark/>
          </w:tcPr>
          <w:p w14:paraId="4A9B9367" w14:textId="77777777" w:rsidR="00294377" w:rsidRPr="00C834B9" w:rsidRDefault="00294377" w:rsidP="00294377">
            <w:pPr>
              <w:jc w:val="right"/>
              <w:rPr>
                <w:color w:val="000000"/>
                <w:sz w:val="16"/>
                <w:szCs w:val="16"/>
                <w:lang w:eastAsia="en-US"/>
              </w:rPr>
            </w:pPr>
            <w:r w:rsidRPr="00C834B9">
              <w:rPr>
                <w:color w:val="000000"/>
                <w:sz w:val="16"/>
                <w:szCs w:val="16"/>
                <w:lang w:eastAsia="en-US"/>
              </w:rPr>
              <w:t>0.2</w:t>
            </w:r>
          </w:p>
        </w:tc>
        <w:tc>
          <w:tcPr>
            <w:tcW w:w="610" w:type="dxa"/>
            <w:tcBorders>
              <w:top w:val="nil"/>
              <w:left w:val="nil"/>
              <w:bottom w:val="single" w:sz="4" w:space="0" w:color="auto"/>
              <w:right w:val="nil"/>
            </w:tcBorders>
            <w:shd w:val="clear" w:color="auto" w:fill="auto"/>
            <w:noWrap/>
            <w:vAlign w:val="bottom"/>
            <w:hideMark/>
          </w:tcPr>
          <w:p w14:paraId="4D72BEDE" w14:textId="77777777" w:rsidR="00294377" w:rsidRPr="00C834B9" w:rsidRDefault="00294377" w:rsidP="00294377">
            <w:pPr>
              <w:jc w:val="right"/>
              <w:rPr>
                <w:color w:val="000000"/>
                <w:sz w:val="16"/>
                <w:szCs w:val="16"/>
                <w:lang w:eastAsia="en-US"/>
              </w:rPr>
            </w:pPr>
            <w:r w:rsidRPr="00C834B9">
              <w:rPr>
                <w:color w:val="000000"/>
                <w:sz w:val="16"/>
                <w:szCs w:val="16"/>
                <w:lang w:eastAsia="en-US"/>
              </w:rPr>
              <w:t>0.1</w:t>
            </w:r>
          </w:p>
        </w:tc>
        <w:tc>
          <w:tcPr>
            <w:tcW w:w="610" w:type="dxa"/>
            <w:tcBorders>
              <w:top w:val="nil"/>
              <w:left w:val="nil"/>
              <w:bottom w:val="single" w:sz="4" w:space="0" w:color="auto"/>
              <w:right w:val="nil"/>
            </w:tcBorders>
            <w:shd w:val="clear" w:color="auto" w:fill="auto"/>
            <w:noWrap/>
            <w:vAlign w:val="bottom"/>
            <w:hideMark/>
          </w:tcPr>
          <w:p w14:paraId="46112C6E" w14:textId="77777777" w:rsidR="00294377" w:rsidRPr="00C834B9" w:rsidRDefault="00294377" w:rsidP="00294377">
            <w:pPr>
              <w:jc w:val="right"/>
              <w:rPr>
                <w:color w:val="000000"/>
                <w:sz w:val="16"/>
                <w:szCs w:val="16"/>
                <w:lang w:eastAsia="en-US"/>
              </w:rPr>
            </w:pPr>
            <w:r w:rsidRPr="00C834B9">
              <w:rPr>
                <w:color w:val="000000"/>
                <w:sz w:val="16"/>
                <w:szCs w:val="16"/>
                <w:lang w:eastAsia="en-US"/>
              </w:rPr>
              <w:t>0.4</w:t>
            </w:r>
          </w:p>
        </w:tc>
        <w:tc>
          <w:tcPr>
            <w:tcW w:w="673" w:type="dxa"/>
            <w:tcBorders>
              <w:top w:val="nil"/>
              <w:left w:val="nil"/>
              <w:bottom w:val="single" w:sz="4" w:space="0" w:color="auto"/>
              <w:right w:val="nil"/>
            </w:tcBorders>
            <w:shd w:val="clear" w:color="auto" w:fill="auto"/>
            <w:noWrap/>
            <w:vAlign w:val="bottom"/>
            <w:hideMark/>
          </w:tcPr>
          <w:p w14:paraId="1BE25360" w14:textId="77777777" w:rsidR="00294377" w:rsidRPr="00C834B9" w:rsidRDefault="00294377" w:rsidP="00294377">
            <w:pPr>
              <w:jc w:val="right"/>
              <w:rPr>
                <w:color w:val="000000"/>
                <w:sz w:val="16"/>
                <w:szCs w:val="16"/>
                <w:lang w:eastAsia="en-US"/>
              </w:rPr>
            </w:pPr>
            <w:r w:rsidRPr="00C834B9">
              <w:rPr>
                <w:color w:val="000000"/>
                <w:sz w:val="16"/>
                <w:szCs w:val="16"/>
                <w:lang w:eastAsia="en-US"/>
              </w:rPr>
              <w:t>0.0</w:t>
            </w:r>
          </w:p>
        </w:tc>
      </w:tr>
    </w:tbl>
    <w:p w14:paraId="685D1D9E" w14:textId="77777777" w:rsidR="0016558D" w:rsidRDefault="00294377" w:rsidP="00C834B9">
      <w:pPr>
        <w:pStyle w:val="poznmka"/>
        <w:spacing w:after="240"/>
        <w:ind w:firstLine="709"/>
        <w:rPr>
          <w:rFonts w:ascii="Times New Roman" w:hAnsi="Times New Roman" w:cs="Times New Roman"/>
          <w:i w:val="0"/>
          <w:color w:val="000000"/>
          <w:lang w:eastAsia="en-US"/>
        </w:rPr>
      </w:pPr>
      <w:r w:rsidRPr="00C834B9">
        <w:rPr>
          <w:rFonts w:ascii="Times New Roman" w:hAnsi="Times New Roman" w:cs="Times New Roman"/>
        </w:rPr>
        <w:t xml:space="preserve"> </w:t>
      </w:r>
      <w:r w:rsidR="00C834B9">
        <w:rPr>
          <w:rFonts w:ascii="Times New Roman" w:hAnsi="Times New Roman" w:cs="Times New Roman"/>
        </w:rPr>
        <w:t xml:space="preserve">   </w:t>
      </w:r>
      <w:r w:rsidR="00E23464">
        <w:rPr>
          <w:rFonts w:ascii="Times New Roman" w:hAnsi="Times New Roman" w:cs="Times New Roman"/>
        </w:rPr>
        <w:t xml:space="preserve">  </w:t>
      </w:r>
      <w:r w:rsidR="00C834B9">
        <w:rPr>
          <w:rFonts w:ascii="Times New Roman" w:hAnsi="Times New Roman" w:cs="Times New Roman"/>
          <w:i w:val="0"/>
          <w:color w:val="000000"/>
          <w:lang w:eastAsia="en-US"/>
        </w:rPr>
        <w:t>Zdroj: M</w:t>
      </w:r>
      <w:r w:rsidR="00E23464">
        <w:rPr>
          <w:rFonts w:ascii="Times New Roman" w:hAnsi="Times New Roman" w:cs="Times New Roman"/>
          <w:i w:val="0"/>
          <w:color w:val="000000"/>
          <w:lang w:eastAsia="en-US"/>
        </w:rPr>
        <w:t>inisterstvo financií SR</w:t>
      </w:r>
    </w:p>
    <w:p w14:paraId="3A4DB344" w14:textId="77777777" w:rsidR="0016558D" w:rsidRDefault="0016558D" w:rsidP="00C834B9">
      <w:pPr>
        <w:pStyle w:val="poznmka"/>
        <w:spacing w:after="240"/>
        <w:ind w:firstLine="709"/>
        <w:rPr>
          <w:rFonts w:ascii="Times New Roman" w:hAnsi="Times New Roman" w:cs="Times New Roman"/>
          <w:i w:val="0"/>
          <w:color w:val="000000"/>
          <w:lang w:eastAsia="en-US"/>
        </w:rPr>
      </w:pPr>
    </w:p>
    <w:p w14:paraId="12B07CBF" w14:textId="77777777" w:rsidR="00A11E4C" w:rsidRDefault="00A11E4C" w:rsidP="00C834B9">
      <w:pPr>
        <w:pStyle w:val="poznmka"/>
        <w:spacing w:after="240"/>
        <w:ind w:firstLine="709"/>
        <w:rPr>
          <w:i w:val="0"/>
          <w:sz w:val="22"/>
          <w:szCs w:val="22"/>
        </w:rPr>
      </w:pPr>
    </w:p>
    <w:p w14:paraId="2F12C0FE" w14:textId="57462D89" w:rsidR="00CC5235" w:rsidRPr="00C834B9" w:rsidRDefault="00CC5235" w:rsidP="00C834B9">
      <w:pPr>
        <w:pStyle w:val="poznmka"/>
        <w:spacing w:after="240"/>
        <w:ind w:firstLine="709"/>
        <w:rPr>
          <w:rFonts w:ascii="Franklin Gothic Book" w:hAnsi="Franklin Gothic Book"/>
          <w:i w:val="0"/>
        </w:rPr>
      </w:pPr>
      <w:r w:rsidRPr="00C834B9">
        <w:rPr>
          <w:i w:val="0"/>
          <w:sz w:val="22"/>
          <w:szCs w:val="22"/>
        </w:rPr>
        <w:br w:type="page"/>
      </w:r>
    </w:p>
    <w:p w14:paraId="7D8297D4" w14:textId="72EF64F7" w:rsidR="00191554" w:rsidRDefault="00EA74CD" w:rsidP="00C357B6">
      <w:pPr>
        <w:pStyle w:val="Nadpis1"/>
        <w:numPr>
          <w:ilvl w:val="0"/>
          <w:numId w:val="9"/>
        </w:numPr>
        <w:spacing w:before="0" w:after="0"/>
        <w:ind w:left="357" w:hanging="357"/>
        <w:jc w:val="both"/>
        <w:rPr>
          <w:rFonts w:ascii="Times New Roman" w:hAnsi="Times New Roman" w:cs="Times New Roman"/>
          <w:sz w:val="28"/>
        </w:rPr>
      </w:pPr>
      <w:bookmarkStart w:id="29" w:name="_Toc21537385"/>
      <w:r w:rsidRPr="007B4261">
        <w:rPr>
          <w:rFonts w:ascii="Times New Roman" w:hAnsi="Times New Roman" w:cs="Times New Roman"/>
          <w:sz w:val="28"/>
        </w:rPr>
        <w:lastRenderedPageBreak/>
        <w:t xml:space="preserve">Zhodnotenie plnenia Stratégie riadenia štátneho dlhu </w:t>
      </w:r>
      <w:r w:rsidR="00D21437" w:rsidRPr="007B4261">
        <w:rPr>
          <w:rFonts w:ascii="Times New Roman" w:hAnsi="Times New Roman" w:cs="Times New Roman"/>
          <w:sz w:val="28"/>
        </w:rPr>
        <w:t>k 30.</w:t>
      </w:r>
      <w:r w:rsidR="00986C5E">
        <w:rPr>
          <w:rFonts w:ascii="Times New Roman" w:hAnsi="Times New Roman" w:cs="Times New Roman"/>
          <w:sz w:val="28"/>
        </w:rPr>
        <w:t xml:space="preserve"> </w:t>
      </w:r>
      <w:r w:rsidR="00C0708B">
        <w:rPr>
          <w:rFonts w:ascii="Times New Roman" w:hAnsi="Times New Roman" w:cs="Times New Roman"/>
          <w:sz w:val="28"/>
        </w:rPr>
        <w:t>9</w:t>
      </w:r>
      <w:r w:rsidR="00D21437" w:rsidRPr="007B4261">
        <w:rPr>
          <w:rFonts w:ascii="Times New Roman" w:hAnsi="Times New Roman" w:cs="Times New Roman"/>
          <w:sz w:val="28"/>
        </w:rPr>
        <w:t>.</w:t>
      </w:r>
      <w:r w:rsidR="00986C5E">
        <w:rPr>
          <w:rFonts w:ascii="Times New Roman" w:hAnsi="Times New Roman" w:cs="Times New Roman"/>
          <w:sz w:val="28"/>
        </w:rPr>
        <w:t xml:space="preserve"> </w:t>
      </w:r>
      <w:r w:rsidR="00D21437" w:rsidRPr="007B4261">
        <w:rPr>
          <w:rFonts w:ascii="Times New Roman" w:hAnsi="Times New Roman" w:cs="Times New Roman"/>
          <w:sz w:val="28"/>
        </w:rPr>
        <w:t>201</w:t>
      </w:r>
      <w:r w:rsidR="00C0708B">
        <w:rPr>
          <w:rFonts w:ascii="Times New Roman" w:hAnsi="Times New Roman" w:cs="Times New Roman"/>
          <w:sz w:val="28"/>
        </w:rPr>
        <w:t>9</w:t>
      </w:r>
      <w:bookmarkEnd w:id="29"/>
    </w:p>
    <w:p w14:paraId="4D069C77" w14:textId="77777777" w:rsidR="00C357B6" w:rsidRPr="00C357B6" w:rsidRDefault="00C357B6" w:rsidP="00C357B6"/>
    <w:p w14:paraId="1EB71102" w14:textId="1E460F26" w:rsidR="005E1C84" w:rsidRDefault="005E1C84" w:rsidP="00C357B6">
      <w:pPr>
        <w:ind w:firstLine="357"/>
        <w:jc w:val="both"/>
      </w:pPr>
      <w:r w:rsidRPr="00AA6591">
        <w:t xml:space="preserve">Ciele </w:t>
      </w:r>
      <w:r w:rsidR="00CA3E02">
        <w:t xml:space="preserve">Stratégie </w:t>
      </w:r>
      <w:r w:rsidRPr="00AA6591">
        <w:t xml:space="preserve">riadenia </w:t>
      </w:r>
      <w:r w:rsidR="00B7303B">
        <w:t>štátneho dlhu na roky</w:t>
      </w:r>
      <w:r w:rsidRPr="00AA6591">
        <w:t xml:space="preserve"> 2015 až 2018</w:t>
      </w:r>
      <w:r w:rsidR="00CA3E02">
        <w:t>, ktorá platí</w:t>
      </w:r>
      <w:r w:rsidR="00652398" w:rsidRPr="00AA6591">
        <w:t xml:space="preserve"> až pokiaľ nebude prijatá nová S</w:t>
      </w:r>
      <w:r w:rsidR="00C0708B" w:rsidRPr="00AA6591">
        <w:t>tratégia,</w:t>
      </w:r>
      <w:r w:rsidRPr="00AA6591">
        <w:t xml:space="preserve"> sa oproti predchádzajúcej Stratégii riadenia štátneho dlhu významne nezmenili a aktuálna stratégia kontinuálne nadviazala na predchádzajúce stratégie. Zachované zostali primárne ciele, ktorými sú zabezpečenie likvidity a prístupu na trh pre financovanie potrieb štátu transparentným, obozretným a nákladovo úsporným spôsobom a súčasne udržanie rizík obsiahnutých v dlhu na akceptovateľnej úrovni. Dosiahnuté výsledky pri riadení dlhu, pri rešpektovaní vývoja na finančných trhoch potvrdili, že ciele v Stratégii na roky 2015 až 2018 boli nastavené správne. </w:t>
      </w:r>
    </w:p>
    <w:p w14:paraId="11AD5FDE" w14:textId="77777777" w:rsidR="00C357B6" w:rsidRPr="00AA6591" w:rsidRDefault="00C357B6" w:rsidP="00C357B6">
      <w:pPr>
        <w:ind w:firstLine="357"/>
        <w:jc w:val="both"/>
        <w:rPr>
          <w:bCs/>
          <w:i/>
          <w:iCs/>
        </w:rPr>
      </w:pPr>
    </w:p>
    <w:p w14:paraId="70144ACC" w14:textId="77777777" w:rsidR="005E1C84" w:rsidRDefault="005E1C84" w:rsidP="00C357B6">
      <w:r w:rsidRPr="00AA6591">
        <w:t>Plnenie parciálnych cieľov:</w:t>
      </w:r>
    </w:p>
    <w:p w14:paraId="43438AEF" w14:textId="77777777" w:rsidR="00C357B6" w:rsidRPr="00AA6591" w:rsidRDefault="00C357B6" w:rsidP="00C357B6"/>
    <w:p w14:paraId="5586627A" w14:textId="77777777" w:rsidR="005E1C84" w:rsidRDefault="005E1C84" w:rsidP="00C357B6">
      <w:pPr>
        <w:rPr>
          <w:u w:val="single"/>
        </w:rPr>
      </w:pPr>
      <w:r w:rsidRPr="00AA6591">
        <w:rPr>
          <w:u w:val="single"/>
        </w:rPr>
        <w:t>1 - Štandardizovanie vlastností nových emisií cenných papierov</w:t>
      </w:r>
    </w:p>
    <w:p w14:paraId="1135D103" w14:textId="77777777" w:rsidR="00C357B6" w:rsidRPr="00AA6591" w:rsidRDefault="00C357B6" w:rsidP="00C357B6">
      <w:pPr>
        <w:rPr>
          <w:u w:val="single"/>
        </w:rPr>
      </w:pPr>
    </w:p>
    <w:p w14:paraId="1F7CD197" w14:textId="5D12907A" w:rsidR="005E1C84" w:rsidRDefault="005E1C84" w:rsidP="00C357B6">
      <w:pPr>
        <w:ind w:firstLine="708"/>
        <w:jc w:val="both"/>
      </w:pPr>
      <w:r w:rsidRPr="00AA6591">
        <w:t>V rokoch 2015 až 201</w:t>
      </w:r>
      <w:r w:rsidR="00652398" w:rsidRPr="00AA6591">
        <w:t>9</w:t>
      </w:r>
      <w:r w:rsidRPr="00AA6591">
        <w:t xml:space="preserve"> bolo na d</w:t>
      </w:r>
      <w:r w:rsidR="00C0708B" w:rsidRPr="00AA6591">
        <w:t>omácom trhu otvorených celkovo 9</w:t>
      </w:r>
      <w:r w:rsidRPr="00AA6591">
        <w:t xml:space="preserve"> nových línií dlhopisov so splatnosťami od 7,5 roka až do 50 rokov. Dve z týchto nových línií boli nebenchmarkové</w:t>
      </w:r>
      <w:r w:rsidR="009441DB" w:rsidRPr="00AA6591">
        <w:t>, každá</w:t>
      </w:r>
      <w:r w:rsidRPr="00AA6591">
        <w:t xml:space="preserve"> v celkovej maximál</w:t>
      </w:r>
      <w:r w:rsidR="00AE58CF">
        <w:t>nej menovitej hodnote 1,5 mld. e</w:t>
      </w:r>
      <w:r w:rsidRPr="00AA6591">
        <w:t>ur. Tieto línie boli otvorené prostredníctvom aukcie pre Primárnych d</w:t>
      </w:r>
      <w:r w:rsidR="0017489F" w:rsidRPr="00AA6591">
        <w:t>ílerov</w:t>
      </w:r>
      <w:r w:rsidRPr="00AA6591">
        <w:t xml:space="preserve">. Zvyšných </w:t>
      </w:r>
      <w:r w:rsidR="00C0708B" w:rsidRPr="00AA6591">
        <w:t>7</w:t>
      </w:r>
      <w:r w:rsidRPr="00AA6591">
        <w:t xml:space="preserve"> nových línií dlhopisov bolo otvorených prostredníctvom syndikovaného predaja a sú považované za benchmarkové emisie. </w:t>
      </w:r>
      <w:r w:rsidR="00C0708B" w:rsidRPr="00AA6591">
        <w:t>Päť</w:t>
      </w:r>
      <w:r w:rsidRPr="00AA6591">
        <w:t xml:space="preserve"> emis</w:t>
      </w:r>
      <w:r w:rsidR="00C0708B" w:rsidRPr="00AA6591">
        <w:t>ií</w:t>
      </w:r>
      <w:r w:rsidRPr="00AA6591">
        <w:t xml:space="preserve"> m</w:t>
      </w:r>
      <w:r w:rsidR="00C0708B" w:rsidRPr="00AA6591">
        <w:t>á</w:t>
      </w:r>
      <w:r w:rsidRPr="00AA6591">
        <w:t xml:space="preserve"> štandardizovanú max</w:t>
      </w:r>
      <w:r w:rsidR="00AE58CF">
        <w:t>imálnu menovitú hodnotu 3 mld. e</w:t>
      </w:r>
      <w:r w:rsidRPr="00AA6591">
        <w:t>ur a dve emisie majú maximálnu menovi</w:t>
      </w:r>
      <w:r w:rsidR="00AE58CF">
        <w:t>tú hodnotu 5 mld. e</w:t>
      </w:r>
      <w:r w:rsidRPr="00AA6591">
        <w:t>ur. Dôvodom zvýšenia maximálnej menovitej hodnoty p</w:t>
      </w:r>
      <w:r w:rsidR="00AE58CF">
        <w:t>ri týchto dlhopisoch na 5 mld. e</w:t>
      </w:r>
      <w:r w:rsidRPr="00AA6591">
        <w:t xml:space="preserve">ur bola ich dlhá splatnosť (30, respektíve 50 rokov), pričom </w:t>
      </w:r>
      <w:r w:rsidR="009441DB" w:rsidRPr="00AA6591">
        <w:t>sa predpokladá</w:t>
      </w:r>
      <w:r w:rsidRPr="00AA6591">
        <w:t>, že v čase ich splatnosti</w:t>
      </w:r>
      <w:r w:rsidR="00AE58CF">
        <w:t xml:space="preserve"> bude nominálna hodnota 5 mld. e</w:t>
      </w:r>
      <w:r w:rsidRPr="00AA6591">
        <w:t xml:space="preserve">ur bežnou menovitou hodnotou </w:t>
      </w:r>
      <w:r w:rsidR="0017489F" w:rsidRPr="00AA6591">
        <w:t>slovenských d</w:t>
      </w:r>
      <w:r w:rsidRPr="00AA6591">
        <w:t>lhopisov.</w:t>
      </w:r>
    </w:p>
    <w:p w14:paraId="6A3C7351" w14:textId="77777777" w:rsidR="00042C1F" w:rsidRPr="00AA6591" w:rsidRDefault="00042C1F" w:rsidP="00C357B6">
      <w:pPr>
        <w:ind w:firstLine="708"/>
        <w:jc w:val="both"/>
      </w:pPr>
    </w:p>
    <w:p w14:paraId="12815D95" w14:textId="06D0A51C" w:rsidR="005E1C84" w:rsidRDefault="005E1C84" w:rsidP="00C357B6">
      <w:pPr>
        <w:ind w:firstLine="708"/>
        <w:jc w:val="both"/>
      </w:pPr>
      <w:r w:rsidRPr="00AA6591">
        <w:t>Všetky verejne obchodovateľné emitované štátne</w:t>
      </w:r>
      <w:r w:rsidR="00935C73">
        <w:t xml:space="preserve"> cenné papiere (denominované v e</w:t>
      </w:r>
      <w:r w:rsidRPr="00AA6591">
        <w:t>ur</w:t>
      </w:r>
      <w:r w:rsidR="00E11445">
        <w:t>ách</w:t>
      </w:r>
      <w:r w:rsidRPr="00AA6591">
        <w:t>) spĺňajú podmienku akceptovateľnosti aktív ECB, takže môžu byť použité v priamych operáciách ECB/NBS alebo ako zábezpeka pri operáciách súvisiacich s výkonom menovej politiky.</w:t>
      </w:r>
    </w:p>
    <w:p w14:paraId="3308B260" w14:textId="77777777" w:rsidR="00AA6591" w:rsidRPr="0003036D" w:rsidRDefault="00AA6591" w:rsidP="005E1C84">
      <w:pPr>
        <w:jc w:val="both"/>
        <w:rPr>
          <w:sz w:val="22"/>
          <w:szCs w:val="22"/>
        </w:rPr>
      </w:pPr>
    </w:p>
    <w:p w14:paraId="07EFDACC" w14:textId="77777777" w:rsidR="005E1C84" w:rsidRPr="00AA6591" w:rsidRDefault="005E1C84" w:rsidP="005E1C84">
      <w:pPr>
        <w:spacing w:before="240" w:after="120"/>
        <w:jc w:val="center"/>
        <w:rPr>
          <w:b/>
          <w:sz w:val="22"/>
          <w:szCs w:val="22"/>
        </w:rPr>
      </w:pPr>
      <w:r w:rsidRPr="00AA6591">
        <w:rPr>
          <w:b/>
          <w:sz w:val="22"/>
          <w:szCs w:val="22"/>
        </w:rPr>
        <w:t>Dopyt a akceptovaný dopyt v syndikátoch a domácich aukciách ŠD (mld. Eur) a úroková sadzba z aukcií (% p. a.)</w:t>
      </w:r>
    </w:p>
    <w:p w14:paraId="17A98A65" w14:textId="214B2D3C" w:rsidR="005E1C84" w:rsidRPr="0003036D" w:rsidRDefault="00C0708B" w:rsidP="005E1C84">
      <w:pPr>
        <w:jc w:val="both"/>
        <w:rPr>
          <w:sz w:val="22"/>
          <w:szCs w:val="22"/>
        </w:rPr>
      </w:pPr>
      <w:r>
        <w:rPr>
          <w:noProof/>
          <w:sz w:val="22"/>
          <w:szCs w:val="22"/>
        </w:rPr>
        <w:drawing>
          <wp:inline distT="0" distB="0" distL="0" distR="0" wp14:anchorId="29C4093F" wp14:editId="104A29E0">
            <wp:extent cx="5745480" cy="2682830"/>
            <wp:effectExtent l="0" t="0" r="7620" b="381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5184" cy="2696700"/>
                    </a:xfrm>
                    <a:prstGeom prst="rect">
                      <a:avLst/>
                    </a:prstGeom>
                    <a:noFill/>
                  </pic:spPr>
                </pic:pic>
              </a:graphicData>
            </a:graphic>
          </wp:inline>
        </w:drawing>
      </w:r>
    </w:p>
    <w:p w14:paraId="5E2F06B4" w14:textId="08352403" w:rsidR="005E1C84" w:rsidRPr="0003036D" w:rsidRDefault="008F47D9" w:rsidP="008F47D9">
      <w:pPr>
        <w:spacing w:after="120"/>
        <w:jc w:val="center"/>
        <w:rPr>
          <w:i/>
          <w:sz w:val="16"/>
          <w:szCs w:val="16"/>
        </w:rPr>
      </w:pPr>
      <w:r>
        <w:rPr>
          <w:i/>
          <w:sz w:val="16"/>
          <w:szCs w:val="16"/>
        </w:rPr>
        <w:t xml:space="preserve">                                                                                                                                                                                        </w:t>
      </w:r>
      <w:r w:rsidR="005E1C84" w:rsidRPr="0003036D">
        <w:rPr>
          <w:i/>
          <w:sz w:val="16"/>
          <w:szCs w:val="16"/>
        </w:rPr>
        <w:t>Zdroj: ARDAL</w:t>
      </w:r>
    </w:p>
    <w:p w14:paraId="4D210234" w14:textId="77777777" w:rsidR="005E1C84" w:rsidRDefault="005E1C84" w:rsidP="005E1C84">
      <w:pPr>
        <w:spacing w:before="240" w:after="120"/>
        <w:rPr>
          <w:sz w:val="22"/>
          <w:szCs w:val="22"/>
          <w:u w:val="single"/>
        </w:rPr>
      </w:pPr>
    </w:p>
    <w:p w14:paraId="065E646E" w14:textId="77777777" w:rsidR="005E1C84" w:rsidRDefault="005E1C84" w:rsidP="00D86E36">
      <w:pPr>
        <w:rPr>
          <w:u w:val="single"/>
        </w:rPr>
      </w:pPr>
      <w:r>
        <w:rPr>
          <w:sz w:val="22"/>
          <w:szCs w:val="22"/>
          <w:u w:val="single"/>
        </w:rPr>
        <w:br w:type="page"/>
      </w:r>
      <w:r w:rsidRPr="00AA6591">
        <w:rPr>
          <w:u w:val="single"/>
        </w:rPr>
        <w:lastRenderedPageBreak/>
        <w:t>2 - Optimalizovanie štruktúry neobchodovateľného dlhu</w:t>
      </w:r>
    </w:p>
    <w:p w14:paraId="0EFFC5E1" w14:textId="77777777" w:rsidR="00D86E36" w:rsidRPr="00AA6591" w:rsidRDefault="00D86E36" w:rsidP="00D86E36">
      <w:pPr>
        <w:rPr>
          <w:u w:val="single"/>
        </w:rPr>
      </w:pPr>
    </w:p>
    <w:p w14:paraId="6E3F73C6" w14:textId="6E437532" w:rsidR="005E1C84" w:rsidRDefault="005E1C84" w:rsidP="00D86E36">
      <w:pPr>
        <w:ind w:firstLine="708"/>
        <w:jc w:val="both"/>
      </w:pPr>
      <w:r w:rsidRPr="00AA6591">
        <w:t>V minulosti bola ukončená intenzívna fáza optimalizácie štruktúry neobchodovateľného dlhu. Všetky úvery, pri ktorých bolo možné predčasné splatenie za finančne priaznivých alebo neutrálnych podmienok, boli predčasne splatené a neobchodovateľný dlh bol nahradený obchodovateľným dlhom (dlhopismi). Nové úvery (okrem realizovaných záruk) boli schvaľované len v prípade ich ekonomickej výhodnosti. V roku 2015 boli čerpané úver</w:t>
      </w:r>
      <w:r w:rsidR="007F3A77">
        <w:t>y v súhrnnej sume 395,0 mil. eur</w:t>
      </w:r>
      <w:r w:rsidRPr="00AA6591">
        <w:t xml:space="preserve"> (195 mil. </w:t>
      </w:r>
      <w:r w:rsidR="007F3A77">
        <w:t>eur od CEB a 200,0 mil. eur</w:t>
      </w:r>
      <w:r w:rsidR="00F31DF8">
        <w:t xml:space="preserve"> od EIB).</w:t>
      </w:r>
      <w:r w:rsidRPr="00AA6591">
        <w:t xml:space="preserve"> V roku 2016 boli čerpané úvery v celkovej hodnot</w:t>
      </w:r>
      <w:r w:rsidR="00F31DF8">
        <w:t>e 330 mil. eur (75,0 mil. eur od CEB a 105,0 mil. eur</w:t>
      </w:r>
      <w:r w:rsidRPr="00AA6591">
        <w:t xml:space="preserve"> od EIB). Začiatkom roku 2017 bol čerpaný úver</w:t>
      </w:r>
      <w:r w:rsidR="008F423C">
        <w:t> od EIB v hodnote 75 mil. eur</w:t>
      </w:r>
      <w:r w:rsidR="003764E1" w:rsidRPr="00AA6591">
        <w:t xml:space="preserve"> a v júni 2019 boli čerpané dva úvery v kum</w:t>
      </w:r>
      <w:r w:rsidR="008F423C">
        <w:t>ulatívnej hodnote 301,0 mil. eur</w:t>
      </w:r>
      <w:r w:rsidR="003764E1" w:rsidRPr="00AA6591">
        <w:t xml:space="preserve"> (151,0 mil</w:t>
      </w:r>
      <w:r w:rsidR="008F423C">
        <w:t>. eur</w:t>
      </w:r>
      <w:r w:rsidR="003764E1" w:rsidRPr="00AA6591">
        <w:t xml:space="preserve"> od EIB a 150,0 mil.</w:t>
      </w:r>
      <w:r w:rsidR="008F423C">
        <w:t xml:space="preserve"> eur</w:t>
      </w:r>
      <w:r w:rsidR="003764E1" w:rsidRPr="00AA6591">
        <w:t xml:space="preserve"> od CEB). </w:t>
      </w:r>
      <w:r w:rsidRPr="00AA6591">
        <w:t xml:space="preserve">Pri všetkých úveroch boli podmienky ich čerpania výhodnejšie, alebo rovnaké ako pri emisii porovnateľných cenných papierov. </w:t>
      </w:r>
    </w:p>
    <w:p w14:paraId="0556FBB2" w14:textId="77777777" w:rsidR="00D86E36" w:rsidRPr="00AA6591" w:rsidRDefault="00D86E36" w:rsidP="00D86E36">
      <w:pPr>
        <w:ind w:firstLine="708"/>
        <w:jc w:val="both"/>
      </w:pPr>
    </w:p>
    <w:p w14:paraId="13496C64" w14:textId="77777777" w:rsidR="005E1C84" w:rsidRDefault="005E1C84" w:rsidP="00D86E36">
      <w:pPr>
        <w:rPr>
          <w:u w:val="single"/>
        </w:rPr>
      </w:pPr>
      <w:r w:rsidRPr="00AA6591">
        <w:rPr>
          <w:u w:val="single"/>
        </w:rPr>
        <w:t>3 - Dodržiavanie parametrov refinančného, úrokového a cudzomenového rizika štátneho dlhu</w:t>
      </w:r>
    </w:p>
    <w:p w14:paraId="75027C8E" w14:textId="77777777" w:rsidR="00D86E36" w:rsidRPr="00AA6591" w:rsidRDefault="00D86E36" w:rsidP="00D86E36">
      <w:pPr>
        <w:rPr>
          <w:u w:val="single"/>
        </w:rPr>
      </w:pPr>
    </w:p>
    <w:p w14:paraId="02CFFCBE" w14:textId="71584A2E" w:rsidR="005E1C84" w:rsidRDefault="009C0343" w:rsidP="00D86E36">
      <w:pPr>
        <w:ind w:firstLine="708"/>
        <w:jc w:val="both"/>
      </w:pPr>
      <w:r>
        <w:t>Stratégia riadenia dlhu na</w:t>
      </w:r>
      <w:r w:rsidR="005E1C84" w:rsidRPr="00AA6591">
        <w:t xml:space="preserve"> roky 2015 až 2018 nadväzo</w:t>
      </w:r>
      <w:r>
        <w:t xml:space="preserve">vala v princípoch na </w:t>
      </w:r>
      <w:r w:rsidR="005E1C84" w:rsidRPr="00AA6591">
        <w:t>predchádzajúci stratégiu. Pre refinančné riziko bolo strategickým zámerom udržiavanie hodnoty finančných záväzkov štátu splatných v prvom roku blízko úrovne 20 % z celkových finančných záväzkov, kumulatívne za päť rokov je strategickým zámerom hodnota 55 %. Pre riziko z precenenia bolo zámerom udržiavanie hodnoty preceňovaných finančných záväzkov štátu v prvom roku blízko úrovne 25 % z celkových finančných záväzkov štátu, kumulatívne za päť rokov je zámerom 55 %. Dodržiavanie uvedených cieľov posúva portfólio štátu oproti uplynulému obdobiu do oblasti menšieho rizika v zmysle refinancovania a zmeny úrokových sadzieb.</w:t>
      </w:r>
    </w:p>
    <w:p w14:paraId="7B7149D2" w14:textId="77777777" w:rsidR="00D86E36" w:rsidRDefault="00D86E36" w:rsidP="00D86E36">
      <w:pPr>
        <w:ind w:firstLine="708"/>
        <w:jc w:val="both"/>
      </w:pPr>
    </w:p>
    <w:p w14:paraId="4429EF68" w14:textId="77777777" w:rsidR="00D86E36" w:rsidRPr="00AA6591" w:rsidRDefault="00D86E36" w:rsidP="00D86E36">
      <w:pPr>
        <w:ind w:firstLine="708"/>
        <w:jc w:val="both"/>
      </w:pPr>
    </w:p>
    <w:tbl>
      <w:tblPr>
        <w:tblW w:w="6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4"/>
        <w:gridCol w:w="1330"/>
        <w:gridCol w:w="1330"/>
        <w:gridCol w:w="1295"/>
        <w:gridCol w:w="1295"/>
      </w:tblGrid>
      <w:tr w:rsidR="005E1C84" w:rsidRPr="00AA6591" w14:paraId="5B0742E8" w14:textId="77777777" w:rsidTr="00294377">
        <w:trPr>
          <w:trHeight w:val="205"/>
          <w:jc w:val="center"/>
        </w:trPr>
        <w:tc>
          <w:tcPr>
            <w:tcW w:w="6544" w:type="dxa"/>
            <w:gridSpan w:val="5"/>
            <w:shd w:val="clear" w:color="000000" w:fill="D9D9D9"/>
            <w:noWrap/>
            <w:vAlign w:val="center"/>
          </w:tcPr>
          <w:p w14:paraId="001FB249" w14:textId="77777777" w:rsidR="005E1C84" w:rsidRPr="00AA6591" w:rsidRDefault="005E1C84" w:rsidP="00294377">
            <w:pPr>
              <w:jc w:val="center"/>
              <w:rPr>
                <w:b/>
                <w:bCs/>
                <w:sz w:val="16"/>
                <w:szCs w:val="16"/>
              </w:rPr>
            </w:pPr>
            <w:r w:rsidRPr="00AA6591">
              <w:rPr>
                <w:b/>
                <w:bCs/>
                <w:sz w:val="16"/>
                <w:szCs w:val="16"/>
              </w:rPr>
              <w:t>Ukazovatele refinančného rizika a rizika z precenia</w:t>
            </w:r>
          </w:p>
        </w:tc>
      </w:tr>
      <w:tr w:rsidR="005E1C84" w:rsidRPr="00AA6591" w14:paraId="6B98403C" w14:textId="77777777" w:rsidTr="00294377">
        <w:trPr>
          <w:trHeight w:val="575"/>
          <w:jc w:val="center"/>
        </w:trPr>
        <w:tc>
          <w:tcPr>
            <w:tcW w:w="1294" w:type="dxa"/>
            <w:shd w:val="clear" w:color="000000" w:fill="F2F2F2"/>
            <w:noWrap/>
            <w:vAlign w:val="bottom"/>
          </w:tcPr>
          <w:p w14:paraId="409EAB72" w14:textId="77777777" w:rsidR="005E1C84" w:rsidRPr="00AA6591" w:rsidRDefault="005E1C84" w:rsidP="00294377">
            <w:pPr>
              <w:jc w:val="center"/>
              <w:rPr>
                <w:b/>
                <w:bCs/>
                <w:sz w:val="16"/>
                <w:szCs w:val="16"/>
              </w:rPr>
            </w:pPr>
            <w:r w:rsidRPr="00AA6591">
              <w:rPr>
                <w:b/>
                <w:bCs/>
                <w:sz w:val="16"/>
                <w:szCs w:val="16"/>
              </w:rPr>
              <w:t> </w:t>
            </w:r>
          </w:p>
        </w:tc>
        <w:tc>
          <w:tcPr>
            <w:tcW w:w="1330" w:type="dxa"/>
            <w:shd w:val="clear" w:color="000000" w:fill="F2F2F2"/>
            <w:vAlign w:val="bottom"/>
          </w:tcPr>
          <w:p w14:paraId="222416F2" w14:textId="77777777" w:rsidR="005E1C84" w:rsidRPr="00AA6591" w:rsidRDefault="005E1C84" w:rsidP="00294377">
            <w:pPr>
              <w:jc w:val="center"/>
              <w:rPr>
                <w:b/>
                <w:bCs/>
                <w:sz w:val="16"/>
                <w:szCs w:val="16"/>
              </w:rPr>
            </w:pPr>
            <w:r w:rsidRPr="00AA6591">
              <w:rPr>
                <w:b/>
                <w:bCs/>
                <w:sz w:val="16"/>
                <w:szCs w:val="16"/>
              </w:rPr>
              <w:t>Refinancovanie</w:t>
            </w:r>
          </w:p>
          <w:p w14:paraId="5D911648" w14:textId="77777777" w:rsidR="005E1C84" w:rsidRPr="00AA6591" w:rsidRDefault="005E1C84" w:rsidP="00294377">
            <w:pPr>
              <w:jc w:val="center"/>
              <w:rPr>
                <w:b/>
                <w:bCs/>
                <w:sz w:val="16"/>
                <w:szCs w:val="16"/>
              </w:rPr>
            </w:pPr>
            <w:r w:rsidRPr="00AA6591">
              <w:rPr>
                <w:b/>
                <w:bCs/>
                <w:sz w:val="16"/>
                <w:szCs w:val="16"/>
              </w:rPr>
              <w:t>v 1 roku*</w:t>
            </w:r>
          </w:p>
          <w:p w14:paraId="2210B63A" w14:textId="77777777" w:rsidR="005E1C84" w:rsidRPr="00AA6591" w:rsidRDefault="005E1C84" w:rsidP="00294377">
            <w:pPr>
              <w:jc w:val="center"/>
              <w:rPr>
                <w:b/>
                <w:bCs/>
                <w:sz w:val="16"/>
                <w:szCs w:val="16"/>
              </w:rPr>
            </w:pPr>
            <w:r w:rsidRPr="00AA6591">
              <w:rPr>
                <w:b/>
                <w:bCs/>
                <w:sz w:val="16"/>
                <w:szCs w:val="16"/>
              </w:rPr>
              <w:t>(opt. 20%)</w:t>
            </w:r>
          </w:p>
          <w:p w14:paraId="762BA263" w14:textId="77777777" w:rsidR="005E1C84" w:rsidRPr="00AA6591" w:rsidRDefault="005E1C84" w:rsidP="00294377">
            <w:pPr>
              <w:jc w:val="center"/>
              <w:rPr>
                <w:b/>
                <w:bCs/>
                <w:sz w:val="16"/>
                <w:szCs w:val="16"/>
              </w:rPr>
            </w:pPr>
            <w:r w:rsidRPr="00AA6591">
              <w:rPr>
                <w:b/>
                <w:bCs/>
                <w:sz w:val="16"/>
                <w:szCs w:val="16"/>
              </w:rPr>
              <w:t>[%]</w:t>
            </w:r>
          </w:p>
        </w:tc>
        <w:tc>
          <w:tcPr>
            <w:tcW w:w="1330" w:type="dxa"/>
            <w:shd w:val="clear" w:color="000000" w:fill="F2F2F2"/>
            <w:vAlign w:val="bottom"/>
          </w:tcPr>
          <w:p w14:paraId="0301AF92" w14:textId="77777777" w:rsidR="005E1C84" w:rsidRPr="00AA6591" w:rsidRDefault="005E1C84" w:rsidP="00294377">
            <w:pPr>
              <w:jc w:val="center"/>
              <w:rPr>
                <w:b/>
                <w:bCs/>
                <w:sz w:val="16"/>
                <w:szCs w:val="16"/>
              </w:rPr>
            </w:pPr>
            <w:r w:rsidRPr="00AA6591">
              <w:rPr>
                <w:b/>
                <w:bCs/>
                <w:sz w:val="16"/>
                <w:szCs w:val="16"/>
              </w:rPr>
              <w:t>Refinancovanie</w:t>
            </w:r>
          </w:p>
          <w:p w14:paraId="72B93466" w14:textId="77777777" w:rsidR="005E1C84" w:rsidRPr="00AA6591" w:rsidRDefault="005E1C84" w:rsidP="00294377">
            <w:pPr>
              <w:jc w:val="center"/>
              <w:rPr>
                <w:b/>
                <w:bCs/>
                <w:sz w:val="16"/>
                <w:szCs w:val="16"/>
              </w:rPr>
            </w:pPr>
            <w:r w:rsidRPr="00AA6591">
              <w:rPr>
                <w:b/>
                <w:bCs/>
                <w:sz w:val="16"/>
                <w:szCs w:val="16"/>
              </w:rPr>
              <w:t>v 5 rokoch*</w:t>
            </w:r>
          </w:p>
          <w:p w14:paraId="461C2E62" w14:textId="77777777" w:rsidR="005E1C84" w:rsidRPr="00AA6591" w:rsidRDefault="005E1C84" w:rsidP="00294377">
            <w:pPr>
              <w:jc w:val="center"/>
              <w:rPr>
                <w:b/>
                <w:bCs/>
                <w:sz w:val="16"/>
                <w:szCs w:val="16"/>
              </w:rPr>
            </w:pPr>
            <w:r w:rsidRPr="00AA6591">
              <w:rPr>
                <w:b/>
                <w:bCs/>
                <w:sz w:val="16"/>
                <w:szCs w:val="16"/>
              </w:rPr>
              <w:t>(opt. 55 %)</w:t>
            </w:r>
          </w:p>
          <w:p w14:paraId="422C43C9" w14:textId="77777777" w:rsidR="005E1C84" w:rsidRPr="00AA6591" w:rsidRDefault="005E1C84" w:rsidP="00294377">
            <w:pPr>
              <w:jc w:val="center"/>
              <w:rPr>
                <w:b/>
                <w:bCs/>
                <w:sz w:val="16"/>
                <w:szCs w:val="16"/>
              </w:rPr>
            </w:pPr>
            <w:r w:rsidRPr="00AA6591">
              <w:rPr>
                <w:b/>
                <w:bCs/>
                <w:sz w:val="16"/>
                <w:szCs w:val="16"/>
              </w:rPr>
              <w:t>[%]</w:t>
            </w:r>
          </w:p>
        </w:tc>
        <w:tc>
          <w:tcPr>
            <w:tcW w:w="1295" w:type="dxa"/>
            <w:shd w:val="clear" w:color="000000" w:fill="F2F2F2"/>
            <w:vAlign w:val="bottom"/>
          </w:tcPr>
          <w:p w14:paraId="37315C39" w14:textId="77777777" w:rsidR="005E1C84" w:rsidRPr="00AA6591" w:rsidRDefault="005E1C84" w:rsidP="00294377">
            <w:pPr>
              <w:jc w:val="center"/>
              <w:rPr>
                <w:b/>
                <w:bCs/>
                <w:sz w:val="16"/>
                <w:szCs w:val="16"/>
              </w:rPr>
            </w:pPr>
            <w:r w:rsidRPr="00AA6591">
              <w:rPr>
                <w:b/>
                <w:bCs/>
                <w:sz w:val="16"/>
                <w:szCs w:val="16"/>
              </w:rPr>
              <w:t>Zmena úroku</w:t>
            </w:r>
          </w:p>
          <w:p w14:paraId="7BABC740" w14:textId="77777777" w:rsidR="005E1C84" w:rsidRPr="00AA6591" w:rsidRDefault="005E1C84" w:rsidP="00294377">
            <w:pPr>
              <w:jc w:val="center"/>
              <w:rPr>
                <w:b/>
                <w:bCs/>
                <w:sz w:val="16"/>
                <w:szCs w:val="16"/>
              </w:rPr>
            </w:pPr>
            <w:r w:rsidRPr="00AA6591">
              <w:rPr>
                <w:b/>
                <w:bCs/>
                <w:sz w:val="16"/>
                <w:szCs w:val="16"/>
              </w:rPr>
              <w:t>v 1 roku*</w:t>
            </w:r>
          </w:p>
          <w:p w14:paraId="0807EC92" w14:textId="77777777" w:rsidR="005E1C84" w:rsidRPr="00AA6591" w:rsidRDefault="005E1C84" w:rsidP="00294377">
            <w:pPr>
              <w:jc w:val="center"/>
              <w:rPr>
                <w:b/>
                <w:bCs/>
                <w:sz w:val="16"/>
                <w:szCs w:val="16"/>
              </w:rPr>
            </w:pPr>
            <w:r w:rsidRPr="00AA6591">
              <w:rPr>
                <w:b/>
                <w:bCs/>
                <w:sz w:val="16"/>
                <w:szCs w:val="16"/>
              </w:rPr>
              <w:t>(opt. 25 %)</w:t>
            </w:r>
          </w:p>
          <w:p w14:paraId="330B5C81" w14:textId="77777777" w:rsidR="005E1C84" w:rsidRPr="00AA6591" w:rsidRDefault="005E1C84" w:rsidP="00294377">
            <w:pPr>
              <w:jc w:val="center"/>
              <w:rPr>
                <w:b/>
                <w:bCs/>
                <w:sz w:val="16"/>
                <w:szCs w:val="16"/>
              </w:rPr>
            </w:pPr>
            <w:r w:rsidRPr="00AA6591">
              <w:rPr>
                <w:b/>
                <w:bCs/>
                <w:sz w:val="16"/>
                <w:szCs w:val="16"/>
              </w:rPr>
              <w:t>[%]</w:t>
            </w:r>
          </w:p>
        </w:tc>
        <w:tc>
          <w:tcPr>
            <w:tcW w:w="1295" w:type="dxa"/>
            <w:shd w:val="clear" w:color="000000" w:fill="F2F2F2"/>
            <w:vAlign w:val="bottom"/>
          </w:tcPr>
          <w:p w14:paraId="55E894EF" w14:textId="77777777" w:rsidR="005E1C84" w:rsidRPr="00AA6591" w:rsidRDefault="005E1C84" w:rsidP="00294377">
            <w:pPr>
              <w:jc w:val="center"/>
              <w:rPr>
                <w:b/>
                <w:bCs/>
                <w:sz w:val="16"/>
                <w:szCs w:val="16"/>
              </w:rPr>
            </w:pPr>
            <w:r w:rsidRPr="00AA6591">
              <w:rPr>
                <w:b/>
                <w:bCs/>
                <w:sz w:val="16"/>
                <w:szCs w:val="16"/>
              </w:rPr>
              <w:t>Zmena úroku</w:t>
            </w:r>
          </w:p>
          <w:p w14:paraId="56A66705" w14:textId="77777777" w:rsidR="005E1C84" w:rsidRPr="00AA6591" w:rsidRDefault="005E1C84" w:rsidP="00294377">
            <w:pPr>
              <w:jc w:val="center"/>
              <w:rPr>
                <w:b/>
                <w:bCs/>
                <w:sz w:val="16"/>
                <w:szCs w:val="16"/>
              </w:rPr>
            </w:pPr>
            <w:r w:rsidRPr="00AA6591">
              <w:rPr>
                <w:b/>
                <w:bCs/>
                <w:sz w:val="16"/>
                <w:szCs w:val="16"/>
              </w:rPr>
              <w:t>v 5 rokoch*</w:t>
            </w:r>
          </w:p>
          <w:p w14:paraId="48CB0E9F" w14:textId="77777777" w:rsidR="005E1C84" w:rsidRPr="00AA6591" w:rsidRDefault="005E1C84" w:rsidP="00294377">
            <w:pPr>
              <w:jc w:val="center"/>
              <w:rPr>
                <w:b/>
                <w:bCs/>
                <w:sz w:val="16"/>
                <w:szCs w:val="16"/>
              </w:rPr>
            </w:pPr>
            <w:r w:rsidRPr="00AA6591">
              <w:rPr>
                <w:b/>
                <w:bCs/>
                <w:sz w:val="16"/>
                <w:szCs w:val="16"/>
              </w:rPr>
              <w:t>(opt. 55 %)</w:t>
            </w:r>
          </w:p>
          <w:p w14:paraId="30FCC181" w14:textId="77777777" w:rsidR="005E1C84" w:rsidRPr="00AA6591" w:rsidRDefault="005E1C84" w:rsidP="00294377">
            <w:pPr>
              <w:jc w:val="center"/>
              <w:rPr>
                <w:b/>
                <w:bCs/>
                <w:sz w:val="16"/>
                <w:szCs w:val="16"/>
              </w:rPr>
            </w:pPr>
            <w:r w:rsidRPr="00AA6591">
              <w:rPr>
                <w:b/>
                <w:bCs/>
                <w:sz w:val="16"/>
                <w:szCs w:val="16"/>
              </w:rPr>
              <w:t>[%]</w:t>
            </w:r>
          </w:p>
        </w:tc>
      </w:tr>
      <w:tr w:rsidR="005E1C84" w:rsidRPr="00AA6591" w14:paraId="26F2AC90" w14:textId="77777777" w:rsidTr="00294377">
        <w:trPr>
          <w:trHeight w:hRule="exact" w:val="202"/>
          <w:jc w:val="center"/>
        </w:trPr>
        <w:tc>
          <w:tcPr>
            <w:tcW w:w="1294" w:type="dxa"/>
            <w:shd w:val="clear" w:color="000000" w:fill="FFFFFF"/>
            <w:noWrap/>
          </w:tcPr>
          <w:p w14:paraId="4AE53DD9" w14:textId="77777777" w:rsidR="005E1C84" w:rsidRPr="00AA6591" w:rsidRDefault="005E1C84" w:rsidP="00294377">
            <w:pPr>
              <w:jc w:val="center"/>
              <w:rPr>
                <w:sz w:val="16"/>
                <w:szCs w:val="16"/>
              </w:rPr>
            </w:pPr>
            <w:r w:rsidRPr="00AA6591">
              <w:rPr>
                <w:sz w:val="16"/>
                <w:szCs w:val="16"/>
              </w:rPr>
              <w:t>1Q 2015</w:t>
            </w:r>
          </w:p>
        </w:tc>
        <w:tc>
          <w:tcPr>
            <w:tcW w:w="1330" w:type="dxa"/>
            <w:shd w:val="clear" w:color="000000" w:fill="FFFFFF"/>
            <w:noWrap/>
          </w:tcPr>
          <w:p w14:paraId="57829801" w14:textId="77777777" w:rsidR="005E1C84" w:rsidRPr="00AA6591" w:rsidRDefault="005E1C84" w:rsidP="00294377">
            <w:pPr>
              <w:jc w:val="center"/>
              <w:rPr>
                <w:sz w:val="16"/>
                <w:szCs w:val="16"/>
              </w:rPr>
            </w:pPr>
            <w:r w:rsidRPr="00AA6591">
              <w:rPr>
                <w:sz w:val="16"/>
                <w:szCs w:val="16"/>
              </w:rPr>
              <w:t>16,14</w:t>
            </w:r>
          </w:p>
        </w:tc>
        <w:tc>
          <w:tcPr>
            <w:tcW w:w="1330" w:type="dxa"/>
            <w:shd w:val="clear" w:color="000000" w:fill="FFFFFF"/>
            <w:noWrap/>
          </w:tcPr>
          <w:p w14:paraId="480E46F7" w14:textId="77777777" w:rsidR="005E1C84" w:rsidRPr="00AA6591" w:rsidRDefault="005E1C84" w:rsidP="00294377">
            <w:pPr>
              <w:jc w:val="center"/>
              <w:rPr>
                <w:sz w:val="16"/>
                <w:szCs w:val="16"/>
              </w:rPr>
            </w:pPr>
            <w:r w:rsidRPr="00AA6591">
              <w:rPr>
                <w:sz w:val="16"/>
                <w:szCs w:val="16"/>
              </w:rPr>
              <w:t>41,95</w:t>
            </w:r>
          </w:p>
        </w:tc>
        <w:tc>
          <w:tcPr>
            <w:tcW w:w="1295" w:type="dxa"/>
            <w:shd w:val="clear" w:color="000000" w:fill="FFFFFF"/>
            <w:noWrap/>
          </w:tcPr>
          <w:p w14:paraId="66C53B15" w14:textId="77777777" w:rsidR="005E1C84" w:rsidRPr="00AA6591" w:rsidRDefault="005E1C84" w:rsidP="00294377">
            <w:pPr>
              <w:jc w:val="center"/>
              <w:rPr>
                <w:sz w:val="16"/>
                <w:szCs w:val="16"/>
              </w:rPr>
            </w:pPr>
            <w:r w:rsidRPr="00AA6591">
              <w:rPr>
                <w:sz w:val="16"/>
                <w:szCs w:val="16"/>
              </w:rPr>
              <w:t>20,17</w:t>
            </w:r>
          </w:p>
        </w:tc>
        <w:tc>
          <w:tcPr>
            <w:tcW w:w="1295" w:type="dxa"/>
            <w:shd w:val="clear" w:color="000000" w:fill="FFFFFF"/>
            <w:noWrap/>
          </w:tcPr>
          <w:p w14:paraId="37788E2A" w14:textId="77777777" w:rsidR="005E1C84" w:rsidRPr="00AA6591" w:rsidRDefault="005E1C84" w:rsidP="00294377">
            <w:pPr>
              <w:jc w:val="center"/>
              <w:rPr>
                <w:sz w:val="16"/>
                <w:szCs w:val="16"/>
              </w:rPr>
            </w:pPr>
            <w:r w:rsidRPr="00AA6591">
              <w:rPr>
                <w:sz w:val="16"/>
                <w:szCs w:val="16"/>
              </w:rPr>
              <w:t>41,98</w:t>
            </w:r>
          </w:p>
        </w:tc>
      </w:tr>
      <w:tr w:rsidR="005E1C84" w:rsidRPr="00AA6591" w14:paraId="0BCEFFBA" w14:textId="77777777" w:rsidTr="00294377">
        <w:trPr>
          <w:trHeight w:hRule="exact" w:val="202"/>
          <w:jc w:val="center"/>
        </w:trPr>
        <w:tc>
          <w:tcPr>
            <w:tcW w:w="1294" w:type="dxa"/>
            <w:shd w:val="clear" w:color="000000" w:fill="FFFFFF"/>
            <w:noWrap/>
          </w:tcPr>
          <w:p w14:paraId="46D2D8D8" w14:textId="77777777" w:rsidR="005E1C84" w:rsidRPr="00AA6591" w:rsidRDefault="005E1C84" w:rsidP="00294377">
            <w:pPr>
              <w:jc w:val="center"/>
              <w:rPr>
                <w:sz w:val="16"/>
                <w:szCs w:val="16"/>
              </w:rPr>
            </w:pPr>
            <w:r w:rsidRPr="00AA6591">
              <w:rPr>
                <w:sz w:val="16"/>
                <w:szCs w:val="16"/>
              </w:rPr>
              <w:t>2Q 2015</w:t>
            </w:r>
          </w:p>
        </w:tc>
        <w:tc>
          <w:tcPr>
            <w:tcW w:w="1330" w:type="dxa"/>
            <w:shd w:val="clear" w:color="000000" w:fill="FFFFFF"/>
            <w:noWrap/>
          </w:tcPr>
          <w:p w14:paraId="21D5A9B7" w14:textId="77777777" w:rsidR="005E1C84" w:rsidRPr="00AA6591" w:rsidRDefault="005E1C84" w:rsidP="00294377">
            <w:pPr>
              <w:jc w:val="center"/>
              <w:rPr>
                <w:sz w:val="16"/>
                <w:szCs w:val="16"/>
              </w:rPr>
            </w:pPr>
            <w:r w:rsidRPr="00AA6591">
              <w:rPr>
                <w:sz w:val="16"/>
                <w:szCs w:val="16"/>
              </w:rPr>
              <w:t>15,95</w:t>
            </w:r>
          </w:p>
        </w:tc>
        <w:tc>
          <w:tcPr>
            <w:tcW w:w="1330" w:type="dxa"/>
            <w:shd w:val="clear" w:color="000000" w:fill="FFFFFF"/>
            <w:noWrap/>
          </w:tcPr>
          <w:p w14:paraId="1CDCA3C1" w14:textId="77777777" w:rsidR="005E1C84" w:rsidRPr="00AA6591" w:rsidRDefault="005E1C84" w:rsidP="00294377">
            <w:pPr>
              <w:jc w:val="center"/>
              <w:rPr>
                <w:sz w:val="16"/>
                <w:szCs w:val="16"/>
              </w:rPr>
            </w:pPr>
            <w:r w:rsidRPr="00AA6591">
              <w:rPr>
                <w:sz w:val="16"/>
                <w:szCs w:val="16"/>
              </w:rPr>
              <w:t>48,46</w:t>
            </w:r>
          </w:p>
        </w:tc>
        <w:tc>
          <w:tcPr>
            <w:tcW w:w="1295" w:type="dxa"/>
            <w:shd w:val="clear" w:color="000000" w:fill="FFFFFF"/>
            <w:noWrap/>
          </w:tcPr>
          <w:p w14:paraId="5782E786" w14:textId="77777777" w:rsidR="005E1C84" w:rsidRPr="00AA6591" w:rsidRDefault="005E1C84" w:rsidP="00294377">
            <w:pPr>
              <w:jc w:val="center"/>
              <w:rPr>
                <w:sz w:val="16"/>
                <w:szCs w:val="16"/>
              </w:rPr>
            </w:pPr>
            <w:r w:rsidRPr="00AA6591">
              <w:rPr>
                <w:sz w:val="16"/>
                <w:szCs w:val="16"/>
              </w:rPr>
              <w:t>19,16</w:t>
            </w:r>
          </w:p>
        </w:tc>
        <w:tc>
          <w:tcPr>
            <w:tcW w:w="1295" w:type="dxa"/>
            <w:shd w:val="clear" w:color="000000" w:fill="FFFFFF"/>
            <w:noWrap/>
          </w:tcPr>
          <w:p w14:paraId="53F8D34C" w14:textId="77777777" w:rsidR="005E1C84" w:rsidRPr="00AA6591" w:rsidRDefault="005E1C84" w:rsidP="00294377">
            <w:pPr>
              <w:jc w:val="center"/>
              <w:rPr>
                <w:sz w:val="16"/>
                <w:szCs w:val="16"/>
              </w:rPr>
            </w:pPr>
            <w:r w:rsidRPr="00AA6591">
              <w:rPr>
                <w:sz w:val="16"/>
                <w:szCs w:val="16"/>
              </w:rPr>
              <w:t>48,48</w:t>
            </w:r>
          </w:p>
        </w:tc>
      </w:tr>
      <w:tr w:rsidR="005E1C84" w:rsidRPr="00AA6591" w14:paraId="41E4FFD9" w14:textId="77777777" w:rsidTr="00294377">
        <w:trPr>
          <w:trHeight w:hRule="exact" w:val="202"/>
          <w:jc w:val="center"/>
        </w:trPr>
        <w:tc>
          <w:tcPr>
            <w:tcW w:w="1294" w:type="dxa"/>
            <w:shd w:val="clear" w:color="000000" w:fill="FFFFFF"/>
            <w:noWrap/>
          </w:tcPr>
          <w:p w14:paraId="1F353260" w14:textId="77777777" w:rsidR="005E1C84" w:rsidRPr="00AA6591" w:rsidRDefault="005E1C84" w:rsidP="00294377">
            <w:pPr>
              <w:jc w:val="center"/>
              <w:rPr>
                <w:sz w:val="16"/>
                <w:szCs w:val="16"/>
              </w:rPr>
            </w:pPr>
            <w:r w:rsidRPr="00AA6591">
              <w:rPr>
                <w:sz w:val="16"/>
                <w:szCs w:val="16"/>
              </w:rPr>
              <w:t>3Q 2015</w:t>
            </w:r>
          </w:p>
        </w:tc>
        <w:tc>
          <w:tcPr>
            <w:tcW w:w="1330" w:type="dxa"/>
            <w:shd w:val="clear" w:color="000000" w:fill="FFFFFF"/>
            <w:noWrap/>
          </w:tcPr>
          <w:p w14:paraId="56DA625E" w14:textId="77777777" w:rsidR="005E1C84" w:rsidRPr="00AA6591" w:rsidRDefault="005E1C84" w:rsidP="00294377">
            <w:pPr>
              <w:jc w:val="center"/>
              <w:rPr>
                <w:sz w:val="16"/>
                <w:szCs w:val="16"/>
              </w:rPr>
            </w:pPr>
            <w:r w:rsidRPr="00AA6591">
              <w:rPr>
                <w:sz w:val="16"/>
                <w:szCs w:val="16"/>
              </w:rPr>
              <w:t>15,19</w:t>
            </w:r>
          </w:p>
        </w:tc>
        <w:tc>
          <w:tcPr>
            <w:tcW w:w="1330" w:type="dxa"/>
            <w:shd w:val="clear" w:color="000000" w:fill="FFFFFF"/>
            <w:noWrap/>
          </w:tcPr>
          <w:p w14:paraId="12FC93A8" w14:textId="77777777" w:rsidR="005E1C84" w:rsidRPr="00AA6591" w:rsidRDefault="005E1C84" w:rsidP="00294377">
            <w:pPr>
              <w:jc w:val="center"/>
              <w:rPr>
                <w:sz w:val="16"/>
                <w:szCs w:val="16"/>
              </w:rPr>
            </w:pPr>
            <w:r w:rsidRPr="00AA6591">
              <w:rPr>
                <w:sz w:val="16"/>
                <w:szCs w:val="16"/>
              </w:rPr>
              <w:t>47,78</w:t>
            </w:r>
          </w:p>
        </w:tc>
        <w:tc>
          <w:tcPr>
            <w:tcW w:w="1295" w:type="dxa"/>
            <w:shd w:val="clear" w:color="000000" w:fill="FFFFFF"/>
            <w:noWrap/>
          </w:tcPr>
          <w:p w14:paraId="7EB94FE5" w14:textId="77777777" w:rsidR="005E1C84" w:rsidRPr="00AA6591" w:rsidRDefault="005E1C84" w:rsidP="00294377">
            <w:pPr>
              <w:jc w:val="center"/>
              <w:rPr>
                <w:sz w:val="16"/>
                <w:szCs w:val="16"/>
              </w:rPr>
            </w:pPr>
            <w:r w:rsidRPr="00AA6591">
              <w:rPr>
                <w:sz w:val="16"/>
                <w:szCs w:val="16"/>
              </w:rPr>
              <w:t>18,36</w:t>
            </w:r>
          </w:p>
        </w:tc>
        <w:tc>
          <w:tcPr>
            <w:tcW w:w="1295" w:type="dxa"/>
            <w:shd w:val="clear" w:color="000000" w:fill="FFFFFF"/>
            <w:noWrap/>
          </w:tcPr>
          <w:p w14:paraId="263B096A" w14:textId="77777777" w:rsidR="005E1C84" w:rsidRPr="00AA6591" w:rsidRDefault="005E1C84" w:rsidP="00294377">
            <w:pPr>
              <w:jc w:val="center"/>
              <w:rPr>
                <w:sz w:val="16"/>
                <w:szCs w:val="16"/>
              </w:rPr>
            </w:pPr>
            <w:r w:rsidRPr="00AA6591">
              <w:rPr>
                <w:sz w:val="16"/>
                <w:szCs w:val="16"/>
              </w:rPr>
              <w:t>47,80</w:t>
            </w:r>
          </w:p>
        </w:tc>
      </w:tr>
      <w:tr w:rsidR="005E1C84" w:rsidRPr="00AA6591" w14:paraId="2DE676D9" w14:textId="77777777" w:rsidTr="00294377">
        <w:trPr>
          <w:trHeight w:hRule="exact" w:val="202"/>
          <w:jc w:val="center"/>
        </w:trPr>
        <w:tc>
          <w:tcPr>
            <w:tcW w:w="1294" w:type="dxa"/>
            <w:shd w:val="clear" w:color="000000" w:fill="FFFFFF"/>
            <w:noWrap/>
          </w:tcPr>
          <w:p w14:paraId="09380798" w14:textId="77777777" w:rsidR="005E1C84" w:rsidRPr="00AA6591" w:rsidRDefault="005E1C84" w:rsidP="00294377">
            <w:pPr>
              <w:jc w:val="center"/>
              <w:rPr>
                <w:sz w:val="16"/>
                <w:szCs w:val="16"/>
              </w:rPr>
            </w:pPr>
            <w:r w:rsidRPr="00AA6591">
              <w:rPr>
                <w:sz w:val="16"/>
                <w:szCs w:val="16"/>
              </w:rPr>
              <w:t>4Q 2015</w:t>
            </w:r>
          </w:p>
        </w:tc>
        <w:tc>
          <w:tcPr>
            <w:tcW w:w="1330" w:type="dxa"/>
            <w:shd w:val="clear" w:color="000000" w:fill="FFFFFF"/>
            <w:noWrap/>
          </w:tcPr>
          <w:p w14:paraId="45880AF1" w14:textId="77777777" w:rsidR="005E1C84" w:rsidRPr="00AA6591" w:rsidRDefault="005E1C84" w:rsidP="00294377">
            <w:pPr>
              <w:jc w:val="center"/>
              <w:rPr>
                <w:sz w:val="16"/>
                <w:szCs w:val="16"/>
              </w:rPr>
            </w:pPr>
            <w:r w:rsidRPr="00AA6591">
              <w:rPr>
                <w:sz w:val="16"/>
                <w:szCs w:val="16"/>
              </w:rPr>
              <w:t>18,52</w:t>
            </w:r>
          </w:p>
        </w:tc>
        <w:tc>
          <w:tcPr>
            <w:tcW w:w="1330" w:type="dxa"/>
            <w:shd w:val="clear" w:color="000000" w:fill="FFFFFF"/>
            <w:noWrap/>
          </w:tcPr>
          <w:p w14:paraId="0F188649" w14:textId="77777777" w:rsidR="005E1C84" w:rsidRPr="00AA6591" w:rsidRDefault="005E1C84" w:rsidP="00294377">
            <w:pPr>
              <w:jc w:val="center"/>
              <w:rPr>
                <w:sz w:val="16"/>
                <w:szCs w:val="16"/>
              </w:rPr>
            </w:pPr>
            <w:r w:rsidRPr="00AA6591">
              <w:rPr>
                <w:sz w:val="16"/>
                <w:szCs w:val="16"/>
              </w:rPr>
              <w:t>48,23</w:t>
            </w:r>
          </w:p>
        </w:tc>
        <w:tc>
          <w:tcPr>
            <w:tcW w:w="1295" w:type="dxa"/>
            <w:shd w:val="clear" w:color="000000" w:fill="FFFFFF"/>
            <w:noWrap/>
          </w:tcPr>
          <w:p w14:paraId="3AE463FB" w14:textId="77777777" w:rsidR="005E1C84" w:rsidRPr="00AA6591" w:rsidRDefault="005E1C84" w:rsidP="00294377">
            <w:pPr>
              <w:jc w:val="center"/>
              <w:rPr>
                <w:sz w:val="16"/>
                <w:szCs w:val="16"/>
              </w:rPr>
            </w:pPr>
            <w:r w:rsidRPr="00AA6591">
              <w:rPr>
                <w:sz w:val="16"/>
                <w:szCs w:val="16"/>
              </w:rPr>
              <w:t>18,61</w:t>
            </w:r>
          </w:p>
        </w:tc>
        <w:tc>
          <w:tcPr>
            <w:tcW w:w="1295" w:type="dxa"/>
            <w:shd w:val="clear" w:color="000000" w:fill="FFFFFF"/>
            <w:noWrap/>
          </w:tcPr>
          <w:p w14:paraId="66DC5645" w14:textId="77777777" w:rsidR="005E1C84" w:rsidRPr="00AA6591" w:rsidRDefault="005E1C84" w:rsidP="00294377">
            <w:pPr>
              <w:jc w:val="center"/>
              <w:rPr>
                <w:sz w:val="16"/>
                <w:szCs w:val="16"/>
              </w:rPr>
            </w:pPr>
            <w:r w:rsidRPr="00AA6591">
              <w:rPr>
                <w:sz w:val="16"/>
                <w:szCs w:val="16"/>
              </w:rPr>
              <w:t>48,25</w:t>
            </w:r>
          </w:p>
        </w:tc>
      </w:tr>
      <w:tr w:rsidR="005E1C84" w:rsidRPr="00AA6591" w14:paraId="4822A75E" w14:textId="77777777" w:rsidTr="00294377">
        <w:trPr>
          <w:trHeight w:hRule="exact" w:val="202"/>
          <w:jc w:val="center"/>
        </w:trPr>
        <w:tc>
          <w:tcPr>
            <w:tcW w:w="1294" w:type="dxa"/>
            <w:shd w:val="clear" w:color="000000" w:fill="FFFFFF"/>
            <w:noWrap/>
          </w:tcPr>
          <w:p w14:paraId="7D6A3E3E" w14:textId="77777777" w:rsidR="005E1C84" w:rsidRPr="00AA6591" w:rsidRDefault="005E1C84" w:rsidP="00294377">
            <w:pPr>
              <w:jc w:val="center"/>
              <w:rPr>
                <w:sz w:val="16"/>
                <w:szCs w:val="16"/>
              </w:rPr>
            </w:pPr>
            <w:r w:rsidRPr="00AA6591">
              <w:rPr>
                <w:sz w:val="16"/>
                <w:szCs w:val="16"/>
              </w:rPr>
              <w:t>1Q 2016</w:t>
            </w:r>
          </w:p>
        </w:tc>
        <w:tc>
          <w:tcPr>
            <w:tcW w:w="1330" w:type="dxa"/>
            <w:shd w:val="clear" w:color="000000" w:fill="FFFFFF"/>
            <w:noWrap/>
          </w:tcPr>
          <w:p w14:paraId="6FE2C170" w14:textId="77777777" w:rsidR="005E1C84" w:rsidRPr="00AA6591" w:rsidRDefault="005E1C84" w:rsidP="00294377">
            <w:pPr>
              <w:jc w:val="center"/>
              <w:rPr>
                <w:sz w:val="16"/>
                <w:szCs w:val="16"/>
              </w:rPr>
            </w:pPr>
            <w:r w:rsidRPr="00AA6591">
              <w:rPr>
                <w:sz w:val="16"/>
                <w:szCs w:val="16"/>
              </w:rPr>
              <w:t>21,31</w:t>
            </w:r>
          </w:p>
        </w:tc>
        <w:tc>
          <w:tcPr>
            <w:tcW w:w="1330" w:type="dxa"/>
            <w:shd w:val="clear" w:color="000000" w:fill="FFFFFF"/>
            <w:noWrap/>
          </w:tcPr>
          <w:p w14:paraId="6923DBB3" w14:textId="77777777" w:rsidR="005E1C84" w:rsidRPr="00AA6591" w:rsidRDefault="005E1C84" w:rsidP="00294377">
            <w:pPr>
              <w:jc w:val="center"/>
              <w:rPr>
                <w:sz w:val="16"/>
                <w:szCs w:val="16"/>
              </w:rPr>
            </w:pPr>
            <w:r w:rsidRPr="00AA6591">
              <w:rPr>
                <w:sz w:val="16"/>
                <w:szCs w:val="16"/>
              </w:rPr>
              <w:t>48,96</w:t>
            </w:r>
          </w:p>
        </w:tc>
        <w:tc>
          <w:tcPr>
            <w:tcW w:w="1295" w:type="dxa"/>
            <w:shd w:val="clear" w:color="000000" w:fill="FFFFFF"/>
            <w:noWrap/>
          </w:tcPr>
          <w:p w14:paraId="1FB03F2A" w14:textId="77777777" w:rsidR="005E1C84" w:rsidRPr="00AA6591" w:rsidRDefault="005E1C84" w:rsidP="00294377">
            <w:pPr>
              <w:jc w:val="center"/>
              <w:rPr>
                <w:sz w:val="16"/>
                <w:szCs w:val="16"/>
              </w:rPr>
            </w:pPr>
            <w:r w:rsidRPr="00AA6591">
              <w:rPr>
                <w:sz w:val="16"/>
                <w:szCs w:val="16"/>
              </w:rPr>
              <w:t>21,40</w:t>
            </w:r>
          </w:p>
        </w:tc>
        <w:tc>
          <w:tcPr>
            <w:tcW w:w="1295" w:type="dxa"/>
            <w:shd w:val="clear" w:color="000000" w:fill="FFFFFF"/>
            <w:noWrap/>
          </w:tcPr>
          <w:p w14:paraId="4773FFA1" w14:textId="77777777" w:rsidR="005E1C84" w:rsidRPr="00AA6591" w:rsidRDefault="005E1C84" w:rsidP="00294377">
            <w:pPr>
              <w:jc w:val="center"/>
              <w:rPr>
                <w:sz w:val="16"/>
                <w:szCs w:val="16"/>
              </w:rPr>
            </w:pPr>
            <w:r w:rsidRPr="00AA6591">
              <w:rPr>
                <w:sz w:val="16"/>
                <w:szCs w:val="16"/>
              </w:rPr>
              <w:t>48,98</w:t>
            </w:r>
          </w:p>
        </w:tc>
      </w:tr>
      <w:tr w:rsidR="005E1C84" w:rsidRPr="00AA6591" w14:paraId="73D58A59" w14:textId="77777777" w:rsidTr="00294377">
        <w:trPr>
          <w:trHeight w:hRule="exact" w:val="202"/>
          <w:jc w:val="center"/>
        </w:trPr>
        <w:tc>
          <w:tcPr>
            <w:tcW w:w="1294" w:type="dxa"/>
            <w:shd w:val="clear" w:color="000000" w:fill="FFFFFF"/>
            <w:noWrap/>
          </w:tcPr>
          <w:p w14:paraId="747B9FDB" w14:textId="77777777" w:rsidR="005E1C84" w:rsidRPr="00AA6591" w:rsidRDefault="005E1C84" w:rsidP="00294377">
            <w:pPr>
              <w:jc w:val="center"/>
              <w:rPr>
                <w:sz w:val="16"/>
                <w:szCs w:val="16"/>
              </w:rPr>
            </w:pPr>
            <w:r w:rsidRPr="00AA6591">
              <w:rPr>
                <w:sz w:val="16"/>
                <w:szCs w:val="16"/>
              </w:rPr>
              <w:t>2Q 2016</w:t>
            </w:r>
          </w:p>
        </w:tc>
        <w:tc>
          <w:tcPr>
            <w:tcW w:w="1330" w:type="dxa"/>
            <w:shd w:val="clear" w:color="000000" w:fill="FFFFFF"/>
            <w:noWrap/>
          </w:tcPr>
          <w:p w14:paraId="45B0852D" w14:textId="77777777" w:rsidR="005E1C84" w:rsidRPr="00AA6591" w:rsidRDefault="005E1C84" w:rsidP="00294377">
            <w:pPr>
              <w:jc w:val="center"/>
              <w:rPr>
                <w:sz w:val="16"/>
                <w:szCs w:val="16"/>
              </w:rPr>
            </w:pPr>
            <w:r w:rsidRPr="00AA6591">
              <w:rPr>
                <w:sz w:val="16"/>
                <w:szCs w:val="16"/>
              </w:rPr>
              <w:t>22,64</w:t>
            </w:r>
          </w:p>
        </w:tc>
        <w:tc>
          <w:tcPr>
            <w:tcW w:w="1330" w:type="dxa"/>
            <w:shd w:val="clear" w:color="000000" w:fill="FFFFFF"/>
            <w:noWrap/>
          </w:tcPr>
          <w:p w14:paraId="1FF1E97D" w14:textId="77777777" w:rsidR="005E1C84" w:rsidRPr="00AA6591" w:rsidRDefault="005E1C84" w:rsidP="00294377">
            <w:pPr>
              <w:jc w:val="center"/>
              <w:rPr>
                <w:sz w:val="16"/>
                <w:szCs w:val="16"/>
              </w:rPr>
            </w:pPr>
            <w:r w:rsidRPr="00AA6591">
              <w:rPr>
                <w:sz w:val="16"/>
                <w:szCs w:val="16"/>
              </w:rPr>
              <w:t>45,60</w:t>
            </w:r>
          </w:p>
        </w:tc>
        <w:tc>
          <w:tcPr>
            <w:tcW w:w="1295" w:type="dxa"/>
            <w:shd w:val="clear" w:color="000000" w:fill="FFFFFF"/>
            <w:noWrap/>
          </w:tcPr>
          <w:p w14:paraId="1E972798" w14:textId="77777777" w:rsidR="005E1C84" w:rsidRPr="00AA6591" w:rsidRDefault="005E1C84" w:rsidP="00294377">
            <w:pPr>
              <w:jc w:val="center"/>
              <w:rPr>
                <w:sz w:val="16"/>
                <w:szCs w:val="16"/>
              </w:rPr>
            </w:pPr>
            <w:r w:rsidRPr="00AA6591">
              <w:rPr>
                <w:sz w:val="16"/>
                <w:szCs w:val="16"/>
              </w:rPr>
              <w:t>22,73</w:t>
            </w:r>
          </w:p>
        </w:tc>
        <w:tc>
          <w:tcPr>
            <w:tcW w:w="1295" w:type="dxa"/>
            <w:shd w:val="clear" w:color="000000" w:fill="FFFFFF"/>
            <w:noWrap/>
          </w:tcPr>
          <w:p w14:paraId="27D6BB20" w14:textId="77777777" w:rsidR="005E1C84" w:rsidRPr="00AA6591" w:rsidRDefault="005E1C84" w:rsidP="00294377">
            <w:pPr>
              <w:jc w:val="center"/>
              <w:rPr>
                <w:sz w:val="16"/>
                <w:szCs w:val="16"/>
              </w:rPr>
            </w:pPr>
            <w:r w:rsidRPr="00AA6591">
              <w:rPr>
                <w:sz w:val="16"/>
                <w:szCs w:val="16"/>
              </w:rPr>
              <w:t>45,62</w:t>
            </w:r>
          </w:p>
        </w:tc>
      </w:tr>
      <w:tr w:rsidR="005E1C84" w:rsidRPr="00AA6591" w14:paraId="18D1BA64" w14:textId="77777777" w:rsidTr="00294377">
        <w:trPr>
          <w:trHeight w:hRule="exact" w:val="202"/>
          <w:jc w:val="center"/>
        </w:trPr>
        <w:tc>
          <w:tcPr>
            <w:tcW w:w="1294" w:type="dxa"/>
            <w:shd w:val="clear" w:color="000000" w:fill="FFFFFF"/>
            <w:noWrap/>
          </w:tcPr>
          <w:p w14:paraId="62295C5C" w14:textId="77777777" w:rsidR="005E1C84" w:rsidRPr="00AA6591" w:rsidRDefault="005E1C84" w:rsidP="00294377">
            <w:pPr>
              <w:jc w:val="center"/>
              <w:rPr>
                <w:sz w:val="16"/>
                <w:szCs w:val="16"/>
              </w:rPr>
            </w:pPr>
            <w:r w:rsidRPr="00AA6591">
              <w:rPr>
                <w:sz w:val="16"/>
                <w:szCs w:val="16"/>
              </w:rPr>
              <w:t>3Q 2016</w:t>
            </w:r>
          </w:p>
        </w:tc>
        <w:tc>
          <w:tcPr>
            <w:tcW w:w="1330" w:type="dxa"/>
            <w:shd w:val="clear" w:color="000000" w:fill="FFFFFF"/>
            <w:noWrap/>
          </w:tcPr>
          <w:p w14:paraId="67C92224" w14:textId="77777777" w:rsidR="005E1C84" w:rsidRPr="00AA6591" w:rsidRDefault="005E1C84" w:rsidP="00294377">
            <w:pPr>
              <w:jc w:val="center"/>
              <w:rPr>
                <w:sz w:val="16"/>
                <w:szCs w:val="16"/>
              </w:rPr>
            </w:pPr>
            <w:r w:rsidRPr="00AA6591">
              <w:rPr>
                <w:sz w:val="16"/>
                <w:szCs w:val="16"/>
              </w:rPr>
              <w:t>22,13</w:t>
            </w:r>
          </w:p>
        </w:tc>
        <w:tc>
          <w:tcPr>
            <w:tcW w:w="1330" w:type="dxa"/>
            <w:shd w:val="clear" w:color="000000" w:fill="FFFFFF"/>
            <w:noWrap/>
          </w:tcPr>
          <w:p w14:paraId="2A2FAE6C" w14:textId="77777777" w:rsidR="005E1C84" w:rsidRPr="00AA6591" w:rsidRDefault="005E1C84" w:rsidP="00294377">
            <w:pPr>
              <w:jc w:val="center"/>
              <w:rPr>
                <w:sz w:val="16"/>
                <w:szCs w:val="16"/>
              </w:rPr>
            </w:pPr>
            <w:r w:rsidRPr="00AA6591">
              <w:rPr>
                <w:sz w:val="16"/>
                <w:szCs w:val="16"/>
              </w:rPr>
              <w:t>45,06</w:t>
            </w:r>
          </w:p>
        </w:tc>
        <w:tc>
          <w:tcPr>
            <w:tcW w:w="1295" w:type="dxa"/>
            <w:shd w:val="clear" w:color="000000" w:fill="FFFFFF"/>
            <w:noWrap/>
          </w:tcPr>
          <w:p w14:paraId="02433BEE" w14:textId="77777777" w:rsidR="005E1C84" w:rsidRPr="00AA6591" w:rsidRDefault="005E1C84" w:rsidP="00294377">
            <w:pPr>
              <w:jc w:val="center"/>
              <w:rPr>
                <w:sz w:val="16"/>
                <w:szCs w:val="16"/>
              </w:rPr>
            </w:pPr>
            <w:r w:rsidRPr="00AA6591">
              <w:rPr>
                <w:sz w:val="16"/>
                <w:szCs w:val="16"/>
              </w:rPr>
              <w:t>22,22</w:t>
            </w:r>
          </w:p>
        </w:tc>
        <w:tc>
          <w:tcPr>
            <w:tcW w:w="1295" w:type="dxa"/>
            <w:shd w:val="clear" w:color="000000" w:fill="FFFFFF"/>
            <w:noWrap/>
          </w:tcPr>
          <w:p w14:paraId="685ED301" w14:textId="77777777" w:rsidR="005E1C84" w:rsidRPr="00AA6591" w:rsidRDefault="005E1C84" w:rsidP="00294377">
            <w:pPr>
              <w:jc w:val="center"/>
              <w:rPr>
                <w:sz w:val="16"/>
                <w:szCs w:val="16"/>
              </w:rPr>
            </w:pPr>
            <w:r w:rsidRPr="00AA6591">
              <w:rPr>
                <w:sz w:val="16"/>
                <w:szCs w:val="16"/>
              </w:rPr>
              <w:t>45,08</w:t>
            </w:r>
          </w:p>
        </w:tc>
      </w:tr>
      <w:tr w:rsidR="005E1C84" w:rsidRPr="00AA6591" w14:paraId="258D0025" w14:textId="77777777" w:rsidTr="00294377">
        <w:trPr>
          <w:trHeight w:hRule="exact" w:val="202"/>
          <w:jc w:val="center"/>
        </w:trPr>
        <w:tc>
          <w:tcPr>
            <w:tcW w:w="1294" w:type="dxa"/>
            <w:shd w:val="clear" w:color="000000" w:fill="FFFFFF"/>
            <w:noWrap/>
          </w:tcPr>
          <w:p w14:paraId="40E83D75" w14:textId="77777777" w:rsidR="005E1C84" w:rsidRPr="00AA6591" w:rsidRDefault="005E1C84" w:rsidP="00294377">
            <w:pPr>
              <w:jc w:val="center"/>
              <w:rPr>
                <w:sz w:val="16"/>
                <w:szCs w:val="16"/>
              </w:rPr>
            </w:pPr>
            <w:r w:rsidRPr="00AA6591">
              <w:rPr>
                <w:sz w:val="16"/>
                <w:szCs w:val="16"/>
              </w:rPr>
              <w:t>4Q2016</w:t>
            </w:r>
          </w:p>
        </w:tc>
        <w:tc>
          <w:tcPr>
            <w:tcW w:w="1330" w:type="dxa"/>
            <w:shd w:val="clear" w:color="000000" w:fill="FFFFFF"/>
            <w:noWrap/>
          </w:tcPr>
          <w:p w14:paraId="288A9503" w14:textId="77777777" w:rsidR="005E1C84" w:rsidRPr="00AA6591" w:rsidRDefault="005E1C84" w:rsidP="00294377">
            <w:pPr>
              <w:jc w:val="center"/>
              <w:rPr>
                <w:sz w:val="16"/>
                <w:szCs w:val="16"/>
              </w:rPr>
            </w:pPr>
            <w:r w:rsidRPr="00AA6591">
              <w:rPr>
                <w:sz w:val="16"/>
                <w:szCs w:val="16"/>
              </w:rPr>
              <w:t>20,29</w:t>
            </w:r>
          </w:p>
        </w:tc>
        <w:tc>
          <w:tcPr>
            <w:tcW w:w="1330" w:type="dxa"/>
            <w:shd w:val="clear" w:color="000000" w:fill="FFFFFF"/>
            <w:noWrap/>
          </w:tcPr>
          <w:p w14:paraId="67834FF5" w14:textId="77777777" w:rsidR="005E1C84" w:rsidRPr="00AA6591" w:rsidRDefault="005E1C84" w:rsidP="00294377">
            <w:pPr>
              <w:jc w:val="center"/>
              <w:rPr>
                <w:sz w:val="16"/>
                <w:szCs w:val="16"/>
              </w:rPr>
            </w:pPr>
            <w:r w:rsidRPr="00AA6591">
              <w:rPr>
                <w:sz w:val="16"/>
                <w:szCs w:val="16"/>
              </w:rPr>
              <w:t>42,97</w:t>
            </w:r>
          </w:p>
        </w:tc>
        <w:tc>
          <w:tcPr>
            <w:tcW w:w="1295" w:type="dxa"/>
            <w:shd w:val="clear" w:color="000000" w:fill="FFFFFF"/>
            <w:noWrap/>
          </w:tcPr>
          <w:p w14:paraId="339F48DD" w14:textId="77777777" w:rsidR="005E1C84" w:rsidRPr="00AA6591" w:rsidRDefault="005E1C84" w:rsidP="00294377">
            <w:pPr>
              <w:jc w:val="center"/>
              <w:rPr>
                <w:sz w:val="16"/>
                <w:szCs w:val="16"/>
              </w:rPr>
            </w:pPr>
            <w:r w:rsidRPr="00AA6591">
              <w:rPr>
                <w:sz w:val="16"/>
                <w:szCs w:val="16"/>
              </w:rPr>
              <w:t>20,38</w:t>
            </w:r>
          </w:p>
        </w:tc>
        <w:tc>
          <w:tcPr>
            <w:tcW w:w="1295" w:type="dxa"/>
            <w:shd w:val="clear" w:color="000000" w:fill="FFFFFF"/>
            <w:noWrap/>
          </w:tcPr>
          <w:p w14:paraId="00BB1E7B" w14:textId="77777777" w:rsidR="005E1C84" w:rsidRPr="00AA6591" w:rsidRDefault="005E1C84" w:rsidP="00294377">
            <w:pPr>
              <w:jc w:val="center"/>
              <w:rPr>
                <w:sz w:val="16"/>
                <w:szCs w:val="16"/>
              </w:rPr>
            </w:pPr>
            <w:r w:rsidRPr="00AA6591">
              <w:rPr>
                <w:sz w:val="16"/>
                <w:szCs w:val="16"/>
              </w:rPr>
              <w:t>42,98</w:t>
            </w:r>
          </w:p>
        </w:tc>
      </w:tr>
      <w:tr w:rsidR="005E1C84" w:rsidRPr="00AA6591" w14:paraId="156F2BD0" w14:textId="77777777" w:rsidTr="00294377">
        <w:trPr>
          <w:trHeight w:hRule="exact" w:val="202"/>
          <w:jc w:val="center"/>
        </w:trPr>
        <w:tc>
          <w:tcPr>
            <w:tcW w:w="1294" w:type="dxa"/>
            <w:shd w:val="clear" w:color="000000" w:fill="FFFFFF"/>
            <w:noWrap/>
          </w:tcPr>
          <w:p w14:paraId="2D4B4C68" w14:textId="77777777" w:rsidR="005E1C84" w:rsidRPr="00AA6591" w:rsidRDefault="005E1C84" w:rsidP="00294377">
            <w:pPr>
              <w:jc w:val="center"/>
              <w:rPr>
                <w:sz w:val="16"/>
                <w:szCs w:val="16"/>
              </w:rPr>
            </w:pPr>
            <w:r w:rsidRPr="00AA6591">
              <w:rPr>
                <w:sz w:val="16"/>
                <w:szCs w:val="16"/>
              </w:rPr>
              <w:t>1Q2017</w:t>
            </w:r>
          </w:p>
        </w:tc>
        <w:tc>
          <w:tcPr>
            <w:tcW w:w="1330" w:type="dxa"/>
            <w:shd w:val="clear" w:color="000000" w:fill="FFFFFF"/>
            <w:noWrap/>
          </w:tcPr>
          <w:p w14:paraId="3CBF0344" w14:textId="77777777" w:rsidR="005E1C84" w:rsidRPr="00AA6591" w:rsidRDefault="005E1C84" w:rsidP="00294377">
            <w:pPr>
              <w:jc w:val="center"/>
              <w:rPr>
                <w:sz w:val="16"/>
                <w:szCs w:val="16"/>
              </w:rPr>
            </w:pPr>
            <w:r w:rsidRPr="00AA6591">
              <w:rPr>
                <w:sz w:val="16"/>
                <w:szCs w:val="16"/>
              </w:rPr>
              <w:t>13,31</w:t>
            </w:r>
          </w:p>
        </w:tc>
        <w:tc>
          <w:tcPr>
            <w:tcW w:w="1330" w:type="dxa"/>
            <w:shd w:val="clear" w:color="000000" w:fill="FFFFFF"/>
            <w:noWrap/>
          </w:tcPr>
          <w:p w14:paraId="06ED22DB" w14:textId="77777777" w:rsidR="005E1C84" w:rsidRPr="00AA6591" w:rsidRDefault="005E1C84" w:rsidP="00294377">
            <w:pPr>
              <w:jc w:val="center"/>
              <w:rPr>
                <w:sz w:val="16"/>
                <w:szCs w:val="16"/>
              </w:rPr>
            </w:pPr>
            <w:r w:rsidRPr="00AA6591">
              <w:rPr>
                <w:sz w:val="16"/>
                <w:szCs w:val="16"/>
              </w:rPr>
              <w:t>36,06</w:t>
            </w:r>
          </w:p>
        </w:tc>
        <w:tc>
          <w:tcPr>
            <w:tcW w:w="1295" w:type="dxa"/>
            <w:shd w:val="clear" w:color="000000" w:fill="FFFFFF"/>
            <w:noWrap/>
          </w:tcPr>
          <w:p w14:paraId="525EF0F1" w14:textId="77777777" w:rsidR="005E1C84" w:rsidRPr="00AA6591" w:rsidRDefault="005E1C84" w:rsidP="00294377">
            <w:pPr>
              <w:jc w:val="center"/>
              <w:rPr>
                <w:sz w:val="16"/>
                <w:szCs w:val="16"/>
              </w:rPr>
            </w:pPr>
            <w:r w:rsidRPr="00AA6591">
              <w:rPr>
                <w:sz w:val="16"/>
                <w:szCs w:val="16"/>
              </w:rPr>
              <w:t>13,40</w:t>
            </w:r>
          </w:p>
        </w:tc>
        <w:tc>
          <w:tcPr>
            <w:tcW w:w="1295" w:type="dxa"/>
            <w:shd w:val="clear" w:color="000000" w:fill="FFFFFF"/>
            <w:noWrap/>
          </w:tcPr>
          <w:p w14:paraId="1F4E2F09" w14:textId="77777777" w:rsidR="005E1C84" w:rsidRPr="00AA6591" w:rsidRDefault="005E1C84" w:rsidP="00294377">
            <w:pPr>
              <w:jc w:val="center"/>
              <w:rPr>
                <w:sz w:val="16"/>
                <w:szCs w:val="16"/>
              </w:rPr>
            </w:pPr>
            <w:r w:rsidRPr="00AA6591">
              <w:rPr>
                <w:sz w:val="16"/>
                <w:szCs w:val="16"/>
              </w:rPr>
              <w:t>36,07</w:t>
            </w:r>
          </w:p>
        </w:tc>
      </w:tr>
      <w:tr w:rsidR="005E1C84" w:rsidRPr="00AA6591" w14:paraId="160694A9" w14:textId="77777777" w:rsidTr="00294377">
        <w:trPr>
          <w:trHeight w:hRule="exact" w:val="202"/>
          <w:jc w:val="center"/>
        </w:trPr>
        <w:tc>
          <w:tcPr>
            <w:tcW w:w="1294" w:type="dxa"/>
            <w:shd w:val="clear" w:color="000000" w:fill="FFFFFF"/>
            <w:noWrap/>
          </w:tcPr>
          <w:p w14:paraId="64F07F3C" w14:textId="77777777" w:rsidR="005E1C84" w:rsidRPr="00AA6591" w:rsidRDefault="005E1C84" w:rsidP="00294377">
            <w:pPr>
              <w:jc w:val="center"/>
              <w:rPr>
                <w:sz w:val="16"/>
                <w:szCs w:val="16"/>
              </w:rPr>
            </w:pPr>
            <w:r w:rsidRPr="00AA6591">
              <w:rPr>
                <w:sz w:val="16"/>
                <w:szCs w:val="16"/>
              </w:rPr>
              <w:t>2Q2017</w:t>
            </w:r>
          </w:p>
        </w:tc>
        <w:tc>
          <w:tcPr>
            <w:tcW w:w="1330" w:type="dxa"/>
            <w:shd w:val="clear" w:color="000000" w:fill="FFFFFF"/>
            <w:noWrap/>
          </w:tcPr>
          <w:p w14:paraId="794E153B" w14:textId="77777777" w:rsidR="005E1C84" w:rsidRPr="00AA6591" w:rsidRDefault="005E1C84" w:rsidP="00294377">
            <w:pPr>
              <w:jc w:val="center"/>
              <w:rPr>
                <w:sz w:val="16"/>
                <w:szCs w:val="16"/>
              </w:rPr>
            </w:pPr>
            <w:r w:rsidRPr="00AA6591">
              <w:rPr>
                <w:sz w:val="16"/>
                <w:szCs w:val="16"/>
              </w:rPr>
              <w:t>12,58</w:t>
            </w:r>
          </w:p>
        </w:tc>
        <w:tc>
          <w:tcPr>
            <w:tcW w:w="1330" w:type="dxa"/>
            <w:shd w:val="clear" w:color="000000" w:fill="FFFFFF"/>
            <w:noWrap/>
          </w:tcPr>
          <w:p w14:paraId="439182FA" w14:textId="77777777" w:rsidR="005E1C84" w:rsidRPr="00AA6591" w:rsidRDefault="005E1C84" w:rsidP="00294377">
            <w:pPr>
              <w:jc w:val="center"/>
              <w:rPr>
                <w:sz w:val="16"/>
                <w:szCs w:val="16"/>
              </w:rPr>
            </w:pPr>
            <w:r w:rsidRPr="00AA6591">
              <w:rPr>
                <w:sz w:val="16"/>
                <w:szCs w:val="16"/>
              </w:rPr>
              <w:t>37,34</w:t>
            </w:r>
          </w:p>
        </w:tc>
        <w:tc>
          <w:tcPr>
            <w:tcW w:w="1295" w:type="dxa"/>
            <w:shd w:val="clear" w:color="000000" w:fill="FFFFFF"/>
            <w:noWrap/>
          </w:tcPr>
          <w:p w14:paraId="405A851D" w14:textId="77777777" w:rsidR="005E1C84" w:rsidRPr="00AA6591" w:rsidRDefault="005E1C84" w:rsidP="00294377">
            <w:pPr>
              <w:jc w:val="center"/>
              <w:rPr>
                <w:sz w:val="16"/>
                <w:szCs w:val="16"/>
              </w:rPr>
            </w:pPr>
            <w:r w:rsidRPr="00AA6591">
              <w:rPr>
                <w:sz w:val="16"/>
                <w:szCs w:val="16"/>
              </w:rPr>
              <w:t>12,60</w:t>
            </w:r>
          </w:p>
        </w:tc>
        <w:tc>
          <w:tcPr>
            <w:tcW w:w="1295" w:type="dxa"/>
            <w:shd w:val="clear" w:color="000000" w:fill="FFFFFF"/>
            <w:noWrap/>
          </w:tcPr>
          <w:p w14:paraId="6BB190A2" w14:textId="77777777" w:rsidR="005E1C84" w:rsidRPr="00AA6591" w:rsidRDefault="005E1C84" w:rsidP="00294377">
            <w:pPr>
              <w:jc w:val="center"/>
              <w:rPr>
                <w:sz w:val="16"/>
                <w:szCs w:val="16"/>
              </w:rPr>
            </w:pPr>
            <w:r w:rsidRPr="00AA6591">
              <w:rPr>
                <w:sz w:val="16"/>
                <w:szCs w:val="16"/>
              </w:rPr>
              <w:t>37,36</w:t>
            </w:r>
          </w:p>
        </w:tc>
      </w:tr>
      <w:tr w:rsidR="005E1C84" w:rsidRPr="00AA6591" w14:paraId="35476694" w14:textId="77777777" w:rsidTr="00294377">
        <w:trPr>
          <w:trHeight w:hRule="exact" w:val="202"/>
          <w:jc w:val="center"/>
        </w:trPr>
        <w:tc>
          <w:tcPr>
            <w:tcW w:w="1294" w:type="dxa"/>
            <w:shd w:val="clear" w:color="000000" w:fill="FFFFFF"/>
            <w:noWrap/>
          </w:tcPr>
          <w:p w14:paraId="1581C9F9" w14:textId="77777777" w:rsidR="005E1C84" w:rsidRPr="00AA6591" w:rsidRDefault="005E1C84" w:rsidP="00294377">
            <w:pPr>
              <w:jc w:val="center"/>
              <w:rPr>
                <w:sz w:val="16"/>
                <w:szCs w:val="16"/>
              </w:rPr>
            </w:pPr>
            <w:r w:rsidRPr="00AA6591">
              <w:rPr>
                <w:sz w:val="16"/>
                <w:szCs w:val="16"/>
              </w:rPr>
              <w:t>3Q2017</w:t>
            </w:r>
          </w:p>
        </w:tc>
        <w:tc>
          <w:tcPr>
            <w:tcW w:w="1330" w:type="dxa"/>
            <w:shd w:val="clear" w:color="000000" w:fill="FFFFFF"/>
            <w:noWrap/>
          </w:tcPr>
          <w:p w14:paraId="2F2E203D" w14:textId="77777777" w:rsidR="005E1C84" w:rsidRPr="00AA6591" w:rsidRDefault="005E1C84" w:rsidP="00294377">
            <w:pPr>
              <w:jc w:val="center"/>
              <w:rPr>
                <w:sz w:val="16"/>
                <w:szCs w:val="16"/>
              </w:rPr>
            </w:pPr>
            <w:r w:rsidRPr="00AA6591">
              <w:rPr>
                <w:sz w:val="16"/>
                <w:szCs w:val="16"/>
              </w:rPr>
              <w:t>12,38</w:t>
            </w:r>
          </w:p>
        </w:tc>
        <w:tc>
          <w:tcPr>
            <w:tcW w:w="1330" w:type="dxa"/>
            <w:shd w:val="clear" w:color="000000" w:fill="FFFFFF"/>
            <w:noWrap/>
          </w:tcPr>
          <w:p w14:paraId="17978247" w14:textId="77777777" w:rsidR="005E1C84" w:rsidRPr="00AA6591" w:rsidRDefault="005E1C84" w:rsidP="00294377">
            <w:pPr>
              <w:jc w:val="center"/>
              <w:rPr>
                <w:sz w:val="16"/>
                <w:szCs w:val="16"/>
              </w:rPr>
            </w:pPr>
            <w:r w:rsidRPr="00AA6591">
              <w:rPr>
                <w:sz w:val="16"/>
                <w:szCs w:val="16"/>
              </w:rPr>
              <w:t>37,00</w:t>
            </w:r>
          </w:p>
        </w:tc>
        <w:tc>
          <w:tcPr>
            <w:tcW w:w="1295" w:type="dxa"/>
            <w:shd w:val="clear" w:color="000000" w:fill="FFFFFF"/>
            <w:noWrap/>
          </w:tcPr>
          <w:p w14:paraId="2A6DA786" w14:textId="77777777" w:rsidR="005E1C84" w:rsidRPr="00AA6591" w:rsidRDefault="005E1C84" w:rsidP="00294377">
            <w:pPr>
              <w:jc w:val="center"/>
              <w:rPr>
                <w:sz w:val="16"/>
                <w:szCs w:val="16"/>
              </w:rPr>
            </w:pPr>
            <w:r w:rsidRPr="00AA6591">
              <w:rPr>
                <w:sz w:val="16"/>
                <w:szCs w:val="16"/>
              </w:rPr>
              <w:t>12,40</w:t>
            </w:r>
          </w:p>
        </w:tc>
        <w:tc>
          <w:tcPr>
            <w:tcW w:w="1295" w:type="dxa"/>
            <w:shd w:val="clear" w:color="000000" w:fill="FFFFFF"/>
            <w:noWrap/>
          </w:tcPr>
          <w:p w14:paraId="4BC08F54" w14:textId="77777777" w:rsidR="005E1C84" w:rsidRPr="00AA6591" w:rsidRDefault="005E1C84" w:rsidP="00294377">
            <w:pPr>
              <w:jc w:val="center"/>
              <w:rPr>
                <w:sz w:val="16"/>
                <w:szCs w:val="16"/>
              </w:rPr>
            </w:pPr>
            <w:r w:rsidRPr="00AA6591">
              <w:rPr>
                <w:sz w:val="16"/>
                <w:szCs w:val="16"/>
              </w:rPr>
              <w:t>37,01</w:t>
            </w:r>
          </w:p>
        </w:tc>
      </w:tr>
      <w:tr w:rsidR="005E1C84" w:rsidRPr="00AA6591" w14:paraId="2F48F2C6" w14:textId="77777777" w:rsidTr="00294377">
        <w:trPr>
          <w:trHeight w:hRule="exact" w:val="202"/>
          <w:jc w:val="center"/>
        </w:trPr>
        <w:tc>
          <w:tcPr>
            <w:tcW w:w="1294" w:type="dxa"/>
            <w:shd w:val="clear" w:color="000000" w:fill="FFFFFF"/>
            <w:noWrap/>
          </w:tcPr>
          <w:p w14:paraId="0F37062C" w14:textId="77777777" w:rsidR="005E1C84" w:rsidRPr="00AA6591" w:rsidRDefault="005E1C84" w:rsidP="00294377">
            <w:pPr>
              <w:jc w:val="center"/>
              <w:rPr>
                <w:sz w:val="16"/>
                <w:szCs w:val="16"/>
              </w:rPr>
            </w:pPr>
            <w:r w:rsidRPr="00AA6591">
              <w:rPr>
                <w:sz w:val="16"/>
                <w:szCs w:val="16"/>
              </w:rPr>
              <w:t>4Q2017</w:t>
            </w:r>
          </w:p>
        </w:tc>
        <w:tc>
          <w:tcPr>
            <w:tcW w:w="1330" w:type="dxa"/>
            <w:shd w:val="clear" w:color="000000" w:fill="FFFFFF"/>
            <w:noWrap/>
          </w:tcPr>
          <w:p w14:paraId="4CF4879F" w14:textId="77777777" w:rsidR="005E1C84" w:rsidRPr="00AA6591" w:rsidRDefault="005E1C84" w:rsidP="00294377">
            <w:pPr>
              <w:jc w:val="center"/>
              <w:rPr>
                <w:sz w:val="16"/>
                <w:szCs w:val="16"/>
              </w:rPr>
            </w:pPr>
            <w:r w:rsidRPr="00AA6591">
              <w:rPr>
                <w:sz w:val="16"/>
                <w:szCs w:val="16"/>
              </w:rPr>
              <w:t>15,47</w:t>
            </w:r>
          </w:p>
        </w:tc>
        <w:tc>
          <w:tcPr>
            <w:tcW w:w="1330" w:type="dxa"/>
            <w:shd w:val="clear" w:color="000000" w:fill="FFFFFF"/>
            <w:noWrap/>
          </w:tcPr>
          <w:p w14:paraId="5C03BD18" w14:textId="77777777" w:rsidR="005E1C84" w:rsidRPr="00AA6591" w:rsidRDefault="005E1C84" w:rsidP="00294377">
            <w:pPr>
              <w:jc w:val="center"/>
              <w:rPr>
                <w:sz w:val="16"/>
                <w:szCs w:val="16"/>
              </w:rPr>
            </w:pPr>
            <w:r w:rsidRPr="00AA6591">
              <w:rPr>
                <w:sz w:val="16"/>
                <w:szCs w:val="16"/>
              </w:rPr>
              <w:t>33,48</w:t>
            </w:r>
          </w:p>
        </w:tc>
        <w:tc>
          <w:tcPr>
            <w:tcW w:w="1295" w:type="dxa"/>
            <w:shd w:val="clear" w:color="000000" w:fill="FFFFFF"/>
            <w:noWrap/>
          </w:tcPr>
          <w:p w14:paraId="167A35DC" w14:textId="77777777" w:rsidR="005E1C84" w:rsidRPr="00AA6591" w:rsidRDefault="005E1C84" w:rsidP="00294377">
            <w:pPr>
              <w:jc w:val="center"/>
              <w:rPr>
                <w:sz w:val="16"/>
                <w:szCs w:val="16"/>
              </w:rPr>
            </w:pPr>
            <w:r w:rsidRPr="00AA6591">
              <w:rPr>
                <w:sz w:val="16"/>
                <w:szCs w:val="16"/>
              </w:rPr>
              <w:t>15,49</w:t>
            </w:r>
          </w:p>
        </w:tc>
        <w:tc>
          <w:tcPr>
            <w:tcW w:w="1295" w:type="dxa"/>
            <w:shd w:val="clear" w:color="000000" w:fill="FFFFFF"/>
            <w:noWrap/>
          </w:tcPr>
          <w:p w14:paraId="6971013A" w14:textId="77777777" w:rsidR="005E1C84" w:rsidRPr="00AA6591" w:rsidRDefault="005E1C84" w:rsidP="00294377">
            <w:pPr>
              <w:jc w:val="center"/>
              <w:rPr>
                <w:sz w:val="16"/>
                <w:szCs w:val="16"/>
              </w:rPr>
            </w:pPr>
            <w:r w:rsidRPr="00AA6591">
              <w:rPr>
                <w:sz w:val="16"/>
                <w:szCs w:val="16"/>
              </w:rPr>
              <w:t>33,49</w:t>
            </w:r>
          </w:p>
        </w:tc>
      </w:tr>
      <w:tr w:rsidR="005E1C84" w:rsidRPr="00AA6591" w14:paraId="652CD465" w14:textId="77777777" w:rsidTr="00294377">
        <w:trPr>
          <w:trHeight w:hRule="exact" w:val="202"/>
          <w:jc w:val="center"/>
        </w:trPr>
        <w:tc>
          <w:tcPr>
            <w:tcW w:w="1294" w:type="dxa"/>
            <w:tcBorders>
              <w:bottom w:val="single" w:sz="4" w:space="0" w:color="auto"/>
            </w:tcBorders>
            <w:shd w:val="clear" w:color="000000" w:fill="FFFFFF"/>
            <w:noWrap/>
          </w:tcPr>
          <w:p w14:paraId="1C967491" w14:textId="77777777" w:rsidR="005E1C84" w:rsidRPr="00AA6591" w:rsidRDefault="005E1C84" w:rsidP="00294377">
            <w:pPr>
              <w:jc w:val="center"/>
              <w:rPr>
                <w:sz w:val="16"/>
                <w:szCs w:val="16"/>
              </w:rPr>
            </w:pPr>
            <w:r w:rsidRPr="00AA6591">
              <w:rPr>
                <w:sz w:val="16"/>
                <w:szCs w:val="16"/>
              </w:rPr>
              <w:t>1Q2018</w:t>
            </w:r>
          </w:p>
        </w:tc>
        <w:tc>
          <w:tcPr>
            <w:tcW w:w="1330" w:type="dxa"/>
            <w:tcBorders>
              <w:bottom w:val="single" w:sz="4" w:space="0" w:color="auto"/>
            </w:tcBorders>
            <w:shd w:val="clear" w:color="000000" w:fill="FFFFFF"/>
            <w:noWrap/>
          </w:tcPr>
          <w:p w14:paraId="5302A1F6" w14:textId="77777777" w:rsidR="005E1C84" w:rsidRPr="00AA6591" w:rsidRDefault="005E1C84" w:rsidP="00294377">
            <w:pPr>
              <w:jc w:val="center"/>
              <w:rPr>
                <w:sz w:val="16"/>
                <w:szCs w:val="16"/>
              </w:rPr>
            </w:pPr>
            <w:r w:rsidRPr="00AA6591">
              <w:rPr>
                <w:sz w:val="16"/>
                <w:szCs w:val="16"/>
              </w:rPr>
              <w:t>15,35</w:t>
            </w:r>
          </w:p>
        </w:tc>
        <w:tc>
          <w:tcPr>
            <w:tcW w:w="1330" w:type="dxa"/>
            <w:tcBorders>
              <w:bottom w:val="single" w:sz="4" w:space="0" w:color="auto"/>
            </w:tcBorders>
            <w:shd w:val="clear" w:color="000000" w:fill="FFFFFF"/>
            <w:noWrap/>
          </w:tcPr>
          <w:p w14:paraId="270C388E" w14:textId="77777777" w:rsidR="005E1C84" w:rsidRPr="00AA6591" w:rsidRDefault="005E1C84" w:rsidP="00294377">
            <w:pPr>
              <w:jc w:val="center"/>
              <w:rPr>
                <w:sz w:val="16"/>
                <w:szCs w:val="16"/>
              </w:rPr>
            </w:pPr>
            <w:r w:rsidRPr="00AA6591">
              <w:rPr>
                <w:sz w:val="16"/>
                <w:szCs w:val="16"/>
              </w:rPr>
              <w:t>39,79</w:t>
            </w:r>
          </w:p>
        </w:tc>
        <w:tc>
          <w:tcPr>
            <w:tcW w:w="1295" w:type="dxa"/>
            <w:tcBorders>
              <w:bottom w:val="single" w:sz="4" w:space="0" w:color="auto"/>
            </w:tcBorders>
            <w:shd w:val="clear" w:color="000000" w:fill="FFFFFF"/>
            <w:noWrap/>
          </w:tcPr>
          <w:p w14:paraId="1AE25F6D" w14:textId="77777777" w:rsidR="005E1C84" w:rsidRPr="00AA6591" w:rsidRDefault="005E1C84" w:rsidP="00294377">
            <w:pPr>
              <w:jc w:val="center"/>
              <w:rPr>
                <w:sz w:val="16"/>
                <w:szCs w:val="16"/>
              </w:rPr>
            </w:pPr>
            <w:r w:rsidRPr="00AA6591">
              <w:rPr>
                <w:sz w:val="16"/>
                <w:szCs w:val="16"/>
              </w:rPr>
              <w:t>15,37</w:t>
            </w:r>
          </w:p>
        </w:tc>
        <w:tc>
          <w:tcPr>
            <w:tcW w:w="1295" w:type="dxa"/>
            <w:tcBorders>
              <w:bottom w:val="single" w:sz="4" w:space="0" w:color="auto"/>
            </w:tcBorders>
            <w:shd w:val="clear" w:color="000000" w:fill="FFFFFF"/>
            <w:noWrap/>
          </w:tcPr>
          <w:p w14:paraId="7973A924" w14:textId="77777777" w:rsidR="005E1C84" w:rsidRPr="00AA6591" w:rsidRDefault="005E1C84" w:rsidP="00294377">
            <w:pPr>
              <w:jc w:val="center"/>
              <w:rPr>
                <w:sz w:val="16"/>
                <w:szCs w:val="16"/>
              </w:rPr>
            </w:pPr>
            <w:r w:rsidRPr="00AA6591">
              <w:rPr>
                <w:sz w:val="16"/>
                <w:szCs w:val="16"/>
              </w:rPr>
              <w:t>39,80</w:t>
            </w:r>
          </w:p>
        </w:tc>
      </w:tr>
      <w:tr w:rsidR="005E1C84" w:rsidRPr="00AA6591" w14:paraId="61B32F8E" w14:textId="77777777" w:rsidTr="00AD3C03">
        <w:trPr>
          <w:trHeight w:hRule="exact" w:val="202"/>
          <w:jc w:val="center"/>
        </w:trPr>
        <w:tc>
          <w:tcPr>
            <w:tcW w:w="1294" w:type="dxa"/>
            <w:shd w:val="clear" w:color="000000" w:fill="FFFFFF"/>
            <w:noWrap/>
          </w:tcPr>
          <w:p w14:paraId="03DD0C86" w14:textId="77777777" w:rsidR="005E1C84" w:rsidRPr="00AA6591" w:rsidRDefault="005E1C84" w:rsidP="00294377">
            <w:pPr>
              <w:jc w:val="center"/>
              <w:rPr>
                <w:sz w:val="16"/>
                <w:szCs w:val="16"/>
              </w:rPr>
            </w:pPr>
            <w:r w:rsidRPr="00AA6591">
              <w:rPr>
                <w:sz w:val="16"/>
                <w:szCs w:val="16"/>
              </w:rPr>
              <w:t>2Q2018</w:t>
            </w:r>
          </w:p>
        </w:tc>
        <w:tc>
          <w:tcPr>
            <w:tcW w:w="1330" w:type="dxa"/>
            <w:shd w:val="clear" w:color="000000" w:fill="FFFFFF"/>
            <w:noWrap/>
          </w:tcPr>
          <w:p w14:paraId="52361E63" w14:textId="77777777" w:rsidR="005E1C84" w:rsidRPr="00AA6591" w:rsidRDefault="005E1C84" w:rsidP="00294377">
            <w:pPr>
              <w:jc w:val="center"/>
              <w:rPr>
                <w:sz w:val="16"/>
                <w:szCs w:val="16"/>
              </w:rPr>
            </w:pPr>
            <w:r w:rsidRPr="00AA6591">
              <w:rPr>
                <w:sz w:val="16"/>
                <w:szCs w:val="16"/>
              </w:rPr>
              <w:t>14,44</w:t>
            </w:r>
          </w:p>
        </w:tc>
        <w:tc>
          <w:tcPr>
            <w:tcW w:w="1330" w:type="dxa"/>
            <w:shd w:val="clear" w:color="000000" w:fill="FFFFFF"/>
            <w:noWrap/>
          </w:tcPr>
          <w:p w14:paraId="01388E2A" w14:textId="77777777" w:rsidR="005E1C84" w:rsidRPr="00AA6591" w:rsidRDefault="005E1C84" w:rsidP="00294377">
            <w:pPr>
              <w:jc w:val="center"/>
              <w:rPr>
                <w:sz w:val="16"/>
                <w:szCs w:val="16"/>
              </w:rPr>
            </w:pPr>
            <w:r w:rsidRPr="00AA6591">
              <w:rPr>
                <w:sz w:val="16"/>
                <w:szCs w:val="16"/>
              </w:rPr>
              <w:t>35,77</w:t>
            </w:r>
          </w:p>
        </w:tc>
        <w:tc>
          <w:tcPr>
            <w:tcW w:w="1295" w:type="dxa"/>
            <w:shd w:val="clear" w:color="000000" w:fill="FFFFFF"/>
            <w:noWrap/>
          </w:tcPr>
          <w:p w14:paraId="71B29EB2" w14:textId="77777777" w:rsidR="005E1C84" w:rsidRPr="00AA6591" w:rsidRDefault="005E1C84" w:rsidP="00294377">
            <w:pPr>
              <w:jc w:val="center"/>
              <w:rPr>
                <w:sz w:val="16"/>
                <w:szCs w:val="16"/>
              </w:rPr>
            </w:pPr>
            <w:r w:rsidRPr="00AA6591">
              <w:rPr>
                <w:sz w:val="16"/>
                <w:szCs w:val="16"/>
              </w:rPr>
              <w:t>14,45</w:t>
            </w:r>
          </w:p>
        </w:tc>
        <w:tc>
          <w:tcPr>
            <w:tcW w:w="1295" w:type="dxa"/>
            <w:shd w:val="clear" w:color="000000" w:fill="FFFFFF"/>
            <w:noWrap/>
          </w:tcPr>
          <w:p w14:paraId="6C7F10C4" w14:textId="77777777" w:rsidR="005E1C84" w:rsidRPr="00AA6591" w:rsidRDefault="005E1C84" w:rsidP="00294377">
            <w:pPr>
              <w:jc w:val="center"/>
              <w:rPr>
                <w:sz w:val="16"/>
                <w:szCs w:val="16"/>
              </w:rPr>
            </w:pPr>
            <w:r w:rsidRPr="00AA6591">
              <w:rPr>
                <w:sz w:val="16"/>
                <w:szCs w:val="16"/>
              </w:rPr>
              <w:t>35,77</w:t>
            </w:r>
          </w:p>
        </w:tc>
      </w:tr>
      <w:tr w:rsidR="00AD3C03" w:rsidRPr="00AA6591" w14:paraId="543BBBE2" w14:textId="77777777" w:rsidTr="00AD3C03">
        <w:trPr>
          <w:trHeight w:hRule="exact" w:val="202"/>
          <w:jc w:val="center"/>
        </w:trPr>
        <w:tc>
          <w:tcPr>
            <w:tcW w:w="1294" w:type="dxa"/>
            <w:shd w:val="clear" w:color="000000" w:fill="FFFFFF"/>
            <w:noWrap/>
          </w:tcPr>
          <w:p w14:paraId="45230ECD" w14:textId="631596B6" w:rsidR="00AD3C03" w:rsidRPr="00AA6591" w:rsidRDefault="00AD3C03" w:rsidP="00AD3C03">
            <w:pPr>
              <w:jc w:val="center"/>
              <w:rPr>
                <w:sz w:val="16"/>
                <w:szCs w:val="16"/>
              </w:rPr>
            </w:pPr>
            <w:r w:rsidRPr="00AA6591">
              <w:rPr>
                <w:sz w:val="16"/>
                <w:szCs w:val="16"/>
              </w:rPr>
              <w:t>3Q2018</w:t>
            </w:r>
          </w:p>
        </w:tc>
        <w:tc>
          <w:tcPr>
            <w:tcW w:w="1330" w:type="dxa"/>
            <w:shd w:val="clear" w:color="000000" w:fill="FFFFFF"/>
            <w:noWrap/>
          </w:tcPr>
          <w:p w14:paraId="6CFBB340" w14:textId="4E43B7A8" w:rsidR="00AD3C03" w:rsidRPr="00AA6591" w:rsidRDefault="00AD3C03" w:rsidP="00AD3C03">
            <w:pPr>
              <w:jc w:val="center"/>
              <w:rPr>
                <w:sz w:val="16"/>
                <w:szCs w:val="16"/>
              </w:rPr>
            </w:pPr>
            <w:r w:rsidRPr="00AA6591">
              <w:rPr>
                <w:sz w:val="16"/>
                <w:szCs w:val="16"/>
              </w:rPr>
              <w:t>13,68</w:t>
            </w:r>
          </w:p>
        </w:tc>
        <w:tc>
          <w:tcPr>
            <w:tcW w:w="1330" w:type="dxa"/>
            <w:shd w:val="clear" w:color="000000" w:fill="FFFFFF"/>
            <w:noWrap/>
          </w:tcPr>
          <w:p w14:paraId="0F1883DB" w14:textId="16E98552" w:rsidR="00AD3C03" w:rsidRPr="00AA6591" w:rsidRDefault="00AD3C03" w:rsidP="00AD3C03">
            <w:pPr>
              <w:jc w:val="center"/>
              <w:rPr>
                <w:sz w:val="16"/>
                <w:szCs w:val="16"/>
              </w:rPr>
            </w:pPr>
            <w:r w:rsidRPr="00AA6591">
              <w:rPr>
                <w:sz w:val="16"/>
                <w:szCs w:val="16"/>
              </w:rPr>
              <w:t>35,08</w:t>
            </w:r>
          </w:p>
        </w:tc>
        <w:tc>
          <w:tcPr>
            <w:tcW w:w="1295" w:type="dxa"/>
            <w:shd w:val="clear" w:color="000000" w:fill="FFFFFF"/>
            <w:noWrap/>
          </w:tcPr>
          <w:p w14:paraId="3A8727B9" w14:textId="17AC53BD" w:rsidR="00AD3C03" w:rsidRPr="00AA6591" w:rsidRDefault="00AD3C03" w:rsidP="00AD3C03">
            <w:pPr>
              <w:jc w:val="center"/>
              <w:rPr>
                <w:sz w:val="16"/>
                <w:szCs w:val="16"/>
              </w:rPr>
            </w:pPr>
            <w:r w:rsidRPr="00AA6591">
              <w:rPr>
                <w:sz w:val="16"/>
                <w:szCs w:val="16"/>
              </w:rPr>
              <w:t>13,70</w:t>
            </w:r>
          </w:p>
        </w:tc>
        <w:tc>
          <w:tcPr>
            <w:tcW w:w="1295" w:type="dxa"/>
            <w:shd w:val="clear" w:color="000000" w:fill="FFFFFF"/>
            <w:noWrap/>
          </w:tcPr>
          <w:p w14:paraId="6E0BC2C4" w14:textId="49152EEF" w:rsidR="00AD3C03" w:rsidRPr="00AA6591" w:rsidRDefault="00AD3C03" w:rsidP="00AD3C03">
            <w:pPr>
              <w:jc w:val="center"/>
              <w:rPr>
                <w:sz w:val="16"/>
                <w:szCs w:val="16"/>
              </w:rPr>
            </w:pPr>
            <w:r w:rsidRPr="00AA6591">
              <w:rPr>
                <w:sz w:val="16"/>
                <w:szCs w:val="16"/>
              </w:rPr>
              <w:t>35,09</w:t>
            </w:r>
          </w:p>
        </w:tc>
      </w:tr>
      <w:tr w:rsidR="00AD3C03" w:rsidRPr="00AA6591" w14:paraId="342F2963" w14:textId="77777777" w:rsidTr="00AD3C03">
        <w:trPr>
          <w:trHeight w:hRule="exact" w:val="202"/>
          <w:jc w:val="center"/>
        </w:trPr>
        <w:tc>
          <w:tcPr>
            <w:tcW w:w="1294" w:type="dxa"/>
            <w:shd w:val="clear" w:color="000000" w:fill="FFFFFF"/>
            <w:noWrap/>
          </w:tcPr>
          <w:p w14:paraId="33CE4974" w14:textId="4CB66648" w:rsidR="00AD3C03" w:rsidRPr="00AA6591" w:rsidRDefault="00AD3C03" w:rsidP="00AD3C03">
            <w:pPr>
              <w:jc w:val="center"/>
              <w:rPr>
                <w:sz w:val="16"/>
                <w:szCs w:val="16"/>
              </w:rPr>
            </w:pPr>
            <w:r w:rsidRPr="00AA6591">
              <w:rPr>
                <w:sz w:val="16"/>
                <w:szCs w:val="16"/>
              </w:rPr>
              <w:t>4Q2018</w:t>
            </w:r>
          </w:p>
        </w:tc>
        <w:tc>
          <w:tcPr>
            <w:tcW w:w="1330" w:type="dxa"/>
            <w:shd w:val="clear" w:color="000000" w:fill="FFFFFF"/>
            <w:noWrap/>
          </w:tcPr>
          <w:p w14:paraId="0BE4B764" w14:textId="0C7EC1BC" w:rsidR="00AD3C03" w:rsidRPr="00AA6591" w:rsidRDefault="00AD3C03" w:rsidP="00AD3C03">
            <w:pPr>
              <w:jc w:val="center"/>
              <w:rPr>
                <w:sz w:val="16"/>
                <w:szCs w:val="16"/>
              </w:rPr>
            </w:pPr>
            <w:r w:rsidRPr="00AA6591">
              <w:rPr>
                <w:sz w:val="16"/>
                <w:szCs w:val="16"/>
              </w:rPr>
              <w:t>14,57</w:t>
            </w:r>
          </w:p>
        </w:tc>
        <w:tc>
          <w:tcPr>
            <w:tcW w:w="1330" w:type="dxa"/>
            <w:shd w:val="clear" w:color="000000" w:fill="FFFFFF"/>
            <w:noWrap/>
          </w:tcPr>
          <w:p w14:paraId="605C3F68" w14:textId="75DAFA26" w:rsidR="00AD3C03" w:rsidRPr="00AA6591" w:rsidRDefault="00AD3C03" w:rsidP="00AD3C03">
            <w:pPr>
              <w:jc w:val="center"/>
              <w:rPr>
                <w:sz w:val="16"/>
                <w:szCs w:val="16"/>
              </w:rPr>
            </w:pPr>
            <w:r w:rsidRPr="00AA6591">
              <w:rPr>
                <w:sz w:val="16"/>
                <w:szCs w:val="16"/>
              </w:rPr>
              <w:t>38,88</w:t>
            </w:r>
          </w:p>
        </w:tc>
        <w:tc>
          <w:tcPr>
            <w:tcW w:w="1295" w:type="dxa"/>
            <w:shd w:val="clear" w:color="000000" w:fill="FFFFFF"/>
            <w:noWrap/>
          </w:tcPr>
          <w:p w14:paraId="4DF96EF1" w14:textId="6CBB6E20" w:rsidR="00AD3C03" w:rsidRPr="00AA6591" w:rsidRDefault="00AD3C03" w:rsidP="00AD3C03">
            <w:pPr>
              <w:jc w:val="center"/>
              <w:rPr>
                <w:sz w:val="16"/>
                <w:szCs w:val="16"/>
              </w:rPr>
            </w:pPr>
            <w:r w:rsidRPr="00AA6591">
              <w:rPr>
                <w:sz w:val="16"/>
                <w:szCs w:val="16"/>
              </w:rPr>
              <w:t>14,58</w:t>
            </w:r>
          </w:p>
        </w:tc>
        <w:tc>
          <w:tcPr>
            <w:tcW w:w="1295" w:type="dxa"/>
            <w:shd w:val="clear" w:color="000000" w:fill="FFFFFF"/>
            <w:noWrap/>
          </w:tcPr>
          <w:p w14:paraId="7521FE8C" w14:textId="6D7CB83C" w:rsidR="00AD3C03" w:rsidRPr="00AA6591" w:rsidRDefault="00AD3C03" w:rsidP="00AD3C03">
            <w:pPr>
              <w:jc w:val="center"/>
              <w:rPr>
                <w:sz w:val="16"/>
                <w:szCs w:val="16"/>
              </w:rPr>
            </w:pPr>
            <w:r w:rsidRPr="00AA6591">
              <w:rPr>
                <w:sz w:val="16"/>
                <w:szCs w:val="16"/>
              </w:rPr>
              <w:t>38,89</w:t>
            </w:r>
          </w:p>
        </w:tc>
      </w:tr>
      <w:tr w:rsidR="00AD3C03" w:rsidRPr="00AA6591" w14:paraId="5BE49CE4" w14:textId="77777777" w:rsidTr="00AD3C03">
        <w:trPr>
          <w:trHeight w:hRule="exact" w:val="202"/>
          <w:jc w:val="center"/>
        </w:trPr>
        <w:tc>
          <w:tcPr>
            <w:tcW w:w="1294" w:type="dxa"/>
            <w:shd w:val="clear" w:color="000000" w:fill="FFFFFF"/>
            <w:noWrap/>
          </w:tcPr>
          <w:p w14:paraId="7FACF5CC" w14:textId="64B4C450" w:rsidR="00AD3C03" w:rsidRPr="00AA6591" w:rsidRDefault="00AD3C03" w:rsidP="00AD3C03">
            <w:pPr>
              <w:jc w:val="center"/>
              <w:rPr>
                <w:sz w:val="16"/>
                <w:szCs w:val="16"/>
              </w:rPr>
            </w:pPr>
            <w:r w:rsidRPr="00AA6591">
              <w:rPr>
                <w:sz w:val="16"/>
                <w:szCs w:val="16"/>
              </w:rPr>
              <w:t>1Q2019</w:t>
            </w:r>
          </w:p>
        </w:tc>
        <w:tc>
          <w:tcPr>
            <w:tcW w:w="1330" w:type="dxa"/>
            <w:shd w:val="clear" w:color="000000" w:fill="FFFFFF"/>
            <w:noWrap/>
          </w:tcPr>
          <w:p w14:paraId="295E88AC" w14:textId="05DC2E46" w:rsidR="00AD3C03" w:rsidRPr="00AA6591" w:rsidRDefault="00AD3C03" w:rsidP="00AD3C03">
            <w:pPr>
              <w:jc w:val="center"/>
              <w:rPr>
                <w:sz w:val="16"/>
                <w:szCs w:val="16"/>
              </w:rPr>
            </w:pPr>
            <w:r w:rsidRPr="00AA6591">
              <w:rPr>
                <w:sz w:val="16"/>
                <w:szCs w:val="16"/>
              </w:rPr>
              <w:t>15,30</w:t>
            </w:r>
          </w:p>
        </w:tc>
        <w:tc>
          <w:tcPr>
            <w:tcW w:w="1330" w:type="dxa"/>
            <w:shd w:val="clear" w:color="000000" w:fill="FFFFFF"/>
            <w:noWrap/>
          </w:tcPr>
          <w:p w14:paraId="2AAE082D" w14:textId="6AE7D48C" w:rsidR="00AD3C03" w:rsidRPr="00AA6591" w:rsidRDefault="00AD3C03" w:rsidP="00AD3C03">
            <w:pPr>
              <w:jc w:val="center"/>
              <w:rPr>
                <w:sz w:val="16"/>
                <w:szCs w:val="16"/>
              </w:rPr>
            </w:pPr>
            <w:r w:rsidRPr="00AA6591">
              <w:rPr>
                <w:sz w:val="16"/>
                <w:szCs w:val="16"/>
              </w:rPr>
              <w:t>39,30</w:t>
            </w:r>
          </w:p>
        </w:tc>
        <w:tc>
          <w:tcPr>
            <w:tcW w:w="1295" w:type="dxa"/>
            <w:shd w:val="clear" w:color="000000" w:fill="FFFFFF"/>
            <w:noWrap/>
          </w:tcPr>
          <w:p w14:paraId="717C6A15" w14:textId="5AD1E3A3" w:rsidR="00AD3C03" w:rsidRPr="00AA6591" w:rsidRDefault="00AD3C03" w:rsidP="00AD3C03">
            <w:pPr>
              <w:jc w:val="center"/>
              <w:rPr>
                <w:sz w:val="16"/>
                <w:szCs w:val="16"/>
              </w:rPr>
            </w:pPr>
            <w:r w:rsidRPr="00AA6591">
              <w:rPr>
                <w:sz w:val="16"/>
                <w:szCs w:val="16"/>
              </w:rPr>
              <w:t>15,31</w:t>
            </w:r>
          </w:p>
        </w:tc>
        <w:tc>
          <w:tcPr>
            <w:tcW w:w="1295" w:type="dxa"/>
            <w:shd w:val="clear" w:color="000000" w:fill="FFFFFF"/>
            <w:noWrap/>
          </w:tcPr>
          <w:p w14:paraId="4CFE8943" w14:textId="4116C9E5" w:rsidR="00AD3C03" w:rsidRPr="00AA6591" w:rsidRDefault="00AD3C03" w:rsidP="00AD3C03">
            <w:pPr>
              <w:jc w:val="center"/>
              <w:rPr>
                <w:sz w:val="16"/>
                <w:szCs w:val="16"/>
              </w:rPr>
            </w:pPr>
            <w:r w:rsidRPr="00AA6591">
              <w:rPr>
                <w:sz w:val="16"/>
                <w:szCs w:val="16"/>
              </w:rPr>
              <w:t>39,31</w:t>
            </w:r>
          </w:p>
        </w:tc>
      </w:tr>
      <w:tr w:rsidR="00AD3C03" w:rsidRPr="00AA6591" w14:paraId="4E50E1AC" w14:textId="77777777" w:rsidTr="00AD3C03">
        <w:trPr>
          <w:trHeight w:hRule="exact" w:val="202"/>
          <w:jc w:val="center"/>
        </w:trPr>
        <w:tc>
          <w:tcPr>
            <w:tcW w:w="1294" w:type="dxa"/>
            <w:shd w:val="clear" w:color="000000" w:fill="FFFFFF"/>
            <w:noWrap/>
          </w:tcPr>
          <w:p w14:paraId="258424B0" w14:textId="224C1C54" w:rsidR="00AD3C03" w:rsidRPr="00AA6591" w:rsidRDefault="00AD3C03" w:rsidP="00AD3C03">
            <w:pPr>
              <w:jc w:val="center"/>
              <w:rPr>
                <w:sz w:val="16"/>
                <w:szCs w:val="16"/>
              </w:rPr>
            </w:pPr>
            <w:r w:rsidRPr="00AA6591">
              <w:rPr>
                <w:sz w:val="16"/>
                <w:szCs w:val="16"/>
              </w:rPr>
              <w:t>2Q2019</w:t>
            </w:r>
          </w:p>
        </w:tc>
        <w:tc>
          <w:tcPr>
            <w:tcW w:w="1330" w:type="dxa"/>
            <w:shd w:val="clear" w:color="000000" w:fill="FFFFFF"/>
            <w:noWrap/>
          </w:tcPr>
          <w:p w14:paraId="59803007" w14:textId="5CE77697" w:rsidR="00AD3C03" w:rsidRPr="00AA6591" w:rsidRDefault="00AD3C03" w:rsidP="00AD3C03">
            <w:pPr>
              <w:jc w:val="center"/>
              <w:rPr>
                <w:sz w:val="16"/>
                <w:szCs w:val="16"/>
              </w:rPr>
            </w:pPr>
            <w:r w:rsidRPr="00AA6591">
              <w:rPr>
                <w:sz w:val="16"/>
                <w:szCs w:val="16"/>
              </w:rPr>
              <w:t>17,97</w:t>
            </w:r>
          </w:p>
        </w:tc>
        <w:tc>
          <w:tcPr>
            <w:tcW w:w="1330" w:type="dxa"/>
            <w:shd w:val="clear" w:color="000000" w:fill="FFFFFF"/>
            <w:noWrap/>
          </w:tcPr>
          <w:p w14:paraId="25BF704F" w14:textId="36BD61E9" w:rsidR="00AD3C03" w:rsidRPr="00AA6591" w:rsidRDefault="00AD3C03" w:rsidP="00AD3C03">
            <w:pPr>
              <w:jc w:val="center"/>
              <w:rPr>
                <w:sz w:val="16"/>
                <w:szCs w:val="16"/>
              </w:rPr>
            </w:pPr>
            <w:r w:rsidRPr="00AA6591">
              <w:rPr>
                <w:sz w:val="16"/>
                <w:szCs w:val="16"/>
              </w:rPr>
              <w:t>35,44</w:t>
            </w:r>
          </w:p>
        </w:tc>
        <w:tc>
          <w:tcPr>
            <w:tcW w:w="1295" w:type="dxa"/>
            <w:shd w:val="clear" w:color="000000" w:fill="FFFFFF"/>
            <w:noWrap/>
          </w:tcPr>
          <w:p w14:paraId="3C445287" w14:textId="1A62066E" w:rsidR="00AD3C03" w:rsidRPr="00AA6591" w:rsidRDefault="00AD3C03" w:rsidP="00AD3C03">
            <w:pPr>
              <w:jc w:val="center"/>
              <w:rPr>
                <w:sz w:val="16"/>
                <w:szCs w:val="16"/>
              </w:rPr>
            </w:pPr>
            <w:r w:rsidRPr="00AA6591">
              <w:rPr>
                <w:sz w:val="16"/>
                <w:szCs w:val="16"/>
              </w:rPr>
              <w:t>17,98</w:t>
            </w:r>
          </w:p>
        </w:tc>
        <w:tc>
          <w:tcPr>
            <w:tcW w:w="1295" w:type="dxa"/>
            <w:shd w:val="clear" w:color="000000" w:fill="FFFFFF"/>
            <w:noWrap/>
          </w:tcPr>
          <w:p w14:paraId="241ED7FE" w14:textId="3D9D7B2F" w:rsidR="00AD3C03" w:rsidRPr="00AA6591" w:rsidRDefault="00AD3C03" w:rsidP="00AD3C03">
            <w:pPr>
              <w:jc w:val="center"/>
              <w:rPr>
                <w:sz w:val="16"/>
                <w:szCs w:val="16"/>
              </w:rPr>
            </w:pPr>
            <w:r w:rsidRPr="00AA6591">
              <w:rPr>
                <w:sz w:val="16"/>
                <w:szCs w:val="16"/>
              </w:rPr>
              <w:t>35,45</w:t>
            </w:r>
          </w:p>
        </w:tc>
      </w:tr>
      <w:tr w:rsidR="00AD3C03" w:rsidRPr="00AA6591" w14:paraId="331DB1BF" w14:textId="77777777" w:rsidTr="00294377">
        <w:trPr>
          <w:trHeight w:hRule="exact" w:val="202"/>
          <w:jc w:val="center"/>
        </w:trPr>
        <w:tc>
          <w:tcPr>
            <w:tcW w:w="1294" w:type="dxa"/>
            <w:tcBorders>
              <w:bottom w:val="single" w:sz="4" w:space="0" w:color="auto"/>
            </w:tcBorders>
            <w:shd w:val="clear" w:color="000000" w:fill="FFFFFF"/>
            <w:noWrap/>
          </w:tcPr>
          <w:p w14:paraId="009E0F06" w14:textId="5D8B9004" w:rsidR="00AD3C03" w:rsidRPr="00AA6591" w:rsidRDefault="00AD3C03" w:rsidP="00AD3C03">
            <w:pPr>
              <w:jc w:val="center"/>
              <w:rPr>
                <w:sz w:val="16"/>
                <w:szCs w:val="16"/>
              </w:rPr>
            </w:pPr>
            <w:r w:rsidRPr="00AA6591">
              <w:rPr>
                <w:sz w:val="16"/>
                <w:szCs w:val="16"/>
              </w:rPr>
              <w:t>3Q2019</w:t>
            </w:r>
          </w:p>
        </w:tc>
        <w:tc>
          <w:tcPr>
            <w:tcW w:w="1330" w:type="dxa"/>
            <w:tcBorders>
              <w:bottom w:val="single" w:sz="4" w:space="0" w:color="auto"/>
            </w:tcBorders>
            <w:shd w:val="clear" w:color="000000" w:fill="FFFFFF"/>
            <w:noWrap/>
          </w:tcPr>
          <w:p w14:paraId="4AB30B28" w14:textId="4E20D067" w:rsidR="00AD3C03" w:rsidRPr="00AA6591" w:rsidRDefault="00AD3C03" w:rsidP="00AD3C03">
            <w:pPr>
              <w:jc w:val="center"/>
              <w:rPr>
                <w:sz w:val="16"/>
                <w:szCs w:val="16"/>
              </w:rPr>
            </w:pPr>
            <w:r w:rsidRPr="00AA6591">
              <w:rPr>
                <w:sz w:val="16"/>
                <w:szCs w:val="16"/>
              </w:rPr>
              <w:t>18,24</w:t>
            </w:r>
          </w:p>
        </w:tc>
        <w:tc>
          <w:tcPr>
            <w:tcW w:w="1330" w:type="dxa"/>
            <w:tcBorders>
              <w:bottom w:val="single" w:sz="4" w:space="0" w:color="auto"/>
            </w:tcBorders>
            <w:shd w:val="clear" w:color="000000" w:fill="FFFFFF"/>
            <w:noWrap/>
          </w:tcPr>
          <w:p w14:paraId="51BFDD4A" w14:textId="5BE7EF49" w:rsidR="00AD3C03" w:rsidRPr="00AA6591" w:rsidRDefault="00AD3C03" w:rsidP="00AD3C03">
            <w:pPr>
              <w:jc w:val="center"/>
              <w:rPr>
                <w:sz w:val="16"/>
                <w:szCs w:val="16"/>
              </w:rPr>
            </w:pPr>
            <w:r w:rsidRPr="00AA6591">
              <w:rPr>
                <w:sz w:val="16"/>
                <w:szCs w:val="16"/>
              </w:rPr>
              <w:t>35,55</w:t>
            </w:r>
          </w:p>
        </w:tc>
        <w:tc>
          <w:tcPr>
            <w:tcW w:w="1295" w:type="dxa"/>
            <w:tcBorders>
              <w:bottom w:val="single" w:sz="4" w:space="0" w:color="auto"/>
            </w:tcBorders>
            <w:shd w:val="clear" w:color="000000" w:fill="FFFFFF"/>
            <w:noWrap/>
          </w:tcPr>
          <w:p w14:paraId="48994A6E" w14:textId="6BD3A4A0" w:rsidR="00AD3C03" w:rsidRPr="00AA6591" w:rsidRDefault="00AD3C03" w:rsidP="00AD3C03">
            <w:pPr>
              <w:jc w:val="center"/>
              <w:rPr>
                <w:sz w:val="16"/>
                <w:szCs w:val="16"/>
              </w:rPr>
            </w:pPr>
            <w:r w:rsidRPr="00AA6591">
              <w:rPr>
                <w:sz w:val="16"/>
                <w:szCs w:val="16"/>
              </w:rPr>
              <w:t>18,25</w:t>
            </w:r>
          </w:p>
        </w:tc>
        <w:tc>
          <w:tcPr>
            <w:tcW w:w="1295" w:type="dxa"/>
            <w:tcBorders>
              <w:bottom w:val="single" w:sz="4" w:space="0" w:color="auto"/>
            </w:tcBorders>
            <w:shd w:val="clear" w:color="000000" w:fill="FFFFFF"/>
            <w:noWrap/>
          </w:tcPr>
          <w:p w14:paraId="3BC9430A" w14:textId="315F778D" w:rsidR="00AD3C03" w:rsidRPr="00AA6591" w:rsidRDefault="00AD3C03" w:rsidP="00AD3C03">
            <w:pPr>
              <w:jc w:val="center"/>
              <w:rPr>
                <w:sz w:val="16"/>
                <w:szCs w:val="16"/>
              </w:rPr>
            </w:pPr>
            <w:r w:rsidRPr="00AA6591">
              <w:rPr>
                <w:sz w:val="16"/>
                <w:szCs w:val="16"/>
              </w:rPr>
              <w:t>35,55</w:t>
            </w:r>
          </w:p>
        </w:tc>
      </w:tr>
    </w:tbl>
    <w:p w14:paraId="32343A45" w14:textId="77777777" w:rsidR="005E1C84" w:rsidRPr="00AA6591" w:rsidRDefault="005E1C84" w:rsidP="005E1C84">
      <w:pPr>
        <w:spacing w:before="120"/>
        <w:ind w:left="1418"/>
        <w:rPr>
          <w:b/>
          <w:sz w:val="16"/>
          <w:szCs w:val="16"/>
        </w:rPr>
      </w:pPr>
      <w:r w:rsidRPr="00AA6591">
        <w:rPr>
          <w:i/>
          <w:iCs/>
          <w:sz w:val="16"/>
          <w:szCs w:val="16"/>
        </w:rPr>
        <w:t>* Štátne dlhopisy, Štátne pokladničné poukážky, úvery, peňažný trh a Štátna pokladnica</w:t>
      </w:r>
    </w:p>
    <w:p w14:paraId="6D3ED98B" w14:textId="77777777" w:rsidR="005E1C84" w:rsidRDefault="005E1C84" w:rsidP="005E1C84">
      <w:pPr>
        <w:spacing w:before="360" w:after="120"/>
        <w:jc w:val="center"/>
        <w:rPr>
          <w:b/>
          <w:sz w:val="22"/>
          <w:szCs w:val="22"/>
        </w:rPr>
      </w:pPr>
    </w:p>
    <w:p w14:paraId="1F2C9578" w14:textId="77777777" w:rsidR="005E1C84" w:rsidRDefault="005E1C84" w:rsidP="005E1C84">
      <w:pPr>
        <w:spacing w:before="360" w:after="120"/>
        <w:jc w:val="center"/>
        <w:rPr>
          <w:b/>
          <w:sz w:val="22"/>
          <w:szCs w:val="22"/>
        </w:rPr>
      </w:pPr>
    </w:p>
    <w:p w14:paraId="0C6EECB2" w14:textId="77777777" w:rsidR="005E1C84" w:rsidRDefault="005E1C84" w:rsidP="005E1C84">
      <w:pPr>
        <w:spacing w:before="360" w:after="120"/>
        <w:jc w:val="center"/>
        <w:rPr>
          <w:b/>
          <w:sz w:val="22"/>
          <w:szCs w:val="22"/>
        </w:rPr>
      </w:pPr>
    </w:p>
    <w:p w14:paraId="0CF3373E" w14:textId="77777777" w:rsidR="005E1C84" w:rsidRDefault="005E1C84" w:rsidP="00413F12">
      <w:pPr>
        <w:spacing w:before="360" w:after="120"/>
        <w:rPr>
          <w:b/>
          <w:sz w:val="22"/>
          <w:szCs w:val="22"/>
        </w:rPr>
      </w:pPr>
    </w:p>
    <w:p w14:paraId="699B0968" w14:textId="77777777" w:rsidR="005E1C84" w:rsidRPr="00EA46D6" w:rsidRDefault="005E1C84" w:rsidP="005E1C84">
      <w:pPr>
        <w:spacing w:before="360" w:after="120"/>
        <w:jc w:val="center"/>
        <w:rPr>
          <w:b/>
          <w:sz w:val="22"/>
          <w:szCs w:val="22"/>
        </w:rPr>
      </w:pPr>
      <w:r w:rsidRPr="00EA46D6">
        <w:rPr>
          <w:b/>
          <w:sz w:val="22"/>
          <w:szCs w:val="22"/>
        </w:rPr>
        <w:t>Vývoj ukazovateľov refinančného rizika a rizika z precenenia:</w:t>
      </w:r>
    </w:p>
    <w:p w14:paraId="7BC4CA59" w14:textId="77777777" w:rsidR="005E1C84" w:rsidRPr="00EA46D6" w:rsidRDefault="005E1C84" w:rsidP="005E1C84">
      <w:pPr>
        <w:spacing w:before="360" w:after="120"/>
        <w:jc w:val="center"/>
        <w:rPr>
          <w:b/>
          <w:sz w:val="22"/>
          <w:szCs w:val="22"/>
        </w:rPr>
      </w:pPr>
    </w:p>
    <w:tbl>
      <w:tblPr>
        <w:tblW w:w="8862" w:type="dxa"/>
        <w:jc w:val="center"/>
        <w:tblCellMar>
          <w:left w:w="70" w:type="dxa"/>
          <w:right w:w="70" w:type="dxa"/>
        </w:tblCellMar>
        <w:tblLook w:val="0000" w:firstRow="0" w:lastRow="0" w:firstColumn="0" w:lastColumn="0" w:noHBand="0" w:noVBand="0"/>
      </w:tblPr>
      <w:tblGrid>
        <w:gridCol w:w="33"/>
        <w:gridCol w:w="4311"/>
        <w:gridCol w:w="9"/>
        <w:gridCol w:w="146"/>
        <w:gridCol w:w="453"/>
        <w:gridCol w:w="3938"/>
        <w:gridCol w:w="20"/>
      </w:tblGrid>
      <w:tr w:rsidR="00AD3C03" w:rsidRPr="00EA46D6" w14:paraId="0E05BB26" w14:textId="77777777" w:rsidTr="00EA46D6">
        <w:trPr>
          <w:gridBefore w:val="1"/>
          <w:gridAfter w:val="1"/>
          <w:wBefore w:w="60" w:type="dxa"/>
          <w:wAfter w:w="20" w:type="dxa"/>
          <w:trHeight w:val="552"/>
          <w:jc w:val="center"/>
        </w:trPr>
        <w:tc>
          <w:tcPr>
            <w:tcW w:w="4252" w:type="dxa"/>
            <w:tcBorders>
              <w:top w:val="nil"/>
              <w:left w:val="nil"/>
              <w:bottom w:val="nil"/>
              <w:right w:val="nil"/>
            </w:tcBorders>
            <w:shd w:val="clear" w:color="auto" w:fill="auto"/>
            <w:noWrap/>
            <w:vAlign w:val="center"/>
          </w:tcPr>
          <w:p w14:paraId="4793A3EE" w14:textId="77777777" w:rsidR="005E1C84" w:rsidRPr="00EA46D6" w:rsidRDefault="005E1C84" w:rsidP="00294377">
            <w:pPr>
              <w:jc w:val="center"/>
              <w:rPr>
                <w:b/>
                <w:bCs/>
                <w:sz w:val="20"/>
                <w:szCs w:val="20"/>
              </w:rPr>
            </w:pPr>
            <w:r w:rsidRPr="00EA46D6">
              <w:rPr>
                <w:b/>
                <w:bCs/>
                <w:sz w:val="20"/>
                <w:szCs w:val="20"/>
              </w:rPr>
              <w:t>Vývoj ukazovateľov refinančného a úrokového rizika v prvom roku (%)</w:t>
            </w:r>
          </w:p>
        </w:tc>
        <w:tc>
          <w:tcPr>
            <w:tcW w:w="592" w:type="dxa"/>
            <w:gridSpan w:val="3"/>
            <w:tcBorders>
              <w:top w:val="nil"/>
              <w:left w:val="nil"/>
              <w:bottom w:val="nil"/>
              <w:right w:val="nil"/>
            </w:tcBorders>
            <w:shd w:val="clear" w:color="auto" w:fill="auto"/>
            <w:noWrap/>
            <w:vAlign w:val="center"/>
          </w:tcPr>
          <w:p w14:paraId="0604B503" w14:textId="77777777" w:rsidR="005E1C84" w:rsidRPr="00EA46D6" w:rsidRDefault="005E1C84" w:rsidP="00294377">
            <w:pPr>
              <w:rPr>
                <w:b/>
                <w:bCs/>
                <w:sz w:val="20"/>
                <w:szCs w:val="20"/>
              </w:rPr>
            </w:pPr>
          </w:p>
          <w:p w14:paraId="7DA0D581" w14:textId="77777777" w:rsidR="005E1C84" w:rsidRPr="00EA46D6" w:rsidRDefault="005E1C84" w:rsidP="00294377">
            <w:pPr>
              <w:rPr>
                <w:b/>
                <w:bCs/>
                <w:sz w:val="20"/>
                <w:szCs w:val="20"/>
              </w:rPr>
            </w:pPr>
          </w:p>
        </w:tc>
        <w:tc>
          <w:tcPr>
            <w:tcW w:w="3938" w:type="dxa"/>
            <w:tcBorders>
              <w:top w:val="nil"/>
              <w:left w:val="nil"/>
              <w:bottom w:val="nil"/>
              <w:right w:val="nil"/>
            </w:tcBorders>
            <w:shd w:val="clear" w:color="auto" w:fill="auto"/>
            <w:noWrap/>
            <w:vAlign w:val="center"/>
          </w:tcPr>
          <w:p w14:paraId="1E2BB684" w14:textId="77777777" w:rsidR="005E1C84" w:rsidRPr="00EA46D6" w:rsidRDefault="005E1C84" w:rsidP="00294377">
            <w:pPr>
              <w:jc w:val="center"/>
              <w:rPr>
                <w:b/>
                <w:bCs/>
                <w:sz w:val="20"/>
                <w:szCs w:val="20"/>
              </w:rPr>
            </w:pPr>
            <w:bookmarkStart w:id="30" w:name="_Toc394047557"/>
            <w:r w:rsidRPr="00EA46D6">
              <w:rPr>
                <w:b/>
                <w:bCs/>
                <w:sz w:val="20"/>
                <w:szCs w:val="20"/>
              </w:rPr>
              <w:t>Vývoj ukazovateľov refinančného a úrokového rizika v piatich rokoch (%)</w:t>
            </w:r>
            <w:bookmarkEnd w:id="30"/>
          </w:p>
        </w:tc>
      </w:tr>
      <w:tr w:rsidR="005E1C84" w:rsidRPr="00EA46D6" w14:paraId="2F1C67B4" w14:textId="77777777" w:rsidTr="00EA46D6">
        <w:trPr>
          <w:trHeight w:val="2578"/>
          <w:jc w:val="center"/>
        </w:trPr>
        <w:tc>
          <w:tcPr>
            <w:tcW w:w="4321" w:type="dxa"/>
            <w:gridSpan w:val="3"/>
            <w:tcBorders>
              <w:top w:val="nil"/>
              <w:left w:val="nil"/>
              <w:bottom w:val="nil"/>
              <w:right w:val="nil"/>
            </w:tcBorders>
            <w:noWrap/>
            <w:vAlign w:val="center"/>
          </w:tcPr>
          <w:p w14:paraId="0CE96871" w14:textId="2252A361" w:rsidR="005E1C84" w:rsidRPr="00EA46D6" w:rsidRDefault="00AD3C03" w:rsidP="00294377">
            <w:pPr>
              <w:ind w:left="162"/>
              <w:jc w:val="center"/>
              <w:rPr>
                <w:sz w:val="16"/>
                <w:szCs w:val="16"/>
              </w:rPr>
            </w:pPr>
            <w:r w:rsidRPr="00EA46D6">
              <w:rPr>
                <w:noProof/>
                <w:sz w:val="16"/>
                <w:szCs w:val="16"/>
              </w:rPr>
              <w:drawing>
                <wp:inline distT="0" distB="0" distL="0" distR="0" wp14:anchorId="1A3EC8F8" wp14:editId="2615652F">
                  <wp:extent cx="2571750" cy="2144395"/>
                  <wp:effectExtent l="0" t="0" r="0" b="825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8919" cy="2158711"/>
                          </a:xfrm>
                          <a:prstGeom prst="rect">
                            <a:avLst/>
                          </a:prstGeom>
                          <a:noFill/>
                        </pic:spPr>
                      </pic:pic>
                    </a:graphicData>
                  </a:graphic>
                </wp:inline>
              </w:drawing>
            </w:r>
          </w:p>
        </w:tc>
        <w:tc>
          <w:tcPr>
            <w:tcW w:w="130" w:type="dxa"/>
            <w:tcBorders>
              <w:top w:val="nil"/>
              <w:left w:val="nil"/>
              <w:bottom w:val="nil"/>
              <w:right w:val="nil"/>
            </w:tcBorders>
            <w:noWrap/>
            <w:vAlign w:val="center"/>
          </w:tcPr>
          <w:p w14:paraId="71585D09" w14:textId="77777777" w:rsidR="005E1C84" w:rsidRPr="00EA46D6" w:rsidRDefault="005E1C84" w:rsidP="00294377">
            <w:pPr>
              <w:jc w:val="center"/>
              <w:rPr>
                <w:sz w:val="16"/>
                <w:szCs w:val="16"/>
              </w:rPr>
            </w:pPr>
          </w:p>
        </w:tc>
        <w:tc>
          <w:tcPr>
            <w:tcW w:w="4411" w:type="dxa"/>
            <w:gridSpan w:val="3"/>
            <w:tcBorders>
              <w:top w:val="nil"/>
              <w:left w:val="nil"/>
              <w:bottom w:val="nil"/>
              <w:right w:val="nil"/>
            </w:tcBorders>
            <w:noWrap/>
            <w:vAlign w:val="center"/>
          </w:tcPr>
          <w:p w14:paraId="65F625FE" w14:textId="61176EAC" w:rsidR="005E1C84" w:rsidRPr="00EA46D6" w:rsidRDefault="00AD3C03" w:rsidP="00294377">
            <w:pPr>
              <w:ind w:left="143"/>
              <w:jc w:val="center"/>
              <w:rPr>
                <w:sz w:val="16"/>
                <w:szCs w:val="16"/>
              </w:rPr>
            </w:pPr>
            <w:r w:rsidRPr="00EA46D6">
              <w:rPr>
                <w:noProof/>
                <w:sz w:val="16"/>
                <w:szCs w:val="16"/>
              </w:rPr>
              <w:drawing>
                <wp:inline distT="0" distB="0" distL="0" distR="0" wp14:anchorId="3DA53A05" wp14:editId="55646AA3">
                  <wp:extent cx="2552107" cy="2132965"/>
                  <wp:effectExtent l="0" t="0" r="635" b="63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703" cy="2191967"/>
                          </a:xfrm>
                          <a:prstGeom prst="rect">
                            <a:avLst/>
                          </a:prstGeom>
                          <a:noFill/>
                        </pic:spPr>
                      </pic:pic>
                    </a:graphicData>
                  </a:graphic>
                </wp:inline>
              </w:drawing>
            </w:r>
          </w:p>
        </w:tc>
      </w:tr>
    </w:tbl>
    <w:p w14:paraId="6FC3237A" w14:textId="77777777" w:rsidR="005E1C84" w:rsidRDefault="005E1C84" w:rsidP="005E1C84">
      <w:pPr>
        <w:spacing w:before="240" w:after="120"/>
        <w:jc w:val="right"/>
        <w:rPr>
          <w:i/>
          <w:iCs/>
          <w:sz w:val="16"/>
          <w:szCs w:val="16"/>
        </w:rPr>
      </w:pPr>
      <w:r>
        <w:rPr>
          <w:i/>
          <w:iCs/>
          <w:sz w:val="16"/>
          <w:szCs w:val="16"/>
        </w:rPr>
        <w:t>Zd</w:t>
      </w:r>
      <w:r w:rsidRPr="0095057F">
        <w:rPr>
          <w:i/>
          <w:iCs/>
          <w:sz w:val="16"/>
          <w:szCs w:val="16"/>
        </w:rPr>
        <w:t>roj: ARDAL</w:t>
      </w:r>
    </w:p>
    <w:p w14:paraId="53D0C710" w14:textId="77777777" w:rsidR="00BB03A7" w:rsidRPr="00024472" w:rsidRDefault="00BB03A7" w:rsidP="005E1C84">
      <w:pPr>
        <w:spacing w:before="240" w:after="120"/>
        <w:jc w:val="right"/>
        <w:rPr>
          <w:b/>
          <w:szCs w:val="20"/>
          <w:highlight w:val="green"/>
        </w:rPr>
      </w:pPr>
    </w:p>
    <w:p w14:paraId="2C34FD47" w14:textId="48EF5A18" w:rsidR="005E1C84" w:rsidRPr="00EA46D6" w:rsidRDefault="005E1C84" w:rsidP="00EA46D6">
      <w:pPr>
        <w:spacing w:before="120" w:after="120"/>
        <w:ind w:firstLine="708"/>
        <w:jc w:val="both"/>
      </w:pPr>
      <w:r w:rsidRPr="00EA46D6">
        <w:t>Stabilizácia finančných trhov prostredníctvom operácií ECB pokračovala aj po roku 201</w:t>
      </w:r>
      <w:r w:rsidR="00C413A9" w:rsidRPr="00EA46D6">
        <w:t>5</w:t>
      </w:r>
      <w:r w:rsidRPr="00EA46D6">
        <w:t>. Úrokové sadzby členských krajín eurozóny hlavne pod vplyvom nákupov dlhopisov v rámci programu ECB PSPP</w:t>
      </w:r>
      <w:r w:rsidR="0017489F" w:rsidRPr="00EA46D6">
        <w:t xml:space="preserve"> </w:t>
      </w:r>
      <w:r w:rsidR="007D6012">
        <w:t>a aj po jeho ukončení</w:t>
      </w:r>
      <w:r w:rsidRPr="00EA46D6">
        <w:t xml:space="preserve"> dosahovali stále nové rekordné minimá. To znamenalo pre Slovensko v týchto rokoch prílev nových investorov, najmä v oblasti stále väčších splatností. Rekordne malé úrokové sadzby sa prejavili aj pri slovenských dlhopisoch, a preto boli uvedené podmienky využité na vydávanie dlhopisov (dlhu) s čo najväčšou dobou do splatnosti (20, 30 a 50 rokov). Parametre portfólia sa takto dostali do oblasti </w:t>
      </w:r>
      <w:r w:rsidR="009441DB" w:rsidRPr="00EA46D6">
        <w:t>menšieho</w:t>
      </w:r>
      <w:r w:rsidRPr="00EA46D6">
        <w:t xml:space="preserve"> rizika, ale vzhľadom k malým a postupne klesajúcim úrokovým sadzbám došlo k poklesu nákladov na obsluhu dlhu.</w:t>
      </w:r>
    </w:p>
    <w:p w14:paraId="07E54D4F" w14:textId="3665788A" w:rsidR="005E1C84" w:rsidRPr="0003036D" w:rsidRDefault="005E1C84" w:rsidP="005E1C84">
      <w:pPr>
        <w:spacing w:before="240" w:after="120"/>
        <w:jc w:val="center"/>
        <w:rPr>
          <w:szCs w:val="22"/>
        </w:rPr>
      </w:pPr>
      <w:r w:rsidRPr="0003036D">
        <w:rPr>
          <w:b/>
          <w:sz w:val="22"/>
          <w:szCs w:val="20"/>
        </w:rPr>
        <w:t>Vývoj priemernej splatnosti (roky) a durácie (roky) štátneho dlhu v rokoch 201</w:t>
      </w:r>
      <w:r>
        <w:rPr>
          <w:b/>
          <w:sz w:val="22"/>
          <w:szCs w:val="20"/>
        </w:rPr>
        <w:t>5</w:t>
      </w:r>
      <w:r w:rsidRPr="0003036D">
        <w:rPr>
          <w:b/>
          <w:sz w:val="22"/>
          <w:szCs w:val="20"/>
        </w:rPr>
        <w:t xml:space="preserve"> až 201</w:t>
      </w:r>
      <w:r w:rsidR="00AD3C03">
        <w:rPr>
          <w:b/>
          <w:sz w:val="22"/>
          <w:szCs w:val="20"/>
        </w:rPr>
        <w:t>9</w:t>
      </w:r>
    </w:p>
    <w:p w14:paraId="02D3923D" w14:textId="1C1197C6" w:rsidR="005E1C84" w:rsidRDefault="00EA46D6" w:rsidP="00EA46D6">
      <w:pPr>
        <w:tabs>
          <w:tab w:val="left" w:pos="3045"/>
        </w:tabs>
        <w:rPr>
          <w:i/>
          <w:sz w:val="16"/>
          <w:szCs w:val="16"/>
        </w:rPr>
      </w:pPr>
      <w:r>
        <w:rPr>
          <w:i/>
          <w:sz w:val="16"/>
          <w:szCs w:val="16"/>
        </w:rPr>
        <w:tab/>
      </w:r>
    </w:p>
    <w:p w14:paraId="099DED07" w14:textId="3D238387" w:rsidR="005E1C84" w:rsidRPr="002C3F14" w:rsidRDefault="00BD1386" w:rsidP="00BD1386">
      <w:pPr>
        <w:jc w:val="center"/>
      </w:pPr>
      <w:r>
        <w:rPr>
          <w:i/>
          <w:sz w:val="16"/>
          <w:szCs w:val="16"/>
        </w:rPr>
        <w:t xml:space="preserve">                                                                                                                                                                                               </w:t>
      </w:r>
      <w:r w:rsidR="005E1C84" w:rsidRPr="002C3F14">
        <w:rPr>
          <w:i/>
          <w:sz w:val="16"/>
          <w:szCs w:val="16"/>
        </w:rPr>
        <w:t>Zdroj: ARDAL</w:t>
      </w:r>
    </w:p>
    <w:p w14:paraId="76448E02" w14:textId="77777777" w:rsidR="00652398" w:rsidRPr="00CF21A5" w:rsidRDefault="00AD3C03" w:rsidP="00652398">
      <w:pPr>
        <w:ind w:left="-567"/>
        <w:jc w:val="both"/>
        <w:rPr>
          <w:sz w:val="16"/>
          <w:szCs w:val="16"/>
        </w:rPr>
      </w:pPr>
      <w:r w:rsidRPr="00CF21A5">
        <w:rPr>
          <w:noProof/>
          <w:sz w:val="16"/>
          <w:szCs w:val="16"/>
        </w:rPr>
        <w:drawing>
          <wp:inline distT="0" distB="0" distL="0" distR="0" wp14:anchorId="2EF84A65" wp14:editId="033FB9EF">
            <wp:extent cx="6210300" cy="2594878"/>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2330" cy="2654223"/>
                    </a:xfrm>
                    <a:prstGeom prst="rect">
                      <a:avLst/>
                    </a:prstGeom>
                    <a:noFill/>
                  </pic:spPr>
                </pic:pic>
              </a:graphicData>
            </a:graphic>
          </wp:inline>
        </w:drawing>
      </w:r>
      <w:r w:rsidR="005E1C84" w:rsidRPr="00CF21A5">
        <w:rPr>
          <w:sz w:val="16"/>
          <w:szCs w:val="16"/>
        </w:rPr>
        <w:br w:type="page"/>
      </w:r>
    </w:p>
    <w:p w14:paraId="0A9AE83C" w14:textId="7038DC76" w:rsidR="005E1C84" w:rsidRDefault="005E1C84" w:rsidP="0035621D">
      <w:pPr>
        <w:ind w:firstLine="708"/>
        <w:jc w:val="both"/>
      </w:pPr>
      <w:r w:rsidRPr="00EA46D6">
        <w:lastRenderedPageBreak/>
        <w:t>Pre riadenie cudzomenového rizika je stanovený limit nezabezpečene</w:t>
      </w:r>
      <w:r w:rsidR="003C3715" w:rsidRPr="00EA46D6">
        <w:t xml:space="preserve">j cudzomenovej pozície štátneho </w:t>
      </w:r>
      <w:r w:rsidRPr="00EA46D6">
        <w:t>dlhu, a</w:t>
      </w:r>
      <w:r w:rsidR="00FF4FD1">
        <w:t> </w:t>
      </w:r>
      <w:r w:rsidRPr="00EA46D6">
        <w:t>to</w:t>
      </w:r>
      <w:r w:rsidR="00FF4FD1">
        <w:t xml:space="preserve"> na</w:t>
      </w:r>
      <w:r w:rsidRPr="00EA46D6">
        <w:t xml:space="preserve"> úrovni 3 % v pomere k celkovému štátnemu dlhu. Ku koncu </w:t>
      </w:r>
      <w:r w:rsidR="00073B2B" w:rsidRPr="00EA46D6">
        <w:t>septembra</w:t>
      </w:r>
      <w:r w:rsidRPr="00EA46D6">
        <w:t xml:space="preserve"> 201</w:t>
      </w:r>
      <w:r w:rsidR="00073B2B" w:rsidRPr="00EA46D6">
        <w:t>9</w:t>
      </w:r>
      <w:r w:rsidRPr="00EA46D6">
        <w:t xml:space="preserve"> bola hodnota nezabezpečeného dlhu v cudzej mene 0,0</w:t>
      </w:r>
      <w:r w:rsidR="00073B2B" w:rsidRPr="00EA46D6">
        <w:t>6</w:t>
      </w:r>
      <w:r w:rsidRPr="00EA46D6">
        <w:t xml:space="preserve"> % z celkového dlhu.</w:t>
      </w:r>
    </w:p>
    <w:p w14:paraId="5E7C3130" w14:textId="77777777" w:rsidR="0035621D" w:rsidRPr="00EA46D6" w:rsidRDefault="0035621D" w:rsidP="0035621D">
      <w:pPr>
        <w:ind w:firstLine="708"/>
        <w:jc w:val="both"/>
      </w:pPr>
    </w:p>
    <w:p w14:paraId="73CC033A" w14:textId="77777777" w:rsidR="005E1C84" w:rsidRDefault="005E1C84" w:rsidP="0035621D">
      <w:pPr>
        <w:rPr>
          <w:u w:val="single"/>
        </w:rPr>
      </w:pPr>
      <w:r w:rsidRPr="00EA46D6">
        <w:rPr>
          <w:u w:val="single"/>
        </w:rPr>
        <w:t>4 - Diverzifikácia investorskej základne</w:t>
      </w:r>
    </w:p>
    <w:p w14:paraId="5D77FA11" w14:textId="77777777" w:rsidR="0035621D" w:rsidRPr="00EA46D6" w:rsidRDefault="0035621D" w:rsidP="0035621D">
      <w:pPr>
        <w:rPr>
          <w:u w:val="single"/>
        </w:rPr>
      </w:pPr>
    </w:p>
    <w:p w14:paraId="74A4B6EA" w14:textId="77777777" w:rsidR="005E1C84" w:rsidRDefault="005E1C84" w:rsidP="0035621D">
      <w:pPr>
        <w:ind w:firstLine="708"/>
        <w:jc w:val="both"/>
      </w:pPr>
      <w:r w:rsidRPr="00EA46D6">
        <w:t>Diverzifikácia investorskej základne je nevyhnutná najmä z  dôvodu každoročných deficitov štátneho rozpočtu, ktoré sú spolu so splatným dlhom väčšie ako absorpčná kapacita domáceho a regionálneho finančného trhu. Táto diverzifikácia prináša tiež zmenu podielu štátneho dlhu vlastneného domácimi investormi a zahraničnými investormi v prospech zahraničných investorov (väčšie refinančné riziko).</w:t>
      </w:r>
    </w:p>
    <w:p w14:paraId="5EC15323" w14:textId="77777777" w:rsidR="0035621D" w:rsidRPr="00EA46D6" w:rsidRDefault="0035621D" w:rsidP="0035621D">
      <w:pPr>
        <w:ind w:firstLine="708"/>
        <w:jc w:val="both"/>
      </w:pPr>
    </w:p>
    <w:p w14:paraId="6E0A2910" w14:textId="5CEAF313" w:rsidR="005E1C84" w:rsidRDefault="005E1C84" w:rsidP="0035621D">
      <w:pPr>
        <w:ind w:firstLine="284"/>
        <w:jc w:val="both"/>
      </w:pPr>
      <w:r w:rsidRPr="00EA46D6">
        <w:t>V celom horizonte Stratégie nebola vydaná žiadna emisia v cudzej mene. V budúcnosti môže ARDAL vydať takúto emisiu v závislosti od podmienok na trhu, od vývoja deficitu ŠR a očakávaných zmien zákona o rozpočtovej zodpovednosti.</w:t>
      </w:r>
    </w:p>
    <w:p w14:paraId="399F544F" w14:textId="77777777" w:rsidR="0035621D" w:rsidRPr="00EA46D6" w:rsidRDefault="0035621D" w:rsidP="0035621D">
      <w:pPr>
        <w:ind w:firstLine="284"/>
        <w:jc w:val="both"/>
      </w:pPr>
    </w:p>
    <w:p w14:paraId="16D646F9" w14:textId="50CBA849" w:rsidR="005E1C84" w:rsidRDefault="005E1C84" w:rsidP="0035621D">
      <w:pPr>
        <w:ind w:left="284" w:hanging="284"/>
        <w:rPr>
          <w:u w:val="single"/>
        </w:rPr>
      </w:pPr>
      <w:r w:rsidRPr="00EA46D6">
        <w:rPr>
          <w:u w:val="single"/>
        </w:rPr>
        <w:t>5 - Skvalitnenie infraštruktúry riadenia štátneho dlhu (primárni d</w:t>
      </w:r>
      <w:r w:rsidR="002417A7" w:rsidRPr="00EA46D6">
        <w:rPr>
          <w:u w:val="single"/>
        </w:rPr>
        <w:t>í</w:t>
      </w:r>
      <w:r w:rsidRPr="00EA46D6">
        <w:rPr>
          <w:u w:val="single"/>
        </w:rPr>
        <w:t>leri, ISDA zmluvy, brokeri, zlepšenie podmienok vysporiadania CP)</w:t>
      </w:r>
    </w:p>
    <w:p w14:paraId="30723870" w14:textId="77777777" w:rsidR="0035621D" w:rsidRPr="00EA46D6" w:rsidRDefault="0035621D" w:rsidP="0035621D">
      <w:pPr>
        <w:ind w:left="284" w:hanging="284"/>
        <w:rPr>
          <w:u w:val="single"/>
        </w:rPr>
      </w:pPr>
    </w:p>
    <w:p w14:paraId="356D712F" w14:textId="77777777" w:rsidR="005E1C84" w:rsidRDefault="005E1C84" w:rsidP="0035621D">
      <w:pPr>
        <w:ind w:firstLine="708"/>
        <w:jc w:val="both"/>
      </w:pPr>
      <w:r w:rsidRPr="00EA46D6">
        <w:t xml:space="preserve">Vo februári 2017 Centrálny depozitár cenných papierov SR, a. s. (CDCP) úspešne prešiel na európsku platformu Target 2-Securities (T2S). Týmto významným míľnikom sa Slovensko stalo integrovanou súčasťou jednotného kapitálového trhu EÚ. Implementáciou štandardného vysporiadania transakcií (DVP) sa vytvorili vhodné podmienky pre zavedenie elektronickej platformy pre sekundárny trh slovenských štátnych cenných papierov. </w:t>
      </w:r>
    </w:p>
    <w:p w14:paraId="28EBDD15" w14:textId="77777777" w:rsidR="0035621D" w:rsidRPr="00EA46D6" w:rsidRDefault="0035621D" w:rsidP="0035621D">
      <w:pPr>
        <w:ind w:firstLine="708"/>
        <w:jc w:val="both"/>
      </w:pPr>
    </w:p>
    <w:p w14:paraId="429BF0CA" w14:textId="205953E4" w:rsidR="005E1C84" w:rsidRDefault="005E1C84" w:rsidP="0035621D">
      <w:pPr>
        <w:ind w:firstLine="709"/>
        <w:jc w:val="both"/>
      </w:pPr>
      <w:r w:rsidRPr="00EA46D6">
        <w:t>Vo februári 2018 začala na Slovensku fungovať elektronická platforma pre obchodovanie štátnych dlhopisov na sekundárnom trhu - MTS Slovakia. Hlavným cieľom zavedenia bola podpora transparentnosti a likvidity štátnych cenných papierov na sekundárnom trhu. Táto platforma je v krajinách EÚ najviac rozšírená a predstavuje nevyhnutný štandard pre zlepšenie likvidity štátnych cenných papierov na sekundárnom trhu. Sl</w:t>
      </w:r>
      <w:r w:rsidR="00C413A9" w:rsidRPr="00EA46D6">
        <w:t>ovensko sa aj vďaka tomu začlenilo</w:t>
      </w:r>
      <w:r w:rsidRPr="00EA46D6">
        <w:t xml:space="preserve"> medzi krajiny s vyspelou infraštruktúrou v oblasti riadenia a správy štátneho dlhu. </w:t>
      </w:r>
    </w:p>
    <w:p w14:paraId="7B8D3189" w14:textId="77777777" w:rsidR="0035621D" w:rsidRPr="00EA46D6" w:rsidRDefault="0035621D" w:rsidP="0035621D">
      <w:pPr>
        <w:ind w:firstLine="709"/>
        <w:jc w:val="both"/>
      </w:pPr>
    </w:p>
    <w:p w14:paraId="7371519E" w14:textId="75594021" w:rsidR="005E1C84" w:rsidRDefault="003B736F" w:rsidP="0035621D">
      <w:pPr>
        <w:ind w:firstLine="709"/>
        <w:jc w:val="both"/>
      </w:pPr>
      <w:r>
        <w:t>Systém primárnych dí</w:t>
      </w:r>
      <w:r w:rsidR="005E1C84" w:rsidRPr="00EA46D6">
        <w:t>lerov fungoval stabilne a štandardne s mierne sa meniacim počtom primárnych d</w:t>
      </w:r>
      <w:r w:rsidR="0017489F" w:rsidRPr="00EA46D6">
        <w:t>í</w:t>
      </w:r>
      <w:r w:rsidR="005E1C84" w:rsidRPr="00EA46D6">
        <w:t>lerov. V uvedenom období boli podpísané zmluvy s celkovo desiatimi až trinástimi primárnymi d</w:t>
      </w:r>
      <w:r w:rsidR="0017489F" w:rsidRPr="00EA46D6">
        <w:t>í</w:t>
      </w:r>
      <w:r w:rsidR="005E1C84" w:rsidRPr="00EA46D6">
        <w:t>lermi a s niekoľkými spolupracujúci</w:t>
      </w:r>
      <w:r w:rsidR="00A7338F">
        <w:t>mi</w:t>
      </w:r>
      <w:r w:rsidR="005E1C84" w:rsidRPr="00EA46D6">
        <w:t xml:space="preserve"> d</w:t>
      </w:r>
      <w:r w:rsidR="0017489F" w:rsidRPr="00EA46D6">
        <w:t>í</w:t>
      </w:r>
      <w:r w:rsidR="005E1C84" w:rsidRPr="00EA46D6">
        <w:t>ler</w:t>
      </w:r>
      <w:r w:rsidR="00A7338F">
        <w:t>m</w:t>
      </w:r>
      <w:r w:rsidR="005E1C84" w:rsidRPr="00EA46D6">
        <w:t xml:space="preserve">i v závislosti od jednotlivých rokov. </w:t>
      </w:r>
    </w:p>
    <w:p w14:paraId="72B25CD6" w14:textId="77777777" w:rsidR="0035621D" w:rsidRPr="00EA46D6" w:rsidRDefault="0035621D" w:rsidP="0035621D">
      <w:pPr>
        <w:ind w:firstLine="709"/>
        <w:jc w:val="both"/>
      </w:pPr>
    </w:p>
    <w:p w14:paraId="3FA0788D" w14:textId="0A3D87FA" w:rsidR="0035621D" w:rsidRPr="00EA46D6" w:rsidRDefault="005E1C84" w:rsidP="0035621D">
      <w:pPr>
        <w:ind w:firstLine="708"/>
        <w:jc w:val="both"/>
      </w:pPr>
      <w:r w:rsidRPr="00EA46D6">
        <w:t>V období od začiatku roka 2012 boli uzatvorené zmluvy s jedenástimi bankami (ISDA Master Agreement). Banky, s ktorými má Slovensko platné zmluvy</w:t>
      </w:r>
      <w:r w:rsidR="009441DB" w:rsidRPr="00EA46D6">
        <w:t>,</w:t>
      </w:r>
      <w:r w:rsidRPr="00EA46D6">
        <w:t xml:space="preserve"> môžu byť pozvané do tendra na uzatvorenie zabezpečovacích </w:t>
      </w:r>
      <w:r w:rsidR="009441DB" w:rsidRPr="00EA46D6">
        <w:t xml:space="preserve">a iných </w:t>
      </w:r>
      <w:r w:rsidRPr="00EA46D6">
        <w:t>transakcií. Služby brokerských spoločností (zahraničných) využíva Slovensko na transakcie na peňažnom a na sekundárnom kapitálovom trhu v menšom rozsahu.</w:t>
      </w:r>
      <w:r w:rsidR="00442167" w:rsidRPr="00EA46D6">
        <w:t xml:space="preserve"> </w:t>
      </w:r>
    </w:p>
    <w:p w14:paraId="2F65C444" w14:textId="77777777" w:rsidR="00191554" w:rsidRPr="00191554" w:rsidRDefault="00191554" w:rsidP="0035621D"/>
    <w:p w14:paraId="6E272E6E" w14:textId="77777777" w:rsidR="00A649B2" w:rsidRDefault="00BD6A9D" w:rsidP="0035621D">
      <w:pPr>
        <w:pStyle w:val="Nadpis1"/>
        <w:numPr>
          <w:ilvl w:val="0"/>
          <w:numId w:val="9"/>
        </w:numPr>
        <w:spacing w:before="120" w:after="0"/>
        <w:ind w:left="357" w:hanging="357"/>
        <w:rPr>
          <w:rFonts w:ascii="Times New Roman" w:hAnsi="Times New Roman" w:cs="Times New Roman"/>
          <w:sz w:val="28"/>
        </w:rPr>
      </w:pPr>
      <w:bookmarkStart w:id="31" w:name="_Toc21537386"/>
      <w:r w:rsidRPr="007B4261">
        <w:rPr>
          <w:rFonts w:ascii="Times New Roman" w:hAnsi="Times New Roman" w:cs="Times New Roman"/>
          <w:sz w:val="28"/>
        </w:rPr>
        <w:t>Strategické c</w:t>
      </w:r>
      <w:r w:rsidR="00A649B2" w:rsidRPr="007B4261">
        <w:rPr>
          <w:rFonts w:ascii="Times New Roman" w:hAnsi="Times New Roman" w:cs="Times New Roman"/>
          <w:sz w:val="28"/>
        </w:rPr>
        <w:t xml:space="preserve">iele </w:t>
      </w:r>
      <w:r w:rsidRPr="007B4261">
        <w:rPr>
          <w:rFonts w:ascii="Times New Roman" w:hAnsi="Times New Roman" w:cs="Times New Roman"/>
          <w:sz w:val="28"/>
        </w:rPr>
        <w:t>ria</w:t>
      </w:r>
      <w:r w:rsidR="00A649B2" w:rsidRPr="007B4261">
        <w:rPr>
          <w:rFonts w:ascii="Times New Roman" w:hAnsi="Times New Roman" w:cs="Times New Roman"/>
          <w:sz w:val="28"/>
        </w:rPr>
        <w:t>deni</w:t>
      </w:r>
      <w:r w:rsidRPr="007B4261">
        <w:rPr>
          <w:rFonts w:ascii="Times New Roman" w:hAnsi="Times New Roman" w:cs="Times New Roman"/>
          <w:sz w:val="28"/>
        </w:rPr>
        <w:t>a</w:t>
      </w:r>
      <w:r w:rsidR="005840BF" w:rsidRPr="007B4261">
        <w:rPr>
          <w:rFonts w:ascii="Times New Roman" w:hAnsi="Times New Roman" w:cs="Times New Roman"/>
          <w:sz w:val="28"/>
        </w:rPr>
        <w:t xml:space="preserve"> </w:t>
      </w:r>
      <w:r w:rsidRPr="007B4261">
        <w:rPr>
          <w:rFonts w:ascii="Times New Roman" w:hAnsi="Times New Roman" w:cs="Times New Roman"/>
          <w:sz w:val="28"/>
        </w:rPr>
        <w:t xml:space="preserve">štátneho dlhu na roky </w:t>
      </w:r>
      <w:r w:rsidR="00192994" w:rsidRPr="007B4261">
        <w:rPr>
          <w:rFonts w:ascii="Times New Roman" w:hAnsi="Times New Roman" w:cs="Times New Roman"/>
          <w:sz w:val="28"/>
        </w:rPr>
        <w:t>201</w:t>
      </w:r>
      <w:r w:rsidR="00516ECE" w:rsidRPr="007B4261">
        <w:rPr>
          <w:rFonts w:ascii="Times New Roman" w:hAnsi="Times New Roman" w:cs="Times New Roman"/>
          <w:sz w:val="28"/>
        </w:rPr>
        <w:t>5</w:t>
      </w:r>
      <w:r w:rsidR="00192994" w:rsidRPr="007B4261">
        <w:rPr>
          <w:rFonts w:ascii="Times New Roman" w:hAnsi="Times New Roman" w:cs="Times New Roman"/>
          <w:sz w:val="28"/>
        </w:rPr>
        <w:t xml:space="preserve"> </w:t>
      </w:r>
      <w:r w:rsidRPr="007B4261">
        <w:rPr>
          <w:rFonts w:ascii="Times New Roman" w:hAnsi="Times New Roman" w:cs="Times New Roman"/>
          <w:sz w:val="28"/>
        </w:rPr>
        <w:t>až 201</w:t>
      </w:r>
      <w:bookmarkEnd w:id="9"/>
      <w:r w:rsidR="00516ECE" w:rsidRPr="007B4261">
        <w:rPr>
          <w:rFonts w:ascii="Times New Roman" w:hAnsi="Times New Roman" w:cs="Times New Roman"/>
          <w:sz w:val="28"/>
        </w:rPr>
        <w:t>8</w:t>
      </w:r>
      <w:bookmarkEnd w:id="17"/>
      <w:bookmarkEnd w:id="18"/>
      <w:bookmarkEnd w:id="31"/>
      <w:r w:rsidR="00C97DA5" w:rsidRPr="007B4261">
        <w:rPr>
          <w:rFonts w:ascii="Times New Roman" w:hAnsi="Times New Roman" w:cs="Times New Roman"/>
          <w:sz w:val="28"/>
        </w:rPr>
        <w:t xml:space="preserve"> </w:t>
      </w:r>
    </w:p>
    <w:p w14:paraId="35F09E27" w14:textId="77777777" w:rsidR="0035621D" w:rsidRPr="0035621D" w:rsidRDefault="0035621D" w:rsidP="0035621D"/>
    <w:p w14:paraId="0F635899" w14:textId="06983E5C" w:rsidR="00442167" w:rsidRPr="00EA46D6" w:rsidRDefault="00C47479" w:rsidP="0035621D">
      <w:pPr>
        <w:ind w:firstLine="708"/>
        <w:jc w:val="both"/>
      </w:pPr>
      <w:r w:rsidRPr="00EA46D6">
        <w:t xml:space="preserve">Hlavným cieľom riadenia štátneho dlhu je zabezpečiť plnenie finančných záväzkov štátu a zabezpečiť spoľahlivé refinancovanie na kapitálovom trhu pri primeraných úrokových nákladoch a únosnej miere rizík. Ciele formulované v Stratégii na roky 2015 až 2018 sú v súlade s aktuálnou situáciou na finančnom trhu a s vývojom riadenia štátneho dlhu. Nastavenie cieľov riadenia štátneho dlhu a likvidity je vyhovujúce pre podmienky slovenskej </w:t>
      </w:r>
      <w:r w:rsidRPr="00EA46D6">
        <w:lastRenderedPageBreak/>
        <w:t>ekonomiky a dostatočné pre systém riadenia dlhu v SR. Aktuálna aktualizácia nevyžaduje modifikovať kvantitatívne ciele riadenia rizika ani ostatné ciele stanovené v Stratégii.</w:t>
      </w:r>
    </w:p>
    <w:p w14:paraId="1AD46A14" w14:textId="77777777" w:rsidR="007B4261" w:rsidRPr="00EA46D6" w:rsidRDefault="007B4261" w:rsidP="0035621D">
      <w:pPr>
        <w:ind w:firstLine="708"/>
        <w:jc w:val="both"/>
      </w:pPr>
    </w:p>
    <w:p w14:paraId="714A90AA" w14:textId="77777777" w:rsidR="00B47E5C" w:rsidRDefault="00B47E5C" w:rsidP="0035621D">
      <w:pPr>
        <w:pStyle w:val="Nadpis1"/>
        <w:numPr>
          <w:ilvl w:val="0"/>
          <w:numId w:val="9"/>
        </w:numPr>
        <w:spacing w:before="0" w:after="0"/>
        <w:rPr>
          <w:rFonts w:ascii="Times New Roman" w:hAnsi="Times New Roman" w:cs="Times New Roman"/>
          <w:sz w:val="28"/>
        </w:rPr>
      </w:pPr>
      <w:bookmarkStart w:id="32" w:name="_Toc21537387"/>
      <w:r w:rsidRPr="007B4261">
        <w:rPr>
          <w:rFonts w:ascii="Times New Roman" w:hAnsi="Times New Roman" w:cs="Times New Roman"/>
          <w:sz w:val="28"/>
        </w:rPr>
        <w:t>Záver</w:t>
      </w:r>
      <w:bookmarkEnd w:id="32"/>
    </w:p>
    <w:p w14:paraId="2864968E" w14:textId="77777777" w:rsidR="0035621D" w:rsidRPr="0035621D" w:rsidRDefault="0035621D" w:rsidP="0035621D"/>
    <w:p w14:paraId="62D48E9B" w14:textId="63CA8353" w:rsidR="00751E56" w:rsidRPr="00EA46D6" w:rsidRDefault="00751E56" w:rsidP="0035621D">
      <w:pPr>
        <w:ind w:firstLine="708"/>
        <w:jc w:val="both"/>
      </w:pPr>
      <w:r w:rsidRPr="00EA46D6">
        <w:t>Slovensko plní všetky kritériá stanovené Stratégiou s finančnou a časovou rezervou. Rizikové parametre portfólia štátneho dlhu sa nachádzajú na úrovni stredných hodnôt krajín OECD</w:t>
      </w:r>
      <w:r w:rsidR="001E5F8D" w:rsidRPr="00EA46D6">
        <w:t xml:space="preserve"> a</w:t>
      </w:r>
      <w:r w:rsidRPr="00EA46D6">
        <w:t xml:space="preserve"> na úrovni jadrových krajín eurozóny. Riadeniu štátneho dlhu napomáha rast bilančnej hodnoty Štátnej pokladnice, dobre fungujúci systém Primárnych dílerov a prostredie extrémne nízkych úrokových sadzieb. Táto aktualizácia Stratégie </w:t>
      </w:r>
      <w:r w:rsidR="00150E0E" w:rsidRPr="00EA46D6">
        <w:t>na rok 2019</w:t>
      </w:r>
      <w:r w:rsidRPr="00EA46D6">
        <w:t xml:space="preserve"> predpokladá prijatie novej Stratégie riade</w:t>
      </w:r>
      <w:r w:rsidR="001F50BA">
        <w:t>nia štátneho dlhu na roky 2020 až</w:t>
      </w:r>
      <w:r w:rsidRPr="00EA46D6">
        <w:t xml:space="preserve"> 2024 po voľbách do NR SR v roku 2020.  </w:t>
      </w:r>
    </w:p>
    <w:p w14:paraId="0F6FBF5B" w14:textId="77777777" w:rsidR="00751E56" w:rsidRPr="00EA46D6" w:rsidRDefault="00751E56" w:rsidP="0035621D">
      <w:pPr>
        <w:ind w:firstLine="708"/>
        <w:jc w:val="both"/>
      </w:pPr>
      <w:r w:rsidRPr="00EA46D6">
        <w:t>Aktuálna aktualizácia nevyžaduje modifikovať kvantitatívne ciele riadenia rizika, ani ostatné ciele stanovené v Stratégii.</w:t>
      </w:r>
    </w:p>
    <w:sectPr w:rsidR="00751E56" w:rsidRPr="00EA46D6" w:rsidSect="008B09B9">
      <w:footerReference w:type="default" r:id="rId14"/>
      <w:pgSz w:w="11906" w:h="16838"/>
      <w:pgMar w:top="1135"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756FD" w14:textId="77777777" w:rsidR="007270C0" w:rsidRDefault="007270C0" w:rsidP="00F449C1">
      <w:r>
        <w:separator/>
      </w:r>
    </w:p>
  </w:endnote>
  <w:endnote w:type="continuationSeparator" w:id="0">
    <w:p w14:paraId="0749C3B0" w14:textId="77777777" w:rsidR="007270C0" w:rsidRDefault="007270C0" w:rsidP="00F449C1">
      <w:r>
        <w:continuationSeparator/>
      </w:r>
    </w:p>
  </w:endnote>
  <w:endnote w:type="continuationNotice" w:id="1">
    <w:p w14:paraId="6E134C6C" w14:textId="77777777" w:rsidR="007270C0" w:rsidRDefault="00727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Franklin Gothic Book">
    <w:altName w:val="Corbel"/>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1794028"/>
      <w:docPartObj>
        <w:docPartGallery w:val="Page Numbers (Bottom of Page)"/>
        <w:docPartUnique/>
      </w:docPartObj>
    </w:sdtPr>
    <w:sdtEndPr/>
    <w:sdtContent>
      <w:p w14:paraId="02CBF78F" w14:textId="420F9046" w:rsidR="00ED5EB6" w:rsidRDefault="00ED5EB6">
        <w:pPr>
          <w:pStyle w:val="Pta"/>
          <w:jc w:val="center"/>
        </w:pPr>
        <w:r>
          <w:fldChar w:fldCharType="begin"/>
        </w:r>
        <w:r>
          <w:instrText>PAGE   \* MERGEFORMAT</w:instrText>
        </w:r>
        <w:r>
          <w:fldChar w:fldCharType="separate"/>
        </w:r>
        <w:r w:rsidR="00C412D0">
          <w:rPr>
            <w:noProof/>
          </w:rPr>
          <w:t>2</w:t>
        </w:r>
        <w:r>
          <w:fldChar w:fldCharType="end"/>
        </w:r>
      </w:p>
    </w:sdtContent>
  </w:sdt>
  <w:p w14:paraId="1F5A15B3" w14:textId="77777777" w:rsidR="00ED5EB6" w:rsidRDefault="00ED5EB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6C990" w14:textId="77777777" w:rsidR="007270C0" w:rsidRDefault="007270C0" w:rsidP="00F449C1">
      <w:r>
        <w:separator/>
      </w:r>
    </w:p>
  </w:footnote>
  <w:footnote w:type="continuationSeparator" w:id="0">
    <w:p w14:paraId="48B3EF4A" w14:textId="77777777" w:rsidR="007270C0" w:rsidRDefault="007270C0" w:rsidP="00F449C1">
      <w:r>
        <w:continuationSeparator/>
      </w:r>
    </w:p>
  </w:footnote>
  <w:footnote w:type="continuationNotice" w:id="1">
    <w:p w14:paraId="3C79B5CC" w14:textId="77777777" w:rsidR="007270C0" w:rsidRDefault="007270C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386"/>
    <w:multiLevelType w:val="hybridMultilevel"/>
    <w:tmpl w:val="7AD4A914"/>
    <w:lvl w:ilvl="0" w:tplc="96E44412">
      <w:start w:val="1"/>
      <w:numFmt w:val="decimal"/>
      <w:lvlText w:val="%1."/>
      <w:lvlJc w:val="left"/>
      <w:pPr>
        <w:tabs>
          <w:tab w:val="num" w:pos="510"/>
        </w:tabs>
        <w:ind w:left="510" w:hanging="226"/>
      </w:pPr>
      <w:rPr>
        <w:rFonts w:ascii="Arial Narrow" w:hAnsi="Arial Narrow"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2F34DFF"/>
    <w:multiLevelType w:val="hybridMultilevel"/>
    <w:tmpl w:val="DBE8129C"/>
    <w:lvl w:ilvl="0" w:tplc="041B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2834C5"/>
    <w:multiLevelType w:val="hybridMultilevel"/>
    <w:tmpl w:val="DC4CF880"/>
    <w:lvl w:ilvl="0" w:tplc="4716A0FE">
      <w:start w:val="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EE47DD7"/>
    <w:multiLevelType w:val="hybridMultilevel"/>
    <w:tmpl w:val="1FC63F12"/>
    <w:lvl w:ilvl="0" w:tplc="041B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DD4C1D"/>
    <w:multiLevelType w:val="hybridMultilevel"/>
    <w:tmpl w:val="F38A7DCA"/>
    <w:lvl w:ilvl="0" w:tplc="ECC4AB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62F7C"/>
    <w:multiLevelType w:val="hybridMultilevel"/>
    <w:tmpl w:val="ED1611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950170"/>
    <w:multiLevelType w:val="singleLevel"/>
    <w:tmpl w:val="8AD46048"/>
    <w:lvl w:ilvl="0">
      <w:start w:val="1"/>
      <w:numFmt w:val="decimal"/>
      <w:lvlText w:val="(%1)"/>
      <w:lvlJc w:val="left"/>
      <w:pPr>
        <w:tabs>
          <w:tab w:val="num" w:pos="360"/>
        </w:tabs>
        <w:ind w:left="360" w:hanging="360"/>
      </w:pPr>
      <w:rPr>
        <w:rFonts w:hint="default"/>
      </w:rPr>
    </w:lvl>
  </w:abstractNum>
  <w:abstractNum w:abstractNumId="7" w15:restartNumberingAfterBreak="0">
    <w:nsid w:val="31FF38D0"/>
    <w:multiLevelType w:val="hybridMultilevel"/>
    <w:tmpl w:val="7828291C"/>
    <w:lvl w:ilvl="0" w:tplc="C1345AA2">
      <w:start w:val="2"/>
      <w:numFmt w:val="bullet"/>
      <w:lvlText w:val="-"/>
      <w:lvlJc w:val="left"/>
      <w:pPr>
        <w:tabs>
          <w:tab w:val="num" w:pos="1055"/>
        </w:tabs>
        <w:ind w:left="1055" w:hanging="360"/>
      </w:pPr>
      <w:rPr>
        <w:rFonts w:ascii="Arial" w:eastAsia="Cordia New" w:hAnsi="Arial" w:cs="Arial" w:hint="default"/>
      </w:rPr>
    </w:lvl>
    <w:lvl w:ilvl="1" w:tplc="041B0003" w:tentative="1">
      <w:start w:val="1"/>
      <w:numFmt w:val="bullet"/>
      <w:lvlText w:val="o"/>
      <w:lvlJc w:val="left"/>
      <w:pPr>
        <w:tabs>
          <w:tab w:val="num" w:pos="1775"/>
        </w:tabs>
        <w:ind w:left="1775" w:hanging="360"/>
      </w:pPr>
      <w:rPr>
        <w:rFonts w:ascii="Courier New" w:hAnsi="Courier New" w:cs="Courier New" w:hint="default"/>
      </w:rPr>
    </w:lvl>
    <w:lvl w:ilvl="2" w:tplc="041B0005" w:tentative="1">
      <w:start w:val="1"/>
      <w:numFmt w:val="bullet"/>
      <w:lvlText w:val=""/>
      <w:lvlJc w:val="left"/>
      <w:pPr>
        <w:tabs>
          <w:tab w:val="num" w:pos="2495"/>
        </w:tabs>
        <w:ind w:left="2495" w:hanging="360"/>
      </w:pPr>
      <w:rPr>
        <w:rFonts w:ascii="Wingdings" w:hAnsi="Wingdings" w:hint="default"/>
      </w:rPr>
    </w:lvl>
    <w:lvl w:ilvl="3" w:tplc="041B0001" w:tentative="1">
      <w:start w:val="1"/>
      <w:numFmt w:val="bullet"/>
      <w:lvlText w:val=""/>
      <w:lvlJc w:val="left"/>
      <w:pPr>
        <w:tabs>
          <w:tab w:val="num" w:pos="3215"/>
        </w:tabs>
        <w:ind w:left="3215" w:hanging="360"/>
      </w:pPr>
      <w:rPr>
        <w:rFonts w:ascii="Symbol" w:hAnsi="Symbol" w:hint="default"/>
      </w:rPr>
    </w:lvl>
    <w:lvl w:ilvl="4" w:tplc="041B0003" w:tentative="1">
      <w:start w:val="1"/>
      <w:numFmt w:val="bullet"/>
      <w:lvlText w:val="o"/>
      <w:lvlJc w:val="left"/>
      <w:pPr>
        <w:tabs>
          <w:tab w:val="num" w:pos="3935"/>
        </w:tabs>
        <w:ind w:left="3935" w:hanging="360"/>
      </w:pPr>
      <w:rPr>
        <w:rFonts w:ascii="Courier New" w:hAnsi="Courier New" w:cs="Courier New" w:hint="default"/>
      </w:rPr>
    </w:lvl>
    <w:lvl w:ilvl="5" w:tplc="041B0005" w:tentative="1">
      <w:start w:val="1"/>
      <w:numFmt w:val="bullet"/>
      <w:lvlText w:val=""/>
      <w:lvlJc w:val="left"/>
      <w:pPr>
        <w:tabs>
          <w:tab w:val="num" w:pos="4655"/>
        </w:tabs>
        <w:ind w:left="4655" w:hanging="360"/>
      </w:pPr>
      <w:rPr>
        <w:rFonts w:ascii="Wingdings" w:hAnsi="Wingdings" w:hint="default"/>
      </w:rPr>
    </w:lvl>
    <w:lvl w:ilvl="6" w:tplc="041B0001" w:tentative="1">
      <w:start w:val="1"/>
      <w:numFmt w:val="bullet"/>
      <w:lvlText w:val=""/>
      <w:lvlJc w:val="left"/>
      <w:pPr>
        <w:tabs>
          <w:tab w:val="num" w:pos="5375"/>
        </w:tabs>
        <w:ind w:left="5375" w:hanging="360"/>
      </w:pPr>
      <w:rPr>
        <w:rFonts w:ascii="Symbol" w:hAnsi="Symbol" w:hint="default"/>
      </w:rPr>
    </w:lvl>
    <w:lvl w:ilvl="7" w:tplc="041B0003" w:tentative="1">
      <w:start w:val="1"/>
      <w:numFmt w:val="bullet"/>
      <w:lvlText w:val="o"/>
      <w:lvlJc w:val="left"/>
      <w:pPr>
        <w:tabs>
          <w:tab w:val="num" w:pos="6095"/>
        </w:tabs>
        <w:ind w:left="6095" w:hanging="360"/>
      </w:pPr>
      <w:rPr>
        <w:rFonts w:ascii="Courier New" w:hAnsi="Courier New" w:cs="Courier New" w:hint="default"/>
      </w:rPr>
    </w:lvl>
    <w:lvl w:ilvl="8" w:tplc="041B0005" w:tentative="1">
      <w:start w:val="1"/>
      <w:numFmt w:val="bullet"/>
      <w:lvlText w:val=""/>
      <w:lvlJc w:val="left"/>
      <w:pPr>
        <w:tabs>
          <w:tab w:val="num" w:pos="6815"/>
        </w:tabs>
        <w:ind w:left="6815" w:hanging="360"/>
      </w:pPr>
      <w:rPr>
        <w:rFonts w:ascii="Wingdings" w:hAnsi="Wingdings" w:hint="default"/>
      </w:rPr>
    </w:lvl>
  </w:abstractNum>
  <w:abstractNum w:abstractNumId="8" w15:restartNumberingAfterBreak="0">
    <w:nsid w:val="349A42EA"/>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A4528CA"/>
    <w:multiLevelType w:val="hybridMultilevel"/>
    <w:tmpl w:val="1B2A7A5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C73DD"/>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3AFD479B"/>
    <w:multiLevelType w:val="hybridMultilevel"/>
    <w:tmpl w:val="A74EF0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BA23E4"/>
    <w:multiLevelType w:val="hybridMultilevel"/>
    <w:tmpl w:val="1AD0040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D244FC06">
      <w:start w:val="3"/>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8407EBA"/>
    <w:multiLevelType w:val="hybridMultilevel"/>
    <w:tmpl w:val="1B2A7A5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F4708"/>
    <w:multiLevelType w:val="multilevel"/>
    <w:tmpl w:val="109EFB2A"/>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EF3A9E"/>
    <w:multiLevelType w:val="hybridMultilevel"/>
    <w:tmpl w:val="E5D4759A"/>
    <w:lvl w:ilvl="0" w:tplc="C1345AA2">
      <w:start w:val="2"/>
      <w:numFmt w:val="bullet"/>
      <w:lvlText w:val="-"/>
      <w:lvlJc w:val="left"/>
      <w:pPr>
        <w:tabs>
          <w:tab w:val="num" w:pos="1055"/>
        </w:tabs>
        <w:ind w:left="1055" w:hanging="360"/>
      </w:pPr>
      <w:rPr>
        <w:rFonts w:ascii="Arial" w:eastAsia="Cordia New" w:hAnsi="Arial" w:cs="Arial" w:hint="default"/>
      </w:rPr>
    </w:lvl>
    <w:lvl w:ilvl="1" w:tplc="041B0003" w:tentative="1">
      <w:start w:val="1"/>
      <w:numFmt w:val="bullet"/>
      <w:lvlText w:val="o"/>
      <w:lvlJc w:val="left"/>
      <w:pPr>
        <w:tabs>
          <w:tab w:val="num" w:pos="1775"/>
        </w:tabs>
        <w:ind w:left="1775" w:hanging="360"/>
      </w:pPr>
      <w:rPr>
        <w:rFonts w:ascii="Courier New" w:hAnsi="Courier New" w:cs="Courier New" w:hint="default"/>
      </w:rPr>
    </w:lvl>
    <w:lvl w:ilvl="2" w:tplc="041B0005" w:tentative="1">
      <w:start w:val="1"/>
      <w:numFmt w:val="bullet"/>
      <w:lvlText w:val=""/>
      <w:lvlJc w:val="left"/>
      <w:pPr>
        <w:tabs>
          <w:tab w:val="num" w:pos="2495"/>
        </w:tabs>
        <w:ind w:left="2495" w:hanging="360"/>
      </w:pPr>
      <w:rPr>
        <w:rFonts w:ascii="Wingdings" w:hAnsi="Wingdings" w:hint="default"/>
      </w:rPr>
    </w:lvl>
    <w:lvl w:ilvl="3" w:tplc="041B0001" w:tentative="1">
      <w:start w:val="1"/>
      <w:numFmt w:val="bullet"/>
      <w:lvlText w:val=""/>
      <w:lvlJc w:val="left"/>
      <w:pPr>
        <w:tabs>
          <w:tab w:val="num" w:pos="3215"/>
        </w:tabs>
        <w:ind w:left="3215" w:hanging="360"/>
      </w:pPr>
      <w:rPr>
        <w:rFonts w:ascii="Symbol" w:hAnsi="Symbol" w:hint="default"/>
      </w:rPr>
    </w:lvl>
    <w:lvl w:ilvl="4" w:tplc="041B0003" w:tentative="1">
      <w:start w:val="1"/>
      <w:numFmt w:val="bullet"/>
      <w:lvlText w:val="o"/>
      <w:lvlJc w:val="left"/>
      <w:pPr>
        <w:tabs>
          <w:tab w:val="num" w:pos="3935"/>
        </w:tabs>
        <w:ind w:left="3935" w:hanging="360"/>
      </w:pPr>
      <w:rPr>
        <w:rFonts w:ascii="Courier New" w:hAnsi="Courier New" w:cs="Courier New" w:hint="default"/>
      </w:rPr>
    </w:lvl>
    <w:lvl w:ilvl="5" w:tplc="041B0005" w:tentative="1">
      <w:start w:val="1"/>
      <w:numFmt w:val="bullet"/>
      <w:lvlText w:val=""/>
      <w:lvlJc w:val="left"/>
      <w:pPr>
        <w:tabs>
          <w:tab w:val="num" w:pos="4655"/>
        </w:tabs>
        <w:ind w:left="4655" w:hanging="360"/>
      </w:pPr>
      <w:rPr>
        <w:rFonts w:ascii="Wingdings" w:hAnsi="Wingdings" w:hint="default"/>
      </w:rPr>
    </w:lvl>
    <w:lvl w:ilvl="6" w:tplc="041B0001" w:tentative="1">
      <w:start w:val="1"/>
      <w:numFmt w:val="bullet"/>
      <w:lvlText w:val=""/>
      <w:lvlJc w:val="left"/>
      <w:pPr>
        <w:tabs>
          <w:tab w:val="num" w:pos="5375"/>
        </w:tabs>
        <w:ind w:left="5375" w:hanging="360"/>
      </w:pPr>
      <w:rPr>
        <w:rFonts w:ascii="Symbol" w:hAnsi="Symbol" w:hint="default"/>
      </w:rPr>
    </w:lvl>
    <w:lvl w:ilvl="7" w:tplc="041B0003" w:tentative="1">
      <w:start w:val="1"/>
      <w:numFmt w:val="bullet"/>
      <w:lvlText w:val="o"/>
      <w:lvlJc w:val="left"/>
      <w:pPr>
        <w:tabs>
          <w:tab w:val="num" w:pos="6095"/>
        </w:tabs>
        <w:ind w:left="6095" w:hanging="360"/>
      </w:pPr>
      <w:rPr>
        <w:rFonts w:ascii="Courier New" w:hAnsi="Courier New" w:cs="Courier New" w:hint="default"/>
      </w:rPr>
    </w:lvl>
    <w:lvl w:ilvl="8" w:tplc="041B0005" w:tentative="1">
      <w:start w:val="1"/>
      <w:numFmt w:val="bullet"/>
      <w:lvlText w:val=""/>
      <w:lvlJc w:val="left"/>
      <w:pPr>
        <w:tabs>
          <w:tab w:val="num" w:pos="6815"/>
        </w:tabs>
        <w:ind w:left="6815" w:hanging="360"/>
      </w:pPr>
      <w:rPr>
        <w:rFonts w:ascii="Wingdings" w:hAnsi="Wingdings" w:hint="default"/>
      </w:rPr>
    </w:lvl>
  </w:abstractNum>
  <w:abstractNum w:abstractNumId="16" w15:restartNumberingAfterBreak="0">
    <w:nsid w:val="554B5523"/>
    <w:multiLevelType w:val="hybridMultilevel"/>
    <w:tmpl w:val="B878481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565E2355"/>
    <w:multiLevelType w:val="hybridMultilevel"/>
    <w:tmpl w:val="3B6E67D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D244FC06">
      <w:start w:val="3"/>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CE6682"/>
    <w:multiLevelType w:val="hybridMultilevel"/>
    <w:tmpl w:val="CFF8DA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CA85319"/>
    <w:multiLevelType w:val="hybridMultilevel"/>
    <w:tmpl w:val="4B789B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99843A1"/>
    <w:multiLevelType w:val="hybridMultilevel"/>
    <w:tmpl w:val="A1025D74"/>
    <w:lvl w:ilvl="0" w:tplc="34E83076">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9D133A4"/>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1E7023A"/>
    <w:multiLevelType w:val="hybridMultilevel"/>
    <w:tmpl w:val="3946ADAC"/>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74763191"/>
    <w:multiLevelType w:val="hybridMultilevel"/>
    <w:tmpl w:val="8E6E7C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A892E7B"/>
    <w:multiLevelType w:val="hybridMultilevel"/>
    <w:tmpl w:val="7AD4A914"/>
    <w:lvl w:ilvl="0" w:tplc="96E44412">
      <w:start w:val="1"/>
      <w:numFmt w:val="decimal"/>
      <w:lvlText w:val="%1."/>
      <w:lvlJc w:val="left"/>
      <w:pPr>
        <w:tabs>
          <w:tab w:val="num" w:pos="510"/>
        </w:tabs>
        <w:ind w:left="510" w:hanging="226"/>
      </w:pPr>
      <w:rPr>
        <w:rFonts w:ascii="Arial Narrow" w:hAnsi="Arial Narrow"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7BA11F5C"/>
    <w:multiLevelType w:val="hybridMultilevel"/>
    <w:tmpl w:val="3B6E67D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D244FC06">
      <w:start w:val="3"/>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F332654"/>
    <w:multiLevelType w:val="hybridMultilevel"/>
    <w:tmpl w:val="8D7EB894"/>
    <w:lvl w:ilvl="0" w:tplc="A9049BA4">
      <w:start w:val="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23"/>
  </w:num>
  <w:num w:numId="4">
    <w:abstractNumId w:val="18"/>
  </w:num>
  <w:num w:numId="5">
    <w:abstractNumId w:val="20"/>
  </w:num>
  <w:num w:numId="6">
    <w:abstractNumId w:val="3"/>
  </w:num>
  <w:num w:numId="7">
    <w:abstractNumId w:val="1"/>
  </w:num>
  <w:num w:numId="8">
    <w:abstractNumId w:val="8"/>
  </w:num>
  <w:num w:numId="9">
    <w:abstractNumId w:val="14"/>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5"/>
  </w:num>
  <w:num w:numId="13">
    <w:abstractNumId w:val="7"/>
  </w:num>
  <w:num w:numId="14">
    <w:abstractNumId w:val="26"/>
  </w:num>
  <w:num w:numId="15">
    <w:abstractNumId w:val="2"/>
  </w:num>
  <w:num w:numId="16">
    <w:abstractNumId w:val="9"/>
  </w:num>
  <w:num w:numId="17">
    <w:abstractNumId w:val="25"/>
  </w:num>
  <w:num w:numId="18">
    <w:abstractNumId w:val="6"/>
  </w:num>
  <w:num w:numId="19">
    <w:abstractNumId w:val="10"/>
  </w:num>
  <w:num w:numId="20">
    <w:abstractNumId w:val="12"/>
  </w:num>
  <w:num w:numId="21">
    <w:abstractNumId w:val="11"/>
  </w:num>
  <w:num w:numId="22">
    <w:abstractNumId w:val="13"/>
  </w:num>
  <w:num w:numId="23">
    <w:abstractNumId w:val="16"/>
  </w:num>
  <w:num w:numId="24">
    <w:abstractNumId w:val="0"/>
  </w:num>
  <w:num w:numId="25">
    <w:abstractNumId w:val="17"/>
  </w:num>
  <w:num w:numId="26">
    <w:abstractNumId w:val="4"/>
  </w:num>
  <w:num w:numId="27">
    <w:abstractNumId w:val="5"/>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4FB"/>
    <w:rsid w:val="00001D3F"/>
    <w:rsid w:val="00003BEC"/>
    <w:rsid w:val="00004044"/>
    <w:rsid w:val="00004E19"/>
    <w:rsid w:val="00004E8F"/>
    <w:rsid w:val="0000533B"/>
    <w:rsid w:val="00010230"/>
    <w:rsid w:val="00010CB3"/>
    <w:rsid w:val="0001274C"/>
    <w:rsid w:val="00012B9A"/>
    <w:rsid w:val="00013E5D"/>
    <w:rsid w:val="0001586C"/>
    <w:rsid w:val="00015AB7"/>
    <w:rsid w:val="000164D4"/>
    <w:rsid w:val="00017BAF"/>
    <w:rsid w:val="000203BB"/>
    <w:rsid w:val="00020FC9"/>
    <w:rsid w:val="000234BB"/>
    <w:rsid w:val="0002489C"/>
    <w:rsid w:val="000250D2"/>
    <w:rsid w:val="00025D0A"/>
    <w:rsid w:val="00026FCD"/>
    <w:rsid w:val="0003036D"/>
    <w:rsid w:val="000314AD"/>
    <w:rsid w:val="00032924"/>
    <w:rsid w:val="000343E2"/>
    <w:rsid w:val="00035F01"/>
    <w:rsid w:val="00036B4D"/>
    <w:rsid w:val="00037BB7"/>
    <w:rsid w:val="00040123"/>
    <w:rsid w:val="000407BE"/>
    <w:rsid w:val="00042BAA"/>
    <w:rsid w:val="00042C1F"/>
    <w:rsid w:val="00043E8B"/>
    <w:rsid w:val="000447E5"/>
    <w:rsid w:val="00044D40"/>
    <w:rsid w:val="0004692B"/>
    <w:rsid w:val="00046952"/>
    <w:rsid w:val="00047350"/>
    <w:rsid w:val="0005083D"/>
    <w:rsid w:val="00052516"/>
    <w:rsid w:val="000532EB"/>
    <w:rsid w:val="00054F0B"/>
    <w:rsid w:val="00056629"/>
    <w:rsid w:val="0005739A"/>
    <w:rsid w:val="00057685"/>
    <w:rsid w:val="00060491"/>
    <w:rsid w:val="000636D6"/>
    <w:rsid w:val="00064865"/>
    <w:rsid w:val="00067333"/>
    <w:rsid w:val="000677AA"/>
    <w:rsid w:val="00070D14"/>
    <w:rsid w:val="00073B2B"/>
    <w:rsid w:val="000740C5"/>
    <w:rsid w:val="00074E46"/>
    <w:rsid w:val="00076926"/>
    <w:rsid w:val="00082B25"/>
    <w:rsid w:val="00082F85"/>
    <w:rsid w:val="00090D6B"/>
    <w:rsid w:val="00091B1C"/>
    <w:rsid w:val="000926B3"/>
    <w:rsid w:val="000927C8"/>
    <w:rsid w:val="000977AB"/>
    <w:rsid w:val="000A075E"/>
    <w:rsid w:val="000A14B4"/>
    <w:rsid w:val="000A175A"/>
    <w:rsid w:val="000A3470"/>
    <w:rsid w:val="000A6712"/>
    <w:rsid w:val="000B10C2"/>
    <w:rsid w:val="000B2E79"/>
    <w:rsid w:val="000B38FF"/>
    <w:rsid w:val="000B75B3"/>
    <w:rsid w:val="000B76CB"/>
    <w:rsid w:val="000C1106"/>
    <w:rsid w:val="000D0F23"/>
    <w:rsid w:val="000D2080"/>
    <w:rsid w:val="000D2FBF"/>
    <w:rsid w:val="000D4192"/>
    <w:rsid w:val="000D4817"/>
    <w:rsid w:val="000E298F"/>
    <w:rsid w:val="000E4601"/>
    <w:rsid w:val="000E7065"/>
    <w:rsid w:val="000F0DF2"/>
    <w:rsid w:val="000F1887"/>
    <w:rsid w:val="000F2640"/>
    <w:rsid w:val="000F3D4C"/>
    <w:rsid w:val="000F684C"/>
    <w:rsid w:val="000F7EDB"/>
    <w:rsid w:val="00100132"/>
    <w:rsid w:val="00101923"/>
    <w:rsid w:val="00101FBC"/>
    <w:rsid w:val="00102284"/>
    <w:rsid w:val="00103FBC"/>
    <w:rsid w:val="00104010"/>
    <w:rsid w:val="00104B3B"/>
    <w:rsid w:val="00104BB4"/>
    <w:rsid w:val="00107DE0"/>
    <w:rsid w:val="00110E2C"/>
    <w:rsid w:val="00111D43"/>
    <w:rsid w:val="00112ACA"/>
    <w:rsid w:val="001151D8"/>
    <w:rsid w:val="001163C6"/>
    <w:rsid w:val="0012059C"/>
    <w:rsid w:val="00120FE8"/>
    <w:rsid w:val="00121161"/>
    <w:rsid w:val="001231CC"/>
    <w:rsid w:val="00130E53"/>
    <w:rsid w:val="00134359"/>
    <w:rsid w:val="00134B37"/>
    <w:rsid w:val="00142101"/>
    <w:rsid w:val="001424FB"/>
    <w:rsid w:val="00147555"/>
    <w:rsid w:val="00150E0E"/>
    <w:rsid w:val="00152C82"/>
    <w:rsid w:val="00155D4C"/>
    <w:rsid w:val="001577BE"/>
    <w:rsid w:val="001600C5"/>
    <w:rsid w:val="001607CB"/>
    <w:rsid w:val="00161208"/>
    <w:rsid w:val="001616DE"/>
    <w:rsid w:val="00161C30"/>
    <w:rsid w:val="00161C8B"/>
    <w:rsid w:val="00162FDF"/>
    <w:rsid w:val="0016463B"/>
    <w:rsid w:val="0016558D"/>
    <w:rsid w:val="00166708"/>
    <w:rsid w:val="00167378"/>
    <w:rsid w:val="00167F9C"/>
    <w:rsid w:val="00171E69"/>
    <w:rsid w:val="00171FF9"/>
    <w:rsid w:val="00173A98"/>
    <w:rsid w:val="00173E1E"/>
    <w:rsid w:val="00173E55"/>
    <w:rsid w:val="00173F16"/>
    <w:rsid w:val="0017436A"/>
    <w:rsid w:val="0017489F"/>
    <w:rsid w:val="00180571"/>
    <w:rsid w:val="001810A5"/>
    <w:rsid w:val="00183258"/>
    <w:rsid w:val="00185312"/>
    <w:rsid w:val="001859B0"/>
    <w:rsid w:val="00191252"/>
    <w:rsid w:val="0019148E"/>
    <w:rsid w:val="00191554"/>
    <w:rsid w:val="00192994"/>
    <w:rsid w:val="00192C08"/>
    <w:rsid w:val="00196C13"/>
    <w:rsid w:val="001A104F"/>
    <w:rsid w:val="001A3429"/>
    <w:rsid w:val="001A6ECD"/>
    <w:rsid w:val="001B0E99"/>
    <w:rsid w:val="001B396F"/>
    <w:rsid w:val="001C0705"/>
    <w:rsid w:val="001C51A1"/>
    <w:rsid w:val="001C68DA"/>
    <w:rsid w:val="001D1F23"/>
    <w:rsid w:val="001D3BCF"/>
    <w:rsid w:val="001D51C4"/>
    <w:rsid w:val="001E0865"/>
    <w:rsid w:val="001E088C"/>
    <w:rsid w:val="001E2103"/>
    <w:rsid w:val="001E2EEB"/>
    <w:rsid w:val="001E5F16"/>
    <w:rsid w:val="001E5F8D"/>
    <w:rsid w:val="001F0212"/>
    <w:rsid w:val="001F369D"/>
    <w:rsid w:val="001F5022"/>
    <w:rsid w:val="001F50BA"/>
    <w:rsid w:val="001F533B"/>
    <w:rsid w:val="001F63CA"/>
    <w:rsid w:val="001F6856"/>
    <w:rsid w:val="002048C2"/>
    <w:rsid w:val="00206B7B"/>
    <w:rsid w:val="0021198D"/>
    <w:rsid w:val="00214174"/>
    <w:rsid w:val="0022033B"/>
    <w:rsid w:val="00226186"/>
    <w:rsid w:val="0022639C"/>
    <w:rsid w:val="00226BC9"/>
    <w:rsid w:val="002272A3"/>
    <w:rsid w:val="002275A8"/>
    <w:rsid w:val="0022777B"/>
    <w:rsid w:val="00227F96"/>
    <w:rsid w:val="002338C4"/>
    <w:rsid w:val="00235994"/>
    <w:rsid w:val="002367DB"/>
    <w:rsid w:val="002371A3"/>
    <w:rsid w:val="002374FB"/>
    <w:rsid w:val="002377D0"/>
    <w:rsid w:val="00241339"/>
    <w:rsid w:val="002417A7"/>
    <w:rsid w:val="00241F24"/>
    <w:rsid w:val="0024610E"/>
    <w:rsid w:val="00246F2C"/>
    <w:rsid w:val="0025117F"/>
    <w:rsid w:val="0025222C"/>
    <w:rsid w:val="00252CA4"/>
    <w:rsid w:val="00253303"/>
    <w:rsid w:val="00253B08"/>
    <w:rsid w:val="00254A40"/>
    <w:rsid w:val="00256870"/>
    <w:rsid w:val="00261394"/>
    <w:rsid w:val="00261D75"/>
    <w:rsid w:val="002623FB"/>
    <w:rsid w:val="002713D2"/>
    <w:rsid w:val="00272891"/>
    <w:rsid w:val="002731BD"/>
    <w:rsid w:val="002735E5"/>
    <w:rsid w:val="0027479F"/>
    <w:rsid w:val="00274D04"/>
    <w:rsid w:val="00276C27"/>
    <w:rsid w:val="00277D07"/>
    <w:rsid w:val="00277FDC"/>
    <w:rsid w:val="0028490A"/>
    <w:rsid w:val="00284E7C"/>
    <w:rsid w:val="002861E5"/>
    <w:rsid w:val="002866E5"/>
    <w:rsid w:val="00292A0C"/>
    <w:rsid w:val="00294377"/>
    <w:rsid w:val="002965D0"/>
    <w:rsid w:val="002A3DCE"/>
    <w:rsid w:val="002B4E26"/>
    <w:rsid w:val="002B65FA"/>
    <w:rsid w:val="002C0C2D"/>
    <w:rsid w:val="002C0D9E"/>
    <w:rsid w:val="002C3D60"/>
    <w:rsid w:val="002C4876"/>
    <w:rsid w:val="002C4B7B"/>
    <w:rsid w:val="002C66AE"/>
    <w:rsid w:val="002C7E83"/>
    <w:rsid w:val="002D0435"/>
    <w:rsid w:val="002D1314"/>
    <w:rsid w:val="002D2D7D"/>
    <w:rsid w:val="002D4441"/>
    <w:rsid w:val="002D6729"/>
    <w:rsid w:val="002D672C"/>
    <w:rsid w:val="002E05C6"/>
    <w:rsid w:val="002E3A41"/>
    <w:rsid w:val="002E4DE8"/>
    <w:rsid w:val="002E7333"/>
    <w:rsid w:val="002F0E84"/>
    <w:rsid w:val="002F0FA1"/>
    <w:rsid w:val="002F2DCC"/>
    <w:rsid w:val="002F489E"/>
    <w:rsid w:val="002F5482"/>
    <w:rsid w:val="002F7929"/>
    <w:rsid w:val="003000B9"/>
    <w:rsid w:val="00302E56"/>
    <w:rsid w:val="00303C58"/>
    <w:rsid w:val="00313F02"/>
    <w:rsid w:val="00315100"/>
    <w:rsid w:val="003152A7"/>
    <w:rsid w:val="003201D7"/>
    <w:rsid w:val="0032030B"/>
    <w:rsid w:val="00320540"/>
    <w:rsid w:val="003247FC"/>
    <w:rsid w:val="0032624F"/>
    <w:rsid w:val="00326CE9"/>
    <w:rsid w:val="00327594"/>
    <w:rsid w:val="003308AA"/>
    <w:rsid w:val="0033123C"/>
    <w:rsid w:val="003379EE"/>
    <w:rsid w:val="0034003A"/>
    <w:rsid w:val="0034181A"/>
    <w:rsid w:val="003460B9"/>
    <w:rsid w:val="0034691F"/>
    <w:rsid w:val="00347927"/>
    <w:rsid w:val="00354D09"/>
    <w:rsid w:val="0035621D"/>
    <w:rsid w:val="00356880"/>
    <w:rsid w:val="003608D8"/>
    <w:rsid w:val="00360D23"/>
    <w:rsid w:val="0036578A"/>
    <w:rsid w:val="003663CC"/>
    <w:rsid w:val="0036754A"/>
    <w:rsid w:val="00370005"/>
    <w:rsid w:val="003717EE"/>
    <w:rsid w:val="00371EE7"/>
    <w:rsid w:val="003750C1"/>
    <w:rsid w:val="003754A3"/>
    <w:rsid w:val="003764E1"/>
    <w:rsid w:val="00381F14"/>
    <w:rsid w:val="00385782"/>
    <w:rsid w:val="00385AFD"/>
    <w:rsid w:val="00385DF8"/>
    <w:rsid w:val="0038634B"/>
    <w:rsid w:val="003876A0"/>
    <w:rsid w:val="00390224"/>
    <w:rsid w:val="00390B35"/>
    <w:rsid w:val="003911A5"/>
    <w:rsid w:val="003911BA"/>
    <w:rsid w:val="003915D0"/>
    <w:rsid w:val="00392210"/>
    <w:rsid w:val="003957F8"/>
    <w:rsid w:val="00396376"/>
    <w:rsid w:val="003975C4"/>
    <w:rsid w:val="003A122D"/>
    <w:rsid w:val="003A3F36"/>
    <w:rsid w:val="003A40AB"/>
    <w:rsid w:val="003A7997"/>
    <w:rsid w:val="003B16A3"/>
    <w:rsid w:val="003B1BD1"/>
    <w:rsid w:val="003B235C"/>
    <w:rsid w:val="003B2AEF"/>
    <w:rsid w:val="003B3F5B"/>
    <w:rsid w:val="003B4CAC"/>
    <w:rsid w:val="003B5741"/>
    <w:rsid w:val="003B6122"/>
    <w:rsid w:val="003B665C"/>
    <w:rsid w:val="003B736F"/>
    <w:rsid w:val="003B75CB"/>
    <w:rsid w:val="003C0D07"/>
    <w:rsid w:val="003C1843"/>
    <w:rsid w:val="003C2343"/>
    <w:rsid w:val="003C2FAC"/>
    <w:rsid w:val="003C3715"/>
    <w:rsid w:val="003C4022"/>
    <w:rsid w:val="003C4264"/>
    <w:rsid w:val="003C47B4"/>
    <w:rsid w:val="003C71E0"/>
    <w:rsid w:val="003C7E26"/>
    <w:rsid w:val="003D1158"/>
    <w:rsid w:val="003D3330"/>
    <w:rsid w:val="003D381F"/>
    <w:rsid w:val="003D6D9A"/>
    <w:rsid w:val="003D6F26"/>
    <w:rsid w:val="003E1BD0"/>
    <w:rsid w:val="003E30F7"/>
    <w:rsid w:val="003E7783"/>
    <w:rsid w:val="003F0539"/>
    <w:rsid w:val="003F11F5"/>
    <w:rsid w:val="003F15F4"/>
    <w:rsid w:val="003F1B10"/>
    <w:rsid w:val="003F66D1"/>
    <w:rsid w:val="003F757B"/>
    <w:rsid w:val="004012A1"/>
    <w:rsid w:val="00402583"/>
    <w:rsid w:val="004074C5"/>
    <w:rsid w:val="00410EBD"/>
    <w:rsid w:val="00412C37"/>
    <w:rsid w:val="004134F2"/>
    <w:rsid w:val="00413751"/>
    <w:rsid w:val="00413F12"/>
    <w:rsid w:val="00421478"/>
    <w:rsid w:val="00421C02"/>
    <w:rsid w:val="00423744"/>
    <w:rsid w:val="00425A2D"/>
    <w:rsid w:val="0043043B"/>
    <w:rsid w:val="00432E65"/>
    <w:rsid w:val="00435D80"/>
    <w:rsid w:val="00436D5E"/>
    <w:rsid w:val="004400EE"/>
    <w:rsid w:val="00441474"/>
    <w:rsid w:val="00441480"/>
    <w:rsid w:val="00442167"/>
    <w:rsid w:val="00442696"/>
    <w:rsid w:val="00443271"/>
    <w:rsid w:val="00443C5A"/>
    <w:rsid w:val="00445E78"/>
    <w:rsid w:val="0044677F"/>
    <w:rsid w:val="00447CFF"/>
    <w:rsid w:val="004502A8"/>
    <w:rsid w:val="004507B2"/>
    <w:rsid w:val="004524E4"/>
    <w:rsid w:val="004553A5"/>
    <w:rsid w:val="00461792"/>
    <w:rsid w:val="00462549"/>
    <w:rsid w:val="004627ED"/>
    <w:rsid w:val="004635EB"/>
    <w:rsid w:val="00467376"/>
    <w:rsid w:val="0046785F"/>
    <w:rsid w:val="00470327"/>
    <w:rsid w:val="00470977"/>
    <w:rsid w:val="00470DEC"/>
    <w:rsid w:val="00471F55"/>
    <w:rsid w:val="00472106"/>
    <w:rsid w:val="00473A99"/>
    <w:rsid w:val="004754C1"/>
    <w:rsid w:val="00476B7D"/>
    <w:rsid w:val="00476FB9"/>
    <w:rsid w:val="00483E2A"/>
    <w:rsid w:val="004842AC"/>
    <w:rsid w:val="00484376"/>
    <w:rsid w:val="004846DF"/>
    <w:rsid w:val="00486560"/>
    <w:rsid w:val="004869EF"/>
    <w:rsid w:val="004879F6"/>
    <w:rsid w:val="00487AA4"/>
    <w:rsid w:val="00490D95"/>
    <w:rsid w:val="00492550"/>
    <w:rsid w:val="004945FE"/>
    <w:rsid w:val="00495003"/>
    <w:rsid w:val="0049591A"/>
    <w:rsid w:val="004B1892"/>
    <w:rsid w:val="004B1A76"/>
    <w:rsid w:val="004B2CCB"/>
    <w:rsid w:val="004B34EF"/>
    <w:rsid w:val="004B386C"/>
    <w:rsid w:val="004B3C9C"/>
    <w:rsid w:val="004B5122"/>
    <w:rsid w:val="004B5539"/>
    <w:rsid w:val="004B5E3D"/>
    <w:rsid w:val="004B790B"/>
    <w:rsid w:val="004C1FAE"/>
    <w:rsid w:val="004C21D5"/>
    <w:rsid w:val="004C3080"/>
    <w:rsid w:val="004C47B3"/>
    <w:rsid w:val="004C49A8"/>
    <w:rsid w:val="004C4BD5"/>
    <w:rsid w:val="004C5536"/>
    <w:rsid w:val="004C5F0B"/>
    <w:rsid w:val="004C6F7A"/>
    <w:rsid w:val="004C73E7"/>
    <w:rsid w:val="004C7F7D"/>
    <w:rsid w:val="004D0A16"/>
    <w:rsid w:val="004D7352"/>
    <w:rsid w:val="004D7582"/>
    <w:rsid w:val="004D7D11"/>
    <w:rsid w:val="004E57B8"/>
    <w:rsid w:val="004E5D26"/>
    <w:rsid w:val="004E7BBE"/>
    <w:rsid w:val="004F4372"/>
    <w:rsid w:val="00500CDC"/>
    <w:rsid w:val="00501441"/>
    <w:rsid w:val="0050392F"/>
    <w:rsid w:val="0050433C"/>
    <w:rsid w:val="005044F2"/>
    <w:rsid w:val="00504CCB"/>
    <w:rsid w:val="00505E55"/>
    <w:rsid w:val="00505EA6"/>
    <w:rsid w:val="0051046B"/>
    <w:rsid w:val="0051390D"/>
    <w:rsid w:val="0051400B"/>
    <w:rsid w:val="00516C28"/>
    <w:rsid w:val="00516E77"/>
    <w:rsid w:val="00516ECE"/>
    <w:rsid w:val="00517FDA"/>
    <w:rsid w:val="00521252"/>
    <w:rsid w:val="00523806"/>
    <w:rsid w:val="00524502"/>
    <w:rsid w:val="00525F44"/>
    <w:rsid w:val="00526492"/>
    <w:rsid w:val="00526816"/>
    <w:rsid w:val="005268F6"/>
    <w:rsid w:val="00527D8A"/>
    <w:rsid w:val="005350B3"/>
    <w:rsid w:val="00537A81"/>
    <w:rsid w:val="00537D29"/>
    <w:rsid w:val="00541922"/>
    <w:rsid w:val="005426F4"/>
    <w:rsid w:val="00544688"/>
    <w:rsid w:val="005468C1"/>
    <w:rsid w:val="005508AE"/>
    <w:rsid w:val="005552F1"/>
    <w:rsid w:val="005617D6"/>
    <w:rsid w:val="00561BA5"/>
    <w:rsid w:val="005626EE"/>
    <w:rsid w:val="005627B2"/>
    <w:rsid w:val="005632D5"/>
    <w:rsid w:val="005655F7"/>
    <w:rsid w:val="005660C4"/>
    <w:rsid w:val="005676B0"/>
    <w:rsid w:val="005747A7"/>
    <w:rsid w:val="005751D4"/>
    <w:rsid w:val="00576E26"/>
    <w:rsid w:val="005838B2"/>
    <w:rsid w:val="005840BF"/>
    <w:rsid w:val="00585BFA"/>
    <w:rsid w:val="00586063"/>
    <w:rsid w:val="005861F2"/>
    <w:rsid w:val="00586296"/>
    <w:rsid w:val="005862B4"/>
    <w:rsid w:val="00586AA7"/>
    <w:rsid w:val="00587D9E"/>
    <w:rsid w:val="005902C3"/>
    <w:rsid w:val="00590F08"/>
    <w:rsid w:val="0059282F"/>
    <w:rsid w:val="00592CF1"/>
    <w:rsid w:val="00593490"/>
    <w:rsid w:val="00594AE2"/>
    <w:rsid w:val="00595961"/>
    <w:rsid w:val="005A005C"/>
    <w:rsid w:val="005A3043"/>
    <w:rsid w:val="005A365E"/>
    <w:rsid w:val="005A4FB1"/>
    <w:rsid w:val="005B1C1A"/>
    <w:rsid w:val="005B505D"/>
    <w:rsid w:val="005B6B50"/>
    <w:rsid w:val="005C1BFF"/>
    <w:rsid w:val="005C35CE"/>
    <w:rsid w:val="005C626B"/>
    <w:rsid w:val="005C682D"/>
    <w:rsid w:val="005C68EA"/>
    <w:rsid w:val="005C6FAE"/>
    <w:rsid w:val="005D386D"/>
    <w:rsid w:val="005D5AB4"/>
    <w:rsid w:val="005D5C28"/>
    <w:rsid w:val="005D6322"/>
    <w:rsid w:val="005D6F86"/>
    <w:rsid w:val="005E0651"/>
    <w:rsid w:val="005E1C84"/>
    <w:rsid w:val="005E2659"/>
    <w:rsid w:val="005E5D8E"/>
    <w:rsid w:val="005F3123"/>
    <w:rsid w:val="005F39A7"/>
    <w:rsid w:val="005F49B9"/>
    <w:rsid w:val="005F583B"/>
    <w:rsid w:val="00603EBB"/>
    <w:rsid w:val="0060496D"/>
    <w:rsid w:val="006059E0"/>
    <w:rsid w:val="0060692E"/>
    <w:rsid w:val="00611FC9"/>
    <w:rsid w:val="0061287C"/>
    <w:rsid w:val="00614B80"/>
    <w:rsid w:val="00614F49"/>
    <w:rsid w:val="006150AF"/>
    <w:rsid w:val="00615BDC"/>
    <w:rsid w:val="006228AF"/>
    <w:rsid w:val="006231B4"/>
    <w:rsid w:val="006232EF"/>
    <w:rsid w:val="00623356"/>
    <w:rsid w:val="00625B9B"/>
    <w:rsid w:val="00626A93"/>
    <w:rsid w:val="00627E81"/>
    <w:rsid w:val="00640099"/>
    <w:rsid w:val="00642D8D"/>
    <w:rsid w:val="00642FED"/>
    <w:rsid w:val="00644BAC"/>
    <w:rsid w:val="00646CD0"/>
    <w:rsid w:val="00646F39"/>
    <w:rsid w:val="00650E94"/>
    <w:rsid w:val="00652398"/>
    <w:rsid w:val="0065239E"/>
    <w:rsid w:val="00653BA7"/>
    <w:rsid w:val="00654948"/>
    <w:rsid w:val="00656F47"/>
    <w:rsid w:val="00657592"/>
    <w:rsid w:val="0066078F"/>
    <w:rsid w:val="0066091E"/>
    <w:rsid w:val="00662A2D"/>
    <w:rsid w:val="006652E4"/>
    <w:rsid w:val="00665FE6"/>
    <w:rsid w:val="0066744A"/>
    <w:rsid w:val="0066753C"/>
    <w:rsid w:val="00670B04"/>
    <w:rsid w:val="006719DC"/>
    <w:rsid w:val="00672609"/>
    <w:rsid w:val="0067664D"/>
    <w:rsid w:val="00676F0C"/>
    <w:rsid w:val="00685E6A"/>
    <w:rsid w:val="00685F75"/>
    <w:rsid w:val="006869A0"/>
    <w:rsid w:val="0068723B"/>
    <w:rsid w:val="00687575"/>
    <w:rsid w:val="006906F9"/>
    <w:rsid w:val="006943BE"/>
    <w:rsid w:val="00695526"/>
    <w:rsid w:val="006A0064"/>
    <w:rsid w:val="006A25F7"/>
    <w:rsid w:val="006A296F"/>
    <w:rsid w:val="006A2A21"/>
    <w:rsid w:val="006A3D6C"/>
    <w:rsid w:val="006A439A"/>
    <w:rsid w:val="006A5774"/>
    <w:rsid w:val="006A6465"/>
    <w:rsid w:val="006A6BB1"/>
    <w:rsid w:val="006A777D"/>
    <w:rsid w:val="006A7DF8"/>
    <w:rsid w:val="006B0671"/>
    <w:rsid w:val="006B1626"/>
    <w:rsid w:val="006B2CEB"/>
    <w:rsid w:val="006B37C6"/>
    <w:rsid w:val="006B47B7"/>
    <w:rsid w:val="006B48F2"/>
    <w:rsid w:val="006B560C"/>
    <w:rsid w:val="006C1624"/>
    <w:rsid w:val="006C2C9C"/>
    <w:rsid w:val="006C3AA3"/>
    <w:rsid w:val="006C5547"/>
    <w:rsid w:val="006C7754"/>
    <w:rsid w:val="006D014F"/>
    <w:rsid w:val="006D1D70"/>
    <w:rsid w:val="006D1FFC"/>
    <w:rsid w:val="006D2B95"/>
    <w:rsid w:val="006D7382"/>
    <w:rsid w:val="006D7D13"/>
    <w:rsid w:val="006E16E4"/>
    <w:rsid w:val="006E470B"/>
    <w:rsid w:val="006E795D"/>
    <w:rsid w:val="006F3993"/>
    <w:rsid w:val="006F4BCD"/>
    <w:rsid w:val="006F54CB"/>
    <w:rsid w:val="007051B6"/>
    <w:rsid w:val="00705AB3"/>
    <w:rsid w:val="0070601E"/>
    <w:rsid w:val="00706C55"/>
    <w:rsid w:val="00706ED8"/>
    <w:rsid w:val="007074C1"/>
    <w:rsid w:val="00710178"/>
    <w:rsid w:val="00711C8F"/>
    <w:rsid w:val="007130BC"/>
    <w:rsid w:val="0071659D"/>
    <w:rsid w:val="0071698E"/>
    <w:rsid w:val="00717F25"/>
    <w:rsid w:val="00722653"/>
    <w:rsid w:val="007233D0"/>
    <w:rsid w:val="00724CB1"/>
    <w:rsid w:val="00725114"/>
    <w:rsid w:val="00726121"/>
    <w:rsid w:val="007270C0"/>
    <w:rsid w:val="007271D5"/>
    <w:rsid w:val="00727C75"/>
    <w:rsid w:val="007302C0"/>
    <w:rsid w:val="007379FF"/>
    <w:rsid w:val="00737B78"/>
    <w:rsid w:val="00740754"/>
    <w:rsid w:val="00740B69"/>
    <w:rsid w:val="00740FE7"/>
    <w:rsid w:val="00741FFB"/>
    <w:rsid w:val="00744826"/>
    <w:rsid w:val="0074534D"/>
    <w:rsid w:val="007465C0"/>
    <w:rsid w:val="007509DF"/>
    <w:rsid w:val="00750B6B"/>
    <w:rsid w:val="00751E56"/>
    <w:rsid w:val="00753EED"/>
    <w:rsid w:val="00756DBA"/>
    <w:rsid w:val="007601CC"/>
    <w:rsid w:val="00767A1F"/>
    <w:rsid w:val="007714A5"/>
    <w:rsid w:val="0077291C"/>
    <w:rsid w:val="007770C4"/>
    <w:rsid w:val="0078254B"/>
    <w:rsid w:val="00783F3E"/>
    <w:rsid w:val="007840DE"/>
    <w:rsid w:val="00785A92"/>
    <w:rsid w:val="00791218"/>
    <w:rsid w:val="00791E3D"/>
    <w:rsid w:val="00793050"/>
    <w:rsid w:val="0079325D"/>
    <w:rsid w:val="00794733"/>
    <w:rsid w:val="0079771C"/>
    <w:rsid w:val="007A07F2"/>
    <w:rsid w:val="007A1214"/>
    <w:rsid w:val="007A35B9"/>
    <w:rsid w:val="007B0FD9"/>
    <w:rsid w:val="007B235A"/>
    <w:rsid w:val="007B33C5"/>
    <w:rsid w:val="007B349B"/>
    <w:rsid w:val="007B4120"/>
    <w:rsid w:val="007B4261"/>
    <w:rsid w:val="007B48D0"/>
    <w:rsid w:val="007B55B9"/>
    <w:rsid w:val="007B605D"/>
    <w:rsid w:val="007B7F27"/>
    <w:rsid w:val="007C69F8"/>
    <w:rsid w:val="007D016F"/>
    <w:rsid w:val="007D24E7"/>
    <w:rsid w:val="007D398C"/>
    <w:rsid w:val="007D3AC5"/>
    <w:rsid w:val="007D4B91"/>
    <w:rsid w:val="007D4CB5"/>
    <w:rsid w:val="007D6012"/>
    <w:rsid w:val="007D7B17"/>
    <w:rsid w:val="007E1358"/>
    <w:rsid w:val="007E30CE"/>
    <w:rsid w:val="007E3441"/>
    <w:rsid w:val="007E4D79"/>
    <w:rsid w:val="007E7CDC"/>
    <w:rsid w:val="007F0340"/>
    <w:rsid w:val="007F114A"/>
    <w:rsid w:val="007F1CEE"/>
    <w:rsid w:val="007F3A77"/>
    <w:rsid w:val="007F4DF0"/>
    <w:rsid w:val="007F66B4"/>
    <w:rsid w:val="007F6912"/>
    <w:rsid w:val="007F7AA6"/>
    <w:rsid w:val="00802436"/>
    <w:rsid w:val="00803CD7"/>
    <w:rsid w:val="00803F97"/>
    <w:rsid w:val="00806764"/>
    <w:rsid w:val="00814652"/>
    <w:rsid w:val="008155C6"/>
    <w:rsid w:val="008157F7"/>
    <w:rsid w:val="00820B3D"/>
    <w:rsid w:val="0082380E"/>
    <w:rsid w:val="008242ED"/>
    <w:rsid w:val="008244F0"/>
    <w:rsid w:val="00825F10"/>
    <w:rsid w:val="00826A8A"/>
    <w:rsid w:val="00831E8E"/>
    <w:rsid w:val="00833758"/>
    <w:rsid w:val="00834BAB"/>
    <w:rsid w:val="0083509A"/>
    <w:rsid w:val="008408DE"/>
    <w:rsid w:val="00840B99"/>
    <w:rsid w:val="008410EF"/>
    <w:rsid w:val="008417FD"/>
    <w:rsid w:val="00847B01"/>
    <w:rsid w:val="00847B04"/>
    <w:rsid w:val="00847C00"/>
    <w:rsid w:val="008504A9"/>
    <w:rsid w:val="008540C2"/>
    <w:rsid w:val="00854ADB"/>
    <w:rsid w:val="00854C01"/>
    <w:rsid w:val="008562EE"/>
    <w:rsid w:val="008573DC"/>
    <w:rsid w:val="00860E8D"/>
    <w:rsid w:val="0086267C"/>
    <w:rsid w:val="00864EE4"/>
    <w:rsid w:val="00865A46"/>
    <w:rsid w:val="0086658B"/>
    <w:rsid w:val="00866703"/>
    <w:rsid w:val="00867BD7"/>
    <w:rsid w:val="00871866"/>
    <w:rsid w:val="00872BDD"/>
    <w:rsid w:val="00874A19"/>
    <w:rsid w:val="008751A0"/>
    <w:rsid w:val="0088291F"/>
    <w:rsid w:val="00882CA2"/>
    <w:rsid w:val="00884EE0"/>
    <w:rsid w:val="00884EF6"/>
    <w:rsid w:val="00885E3D"/>
    <w:rsid w:val="00891CEB"/>
    <w:rsid w:val="00894D6B"/>
    <w:rsid w:val="008960D3"/>
    <w:rsid w:val="008A0FB7"/>
    <w:rsid w:val="008A1657"/>
    <w:rsid w:val="008A26BE"/>
    <w:rsid w:val="008A2AF9"/>
    <w:rsid w:val="008A4341"/>
    <w:rsid w:val="008A4F42"/>
    <w:rsid w:val="008A6A01"/>
    <w:rsid w:val="008A76B8"/>
    <w:rsid w:val="008B09B9"/>
    <w:rsid w:val="008B250A"/>
    <w:rsid w:val="008B3EF4"/>
    <w:rsid w:val="008B6DCC"/>
    <w:rsid w:val="008C0336"/>
    <w:rsid w:val="008C0730"/>
    <w:rsid w:val="008C2E90"/>
    <w:rsid w:val="008C37D7"/>
    <w:rsid w:val="008C4240"/>
    <w:rsid w:val="008C4C98"/>
    <w:rsid w:val="008C5A00"/>
    <w:rsid w:val="008D3ECB"/>
    <w:rsid w:val="008D6A58"/>
    <w:rsid w:val="008D6EDE"/>
    <w:rsid w:val="008D7D33"/>
    <w:rsid w:val="008E0A1A"/>
    <w:rsid w:val="008E13DB"/>
    <w:rsid w:val="008E183B"/>
    <w:rsid w:val="008E4282"/>
    <w:rsid w:val="008E4E0E"/>
    <w:rsid w:val="008E6C4A"/>
    <w:rsid w:val="008F423C"/>
    <w:rsid w:val="008F47D9"/>
    <w:rsid w:val="008F48A0"/>
    <w:rsid w:val="009009D1"/>
    <w:rsid w:val="009015A0"/>
    <w:rsid w:val="00901B89"/>
    <w:rsid w:val="009053C4"/>
    <w:rsid w:val="00915F64"/>
    <w:rsid w:val="009161E4"/>
    <w:rsid w:val="009173A3"/>
    <w:rsid w:val="009235F7"/>
    <w:rsid w:val="00923629"/>
    <w:rsid w:val="00924616"/>
    <w:rsid w:val="009266D2"/>
    <w:rsid w:val="009320AA"/>
    <w:rsid w:val="00932622"/>
    <w:rsid w:val="009350CC"/>
    <w:rsid w:val="00935C73"/>
    <w:rsid w:val="00937746"/>
    <w:rsid w:val="00937A1D"/>
    <w:rsid w:val="00940BDD"/>
    <w:rsid w:val="00941270"/>
    <w:rsid w:val="0094224A"/>
    <w:rsid w:val="00943B76"/>
    <w:rsid w:val="009441DB"/>
    <w:rsid w:val="00944846"/>
    <w:rsid w:val="00946191"/>
    <w:rsid w:val="009464CF"/>
    <w:rsid w:val="009511BF"/>
    <w:rsid w:val="009604EC"/>
    <w:rsid w:val="0096347E"/>
    <w:rsid w:val="00964073"/>
    <w:rsid w:val="00965629"/>
    <w:rsid w:val="00966524"/>
    <w:rsid w:val="00967EA9"/>
    <w:rsid w:val="00970DA2"/>
    <w:rsid w:val="009715D4"/>
    <w:rsid w:val="00973965"/>
    <w:rsid w:val="00977A8C"/>
    <w:rsid w:val="00981413"/>
    <w:rsid w:val="0098205A"/>
    <w:rsid w:val="009836AB"/>
    <w:rsid w:val="00983999"/>
    <w:rsid w:val="00984F29"/>
    <w:rsid w:val="00985A57"/>
    <w:rsid w:val="00986C5E"/>
    <w:rsid w:val="00990F8A"/>
    <w:rsid w:val="00991E02"/>
    <w:rsid w:val="00993E28"/>
    <w:rsid w:val="00996668"/>
    <w:rsid w:val="00996E63"/>
    <w:rsid w:val="009A044A"/>
    <w:rsid w:val="009A106C"/>
    <w:rsid w:val="009A62EC"/>
    <w:rsid w:val="009A7029"/>
    <w:rsid w:val="009B12D9"/>
    <w:rsid w:val="009B31F3"/>
    <w:rsid w:val="009B4C8C"/>
    <w:rsid w:val="009B6368"/>
    <w:rsid w:val="009B63CD"/>
    <w:rsid w:val="009B7936"/>
    <w:rsid w:val="009C0343"/>
    <w:rsid w:val="009C35E8"/>
    <w:rsid w:val="009C4AE5"/>
    <w:rsid w:val="009C5415"/>
    <w:rsid w:val="009C6FE4"/>
    <w:rsid w:val="009E051F"/>
    <w:rsid w:val="009E3B80"/>
    <w:rsid w:val="009F2AA0"/>
    <w:rsid w:val="009F2BE5"/>
    <w:rsid w:val="009F3690"/>
    <w:rsid w:val="009F4613"/>
    <w:rsid w:val="009F4E41"/>
    <w:rsid w:val="009F6ABE"/>
    <w:rsid w:val="00A02971"/>
    <w:rsid w:val="00A04168"/>
    <w:rsid w:val="00A04FFB"/>
    <w:rsid w:val="00A06080"/>
    <w:rsid w:val="00A07BC9"/>
    <w:rsid w:val="00A10F72"/>
    <w:rsid w:val="00A115E9"/>
    <w:rsid w:val="00A11E4C"/>
    <w:rsid w:val="00A12D02"/>
    <w:rsid w:val="00A156A1"/>
    <w:rsid w:val="00A1741B"/>
    <w:rsid w:val="00A216C7"/>
    <w:rsid w:val="00A2277E"/>
    <w:rsid w:val="00A2287C"/>
    <w:rsid w:val="00A26572"/>
    <w:rsid w:val="00A300AF"/>
    <w:rsid w:val="00A316F1"/>
    <w:rsid w:val="00A31FFC"/>
    <w:rsid w:val="00A3227C"/>
    <w:rsid w:val="00A33EF2"/>
    <w:rsid w:val="00A34EDA"/>
    <w:rsid w:val="00A351DB"/>
    <w:rsid w:val="00A36E37"/>
    <w:rsid w:val="00A37439"/>
    <w:rsid w:val="00A37834"/>
    <w:rsid w:val="00A422FC"/>
    <w:rsid w:val="00A42BD5"/>
    <w:rsid w:val="00A43514"/>
    <w:rsid w:val="00A43919"/>
    <w:rsid w:val="00A455BA"/>
    <w:rsid w:val="00A46072"/>
    <w:rsid w:val="00A466DA"/>
    <w:rsid w:val="00A53C7C"/>
    <w:rsid w:val="00A55994"/>
    <w:rsid w:val="00A572B6"/>
    <w:rsid w:val="00A6029B"/>
    <w:rsid w:val="00A62016"/>
    <w:rsid w:val="00A649B2"/>
    <w:rsid w:val="00A67738"/>
    <w:rsid w:val="00A731A9"/>
    <w:rsid w:val="00A7338F"/>
    <w:rsid w:val="00A74DCA"/>
    <w:rsid w:val="00A76095"/>
    <w:rsid w:val="00A8151F"/>
    <w:rsid w:val="00A820E9"/>
    <w:rsid w:val="00A830DE"/>
    <w:rsid w:val="00A8463E"/>
    <w:rsid w:val="00A902D0"/>
    <w:rsid w:val="00AA09DE"/>
    <w:rsid w:val="00AA0BD9"/>
    <w:rsid w:val="00AA2B95"/>
    <w:rsid w:val="00AA572E"/>
    <w:rsid w:val="00AA6591"/>
    <w:rsid w:val="00AA7596"/>
    <w:rsid w:val="00AB0D36"/>
    <w:rsid w:val="00AB34A6"/>
    <w:rsid w:val="00AB37CC"/>
    <w:rsid w:val="00AB3C09"/>
    <w:rsid w:val="00AB4EC3"/>
    <w:rsid w:val="00AB5E07"/>
    <w:rsid w:val="00AB6488"/>
    <w:rsid w:val="00AB7A7D"/>
    <w:rsid w:val="00AB7EF9"/>
    <w:rsid w:val="00AC06A4"/>
    <w:rsid w:val="00AC0B27"/>
    <w:rsid w:val="00AC180C"/>
    <w:rsid w:val="00AC1E28"/>
    <w:rsid w:val="00AC3604"/>
    <w:rsid w:val="00AC3721"/>
    <w:rsid w:val="00AC4ECD"/>
    <w:rsid w:val="00AC5360"/>
    <w:rsid w:val="00AC6749"/>
    <w:rsid w:val="00AD0131"/>
    <w:rsid w:val="00AD0CA4"/>
    <w:rsid w:val="00AD16B9"/>
    <w:rsid w:val="00AD2C94"/>
    <w:rsid w:val="00AD3C03"/>
    <w:rsid w:val="00AE2944"/>
    <w:rsid w:val="00AE2B0D"/>
    <w:rsid w:val="00AE3DE0"/>
    <w:rsid w:val="00AE58CF"/>
    <w:rsid w:val="00AE7B32"/>
    <w:rsid w:val="00AF6BDC"/>
    <w:rsid w:val="00AF7628"/>
    <w:rsid w:val="00B00C47"/>
    <w:rsid w:val="00B0229B"/>
    <w:rsid w:val="00B031A1"/>
    <w:rsid w:val="00B12A7A"/>
    <w:rsid w:val="00B13C6A"/>
    <w:rsid w:val="00B13E71"/>
    <w:rsid w:val="00B15172"/>
    <w:rsid w:val="00B218A9"/>
    <w:rsid w:val="00B2592F"/>
    <w:rsid w:val="00B27BC3"/>
    <w:rsid w:val="00B30191"/>
    <w:rsid w:val="00B3180A"/>
    <w:rsid w:val="00B318E8"/>
    <w:rsid w:val="00B32375"/>
    <w:rsid w:val="00B34481"/>
    <w:rsid w:val="00B369DD"/>
    <w:rsid w:val="00B40A33"/>
    <w:rsid w:val="00B41B37"/>
    <w:rsid w:val="00B4387E"/>
    <w:rsid w:val="00B464FE"/>
    <w:rsid w:val="00B47E5C"/>
    <w:rsid w:val="00B47F02"/>
    <w:rsid w:val="00B50219"/>
    <w:rsid w:val="00B5060E"/>
    <w:rsid w:val="00B51718"/>
    <w:rsid w:val="00B54208"/>
    <w:rsid w:val="00B56A33"/>
    <w:rsid w:val="00B61946"/>
    <w:rsid w:val="00B661B5"/>
    <w:rsid w:val="00B669A9"/>
    <w:rsid w:val="00B6701C"/>
    <w:rsid w:val="00B70058"/>
    <w:rsid w:val="00B70186"/>
    <w:rsid w:val="00B70B29"/>
    <w:rsid w:val="00B7303B"/>
    <w:rsid w:val="00B736B1"/>
    <w:rsid w:val="00B746DD"/>
    <w:rsid w:val="00B76A63"/>
    <w:rsid w:val="00B8084B"/>
    <w:rsid w:val="00B8167A"/>
    <w:rsid w:val="00B87E85"/>
    <w:rsid w:val="00B9072A"/>
    <w:rsid w:val="00B91235"/>
    <w:rsid w:val="00B91AE3"/>
    <w:rsid w:val="00B97060"/>
    <w:rsid w:val="00BA1A02"/>
    <w:rsid w:val="00BA2F20"/>
    <w:rsid w:val="00BA548B"/>
    <w:rsid w:val="00BA590C"/>
    <w:rsid w:val="00BA63BB"/>
    <w:rsid w:val="00BB03A7"/>
    <w:rsid w:val="00BB1243"/>
    <w:rsid w:val="00BB2D16"/>
    <w:rsid w:val="00BB34CA"/>
    <w:rsid w:val="00BB581F"/>
    <w:rsid w:val="00BB599A"/>
    <w:rsid w:val="00BC08D9"/>
    <w:rsid w:val="00BC0D65"/>
    <w:rsid w:val="00BC163E"/>
    <w:rsid w:val="00BC39C7"/>
    <w:rsid w:val="00BC7DB3"/>
    <w:rsid w:val="00BD065B"/>
    <w:rsid w:val="00BD1386"/>
    <w:rsid w:val="00BD15B7"/>
    <w:rsid w:val="00BD2D79"/>
    <w:rsid w:val="00BD30EB"/>
    <w:rsid w:val="00BD3717"/>
    <w:rsid w:val="00BD48D6"/>
    <w:rsid w:val="00BD5D75"/>
    <w:rsid w:val="00BD6A9D"/>
    <w:rsid w:val="00BD73D1"/>
    <w:rsid w:val="00BD79A3"/>
    <w:rsid w:val="00BD7E48"/>
    <w:rsid w:val="00BE06C7"/>
    <w:rsid w:val="00BE40FB"/>
    <w:rsid w:val="00BF127A"/>
    <w:rsid w:val="00BF1DE8"/>
    <w:rsid w:val="00BF2021"/>
    <w:rsid w:val="00BF5A28"/>
    <w:rsid w:val="00BF6B0A"/>
    <w:rsid w:val="00BF6BA9"/>
    <w:rsid w:val="00C0070C"/>
    <w:rsid w:val="00C02D96"/>
    <w:rsid w:val="00C03A23"/>
    <w:rsid w:val="00C05376"/>
    <w:rsid w:val="00C06891"/>
    <w:rsid w:val="00C0708B"/>
    <w:rsid w:val="00C07F78"/>
    <w:rsid w:val="00C10EF4"/>
    <w:rsid w:val="00C137DD"/>
    <w:rsid w:val="00C13994"/>
    <w:rsid w:val="00C14C3D"/>
    <w:rsid w:val="00C16B21"/>
    <w:rsid w:val="00C1781F"/>
    <w:rsid w:val="00C20B9B"/>
    <w:rsid w:val="00C20C81"/>
    <w:rsid w:val="00C21337"/>
    <w:rsid w:val="00C22C7D"/>
    <w:rsid w:val="00C23122"/>
    <w:rsid w:val="00C26910"/>
    <w:rsid w:val="00C27337"/>
    <w:rsid w:val="00C27C6D"/>
    <w:rsid w:val="00C31584"/>
    <w:rsid w:val="00C31C0B"/>
    <w:rsid w:val="00C3501B"/>
    <w:rsid w:val="00C357B6"/>
    <w:rsid w:val="00C37DDF"/>
    <w:rsid w:val="00C410C9"/>
    <w:rsid w:val="00C412D0"/>
    <w:rsid w:val="00C413A9"/>
    <w:rsid w:val="00C424EB"/>
    <w:rsid w:val="00C444AF"/>
    <w:rsid w:val="00C45009"/>
    <w:rsid w:val="00C461B6"/>
    <w:rsid w:val="00C47479"/>
    <w:rsid w:val="00C50A9B"/>
    <w:rsid w:val="00C52122"/>
    <w:rsid w:val="00C5359C"/>
    <w:rsid w:val="00C551D8"/>
    <w:rsid w:val="00C5572A"/>
    <w:rsid w:val="00C60D0A"/>
    <w:rsid w:val="00C60EF7"/>
    <w:rsid w:val="00C611FF"/>
    <w:rsid w:val="00C61F91"/>
    <w:rsid w:val="00C64C2F"/>
    <w:rsid w:val="00C6542C"/>
    <w:rsid w:val="00C70D83"/>
    <w:rsid w:val="00C71390"/>
    <w:rsid w:val="00C73ABD"/>
    <w:rsid w:val="00C752E2"/>
    <w:rsid w:val="00C75814"/>
    <w:rsid w:val="00C75E92"/>
    <w:rsid w:val="00C7794B"/>
    <w:rsid w:val="00C8334B"/>
    <w:rsid w:val="00C834B9"/>
    <w:rsid w:val="00C857D2"/>
    <w:rsid w:val="00C8581D"/>
    <w:rsid w:val="00C86D15"/>
    <w:rsid w:val="00C91EBE"/>
    <w:rsid w:val="00C92551"/>
    <w:rsid w:val="00C9331C"/>
    <w:rsid w:val="00C95721"/>
    <w:rsid w:val="00C96337"/>
    <w:rsid w:val="00C97DA5"/>
    <w:rsid w:val="00CA0767"/>
    <w:rsid w:val="00CA2DFE"/>
    <w:rsid w:val="00CA3E02"/>
    <w:rsid w:val="00CA49B5"/>
    <w:rsid w:val="00CB36CF"/>
    <w:rsid w:val="00CB4898"/>
    <w:rsid w:val="00CB693D"/>
    <w:rsid w:val="00CC0112"/>
    <w:rsid w:val="00CC3215"/>
    <w:rsid w:val="00CC5235"/>
    <w:rsid w:val="00CC6D54"/>
    <w:rsid w:val="00CC6D8C"/>
    <w:rsid w:val="00CC7C2E"/>
    <w:rsid w:val="00CD08D8"/>
    <w:rsid w:val="00CD1D1A"/>
    <w:rsid w:val="00CD2526"/>
    <w:rsid w:val="00CD3491"/>
    <w:rsid w:val="00CD380E"/>
    <w:rsid w:val="00CE03AD"/>
    <w:rsid w:val="00CE0F24"/>
    <w:rsid w:val="00CE3636"/>
    <w:rsid w:val="00CE51C7"/>
    <w:rsid w:val="00CE5BE4"/>
    <w:rsid w:val="00CE74E6"/>
    <w:rsid w:val="00CE7C42"/>
    <w:rsid w:val="00CF020A"/>
    <w:rsid w:val="00CF08F4"/>
    <w:rsid w:val="00CF1566"/>
    <w:rsid w:val="00CF21A5"/>
    <w:rsid w:val="00CF782F"/>
    <w:rsid w:val="00CF7EA8"/>
    <w:rsid w:val="00D03DD9"/>
    <w:rsid w:val="00D04BFA"/>
    <w:rsid w:val="00D110CE"/>
    <w:rsid w:val="00D11FAC"/>
    <w:rsid w:val="00D14EA5"/>
    <w:rsid w:val="00D1605C"/>
    <w:rsid w:val="00D16E8B"/>
    <w:rsid w:val="00D17E02"/>
    <w:rsid w:val="00D21437"/>
    <w:rsid w:val="00D215D2"/>
    <w:rsid w:val="00D23908"/>
    <w:rsid w:val="00D23DF2"/>
    <w:rsid w:val="00D26083"/>
    <w:rsid w:val="00D269B2"/>
    <w:rsid w:val="00D272D5"/>
    <w:rsid w:val="00D27FBD"/>
    <w:rsid w:val="00D3150A"/>
    <w:rsid w:val="00D325AE"/>
    <w:rsid w:val="00D33BF9"/>
    <w:rsid w:val="00D3568F"/>
    <w:rsid w:val="00D373B6"/>
    <w:rsid w:val="00D436CC"/>
    <w:rsid w:val="00D43973"/>
    <w:rsid w:val="00D44E88"/>
    <w:rsid w:val="00D46D5F"/>
    <w:rsid w:val="00D47F52"/>
    <w:rsid w:val="00D546A3"/>
    <w:rsid w:val="00D63CEA"/>
    <w:rsid w:val="00D65DC0"/>
    <w:rsid w:val="00D66066"/>
    <w:rsid w:val="00D668B1"/>
    <w:rsid w:val="00D7118C"/>
    <w:rsid w:val="00D71C74"/>
    <w:rsid w:val="00D73C70"/>
    <w:rsid w:val="00D80DFC"/>
    <w:rsid w:val="00D8156A"/>
    <w:rsid w:val="00D82567"/>
    <w:rsid w:val="00D86341"/>
    <w:rsid w:val="00D86E36"/>
    <w:rsid w:val="00D87A7E"/>
    <w:rsid w:val="00D900E8"/>
    <w:rsid w:val="00D906E8"/>
    <w:rsid w:val="00D90875"/>
    <w:rsid w:val="00D91524"/>
    <w:rsid w:val="00D934BF"/>
    <w:rsid w:val="00D935C0"/>
    <w:rsid w:val="00D976C2"/>
    <w:rsid w:val="00DA0E9D"/>
    <w:rsid w:val="00DA341F"/>
    <w:rsid w:val="00DA5706"/>
    <w:rsid w:val="00DA6289"/>
    <w:rsid w:val="00DA7872"/>
    <w:rsid w:val="00DA7BD2"/>
    <w:rsid w:val="00DA7D86"/>
    <w:rsid w:val="00DB0691"/>
    <w:rsid w:val="00DB435C"/>
    <w:rsid w:val="00DB781D"/>
    <w:rsid w:val="00DC17E0"/>
    <w:rsid w:val="00DC1AF0"/>
    <w:rsid w:val="00DC1B10"/>
    <w:rsid w:val="00DC2337"/>
    <w:rsid w:val="00DC4212"/>
    <w:rsid w:val="00DC5FA3"/>
    <w:rsid w:val="00DC657E"/>
    <w:rsid w:val="00DC7394"/>
    <w:rsid w:val="00DD2349"/>
    <w:rsid w:val="00DD350A"/>
    <w:rsid w:val="00DD5946"/>
    <w:rsid w:val="00DD6D7D"/>
    <w:rsid w:val="00DE0C40"/>
    <w:rsid w:val="00DE120A"/>
    <w:rsid w:val="00DE13B8"/>
    <w:rsid w:val="00DE351D"/>
    <w:rsid w:val="00DE3569"/>
    <w:rsid w:val="00DF0A31"/>
    <w:rsid w:val="00DF17C8"/>
    <w:rsid w:val="00DF2694"/>
    <w:rsid w:val="00DF35B1"/>
    <w:rsid w:val="00DF5E4C"/>
    <w:rsid w:val="00DF7081"/>
    <w:rsid w:val="00E0037F"/>
    <w:rsid w:val="00E003A4"/>
    <w:rsid w:val="00E0100A"/>
    <w:rsid w:val="00E02835"/>
    <w:rsid w:val="00E02901"/>
    <w:rsid w:val="00E040A5"/>
    <w:rsid w:val="00E04A3A"/>
    <w:rsid w:val="00E05A6C"/>
    <w:rsid w:val="00E10CD0"/>
    <w:rsid w:val="00E11445"/>
    <w:rsid w:val="00E118AF"/>
    <w:rsid w:val="00E1244E"/>
    <w:rsid w:val="00E12F13"/>
    <w:rsid w:val="00E137C3"/>
    <w:rsid w:val="00E2005D"/>
    <w:rsid w:val="00E216F0"/>
    <w:rsid w:val="00E23464"/>
    <w:rsid w:val="00E236CD"/>
    <w:rsid w:val="00E30980"/>
    <w:rsid w:val="00E31135"/>
    <w:rsid w:val="00E317DE"/>
    <w:rsid w:val="00E3692E"/>
    <w:rsid w:val="00E438DF"/>
    <w:rsid w:val="00E50CD4"/>
    <w:rsid w:val="00E53734"/>
    <w:rsid w:val="00E551CD"/>
    <w:rsid w:val="00E5582C"/>
    <w:rsid w:val="00E56BDE"/>
    <w:rsid w:val="00E56DBE"/>
    <w:rsid w:val="00E56E90"/>
    <w:rsid w:val="00E57371"/>
    <w:rsid w:val="00E606E3"/>
    <w:rsid w:val="00E60FB4"/>
    <w:rsid w:val="00E625BE"/>
    <w:rsid w:val="00E62E88"/>
    <w:rsid w:val="00E62F75"/>
    <w:rsid w:val="00E64202"/>
    <w:rsid w:val="00E72244"/>
    <w:rsid w:val="00E72EC5"/>
    <w:rsid w:val="00E73D31"/>
    <w:rsid w:val="00E74D01"/>
    <w:rsid w:val="00E760CE"/>
    <w:rsid w:val="00E7651C"/>
    <w:rsid w:val="00E8656E"/>
    <w:rsid w:val="00E86CC7"/>
    <w:rsid w:val="00E8725B"/>
    <w:rsid w:val="00E87617"/>
    <w:rsid w:val="00E9056C"/>
    <w:rsid w:val="00E90B95"/>
    <w:rsid w:val="00E91EAC"/>
    <w:rsid w:val="00E94C0D"/>
    <w:rsid w:val="00E95FDD"/>
    <w:rsid w:val="00E96731"/>
    <w:rsid w:val="00E96A75"/>
    <w:rsid w:val="00E97908"/>
    <w:rsid w:val="00EA231D"/>
    <w:rsid w:val="00EA2D0A"/>
    <w:rsid w:val="00EA39C8"/>
    <w:rsid w:val="00EA44AC"/>
    <w:rsid w:val="00EA46D6"/>
    <w:rsid w:val="00EA5365"/>
    <w:rsid w:val="00EA74CD"/>
    <w:rsid w:val="00EB0AB7"/>
    <w:rsid w:val="00EB20B8"/>
    <w:rsid w:val="00EB7410"/>
    <w:rsid w:val="00EC01D4"/>
    <w:rsid w:val="00EC0667"/>
    <w:rsid w:val="00EC1065"/>
    <w:rsid w:val="00EC3017"/>
    <w:rsid w:val="00EC3BBD"/>
    <w:rsid w:val="00EC7678"/>
    <w:rsid w:val="00EC77E8"/>
    <w:rsid w:val="00ED139C"/>
    <w:rsid w:val="00ED33DD"/>
    <w:rsid w:val="00ED3452"/>
    <w:rsid w:val="00ED59C8"/>
    <w:rsid w:val="00ED5AFB"/>
    <w:rsid w:val="00ED5EB6"/>
    <w:rsid w:val="00EE1AEF"/>
    <w:rsid w:val="00EE1DEF"/>
    <w:rsid w:val="00EE226E"/>
    <w:rsid w:val="00EE4DB2"/>
    <w:rsid w:val="00EE4E5D"/>
    <w:rsid w:val="00EE5DBF"/>
    <w:rsid w:val="00EF5C5A"/>
    <w:rsid w:val="00EF7E58"/>
    <w:rsid w:val="00F0375E"/>
    <w:rsid w:val="00F04BB9"/>
    <w:rsid w:val="00F04EE6"/>
    <w:rsid w:val="00F06077"/>
    <w:rsid w:val="00F10168"/>
    <w:rsid w:val="00F1128F"/>
    <w:rsid w:val="00F125DB"/>
    <w:rsid w:val="00F14895"/>
    <w:rsid w:val="00F1695C"/>
    <w:rsid w:val="00F241AF"/>
    <w:rsid w:val="00F25B67"/>
    <w:rsid w:val="00F26E46"/>
    <w:rsid w:val="00F26F55"/>
    <w:rsid w:val="00F27265"/>
    <w:rsid w:val="00F3169E"/>
    <w:rsid w:val="00F31DF8"/>
    <w:rsid w:val="00F335D0"/>
    <w:rsid w:val="00F33827"/>
    <w:rsid w:val="00F343EB"/>
    <w:rsid w:val="00F345F6"/>
    <w:rsid w:val="00F36D0C"/>
    <w:rsid w:val="00F37279"/>
    <w:rsid w:val="00F375EC"/>
    <w:rsid w:val="00F412F1"/>
    <w:rsid w:val="00F42286"/>
    <w:rsid w:val="00F449C1"/>
    <w:rsid w:val="00F45D9B"/>
    <w:rsid w:val="00F54F07"/>
    <w:rsid w:val="00F56383"/>
    <w:rsid w:val="00F568C1"/>
    <w:rsid w:val="00F576E9"/>
    <w:rsid w:val="00F60C17"/>
    <w:rsid w:val="00F628D0"/>
    <w:rsid w:val="00F64582"/>
    <w:rsid w:val="00F6620C"/>
    <w:rsid w:val="00F66D25"/>
    <w:rsid w:val="00F670D9"/>
    <w:rsid w:val="00F715D0"/>
    <w:rsid w:val="00F74CAA"/>
    <w:rsid w:val="00F75C8F"/>
    <w:rsid w:val="00F77059"/>
    <w:rsid w:val="00F8011D"/>
    <w:rsid w:val="00F816F7"/>
    <w:rsid w:val="00F835B5"/>
    <w:rsid w:val="00F8481B"/>
    <w:rsid w:val="00F94AA0"/>
    <w:rsid w:val="00F957D8"/>
    <w:rsid w:val="00F9671B"/>
    <w:rsid w:val="00FA35BC"/>
    <w:rsid w:val="00FA3E65"/>
    <w:rsid w:val="00FA5977"/>
    <w:rsid w:val="00FA6869"/>
    <w:rsid w:val="00FB05F1"/>
    <w:rsid w:val="00FB3F56"/>
    <w:rsid w:val="00FB477B"/>
    <w:rsid w:val="00FB5876"/>
    <w:rsid w:val="00FB599D"/>
    <w:rsid w:val="00FC103F"/>
    <w:rsid w:val="00FC4CF9"/>
    <w:rsid w:val="00FC5E6E"/>
    <w:rsid w:val="00FC67BC"/>
    <w:rsid w:val="00FD0D33"/>
    <w:rsid w:val="00FD4704"/>
    <w:rsid w:val="00FD507A"/>
    <w:rsid w:val="00FD5750"/>
    <w:rsid w:val="00FD5E8D"/>
    <w:rsid w:val="00FD71A9"/>
    <w:rsid w:val="00FD75BA"/>
    <w:rsid w:val="00FE0C0A"/>
    <w:rsid w:val="00FE48A0"/>
    <w:rsid w:val="00FE4D25"/>
    <w:rsid w:val="00FE4FC7"/>
    <w:rsid w:val="00FE6DC8"/>
    <w:rsid w:val="00FE7605"/>
    <w:rsid w:val="00FF24A1"/>
    <w:rsid w:val="00FF3933"/>
    <w:rsid w:val="00FF4FD1"/>
    <w:rsid w:val="00FF5AEE"/>
    <w:rsid w:val="00FF7B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1CB339"/>
  <w15:chartTrackingRefBased/>
  <w15:docId w15:val="{37EF42B6-2750-4554-8AE7-5EB4ACC7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2106"/>
    <w:rPr>
      <w:sz w:val="24"/>
      <w:szCs w:val="24"/>
    </w:rPr>
  </w:style>
  <w:style w:type="paragraph" w:styleId="Nadpis1">
    <w:name w:val="heading 1"/>
    <w:basedOn w:val="Normlny"/>
    <w:next w:val="Normlny"/>
    <w:link w:val="Nadpis1Char"/>
    <w:qFormat/>
    <w:rsid w:val="00D934BF"/>
    <w:pPr>
      <w:keepNext/>
      <w:spacing w:before="240" w:after="60"/>
      <w:outlineLvl w:val="0"/>
    </w:pPr>
    <w:rPr>
      <w:rFonts w:ascii="Arial" w:hAnsi="Arial" w:cs="Arial"/>
      <w:b/>
      <w:bCs/>
      <w:kern w:val="32"/>
      <w:sz w:val="32"/>
      <w:szCs w:val="32"/>
    </w:rPr>
  </w:style>
  <w:style w:type="paragraph" w:styleId="Nadpis2">
    <w:name w:val="heading 2"/>
    <w:aliases w:val="Char24 Char Char,Char24 Char Char Char,Nadpis 2 IFP"/>
    <w:basedOn w:val="Normlny"/>
    <w:next w:val="Normlny"/>
    <w:link w:val="Nadpis2Char"/>
    <w:uiPriority w:val="99"/>
    <w:qFormat/>
    <w:rsid w:val="001424FB"/>
    <w:pPr>
      <w:keepNext/>
      <w:spacing w:before="240" w:after="60"/>
      <w:outlineLvl w:val="1"/>
    </w:pPr>
    <w:rPr>
      <w:rFonts w:ascii="Arial" w:hAnsi="Arial" w:cs="Arial"/>
      <w:b/>
      <w:bCs/>
      <w:i/>
      <w:iCs/>
      <w:sz w:val="28"/>
      <w:szCs w:val="28"/>
    </w:rPr>
  </w:style>
  <w:style w:type="paragraph" w:styleId="Nadpis3">
    <w:name w:val="heading 3"/>
    <w:aliases w:val="Tab"/>
    <w:basedOn w:val="Normlny"/>
    <w:next w:val="Normlny"/>
    <w:link w:val="Nadpis3Char"/>
    <w:uiPriority w:val="9"/>
    <w:qFormat/>
    <w:rsid w:val="001424FB"/>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D934BF"/>
    <w:rPr>
      <w:rFonts w:ascii="Arial" w:hAnsi="Arial" w:cs="Arial"/>
      <w:b/>
      <w:bCs/>
      <w:kern w:val="32"/>
      <w:sz w:val="32"/>
      <w:szCs w:val="32"/>
    </w:rPr>
  </w:style>
  <w:style w:type="character" w:styleId="Odkaznakomentr">
    <w:name w:val="annotation reference"/>
    <w:uiPriority w:val="99"/>
    <w:semiHidden/>
    <w:unhideWhenUsed/>
    <w:rsid w:val="00107DE0"/>
    <w:rPr>
      <w:sz w:val="16"/>
      <w:szCs w:val="16"/>
    </w:rPr>
  </w:style>
  <w:style w:type="paragraph" w:styleId="Textkomentra">
    <w:name w:val="annotation text"/>
    <w:basedOn w:val="Normlny"/>
    <w:link w:val="TextkomentraChar"/>
    <w:uiPriority w:val="99"/>
    <w:semiHidden/>
    <w:unhideWhenUsed/>
    <w:rsid w:val="00107DE0"/>
    <w:rPr>
      <w:sz w:val="20"/>
      <w:szCs w:val="20"/>
    </w:rPr>
  </w:style>
  <w:style w:type="character" w:customStyle="1" w:styleId="TextkomentraChar">
    <w:name w:val="Text komentára Char"/>
    <w:link w:val="Textkomentra"/>
    <w:uiPriority w:val="99"/>
    <w:semiHidden/>
    <w:rsid w:val="00107DE0"/>
    <w:rPr>
      <w:lang w:val="sk-SK" w:eastAsia="sk-SK"/>
    </w:rPr>
  </w:style>
  <w:style w:type="paragraph" w:styleId="Predmetkomentra">
    <w:name w:val="annotation subject"/>
    <w:basedOn w:val="Textkomentra"/>
    <w:next w:val="Textkomentra"/>
    <w:link w:val="PredmetkomentraChar"/>
    <w:uiPriority w:val="99"/>
    <w:semiHidden/>
    <w:unhideWhenUsed/>
    <w:rsid w:val="00107DE0"/>
    <w:rPr>
      <w:b/>
      <w:bCs/>
    </w:rPr>
  </w:style>
  <w:style w:type="character" w:customStyle="1" w:styleId="PredmetkomentraChar">
    <w:name w:val="Predmet komentára Char"/>
    <w:link w:val="Predmetkomentra"/>
    <w:uiPriority w:val="99"/>
    <w:semiHidden/>
    <w:rsid w:val="00107DE0"/>
    <w:rPr>
      <w:b/>
      <w:bCs/>
      <w:lang w:val="sk-SK" w:eastAsia="sk-SK"/>
    </w:rPr>
  </w:style>
  <w:style w:type="paragraph" w:styleId="Textbubliny">
    <w:name w:val="Balloon Text"/>
    <w:basedOn w:val="Normlny"/>
    <w:link w:val="TextbublinyChar"/>
    <w:uiPriority w:val="99"/>
    <w:semiHidden/>
    <w:unhideWhenUsed/>
    <w:rsid w:val="00107DE0"/>
    <w:rPr>
      <w:rFonts w:ascii="Tahoma" w:hAnsi="Tahoma" w:cs="Tahoma"/>
      <w:sz w:val="16"/>
      <w:szCs w:val="16"/>
    </w:rPr>
  </w:style>
  <w:style w:type="character" w:customStyle="1" w:styleId="TextbublinyChar">
    <w:name w:val="Text bubliny Char"/>
    <w:link w:val="Textbubliny"/>
    <w:uiPriority w:val="99"/>
    <w:semiHidden/>
    <w:rsid w:val="00107DE0"/>
    <w:rPr>
      <w:rFonts w:ascii="Tahoma" w:hAnsi="Tahoma" w:cs="Tahoma"/>
      <w:sz w:val="16"/>
      <w:szCs w:val="16"/>
      <w:lang w:val="sk-SK" w:eastAsia="sk-SK"/>
    </w:rPr>
  </w:style>
  <w:style w:type="paragraph" w:styleId="Hlavika">
    <w:name w:val="header"/>
    <w:basedOn w:val="Normlny"/>
    <w:link w:val="HlavikaChar"/>
    <w:uiPriority w:val="99"/>
    <w:rsid w:val="00BD065B"/>
    <w:pPr>
      <w:tabs>
        <w:tab w:val="center" w:pos="4536"/>
        <w:tab w:val="right" w:pos="9072"/>
      </w:tabs>
      <w:spacing w:after="240"/>
      <w:ind w:firstLine="284"/>
      <w:jc w:val="both"/>
    </w:pPr>
    <w:rPr>
      <w:rFonts w:ascii="Arial Narrow" w:hAnsi="Arial Narrow" w:cs="Arial Narrow"/>
      <w:sz w:val="22"/>
      <w:szCs w:val="22"/>
    </w:rPr>
  </w:style>
  <w:style w:type="character" w:customStyle="1" w:styleId="HlavikaChar">
    <w:name w:val="Hlavička Char"/>
    <w:link w:val="Hlavika"/>
    <w:uiPriority w:val="99"/>
    <w:rsid w:val="00BD065B"/>
    <w:rPr>
      <w:rFonts w:ascii="Arial Narrow" w:hAnsi="Arial Narrow" w:cs="Arial Narrow"/>
      <w:sz w:val="22"/>
      <w:szCs w:val="22"/>
    </w:rPr>
  </w:style>
  <w:style w:type="paragraph" w:customStyle="1" w:styleId="CharCharChar2CharCharCharCharCharCharCharCharCharCharCharCharCharCharCharCharCharCharCharCharCharCharCharCharCharCharCharCharCharCharCharCharCharCharCharChar1CharCharCharChar">
    <w:name w:val="Char Char Char2 Char Char Char Char Char Char Char Char Char Char Char Char Char Char Char Char Char Char Char Char Char Char Char Char Char Char Char Char Char Char Char Char Char Char Char Char1 Char Char Char Char"/>
    <w:basedOn w:val="Normlny"/>
    <w:uiPriority w:val="99"/>
    <w:rsid w:val="00BD065B"/>
    <w:pPr>
      <w:spacing w:after="160" w:line="240" w:lineRule="exact"/>
    </w:pPr>
    <w:rPr>
      <w:rFonts w:ascii="Tahoma" w:hAnsi="Tahoma" w:cs="Tahoma"/>
      <w:sz w:val="20"/>
      <w:szCs w:val="20"/>
      <w:lang w:val="en-US" w:eastAsia="en-US"/>
    </w:rPr>
  </w:style>
  <w:style w:type="paragraph" w:styleId="Odsekzoznamu">
    <w:name w:val="List Paragraph"/>
    <w:basedOn w:val="Normlny"/>
    <w:uiPriority w:val="34"/>
    <w:qFormat/>
    <w:rsid w:val="001859B0"/>
    <w:pPr>
      <w:ind w:left="708"/>
    </w:pPr>
  </w:style>
  <w:style w:type="paragraph" w:styleId="Obsah2">
    <w:name w:val="toc 2"/>
    <w:basedOn w:val="Normlny"/>
    <w:next w:val="Normlny"/>
    <w:autoRedefine/>
    <w:uiPriority w:val="39"/>
    <w:unhideWhenUsed/>
    <w:rsid w:val="004869EF"/>
    <w:pPr>
      <w:tabs>
        <w:tab w:val="right" w:leader="dot" w:pos="9062"/>
      </w:tabs>
    </w:pPr>
  </w:style>
  <w:style w:type="paragraph" w:styleId="Obsah3">
    <w:name w:val="toc 3"/>
    <w:basedOn w:val="Normlny"/>
    <w:next w:val="Normlny"/>
    <w:autoRedefine/>
    <w:uiPriority w:val="39"/>
    <w:unhideWhenUsed/>
    <w:rsid w:val="001163C6"/>
    <w:pPr>
      <w:ind w:left="480"/>
    </w:pPr>
  </w:style>
  <w:style w:type="paragraph" w:styleId="Obsah1">
    <w:name w:val="toc 1"/>
    <w:basedOn w:val="Normlny"/>
    <w:next w:val="Normlny"/>
    <w:autoRedefine/>
    <w:uiPriority w:val="39"/>
    <w:unhideWhenUsed/>
    <w:rsid w:val="005350B3"/>
    <w:pPr>
      <w:tabs>
        <w:tab w:val="left" w:pos="660"/>
        <w:tab w:val="right" w:leader="dot" w:pos="9062"/>
      </w:tabs>
      <w:spacing w:before="120" w:after="120"/>
    </w:pPr>
  </w:style>
  <w:style w:type="character" w:styleId="Hypertextovprepojenie">
    <w:name w:val="Hyperlink"/>
    <w:uiPriority w:val="99"/>
    <w:unhideWhenUsed/>
    <w:rsid w:val="001163C6"/>
    <w:rPr>
      <w:color w:val="0000FF"/>
      <w:u w:val="single"/>
    </w:rPr>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Footnote Text Char1,f,Plonk"/>
    <w:basedOn w:val="Normlny"/>
    <w:link w:val="TextpoznmkypodiarouChar"/>
    <w:uiPriority w:val="99"/>
    <w:unhideWhenUsed/>
    <w:qFormat/>
    <w:rsid w:val="00F449C1"/>
    <w:rPr>
      <w:sz w:val="20"/>
      <w:szCs w:val="20"/>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Footnote Text Char1 Char1,f Char,Plonk Char"/>
    <w:basedOn w:val="Predvolenpsmoodseku"/>
    <w:link w:val="Textpoznmkypodiarou"/>
    <w:uiPriority w:val="99"/>
    <w:rsid w:val="00F449C1"/>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Footnote symbol"/>
    <w:uiPriority w:val="99"/>
    <w:unhideWhenUsed/>
    <w:qFormat/>
    <w:rsid w:val="00F449C1"/>
    <w:rPr>
      <w:vertAlign w:val="superscript"/>
    </w:rPr>
  </w:style>
  <w:style w:type="character" w:customStyle="1" w:styleId="Nadpis3Char">
    <w:name w:val="Nadpis 3 Char"/>
    <w:aliases w:val="Tab Char"/>
    <w:link w:val="Nadpis3"/>
    <w:uiPriority w:val="9"/>
    <w:rsid w:val="009E3B80"/>
    <w:rPr>
      <w:rFonts w:ascii="Arial" w:hAnsi="Arial" w:cs="Arial"/>
      <w:b/>
      <w:bCs/>
      <w:sz w:val="26"/>
      <w:szCs w:val="26"/>
    </w:rPr>
  </w:style>
  <w:style w:type="paragraph" w:customStyle="1" w:styleId="Char">
    <w:name w:val="Char"/>
    <w:basedOn w:val="Normlny"/>
    <w:uiPriority w:val="99"/>
    <w:rsid w:val="00BB581F"/>
    <w:pPr>
      <w:spacing w:after="160" w:line="240" w:lineRule="exact"/>
    </w:pPr>
    <w:rPr>
      <w:rFonts w:ascii="Tahoma" w:hAnsi="Tahoma" w:cs="Tahoma"/>
      <w:sz w:val="20"/>
      <w:szCs w:val="20"/>
      <w:lang w:val="en-US" w:eastAsia="en-US"/>
    </w:rPr>
  </w:style>
  <w:style w:type="paragraph" w:styleId="Pta">
    <w:name w:val="footer"/>
    <w:basedOn w:val="Normlny"/>
    <w:link w:val="PtaChar"/>
    <w:uiPriority w:val="99"/>
    <w:unhideWhenUsed/>
    <w:rsid w:val="006F4BCD"/>
    <w:pPr>
      <w:tabs>
        <w:tab w:val="center" w:pos="4536"/>
        <w:tab w:val="right" w:pos="9072"/>
      </w:tabs>
    </w:pPr>
  </w:style>
  <w:style w:type="character" w:customStyle="1" w:styleId="PtaChar">
    <w:name w:val="Päta Char"/>
    <w:link w:val="Pta"/>
    <w:uiPriority w:val="99"/>
    <w:rsid w:val="006F4BCD"/>
    <w:rPr>
      <w:sz w:val="24"/>
      <w:szCs w:val="24"/>
    </w:rPr>
  </w:style>
  <w:style w:type="paragraph" w:styleId="Revzia">
    <w:name w:val="Revision"/>
    <w:hidden/>
    <w:uiPriority w:val="99"/>
    <w:semiHidden/>
    <w:rsid w:val="00C64C2F"/>
    <w:rPr>
      <w:sz w:val="24"/>
      <w:szCs w:val="24"/>
    </w:rPr>
  </w:style>
  <w:style w:type="character" w:customStyle="1" w:styleId="Nadpis2Char">
    <w:name w:val="Nadpis 2 Char"/>
    <w:aliases w:val="Char24 Char Char Char1,Char24 Char Char Char Char,Nadpis 2 IFP Char"/>
    <w:link w:val="Nadpis2"/>
    <w:uiPriority w:val="99"/>
    <w:locked/>
    <w:rsid w:val="0024610E"/>
    <w:rPr>
      <w:rFonts w:ascii="Arial" w:hAnsi="Arial" w:cs="Arial"/>
      <w:b/>
      <w:bCs/>
      <w:i/>
      <w:iCs/>
      <w:sz w:val="28"/>
      <w:szCs w:val="28"/>
    </w:rPr>
  </w:style>
  <w:style w:type="paragraph" w:styleId="Normlnywebov">
    <w:name w:val="Normal (Web)"/>
    <w:basedOn w:val="Normlny"/>
    <w:uiPriority w:val="99"/>
    <w:semiHidden/>
    <w:unhideWhenUsed/>
    <w:rsid w:val="007B4261"/>
    <w:pPr>
      <w:spacing w:before="100" w:beforeAutospacing="1" w:after="100" w:afterAutospacing="1"/>
    </w:pPr>
  </w:style>
  <w:style w:type="paragraph" w:customStyle="1" w:styleId="poznmka">
    <w:name w:val="poznámka"/>
    <w:basedOn w:val="Normlny"/>
    <w:link w:val="poznmkaChar"/>
    <w:qFormat/>
    <w:rsid w:val="00294377"/>
    <w:pPr>
      <w:spacing w:before="40"/>
      <w:jc w:val="right"/>
    </w:pPr>
    <w:rPr>
      <w:rFonts w:ascii="Arial Narrow" w:hAnsi="Arial Narrow" w:cs="Arial Narrow"/>
      <w:i/>
      <w:iCs/>
      <w:sz w:val="16"/>
      <w:szCs w:val="16"/>
    </w:rPr>
  </w:style>
  <w:style w:type="character" w:customStyle="1" w:styleId="poznmkaChar">
    <w:name w:val="poznámka Char"/>
    <w:basedOn w:val="Predvolenpsmoodseku"/>
    <w:link w:val="poznmka"/>
    <w:rsid w:val="00294377"/>
    <w:rPr>
      <w:rFonts w:ascii="Arial Narrow" w:hAnsi="Arial Narrow" w:cs="Arial Narrow"/>
      <w:i/>
      <w:iCs/>
      <w:sz w:val="16"/>
      <w:szCs w:val="16"/>
    </w:rPr>
  </w:style>
  <w:style w:type="paragraph" w:customStyle="1" w:styleId="Tabuka">
    <w:name w:val="Tabuľka"/>
    <w:basedOn w:val="Normlny"/>
    <w:qFormat/>
    <w:rsid w:val="00294377"/>
    <w:pPr>
      <w:pBdr>
        <w:top w:val="nil"/>
        <w:left w:val="nil"/>
        <w:bottom w:val="nil"/>
        <w:right w:val="nil"/>
        <w:between w:val="nil"/>
        <w:bar w:val="nil"/>
      </w:pBdr>
      <w:spacing w:after="200"/>
    </w:pPr>
    <w:rPr>
      <w:rFonts w:ascii="Arial Narrow" w:eastAsia="Arial Narrow" w:hAnsi="Arial Narrow" w:cs="Arial Narrow"/>
      <w:b/>
      <w:bCs/>
      <w:color w:val="5B9BD5" w:themeColor="accent1"/>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648">
      <w:bodyDiv w:val="1"/>
      <w:marLeft w:val="0"/>
      <w:marRight w:val="0"/>
      <w:marTop w:val="0"/>
      <w:marBottom w:val="0"/>
      <w:divBdr>
        <w:top w:val="none" w:sz="0" w:space="0" w:color="auto"/>
        <w:left w:val="none" w:sz="0" w:space="0" w:color="auto"/>
        <w:bottom w:val="none" w:sz="0" w:space="0" w:color="auto"/>
        <w:right w:val="none" w:sz="0" w:space="0" w:color="auto"/>
      </w:divBdr>
    </w:div>
    <w:div w:id="8265311">
      <w:bodyDiv w:val="1"/>
      <w:marLeft w:val="0"/>
      <w:marRight w:val="0"/>
      <w:marTop w:val="0"/>
      <w:marBottom w:val="0"/>
      <w:divBdr>
        <w:top w:val="none" w:sz="0" w:space="0" w:color="auto"/>
        <w:left w:val="none" w:sz="0" w:space="0" w:color="auto"/>
        <w:bottom w:val="none" w:sz="0" w:space="0" w:color="auto"/>
        <w:right w:val="none" w:sz="0" w:space="0" w:color="auto"/>
      </w:divBdr>
    </w:div>
    <w:div w:id="216360097">
      <w:bodyDiv w:val="1"/>
      <w:marLeft w:val="0"/>
      <w:marRight w:val="0"/>
      <w:marTop w:val="0"/>
      <w:marBottom w:val="0"/>
      <w:divBdr>
        <w:top w:val="none" w:sz="0" w:space="0" w:color="auto"/>
        <w:left w:val="none" w:sz="0" w:space="0" w:color="auto"/>
        <w:bottom w:val="none" w:sz="0" w:space="0" w:color="auto"/>
        <w:right w:val="none" w:sz="0" w:space="0" w:color="auto"/>
      </w:divBdr>
    </w:div>
    <w:div w:id="335423912">
      <w:bodyDiv w:val="1"/>
      <w:marLeft w:val="0"/>
      <w:marRight w:val="0"/>
      <w:marTop w:val="0"/>
      <w:marBottom w:val="0"/>
      <w:divBdr>
        <w:top w:val="none" w:sz="0" w:space="0" w:color="auto"/>
        <w:left w:val="none" w:sz="0" w:space="0" w:color="auto"/>
        <w:bottom w:val="none" w:sz="0" w:space="0" w:color="auto"/>
        <w:right w:val="none" w:sz="0" w:space="0" w:color="auto"/>
      </w:divBdr>
    </w:div>
    <w:div w:id="426737518">
      <w:bodyDiv w:val="1"/>
      <w:marLeft w:val="0"/>
      <w:marRight w:val="0"/>
      <w:marTop w:val="0"/>
      <w:marBottom w:val="0"/>
      <w:divBdr>
        <w:top w:val="none" w:sz="0" w:space="0" w:color="auto"/>
        <w:left w:val="none" w:sz="0" w:space="0" w:color="auto"/>
        <w:bottom w:val="none" w:sz="0" w:space="0" w:color="auto"/>
        <w:right w:val="none" w:sz="0" w:space="0" w:color="auto"/>
      </w:divBdr>
    </w:div>
    <w:div w:id="488598320">
      <w:bodyDiv w:val="1"/>
      <w:marLeft w:val="0"/>
      <w:marRight w:val="0"/>
      <w:marTop w:val="0"/>
      <w:marBottom w:val="0"/>
      <w:divBdr>
        <w:top w:val="none" w:sz="0" w:space="0" w:color="auto"/>
        <w:left w:val="none" w:sz="0" w:space="0" w:color="auto"/>
        <w:bottom w:val="none" w:sz="0" w:space="0" w:color="auto"/>
        <w:right w:val="none" w:sz="0" w:space="0" w:color="auto"/>
      </w:divBdr>
    </w:div>
    <w:div w:id="719282439">
      <w:bodyDiv w:val="1"/>
      <w:marLeft w:val="0"/>
      <w:marRight w:val="0"/>
      <w:marTop w:val="0"/>
      <w:marBottom w:val="0"/>
      <w:divBdr>
        <w:top w:val="none" w:sz="0" w:space="0" w:color="auto"/>
        <w:left w:val="none" w:sz="0" w:space="0" w:color="auto"/>
        <w:bottom w:val="none" w:sz="0" w:space="0" w:color="auto"/>
        <w:right w:val="none" w:sz="0" w:space="0" w:color="auto"/>
      </w:divBdr>
    </w:div>
    <w:div w:id="808398783">
      <w:bodyDiv w:val="1"/>
      <w:marLeft w:val="0"/>
      <w:marRight w:val="0"/>
      <w:marTop w:val="0"/>
      <w:marBottom w:val="0"/>
      <w:divBdr>
        <w:top w:val="none" w:sz="0" w:space="0" w:color="auto"/>
        <w:left w:val="none" w:sz="0" w:space="0" w:color="auto"/>
        <w:bottom w:val="none" w:sz="0" w:space="0" w:color="auto"/>
        <w:right w:val="none" w:sz="0" w:space="0" w:color="auto"/>
      </w:divBdr>
    </w:div>
    <w:div w:id="835340429">
      <w:bodyDiv w:val="1"/>
      <w:marLeft w:val="0"/>
      <w:marRight w:val="0"/>
      <w:marTop w:val="0"/>
      <w:marBottom w:val="0"/>
      <w:divBdr>
        <w:top w:val="none" w:sz="0" w:space="0" w:color="auto"/>
        <w:left w:val="none" w:sz="0" w:space="0" w:color="auto"/>
        <w:bottom w:val="none" w:sz="0" w:space="0" w:color="auto"/>
        <w:right w:val="none" w:sz="0" w:space="0" w:color="auto"/>
      </w:divBdr>
    </w:div>
    <w:div w:id="1107777181">
      <w:bodyDiv w:val="1"/>
      <w:marLeft w:val="0"/>
      <w:marRight w:val="0"/>
      <w:marTop w:val="0"/>
      <w:marBottom w:val="0"/>
      <w:divBdr>
        <w:top w:val="none" w:sz="0" w:space="0" w:color="auto"/>
        <w:left w:val="none" w:sz="0" w:space="0" w:color="auto"/>
        <w:bottom w:val="none" w:sz="0" w:space="0" w:color="auto"/>
        <w:right w:val="none" w:sz="0" w:space="0" w:color="auto"/>
      </w:divBdr>
    </w:div>
    <w:div w:id="1199706375">
      <w:bodyDiv w:val="1"/>
      <w:marLeft w:val="0"/>
      <w:marRight w:val="0"/>
      <w:marTop w:val="0"/>
      <w:marBottom w:val="0"/>
      <w:divBdr>
        <w:top w:val="none" w:sz="0" w:space="0" w:color="auto"/>
        <w:left w:val="none" w:sz="0" w:space="0" w:color="auto"/>
        <w:bottom w:val="none" w:sz="0" w:space="0" w:color="auto"/>
        <w:right w:val="none" w:sz="0" w:space="0" w:color="auto"/>
      </w:divBdr>
    </w:div>
    <w:div w:id="1341152818">
      <w:bodyDiv w:val="1"/>
      <w:marLeft w:val="0"/>
      <w:marRight w:val="0"/>
      <w:marTop w:val="0"/>
      <w:marBottom w:val="0"/>
      <w:divBdr>
        <w:top w:val="none" w:sz="0" w:space="0" w:color="auto"/>
        <w:left w:val="none" w:sz="0" w:space="0" w:color="auto"/>
        <w:bottom w:val="none" w:sz="0" w:space="0" w:color="auto"/>
        <w:right w:val="none" w:sz="0" w:space="0" w:color="auto"/>
      </w:divBdr>
    </w:div>
    <w:div w:id="1389449960">
      <w:bodyDiv w:val="1"/>
      <w:marLeft w:val="0"/>
      <w:marRight w:val="0"/>
      <w:marTop w:val="0"/>
      <w:marBottom w:val="0"/>
      <w:divBdr>
        <w:top w:val="none" w:sz="0" w:space="0" w:color="auto"/>
        <w:left w:val="none" w:sz="0" w:space="0" w:color="auto"/>
        <w:bottom w:val="none" w:sz="0" w:space="0" w:color="auto"/>
        <w:right w:val="none" w:sz="0" w:space="0" w:color="auto"/>
      </w:divBdr>
    </w:div>
    <w:div w:id="1393313998">
      <w:bodyDiv w:val="1"/>
      <w:marLeft w:val="0"/>
      <w:marRight w:val="0"/>
      <w:marTop w:val="0"/>
      <w:marBottom w:val="0"/>
      <w:divBdr>
        <w:top w:val="none" w:sz="0" w:space="0" w:color="auto"/>
        <w:left w:val="none" w:sz="0" w:space="0" w:color="auto"/>
        <w:bottom w:val="none" w:sz="0" w:space="0" w:color="auto"/>
        <w:right w:val="none" w:sz="0" w:space="0" w:color="auto"/>
      </w:divBdr>
    </w:div>
    <w:div w:id="1536039516">
      <w:bodyDiv w:val="1"/>
      <w:marLeft w:val="0"/>
      <w:marRight w:val="0"/>
      <w:marTop w:val="0"/>
      <w:marBottom w:val="0"/>
      <w:divBdr>
        <w:top w:val="none" w:sz="0" w:space="0" w:color="auto"/>
        <w:left w:val="none" w:sz="0" w:space="0" w:color="auto"/>
        <w:bottom w:val="none" w:sz="0" w:space="0" w:color="auto"/>
        <w:right w:val="none" w:sz="0" w:space="0" w:color="auto"/>
      </w:divBdr>
    </w:div>
    <w:div w:id="1556963804">
      <w:bodyDiv w:val="1"/>
      <w:marLeft w:val="0"/>
      <w:marRight w:val="0"/>
      <w:marTop w:val="0"/>
      <w:marBottom w:val="0"/>
      <w:divBdr>
        <w:top w:val="none" w:sz="0" w:space="0" w:color="auto"/>
        <w:left w:val="none" w:sz="0" w:space="0" w:color="auto"/>
        <w:bottom w:val="none" w:sz="0" w:space="0" w:color="auto"/>
        <w:right w:val="none" w:sz="0" w:space="0" w:color="auto"/>
      </w:divBdr>
    </w:div>
    <w:div w:id="1984580144">
      <w:bodyDiv w:val="1"/>
      <w:marLeft w:val="0"/>
      <w:marRight w:val="0"/>
      <w:marTop w:val="0"/>
      <w:marBottom w:val="0"/>
      <w:divBdr>
        <w:top w:val="none" w:sz="0" w:space="0" w:color="auto"/>
        <w:left w:val="none" w:sz="0" w:space="0" w:color="auto"/>
        <w:bottom w:val="none" w:sz="0" w:space="0" w:color="auto"/>
        <w:right w:val="none" w:sz="0" w:space="0" w:color="auto"/>
      </w:divBdr>
    </w:div>
    <w:div w:id="2067757149">
      <w:bodyDiv w:val="1"/>
      <w:marLeft w:val="0"/>
      <w:marRight w:val="0"/>
      <w:marTop w:val="0"/>
      <w:marBottom w:val="0"/>
      <w:divBdr>
        <w:top w:val="none" w:sz="0" w:space="0" w:color="auto"/>
        <w:left w:val="none" w:sz="0" w:space="0" w:color="auto"/>
        <w:bottom w:val="none" w:sz="0" w:space="0" w:color="auto"/>
        <w:right w:val="none" w:sz="0" w:space="0" w:color="auto"/>
      </w:divBdr>
    </w:div>
    <w:div w:id="213136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6584677845265958E-2"/>
          <c:y val="4.5193097781429742E-2"/>
          <c:w val="0.89861541233622411"/>
          <c:h val="0.85949766755737289"/>
        </c:manualLayout>
      </c:layout>
      <c:lineChart>
        <c:grouping val="standard"/>
        <c:varyColors val="0"/>
        <c:ser>
          <c:idx val="1"/>
          <c:order val="0"/>
          <c:spPr>
            <a:ln w="22225" cap="rnd">
              <a:solidFill>
                <a:sysClr val="windowText" lastClr="000000"/>
              </a:solidFill>
              <a:round/>
            </a:ln>
            <a:effectLst/>
          </c:spPr>
          <c:marker>
            <c:symbol val="none"/>
          </c:marker>
          <c:cat>
            <c:numRef>
              <c:f>VIX!$A$2:$A$360</c:f>
              <c:numCache>
                <c:formatCode>m/d/yyyy</c:formatCode>
                <c:ptCount val="359"/>
                <c:pt idx="0">
                  <c:v>32874</c:v>
                </c:pt>
                <c:pt idx="1">
                  <c:v>32905</c:v>
                </c:pt>
                <c:pt idx="2">
                  <c:v>32933</c:v>
                </c:pt>
                <c:pt idx="3">
                  <c:v>32964</c:v>
                </c:pt>
                <c:pt idx="4">
                  <c:v>32994</c:v>
                </c:pt>
                <c:pt idx="5">
                  <c:v>33025</c:v>
                </c:pt>
                <c:pt idx="6">
                  <c:v>33055</c:v>
                </c:pt>
                <c:pt idx="7">
                  <c:v>33086</c:v>
                </c:pt>
                <c:pt idx="8">
                  <c:v>33117</c:v>
                </c:pt>
                <c:pt idx="9">
                  <c:v>33147</c:v>
                </c:pt>
                <c:pt idx="10">
                  <c:v>33178</c:v>
                </c:pt>
                <c:pt idx="11">
                  <c:v>33208</c:v>
                </c:pt>
                <c:pt idx="12">
                  <c:v>33239</c:v>
                </c:pt>
                <c:pt idx="13">
                  <c:v>33270</c:v>
                </c:pt>
                <c:pt idx="14">
                  <c:v>33298</c:v>
                </c:pt>
                <c:pt idx="15">
                  <c:v>33329</c:v>
                </c:pt>
                <c:pt idx="16">
                  <c:v>33359</c:v>
                </c:pt>
                <c:pt idx="17">
                  <c:v>33390</c:v>
                </c:pt>
                <c:pt idx="18">
                  <c:v>33420</c:v>
                </c:pt>
                <c:pt idx="19">
                  <c:v>33451</c:v>
                </c:pt>
                <c:pt idx="20">
                  <c:v>33482</c:v>
                </c:pt>
                <c:pt idx="21">
                  <c:v>33512</c:v>
                </c:pt>
                <c:pt idx="22">
                  <c:v>33543</c:v>
                </c:pt>
                <c:pt idx="23">
                  <c:v>33573</c:v>
                </c:pt>
                <c:pt idx="24">
                  <c:v>33604</c:v>
                </c:pt>
                <c:pt idx="25">
                  <c:v>33635</c:v>
                </c:pt>
                <c:pt idx="26">
                  <c:v>33664</c:v>
                </c:pt>
                <c:pt idx="27">
                  <c:v>33695</c:v>
                </c:pt>
                <c:pt idx="28">
                  <c:v>33725</c:v>
                </c:pt>
                <c:pt idx="29">
                  <c:v>33756</c:v>
                </c:pt>
                <c:pt idx="30">
                  <c:v>33786</c:v>
                </c:pt>
                <c:pt idx="31">
                  <c:v>33817</c:v>
                </c:pt>
                <c:pt idx="32">
                  <c:v>33848</c:v>
                </c:pt>
                <c:pt idx="33">
                  <c:v>33878</c:v>
                </c:pt>
                <c:pt idx="34">
                  <c:v>33909</c:v>
                </c:pt>
                <c:pt idx="35">
                  <c:v>33939</c:v>
                </c:pt>
                <c:pt idx="36">
                  <c:v>33970</c:v>
                </c:pt>
                <c:pt idx="37">
                  <c:v>34001</c:v>
                </c:pt>
                <c:pt idx="38">
                  <c:v>34029</c:v>
                </c:pt>
                <c:pt idx="39">
                  <c:v>34060</c:v>
                </c:pt>
                <c:pt idx="40">
                  <c:v>34090</c:v>
                </c:pt>
                <c:pt idx="41">
                  <c:v>34121</c:v>
                </c:pt>
                <c:pt idx="42">
                  <c:v>34151</c:v>
                </c:pt>
                <c:pt idx="43">
                  <c:v>34182</c:v>
                </c:pt>
                <c:pt idx="44">
                  <c:v>34213</c:v>
                </c:pt>
                <c:pt idx="45">
                  <c:v>34243</c:v>
                </c:pt>
                <c:pt idx="46">
                  <c:v>34274</c:v>
                </c:pt>
                <c:pt idx="47">
                  <c:v>34304</c:v>
                </c:pt>
                <c:pt idx="48">
                  <c:v>34335</c:v>
                </c:pt>
                <c:pt idx="49">
                  <c:v>34366</c:v>
                </c:pt>
                <c:pt idx="50">
                  <c:v>34394</c:v>
                </c:pt>
                <c:pt idx="51">
                  <c:v>34425</c:v>
                </c:pt>
                <c:pt idx="52">
                  <c:v>34455</c:v>
                </c:pt>
                <c:pt idx="53">
                  <c:v>34486</c:v>
                </c:pt>
                <c:pt idx="54">
                  <c:v>34516</c:v>
                </c:pt>
                <c:pt idx="55">
                  <c:v>34547</c:v>
                </c:pt>
                <c:pt idx="56">
                  <c:v>34578</c:v>
                </c:pt>
                <c:pt idx="57">
                  <c:v>34608</c:v>
                </c:pt>
                <c:pt idx="58">
                  <c:v>34639</c:v>
                </c:pt>
                <c:pt idx="59">
                  <c:v>34669</c:v>
                </c:pt>
                <c:pt idx="60">
                  <c:v>34700</c:v>
                </c:pt>
                <c:pt idx="61">
                  <c:v>34731</c:v>
                </c:pt>
                <c:pt idx="62">
                  <c:v>34759</c:v>
                </c:pt>
                <c:pt idx="63">
                  <c:v>34790</c:v>
                </c:pt>
                <c:pt idx="64">
                  <c:v>34820</c:v>
                </c:pt>
                <c:pt idx="65">
                  <c:v>34851</c:v>
                </c:pt>
                <c:pt idx="66">
                  <c:v>34881</c:v>
                </c:pt>
                <c:pt idx="67">
                  <c:v>34912</c:v>
                </c:pt>
                <c:pt idx="68">
                  <c:v>34943</c:v>
                </c:pt>
                <c:pt idx="69">
                  <c:v>34973</c:v>
                </c:pt>
                <c:pt idx="70">
                  <c:v>35004</c:v>
                </c:pt>
                <c:pt idx="71">
                  <c:v>35034</c:v>
                </c:pt>
                <c:pt idx="72">
                  <c:v>35065</c:v>
                </c:pt>
                <c:pt idx="73">
                  <c:v>35096</c:v>
                </c:pt>
                <c:pt idx="74">
                  <c:v>35125</c:v>
                </c:pt>
                <c:pt idx="75">
                  <c:v>35156</c:v>
                </c:pt>
                <c:pt idx="76">
                  <c:v>35186</c:v>
                </c:pt>
                <c:pt idx="77">
                  <c:v>35217</c:v>
                </c:pt>
                <c:pt idx="78">
                  <c:v>35247</c:v>
                </c:pt>
                <c:pt idx="79">
                  <c:v>35278</c:v>
                </c:pt>
                <c:pt idx="80">
                  <c:v>35309</c:v>
                </c:pt>
                <c:pt idx="81">
                  <c:v>35339</c:v>
                </c:pt>
                <c:pt idx="82">
                  <c:v>35370</c:v>
                </c:pt>
                <c:pt idx="83">
                  <c:v>35400</c:v>
                </c:pt>
                <c:pt idx="84">
                  <c:v>35431</c:v>
                </c:pt>
                <c:pt idx="85">
                  <c:v>35462</c:v>
                </c:pt>
                <c:pt idx="86">
                  <c:v>35490</c:v>
                </c:pt>
                <c:pt idx="87">
                  <c:v>35521</c:v>
                </c:pt>
                <c:pt idx="88">
                  <c:v>35551</c:v>
                </c:pt>
                <c:pt idx="89">
                  <c:v>35582</c:v>
                </c:pt>
                <c:pt idx="90">
                  <c:v>35612</c:v>
                </c:pt>
                <c:pt idx="91">
                  <c:v>35643</c:v>
                </c:pt>
                <c:pt idx="92">
                  <c:v>35674</c:v>
                </c:pt>
                <c:pt idx="93">
                  <c:v>35704</c:v>
                </c:pt>
                <c:pt idx="94">
                  <c:v>35735</c:v>
                </c:pt>
                <c:pt idx="95">
                  <c:v>35765</c:v>
                </c:pt>
                <c:pt idx="96">
                  <c:v>35796</c:v>
                </c:pt>
                <c:pt idx="97">
                  <c:v>35827</c:v>
                </c:pt>
                <c:pt idx="98">
                  <c:v>35855</c:v>
                </c:pt>
                <c:pt idx="99">
                  <c:v>35886</c:v>
                </c:pt>
                <c:pt idx="100">
                  <c:v>35916</c:v>
                </c:pt>
                <c:pt idx="101">
                  <c:v>35947</c:v>
                </c:pt>
                <c:pt idx="102">
                  <c:v>35977</c:v>
                </c:pt>
                <c:pt idx="103">
                  <c:v>36008</c:v>
                </c:pt>
                <c:pt idx="104">
                  <c:v>36039</c:v>
                </c:pt>
                <c:pt idx="105">
                  <c:v>36069</c:v>
                </c:pt>
                <c:pt idx="106">
                  <c:v>36100</c:v>
                </c:pt>
                <c:pt idx="107">
                  <c:v>36130</c:v>
                </c:pt>
                <c:pt idx="108">
                  <c:v>36161</c:v>
                </c:pt>
                <c:pt idx="109">
                  <c:v>36192</c:v>
                </c:pt>
                <c:pt idx="110">
                  <c:v>36220</c:v>
                </c:pt>
                <c:pt idx="111">
                  <c:v>36251</c:v>
                </c:pt>
                <c:pt idx="112">
                  <c:v>36281</c:v>
                </c:pt>
                <c:pt idx="113">
                  <c:v>36312</c:v>
                </c:pt>
                <c:pt idx="114">
                  <c:v>36342</c:v>
                </c:pt>
                <c:pt idx="115">
                  <c:v>36373</c:v>
                </c:pt>
                <c:pt idx="116">
                  <c:v>36404</c:v>
                </c:pt>
                <c:pt idx="117">
                  <c:v>36434</c:v>
                </c:pt>
                <c:pt idx="118">
                  <c:v>36465</c:v>
                </c:pt>
                <c:pt idx="119">
                  <c:v>36495</c:v>
                </c:pt>
                <c:pt idx="120">
                  <c:v>36526</c:v>
                </c:pt>
                <c:pt idx="121">
                  <c:v>36557</c:v>
                </c:pt>
                <c:pt idx="122">
                  <c:v>36586</c:v>
                </c:pt>
                <c:pt idx="123">
                  <c:v>36617</c:v>
                </c:pt>
                <c:pt idx="124">
                  <c:v>36647</c:v>
                </c:pt>
                <c:pt idx="125">
                  <c:v>36678</c:v>
                </c:pt>
                <c:pt idx="126">
                  <c:v>36708</c:v>
                </c:pt>
                <c:pt idx="127">
                  <c:v>36739</c:v>
                </c:pt>
                <c:pt idx="128">
                  <c:v>36770</c:v>
                </c:pt>
                <c:pt idx="129">
                  <c:v>36800</c:v>
                </c:pt>
                <c:pt idx="130">
                  <c:v>36831</c:v>
                </c:pt>
                <c:pt idx="131">
                  <c:v>36861</c:v>
                </c:pt>
                <c:pt idx="132">
                  <c:v>36892</c:v>
                </c:pt>
                <c:pt idx="133">
                  <c:v>36923</c:v>
                </c:pt>
                <c:pt idx="134">
                  <c:v>36951</c:v>
                </c:pt>
                <c:pt idx="135">
                  <c:v>36982</c:v>
                </c:pt>
                <c:pt idx="136">
                  <c:v>37012</c:v>
                </c:pt>
                <c:pt idx="137">
                  <c:v>37043</c:v>
                </c:pt>
                <c:pt idx="138">
                  <c:v>37073</c:v>
                </c:pt>
                <c:pt idx="139">
                  <c:v>37104</c:v>
                </c:pt>
                <c:pt idx="140">
                  <c:v>37135</c:v>
                </c:pt>
                <c:pt idx="141">
                  <c:v>37165</c:v>
                </c:pt>
                <c:pt idx="142">
                  <c:v>37196</c:v>
                </c:pt>
                <c:pt idx="143">
                  <c:v>37226</c:v>
                </c:pt>
                <c:pt idx="144">
                  <c:v>37257</c:v>
                </c:pt>
                <c:pt idx="145">
                  <c:v>37288</c:v>
                </c:pt>
                <c:pt idx="146">
                  <c:v>37316</c:v>
                </c:pt>
                <c:pt idx="147">
                  <c:v>37347</c:v>
                </c:pt>
                <c:pt idx="148">
                  <c:v>37377</c:v>
                </c:pt>
                <c:pt idx="149">
                  <c:v>37408</c:v>
                </c:pt>
                <c:pt idx="150">
                  <c:v>37438</c:v>
                </c:pt>
                <c:pt idx="151">
                  <c:v>37469</c:v>
                </c:pt>
                <c:pt idx="152">
                  <c:v>37500</c:v>
                </c:pt>
                <c:pt idx="153">
                  <c:v>37530</c:v>
                </c:pt>
                <c:pt idx="154">
                  <c:v>37561</c:v>
                </c:pt>
                <c:pt idx="155">
                  <c:v>37591</c:v>
                </c:pt>
                <c:pt idx="156">
                  <c:v>37622</c:v>
                </c:pt>
                <c:pt idx="157">
                  <c:v>37653</c:v>
                </c:pt>
                <c:pt idx="158">
                  <c:v>37681</c:v>
                </c:pt>
                <c:pt idx="159">
                  <c:v>37712</c:v>
                </c:pt>
                <c:pt idx="160">
                  <c:v>37742</c:v>
                </c:pt>
                <c:pt idx="161">
                  <c:v>37773</c:v>
                </c:pt>
                <c:pt idx="162">
                  <c:v>37803</c:v>
                </c:pt>
                <c:pt idx="163">
                  <c:v>37834</c:v>
                </c:pt>
                <c:pt idx="164">
                  <c:v>37865</c:v>
                </c:pt>
                <c:pt idx="165">
                  <c:v>37895</c:v>
                </c:pt>
                <c:pt idx="166">
                  <c:v>37926</c:v>
                </c:pt>
                <c:pt idx="167">
                  <c:v>37956</c:v>
                </c:pt>
                <c:pt idx="168">
                  <c:v>37987</c:v>
                </c:pt>
                <c:pt idx="169">
                  <c:v>38018</c:v>
                </c:pt>
                <c:pt idx="170">
                  <c:v>38047</c:v>
                </c:pt>
                <c:pt idx="171">
                  <c:v>38078</c:v>
                </c:pt>
                <c:pt idx="172">
                  <c:v>38108</c:v>
                </c:pt>
                <c:pt idx="173">
                  <c:v>38139</c:v>
                </c:pt>
                <c:pt idx="174">
                  <c:v>38169</c:v>
                </c:pt>
                <c:pt idx="175">
                  <c:v>38200</c:v>
                </c:pt>
                <c:pt idx="176">
                  <c:v>38231</c:v>
                </c:pt>
                <c:pt idx="177">
                  <c:v>38261</c:v>
                </c:pt>
                <c:pt idx="178">
                  <c:v>38292</c:v>
                </c:pt>
                <c:pt idx="179">
                  <c:v>38322</c:v>
                </c:pt>
                <c:pt idx="180">
                  <c:v>38353</c:v>
                </c:pt>
                <c:pt idx="181">
                  <c:v>38384</c:v>
                </c:pt>
                <c:pt idx="182">
                  <c:v>38412</c:v>
                </c:pt>
                <c:pt idx="183">
                  <c:v>38443</c:v>
                </c:pt>
                <c:pt idx="184">
                  <c:v>38473</c:v>
                </c:pt>
                <c:pt idx="185">
                  <c:v>38504</c:v>
                </c:pt>
                <c:pt idx="186">
                  <c:v>38534</c:v>
                </c:pt>
                <c:pt idx="187">
                  <c:v>38565</c:v>
                </c:pt>
                <c:pt idx="188">
                  <c:v>38596</c:v>
                </c:pt>
                <c:pt idx="189">
                  <c:v>38626</c:v>
                </c:pt>
                <c:pt idx="190">
                  <c:v>38657</c:v>
                </c:pt>
                <c:pt idx="191">
                  <c:v>38687</c:v>
                </c:pt>
                <c:pt idx="192">
                  <c:v>38718</c:v>
                </c:pt>
                <c:pt idx="193">
                  <c:v>38749</c:v>
                </c:pt>
                <c:pt idx="194">
                  <c:v>38777</c:v>
                </c:pt>
                <c:pt idx="195">
                  <c:v>38808</c:v>
                </c:pt>
                <c:pt idx="196">
                  <c:v>38838</c:v>
                </c:pt>
                <c:pt idx="197">
                  <c:v>38869</c:v>
                </c:pt>
                <c:pt idx="198">
                  <c:v>38899</c:v>
                </c:pt>
                <c:pt idx="199">
                  <c:v>38930</c:v>
                </c:pt>
                <c:pt idx="200">
                  <c:v>38961</c:v>
                </c:pt>
                <c:pt idx="201">
                  <c:v>38991</c:v>
                </c:pt>
                <c:pt idx="202">
                  <c:v>39022</c:v>
                </c:pt>
                <c:pt idx="203">
                  <c:v>39052</c:v>
                </c:pt>
                <c:pt idx="204">
                  <c:v>39083</c:v>
                </c:pt>
                <c:pt idx="205">
                  <c:v>39114</c:v>
                </c:pt>
                <c:pt idx="206">
                  <c:v>39142</c:v>
                </c:pt>
                <c:pt idx="207">
                  <c:v>39173</c:v>
                </c:pt>
                <c:pt idx="208">
                  <c:v>39203</c:v>
                </c:pt>
                <c:pt idx="209">
                  <c:v>39234</c:v>
                </c:pt>
                <c:pt idx="210">
                  <c:v>39264</c:v>
                </c:pt>
                <c:pt idx="211">
                  <c:v>39295</c:v>
                </c:pt>
                <c:pt idx="212">
                  <c:v>39326</c:v>
                </c:pt>
                <c:pt idx="213">
                  <c:v>39356</c:v>
                </c:pt>
                <c:pt idx="214">
                  <c:v>39387</c:v>
                </c:pt>
                <c:pt idx="215">
                  <c:v>39417</c:v>
                </c:pt>
                <c:pt idx="216">
                  <c:v>39448</c:v>
                </c:pt>
                <c:pt idx="217">
                  <c:v>39479</c:v>
                </c:pt>
                <c:pt idx="218">
                  <c:v>39508</c:v>
                </c:pt>
                <c:pt idx="219">
                  <c:v>39539</c:v>
                </c:pt>
                <c:pt idx="220">
                  <c:v>39569</c:v>
                </c:pt>
                <c:pt idx="221">
                  <c:v>39600</c:v>
                </c:pt>
                <c:pt idx="222">
                  <c:v>39630</c:v>
                </c:pt>
                <c:pt idx="223">
                  <c:v>39661</c:v>
                </c:pt>
                <c:pt idx="224">
                  <c:v>39692</c:v>
                </c:pt>
                <c:pt idx="225">
                  <c:v>39722</c:v>
                </c:pt>
                <c:pt idx="226">
                  <c:v>39753</c:v>
                </c:pt>
                <c:pt idx="227">
                  <c:v>39783</c:v>
                </c:pt>
                <c:pt idx="228">
                  <c:v>39814</c:v>
                </c:pt>
                <c:pt idx="229">
                  <c:v>39845</c:v>
                </c:pt>
                <c:pt idx="230">
                  <c:v>39873</c:v>
                </c:pt>
                <c:pt idx="231">
                  <c:v>39904</c:v>
                </c:pt>
                <c:pt idx="232">
                  <c:v>39934</c:v>
                </c:pt>
                <c:pt idx="233">
                  <c:v>39965</c:v>
                </c:pt>
                <c:pt idx="234">
                  <c:v>39995</c:v>
                </c:pt>
                <c:pt idx="235">
                  <c:v>40026</c:v>
                </c:pt>
                <c:pt idx="236">
                  <c:v>40057</c:v>
                </c:pt>
                <c:pt idx="237">
                  <c:v>40087</c:v>
                </c:pt>
                <c:pt idx="238">
                  <c:v>40118</c:v>
                </c:pt>
                <c:pt idx="239">
                  <c:v>40148</c:v>
                </c:pt>
                <c:pt idx="240">
                  <c:v>40179</c:v>
                </c:pt>
                <c:pt idx="241">
                  <c:v>40210</c:v>
                </c:pt>
                <c:pt idx="242">
                  <c:v>40238</c:v>
                </c:pt>
                <c:pt idx="243">
                  <c:v>40269</c:v>
                </c:pt>
                <c:pt idx="244">
                  <c:v>40299</c:v>
                </c:pt>
                <c:pt idx="245">
                  <c:v>40330</c:v>
                </c:pt>
                <c:pt idx="246">
                  <c:v>40360</c:v>
                </c:pt>
                <c:pt idx="247">
                  <c:v>40391</c:v>
                </c:pt>
                <c:pt idx="248">
                  <c:v>40422</c:v>
                </c:pt>
                <c:pt idx="249">
                  <c:v>40452</c:v>
                </c:pt>
                <c:pt idx="250">
                  <c:v>40483</c:v>
                </c:pt>
                <c:pt idx="251">
                  <c:v>40513</c:v>
                </c:pt>
                <c:pt idx="252">
                  <c:v>40544</c:v>
                </c:pt>
                <c:pt idx="253">
                  <c:v>40575</c:v>
                </c:pt>
                <c:pt idx="254">
                  <c:v>40603</c:v>
                </c:pt>
                <c:pt idx="255">
                  <c:v>40634</c:v>
                </c:pt>
                <c:pt idx="256">
                  <c:v>40664</c:v>
                </c:pt>
                <c:pt idx="257">
                  <c:v>40695</c:v>
                </c:pt>
                <c:pt idx="258">
                  <c:v>40725</c:v>
                </c:pt>
                <c:pt idx="259">
                  <c:v>40756</c:v>
                </c:pt>
                <c:pt idx="260">
                  <c:v>40787</c:v>
                </c:pt>
                <c:pt idx="261">
                  <c:v>40817</c:v>
                </c:pt>
                <c:pt idx="262">
                  <c:v>40848</c:v>
                </c:pt>
                <c:pt idx="263">
                  <c:v>40878</c:v>
                </c:pt>
                <c:pt idx="264">
                  <c:v>40909</c:v>
                </c:pt>
                <c:pt idx="265">
                  <c:v>40940</c:v>
                </c:pt>
                <c:pt idx="266">
                  <c:v>40969</c:v>
                </c:pt>
                <c:pt idx="267">
                  <c:v>41000</c:v>
                </c:pt>
                <c:pt idx="268">
                  <c:v>41030</c:v>
                </c:pt>
                <c:pt idx="269">
                  <c:v>41061</c:v>
                </c:pt>
                <c:pt idx="270">
                  <c:v>41091</c:v>
                </c:pt>
                <c:pt idx="271">
                  <c:v>41122</c:v>
                </c:pt>
                <c:pt idx="272">
                  <c:v>41153</c:v>
                </c:pt>
                <c:pt idx="273">
                  <c:v>41183</c:v>
                </c:pt>
                <c:pt idx="274">
                  <c:v>41214</c:v>
                </c:pt>
                <c:pt idx="275">
                  <c:v>41244</c:v>
                </c:pt>
                <c:pt idx="276">
                  <c:v>41275</c:v>
                </c:pt>
                <c:pt idx="277">
                  <c:v>41306</c:v>
                </c:pt>
                <c:pt idx="278">
                  <c:v>41334</c:v>
                </c:pt>
                <c:pt idx="279">
                  <c:v>41365</c:v>
                </c:pt>
                <c:pt idx="280">
                  <c:v>41395</c:v>
                </c:pt>
                <c:pt idx="281">
                  <c:v>41426</c:v>
                </c:pt>
                <c:pt idx="282">
                  <c:v>41456</c:v>
                </c:pt>
                <c:pt idx="283">
                  <c:v>41487</c:v>
                </c:pt>
                <c:pt idx="284">
                  <c:v>41518</c:v>
                </c:pt>
                <c:pt idx="285">
                  <c:v>41548</c:v>
                </c:pt>
                <c:pt idx="286">
                  <c:v>41579</c:v>
                </c:pt>
                <c:pt idx="287">
                  <c:v>41609</c:v>
                </c:pt>
                <c:pt idx="288">
                  <c:v>41640</c:v>
                </c:pt>
                <c:pt idx="289">
                  <c:v>41671</c:v>
                </c:pt>
                <c:pt idx="290">
                  <c:v>41699</c:v>
                </c:pt>
                <c:pt idx="291">
                  <c:v>41730</c:v>
                </c:pt>
                <c:pt idx="292">
                  <c:v>41760</c:v>
                </c:pt>
                <c:pt idx="293">
                  <c:v>41791</c:v>
                </c:pt>
                <c:pt idx="294">
                  <c:v>41821</c:v>
                </c:pt>
                <c:pt idx="295">
                  <c:v>41852</c:v>
                </c:pt>
                <c:pt idx="296">
                  <c:v>41883</c:v>
                </c:pt>
                <c:pt idx="297">
                  <c:v>41913</c:v>
                </c:pt>
                <c:pt idx="298">
                  <c:v>41944</c:v>
                </c:pt>
                <c:pt idx="299">
                  <c:v>41974</c:v>
                </c:pt>
                <c:pt idx="300">
                  <c:v>42005</c:v>
                </c:pt>
                <c:pt idx="301">
                  <c:v>42036</c:v>
                </c:pt>
                <c:pt idx="302">
                  <c:v>42064</c:v>
                </c:pt>
                <c:pt idx="303">
                  <c:v>42095</c:v>
                </c:pt>
                <c:pt idx="304">
                  <c:v>42125</c:v>
                </c:pt>
                <c:pt idx="305">
                  <c:v>42156</c:v>
                </c:pt>
                <c:pt idx="306">
                  <c:v>42186</c:v>
                </c:pt>
                <c:pt idx="307">
                  <c:v>42217</c:v>
                </c:pt>
                <c:pt idx="308">
                  <c:v>42248</c:v>
                </c:pt>
                <c:pt idx="309">
                  <c:v>42278</c:v>
                </c:pt>
                <c:pt idx="310">
                  <c:v>42309</c:v>
                </c:pt>
                <c:pt idx="311">
                  <c:v>42339</c:v>
                </c:pt>
                <c:pt idx="312">
                  <c:v>42370</c:v>
                </c:pt>
                <c:pt idx="313">
                  <c:v>42401</c:v>
                </c:pt>
                <c:pt idx="314">
                  <c:v>42430</c:v>
                </c:pt>
                <c:pt idx="315">
                  <c:v>42461</c:v>
                </c:pt>
                <c:pt idx="316">
                  <c:v>42491</c:v>
                </c:pt>
                <c:pt idx="317">
                  <c:v>42522</c:v>
                </c:pt>
                <c:pt idx="318">
                  <c:v>42552</c:v>
                </c:pt>
                <c:pt idx="319">
                  <c:v>42583</c:v>
                </c:pt>
                <c:pt idx="320">
                  <c:v>42614</c:v>
                </c:pt>
                <c:pt idx="321">
                  <c:v>42644</c:v>
                </c:pt>
                <c:pt idx="322">
                  <c:v>42675</c:v>
                </c:pt>
                <c:pt idx="323">
                  <c:v>42705</c:v>
                </c:pt>
                <c:pt idx="324">
                  <c:v>42736</c:v>
                </c:pt>
                <c:pt idx="325">
                  <c:v>42767</c:v>
                </c:pt>
                <c:pt idx="326">
                  <c:v>42795</c:v>
                </c:pt>
                <c:pt idx="327">
                  <c:v>42826</c:v>
                </c:pt>
                <c:pt idx="328">
                  <c:v>42856</c:v>
                </c:pt>
                <c:pt idx="329">
                  <c:v>42887</c:v>
                </c:pt>
                <c:pt idx="330">
                  <c:v>42917</c:v>
                </c:pt>
                <c:pt idx="331">
                  <c:v>42948</c:v>
                </c:pt>
                <c:pt idx="332">
                  <c:v>42979</c:v>
                </c:pt>
                <c:pt idx="333">
                  <c:v>43009</c:v>
                </c:pt>
                <c:pt idx="334">
                  <c:v>43040</c:v>
                </c:pt>
                <c:pt idx="335">
                  <c:v>43070</c:v>
                </c:pt>
                <c:pt idx="336">
                  <c:v>43101</c:v>
                </c:pt>
                <c:pt idx="337">
                  <c:v>43132</c:v>
                </c:pt>
                <c:pt idx="338">
                  <c:v>43160</c:v>
                </c:pt>
                <c:pt idx="339">
                  <c:v>43191</c:v>
                </c:pt>
                <c:pt idx="340">
                  <c:v>43221</c:v>
                </c:pt>
                <c:pt idx="341">
                  <c:v>43252</c:v>
                </c:pt>
                <c:pt idx="342">
                  <c:v>43282</c:v>
                </c:pt>
                <c:pt idx="343">
                  <c:v>43313</c:v>
                </c:pt>
                <c:pt idx="344">
                  <c:v>43344</c:v>
                </c:pt>
                <c:pt idx="345">
                  <c:v>43374</c:v>
                </c:pt>
                <c:pt idx="346">
                  <c:v>43405</c:v>
                </c:pt>
                <c:pt idx="347">
                  <c:v>43435</c:v>
                </c:pt>
                <c:pt idx="348">
                  <c:v>43466</c:v>
                </c:pt>
                <c:pt idx="349">
                  <c:v>43497</c:v>
                </c:pt>
                <c:pt idx="350">
                  <c:v>43525</c:v>
                </c:pt>
                <c:pt idx="351">
                  <c:v>43556</c:v>
                </c:pt>
                <c:pt idx="352">
                  <c:v>43586</c:v>
                </c:pt>
                <c:pt idx="353">
                  <c:v>43617</c:v>
                </c:pt>
                <c:pt idx="354">
                  <c:v>43647</c:v>
                </c:pt>
                <c:pt idx="355">
                  <c:v>43678</c:v>
                </c:pt>
                <c:pt idx="356">
                  <c:v>43709</c:v>
                </c:pt>
                <c:pt idx="357">
                  <c:v>43739</c:v>
                </c:pt>
                <c:pt idx="358">
                  <c:v>43745</c:v>
                </c:pt>
              </c:numCache>
            </c:numRef>
          </c:cat>
          <c:val>
            <c:numRef>
              <c:f>VIX!$B$2:$B$360</c:f>
              <c:numCache>
                <c:formatCode>General</c:formatCode>
                <c:ptCount val="359"/>
                <c:pt idx="0">
                  <c:v>17.239999999999998</c:v>
                </c:pt>
                <c:pt idx="1">
                  <c:v>24.870000999999998</c:v>
                </c:pt>
                <c:pt idx="2">
                  <c:v>21.9</c:v>
                </c:pt>
                <c:pt idx="3">
                  <c:v>22.84</c:v>
                </c:pt>
                <c:pt idx="4">
                  <c:v>18.43</c:v>
                </c:pt>
                <c:pt idx="5">
                  <c:v>17.09</c:v>
                </c:pt>
                <c:pt idx="6">
                  <c:v>16.260000000000002</c:v>
                </c:pt>
                <c:pt idx="7">
                  <c:v>21.639999</c:v>
                </c:pt>
                <c:pt idx="8">
                  <c:v>29.58</c:v>
                </c:pt>
                <c:pt idx="9">
                  <c:v>28.059999000000001</c:v>
                </c:pt>
                <c:pt idx="10">
                  <c:v>30.25</c:v>
                </c:pt>
                <c:pt idx="11">
                  <c:v>22.290001</c:v>
                </c:pt>
                <c:pt idx="12">
                  <c:v>26.620000999999998</c:v>
                </c:pt>
                <c:pt idx="13">
                  <c:v>21.040001</c:v>
                </c:pt>
                <c:pt idx="14">
                  <c:v>21.23</c:v>
                </c:pt>
                <c:pt idx="15">
                  <c:v>17.420000000000002</c:v>
                </c:pt>
                <c:pt idx="16">
                  <c:v>17.77</c:v>
                </c:pt>
                <c:pt idx="17">
                  <c:v>16.870000999999998</c:v>
                </c:pt>
                <c:pt idx="18">
                  <c:v>18.639999</c:v>
                </c:pt>
                <c:pt idx="19">
                  <c:v>15.47</c:v>
                </c:pt>
                <c:pt idx="20">
                  <c:v>16.57</c:v>
                </c:pt>
                <c:pt idx="21">
                  <c:v>14.81</c:v>
                </c:pt>
                <c:pt idx="22">
                  <c:v>15.6</c:v>
                </c:pt>
                <c:pt idx="23">
                  <c:v>20.18</c:v>
                </c:pt>
                <c:pt idx="24">
                  <c:v>19.690000999999999</c:v>
                </c:pt>
                <c:pt idx="25">
                  <c:v>17.079999999999998</c:v>
                </c:pt>
                <c:pt idx="26">
                  <c:v>17.440000999999999</c:v>
                </c:pt>
                <c:pt idx="27">
                  <c:v>16.93</c:v>
                </c:pt>
                <c:pt idx="28">
                  <c:v>14.87</c:v>
                </c:pt>
                <c:pt idx="29">
                  <c:v>14.47</c:v>
                </c:pt>
                <c:pt idx="30">
                  <c:v>13.43</c:v>
                </c:pt>
                <c:pt idx="31">
                  <c:v>14.05</c:v>
                </c:pt>
                <c:pt idx="32">
                  <c:v>11.87</c:v>
                </c:pt>
                <c:pt idx="33">
                  <c:v>15.44</c:v>
                </c:pt>
                <c:pt idx="34">
                  <c:v>17.02</c:v>
                </c:pt>
                <c:pt idx="35">
                  <c:v>12.94</c:v>
                </c:pt>
                <c:pt idx="36">
                  <c:v>12.96</c:v>
                </c:pt>
                <c:pt idx="37">
                  <c:v>12.51</c:v>
                </c:pt>
                <c:pt idx="38">
                  <c:v>13.13</c:v>
                </c:pt>
                <c:pt idx="39">
                  <c:v>13.04</c:v>
                </c:pt>
                <c:pt idx="40">
                  <c:v>13.25</c:v>
                </c:pt>
                <c:pt idx="41">
                  <c:v>13.64</c:v>
                </c:pt>
                <c:pt idx="42">
                  <c:v>10.49</c:v>
                </c:pt>
                <c:pt idx="43">
                  <c:v>11.81</c:v>
                </c:pt>
                <c:pt idx="44">
                  <c:v>11.3</c:v>
                </c:pt>
                <c:pt idx="45">
                  <c:v>12.56</c:v>
                </c:pt>
                <c:pt idx="46">
                  <c:v>12.02</c:v>
                </c:pt>
                <c:pt idx="47">
                  <c:v>12.93</c:v>
                </c:pt>
                <c:pt idx="48">
                  <c:v>11.28</c:v>
                </c:pt>
                <c:pt idx="49">
                  <c:v>10.81</c:v>
                </c:pt>
                <c:pt idx="50">
                  <c:v>12.58</c:v>
                </c:pt>
                <c:pt idx="51">
                  <c:v>23.610001</c:v>
                </c:pt>
                <c:pt idx="52">
                  <c:v>14.42</c:v>
                </c:pt>
                <c:pt idx="53">
                  <c:v>13.16</c:v>
                </c:pt>
                <c:pt idx="54">
                  <c:v>14.89</c:v>
                </c:pt>
                <c:pt idx="55">
                  <c:v>11.71</c:v>
                </c:pt>
                <c:pt idx="56">
                  <c:v>12.17</c:v>
                </c:pt>
                <c:pt idx="57">
                  <c:v>15.69</c:v>
                </c:pt>
                <c:pt idx="58">
                  <c:v>14.61</c:v>
                </c:pt>
                <c:pt idx="59">
                  <c:v>15.49</c:v>
                </c:pt>
                <c:pt idx="60">
                  <c:v>14.09</c:v>
                </c:pt>
                <c:pt idx="61">
                  <c:v>11.74</c:v>
                </c:pt>
                <c:pt idx="62">
                  <c:v>11.49</c:v>
                </c:pt>
                <c:pt idx="63">
                  <c:v>12.52</c:v>
                </c:pt>
                <c:pt idx="64">
                  <c:v>11.21</c:v>
                </c:pt>
                <c:pt idx="65">
                  <c:v>12.16</c:v>
                </c:pt>
                <c:pt idx="66">
                  <c:v>11.36</c:v>
                </c:pt>
                <c:pt idx="67">
                  <c:v>13.44</c:v>
                </c:pt>
                <c:pt idx="68">
                  <c:v>11.15</c:v>
                </c:pt>
                <c:pt idx="69">
                  <c:v>12.4</c:v>
                </c:pt>
                <c:pt idx="70">
                  <c:v>13.98</c:v>
                </c:pt>
                <c:pt idx="71">
                  <c:v>11.12</c:v>
                </c:pt>
                <c:pt idx="72">
                  <c:v>13.39</c:v>
                </c:pt>
                <c:pt idx="73">
                  <c:v>11.44</c:v>
                </c:pt>
                <c:pt idx="74">
                  <c:v>17.129999000000002</c:v>
                </c:pt>
                <c:pt idx="75">
                  <c:v>18.420000000000002</c:v>
                </c:pt>
                <c:pt idx="76">
                  <c:v>15.89</c:v>
                </c:pt>
                <c:pt idx="77">
                  <c:v>16.799999</c:v>
                </c:pt>
                <c:pt idx="78">
                  <c:v>13.83</c:v>
                </c:pt>
                <c:pt idx="79">
                  <c:v>19.389999</c:v>
                </c:pt>
                <c:pt idx="80">
                  <c:v>19.780000999999999</c:v>
                </c:pt>
                <c:pt idx="81">
                  <c:v>16.899999999999999</c:v>
                </c:pt>
                <c:pt idx="82">
                  <c:v>17.290001</c:v>
                </c:pt>
                <c:pt idx="83">
                  <c:v>18.66</c:v>
                </c:pt>
                <c:pt idx="84">
                  <c:v>21.540001</c:v>
                </c:pt>
                <c:pt idx="85">
                  <c:v>19.889999</c:v>
                </c:pt>
                <c:pt idx="86">
                  <c:v>21.889999</c:v>
                </c:pt>
                <c:pt idx="87">
                  <c:v>22.85</c:v>
                </c:pt>
                <c:pt idx="88">
                  <c:v>20.18</c:v>
                </c:pt>
                <c:pt idx="89">
                  <c:v>21.08</c:v>
                </c:pt>
                <c:pt idx="90">
                  <c:v>21.540001</c:v>
                </c:pt>
                <c:pt idx="91">
                  <c:v>21.290001</c:v>
                </c:pt>
                <c:pt idx="92">
                  <c:v>25.85</c:v>
                </c:pt>
                <c:pt idx="93">
                  <c:v>22.950001</c:v>
                </c:pt>
                <c:pt idx="94">
                  <c:v>32.18</c:v>
                </c:pt>
                <c:pt idx="95">
                  <c:v>27.860001</c:v>
                </c:pt>
                <c:pt idx="96">
                  <c:v>24.34</c:v>
                </c:pt>
                <c:pt idx="97">
                  <c:v>21.32</c:v>
                </c:pt>
                <c:pt idx="98">
                  <c:v>18.969999000000001</c:v>
                </c:pt>
                <c:pt idx="99">
                  <c:v>24.85</c:v>
                </c:pt>
                <c:pt idx="100">
                  <c:v>20.719999000000001</c:v>
                </c:pt>
                <c:pt idx="101">
                  <c:v>22.709999</c:v>
                </c:pt>
                <c:pt idx="102">
                  <c:v>18.989999999999998</c:v>
                </c:pt>
                <c:pt idx="103">
                  <c:v>26.15</c:v>
                </c:pt>
                <c:pt idx="104">
                  <c:v>41.740001999999997</c:v>
                </c:pt>
                <c:pt idx="105">
                  <c:v>41.900002000000001</c:v>
                </c:pt>
                <c:pt idx="106">
                  <c:v>28.309999000000001</c:v>
                </c:pt>
                <c:pt idx="107">
                  <c:v>27.379999000000002</c:v>
                </c:pt>
                <c:pt idx="108">
                  <c:v>25.379999000000002</c:v>
                </c:pt>
                <c:pt idx="109">
                  <c:v>27.209999</c:v>
                </c:pt>
                <c:pt idx="110">
                  <c:v>29.34</c:v>
                </c:pt>
                <c:pt idx="111">
                  <c:v>22.870000999999998</c:v>
                </c:pt>
                <c:pt idx="112">
                  <c:v>24.41</c:v>
                </c:pt>
                <c:pt idx="113">
                  <c:v>27.120000999999998</c:v>
                </c:pt>
                <c:pt idx="114">
                  <c:v>20.57</c:v>
                </c:pt>
                <c:pt idx="115">
                  <c:v>25.75</c:v>
                </c:pt>
                <c:pt idx="116">
                  <c:v>23.860001</c:v>
                </c:pt>
                <c:pt idx="117">
                  <c:v>25.58</c:v>
                </c:pt>
                <c:pt idx="118">
                  <c:v>22.700001</c:v>
                </c:pt>
                <c:pt idx="119">
                  <c:v>23.41</c:v>
                </c:pt>
                <c:pt idx="120">
                  <c:v>24.360001</c:v>
                </c:pt>
                <c:pt idx="121">
                  <c:v>24.43</c:v>
                </c:pt>
                <c:pt idx="122">
                  <c:v>22.65</c:v>
                </c:pt>
                <c:pt idx="123">
                  <c:v>24.99</c:v>
                </c:pt>
                <c:pt idx="124">
                  <c:v>26.07</c:v>
                </c:pt>
                <c:pt idx="125">
                  <c:v>23.200001</c:v>
                </c:pt>
                <c:pt idx="126">
                  <c:v>20.51</c:v>
                </c:pt>
                <c:pt idx="127">
                  <c:v>20.66</c:v>
                </c:pt>
                <c:pt idx="128">
                  <c:v>16.809999000000001</c:v>
                </c:pt>
                <c:pt idx="129">
                  <c:v>20.98</c:v>
                </c:pt>
                <c:pt idx="130">
                  <c:v>24.07</c:v>
                </c:pt>
                <c:pt idx="131">
                  <c:v>28.309999000000001</c:v>
                </c:pt>
                <c:pt idx="132">
                  <c:v>27.93</c:v>
                </c:pt>
                <c:pt idx="133">
                  <c:v>22.389999</c:v>
                </c:pt>
                <c:pt idx="134">
                  <c:v>29.66</c:v>
                </c:pt>
                <c:pt idx="135">
                  <c:v>29.4</c:v>
                </c:pt>
                <c:pt idx="136">
                  <c:v>25.459999</c:v>
                </c:pt>
                <c:pt idx="137">
                  <c:v>23.02</c:v>
                </c:pt>
                <c:pt idx="138">
                  <c:v>19.75</c:v>
                </c:pt>
                <c:pt idx="139">
                  <c:v>20.969999000000001</c:v>
                </c:pt>
                <c:pt idx="140">
                  <c:v>26.110001</c:v>
                </c:pt>
                <c:pt idx="141">
                  <c:v>33.419998</c:v>
                </c:pt>
                <c:pt idx="142">
                  <c:v>33.970001000000003</c:v>
                </c:pt>
                <c:pt idx="143">
                  <c:v>25.92</c:v>
                </c:pt>
                <c:pt idx="144">
                  <c:v>23.780000999999999</c:v>
                </c:pt>
                <c:pt idx="145">
                  <c:v>21.120000999999998</c:v>
                </c:pt>
                <c:pt idx="146">
                  <c:v>21.059999000000001</c:v>
                </c:pt>
                <c:pt idx="147">
                  <c:v>18.989999999999998</c:v>
                </c:pt>
                <c:pt idx="148">
                  <c:v>21.440000999999999</c:v>
                </c:pt>
                <c:pt idx="149">
                  <c:v>20.98</c:v>
                </c:pt>
                <c:pt idx="150">
                  <c:v>25.709999</c:v>
                </c:pt>
                <c:pt idx="151">
                  <c:v>32.770000000000003</c:v>
                </c:pt>
                <c:pt idx="152">
                  <c:v>37.119999</c:v>
                </c:pt>
                <c:pt idx="153">
                  <c:v>37.25</c:v>
                </c:pt>
                <c:pt idx="154">
                  <c:v>31.57</c:v>
                </c:pt>
                <c:pt idx="155">
                  <c:v>28.35</c:v>
                </c:pt>
                <c:pt idx="156">
                  <c:v>28.74</c:v>
                </c:pt>
                <c:pt idx="157">
                  <c:v>32.450001</c:v>
                </c:pt>
                <c:pt idx="158">
                  <c:v>29.780000999999999</c:v>
                </c:pt>
                <c:pt idx="159">
                  <c:v>29.58</c:v>
                </c:pt>
                <c:pt idx="160">
                  <c:v>21.35</c:v>
                </c:pt>
                <c:pt idx="161">
                  <c:v>20.350000000000001</c:v>
                </c:pt>
                <c:pt idx="162">
                  <c:v>20.49</c:v>
                </c:pt>
                <c:pt idx="163">
                  <c:v>20.059999000000001</c:v>
                </c:pt>
                <c:pt idx="164">
                  <c:v>19.309999000000001</c:v>
                </c:pt>
                <c:pt idx="165">
                  <c:v>22.809999000000001</c:v>
                </c:pt>
                <c:pt idx="166">
                  <c:v>16.329999999999998</c:v>
                </c:pt>
                <c:pt idx="167">
                  <c:v>16.739999999999998</c:v>
                </c:pt>
                <c:pt idx="168">
                  <c:v>17.959999</c:v>
                </c:pt>
                <c:pt idx="169">
                  <c:v>17.450001</c:v>
                </c:pt>
                <c:pt idx="170">
                  <c:v>14.91</c:v>
                </c:pt>
                <c:pt idx="171">
                  <c:v>16.760000000000002</c:v>
                </c:pt>
                <c:pt idx="172">
                  <c:v>17.690000999999999</c:v>
                </c:pt>
                <c:pt idx="173">
                  <c:v>16.600000000000001</c:v>
                </c:pt>
                <c:pt idx="174">
                  <c:v>14.74</c:v>
                </c:pt>
                <c:pt idx="175">
                  <c:v>16.420000000000002</c:v>
                </c:pt>
                <c:pt idx="176">
                  <c:v>15.39</c:v>
                </c:pt>
                <c:pt idx="177">
                  <c:v>13.11</c:v>
                </c:pt>
                <c:pt idx="178">
                  <c:v>16.43</c:v>
                </c:pt>
                <c:pt idx="179">
                  <c:v>13.1</c:v>
                </c:pt>
                <c:pt idx="180">
                  <c:v>13.39</c:v>
                </c:pt>
                <c:pt idx="181">
                  <c:v>12.8</c:v>
                </c:pt>
                <c:pt idx="182">
                  <c:v>11.95</c:v>
                </c:pt>
                <c:pt idx="183">
                  <c:v>13.64</c:v>
                </c:pt>
                <c:pt idx="184">
                  <c:v>15.45</c:v>
                </c:pt>
                <c:pt idx="185">
                  <c:v>13.34</c:v>
                </c:pt>
                <c:pt idx="186">
                  <c:v>11.75</c:v>
                </c:pt>
                <c:pt idx="187">
                  <c:v>11.75</c:v>
                </c:pt>
                <c:pt idx="188">
                  <c:v>12.86</c:v>
                </c:pt>
                <c:pt idx="189">
                  <c:v>12.37</c:v>
                </c:pt>
                <c:pt idx="190">
                  <c:v>14.85</c:v>
                </c:pt>
                <c:pt idx="191">
                  <c:v>12.09</c:v>
                </c:pt>
                <c:pt idx="192">
                  <c:v>12.25</c:v>
                </c:pt>
                <c:pt idx="193">
                  <c:v>13.03</c:v>
                </c:pt>
                <c:pt idx="194">
                  <c:v>12.05</c:v>
                </c:pt>
                <c:pt idx="195">
                  <c:v>11.47</c:v>
                </c:pt>
                <c:pt idx="196">
                  <c:v>11.83</c:v>
                </c:pt>
                <c:pt idx="197">
                  <c:v>16.469999000000001</c:v>
                </c:pt>
                <c:pt idx="198">
                  <c:v>13.29</c:v>
                </c:pt>
                <c:pt idx="199">
                  <c:v>15.49</c:v>
                </c:pt>
                <c:pt idx="200">
                  <c:v>12.14</c:v>
                </c:pt>
                <c:pt idx="201">
                  <c:v>12.45</c:v>
                </c:pt>
                <c:pt idx="202">
                  <c:v>10.93</c:v>
                </c:pt>
                <c:pt idx="203">
                  <c:v>11.07</c:v>
                </c:pt>
                <c:pt idx="204">
                  <c:v>12.16</c:v>
                </c:pt>
                <c:pt idx="205">
                  <c:v>10.32</c:v>
                </c:pt>
                <c:pt idx="206">
                  <c:v>17.760000000000002</c:v>
                </c:pt>
                <c:pt idx="207">
                  <c:v>14.91</c:v>
                </c:pt>
                <c:pt idx="208">
                  <c:v>14.1</c:v>
                </c:pt>
                <c:pt idx="209">
                  <c:v>12.77</c:v>
                </c:pt>
                <c:pt idx="210">
                  <c:v>16.48</c:v>
                </c:pt>
                <c:pt idx="211">
                  <c:v>23.709999</c:v>
                </c:pt>
                <c:pt idx="212">
                  <c:v>21.93</c:v>
                </c:pt>
                <c:pt idx="213">
                  <c:v>18.440000999999999</c:v>
                </c:pt>
                <c:pt idx="214">
                  <c:v>19.889999</c:v>
                </c:pt>
                <c:pt idx="215">
                  <c:v>23.59</c:v>
                </c:pt>
                <c:pt idx="216">
                  <c:v>22.58</c:v>
                </c:pt>
                <c:pt idx="217">
                  <c:v>25.66</c:v>
                </c:pt>
                <c:pt idx="218">
                  <c:v>27.540001</c:v>
                </c:pt>
                <c:pt idx="219">
                  <c:v>25.610001</c:v>
                </c:pt>
                <c:pt idx="220">
                  <c:v>20.780000999999999</c:v>
                </c:pt>
                <c:pt idx="221">
                  <c:v>17.829999999999998</c:v>
                </c:pt>
                <c:pt idx="222">
                  <c:v>25.139999</c:v>
                </c:pt>
                <c:pt idx="223">
                  <c:v>22.66</c:v>
                </c:pt>
                <c:pt idx="224">
                  <c:v>20.65</c:v>
                </c:pt>
                <c:pt idx="225">
                  <c:v>39.389999000000003</c:v>
                </c:pt>
                <c:pt idx="226">
                  <c:v>60.169998</c:v>
                </c:pt>
                <c:pt idx="227">
                  <c:v>60.470001000000003</c:v>
                </c:pt>
                <c:pt idx="228">
                  <c:v>39.580002</c:v>
                </c:pt>
                <c:pt idx="229">
                  <c:v>49.419998</c:v>
                </c:pt>
                <c:pt idx="230">
                  <c:v>49.959999000000003</c:v>
                </c:pt>
                <c:pt idx="231">
                  <c:v>45.419998</c:v>
                </c:pt>
                <c:pt idx="232">
                  <c:v>36.5</c:v>
                </c:pt>
                <c:pt idx="233">
                  <c:v>28.700001</c:v>
                </c:pt>
                <c:pt idx="234">
                  <c:v>25.73</c:v>
                </c:pt>
                <c:pt idx="235">
                  <c:v>25.92</c:v>
                </c:pt>
                <c:pt idx="236">
                  <c:v>26.01</c:v>
                </c:pt>
                <c:pt idx="237">
                  <c:v>25.98</c:v>
                </c:pt>
                <c:pt idx="238">
                  <c:v>30.700001</c:v>
                </c:pt>
                <c:pt idx="239">
                  <c:v>24.51</c:v>
                </c:pt>
                <c:pt idx="240">
                  <c:v>21.68</c:v>
                </c:pt>
                <c:pt idx="241">
                  <c:v>24.33</c:v>
                </c:pt>
                <c:pt idx="242">
                  <c:v>19.93</c:v>
                </c:pt>
                <c:pt idx="243">
                  <c:v>17.010000000000002</c:v>
                </c:pt>
                <c:pt idx="244">
                  <c:v>22.41</c:v>
                </c:pt>
                <c:pt idx="245">
                  <c:v>34.869999</c:v>
                </c:pt>
                <c:pt idx="246">
                  <c:v>34.409999999999997</c:v>
                </c:pt>
                <c:pt idx="247">
                  <c:v>23.07</c:v>
                </c:pt>
                <c:pt idx="248">
                  <c:v>25.129999000000002</c:v>
                </c:pt>
                <c:pt idx="249">
                  <c:v>22.9</c:v>
                </c:pt>
                <c:pt idx="250">
                  <c:v>21.65</c:v>
                </c:pt>
                <c:pt idx="251">
                  <c:v>21.190000999999999</c:v>
                </c:pt>
                <c:pt idx="252">
                  <c:v>17.940000999999999</c:v>
                </c:pt>
                <c:pt idx="253">
                  <c:v>18.59</c:v>
                </c:pt>
                <c:pt idx="254">
                  <c:v>17.629999000000002</c:v>
                </c:pt>
                <c:pt idx="255">
                  <c:v>16.68</c:v>
                </c:pt>
                <c:pt idx="256">
                  <c:v>15.07</c:v>
                </c:pt>
                <c:pt idx="257">
                  <c:v>15.95</c:v>
                </c:pt>
                <c:pt idx="258">
                  <c:v>16.059999000000001</c:v>
                </c:pt>
                <c:pt idx="259">
                  <c:v>22.629999000000002</c:v>
                </c:pt>
                <c:pt idx="260">
                  <c:v>31.91</c:v>
                </c:pt>
                <c:pt idx="261">
                  <c:v>44.25</c:v>
                </c:pt>
                <c:pt idx="262">
                  <c:v>36.029998999999997</c:v>
                </c:pt>
                <c:pt idx="263">
                  <c:v>27.629999000000002</c:v>
                </c:pt>
                <c:pt idx="264">
                  <c:v>22.950001</c:v>
                </c:pt>
                <c:pt idx="265">
                  <c:v>18.68</c:v>
                </c:pt>
                <c:pt idx="266">
                  <c:v>18.02</c:v>
                </c:pt>
                <c:pt idx="267">
                  <c:v>16.350000000000001</c:v>
                </c:pt>
                <c:pt idx="268">
                  <c:v>17.27</c:v>
                </c:pt>
                <c:pt idx="269">
                  <c:v>25.870000999999998</c:v>
                </c:pt>
                <c:pt idx="270">
                  <c:v>17.620000999999998</c:v>
                </c:pt>
                <c:pt idx="271">
                  <c:v>18.799999</c:v>
                </c:pt>
                <c:pt idx="272">
                  <c:v>18.649999999999999</c:v>
                </c:pt>
                <c:pt idx="273">
                  <c:v>16.030000999999999</c:v>
                </c:pt>
                <c:pt idx="274">
                  <c:v>17.77</c:v>
                </c:pt>
                <c:pt idx="275">
                  <c:v>15.81</c:v>
                </c:pt>
                <c:pt idx="276">
                  <c:v>15.24</c:v>
                </c:pt>
                <c:pt idx="277">
                  <c:v>13.37</c:v>
                </c:pt>
                <c:pt idx="278">
                  <c:v>16.100000000000001</c:v>
                </c:pt>
                <c:pt idx="279">
                  <c:v>13.46</c:v>
                </c:pt>
                <c:pt idx="280">
                  <c:v>13.88</c:v>
                </c:pt>
                <c:pt idx="281">
                  <c:v>16.399999999999999</c:v>
                </c:pt>
                <c:pt idx="282">
                  <c:v>16.899999999999999</c:v>
                </c:pt>
                <c:pt idx="283">
                  <c:v>12.89</c:v>
                </c:pt>
                <c:pt idx="284">
                  <c:v>16.469999000000001</c:v>
                </c:pt>
                <c:pt idx="285">
                  <c:v>16.309999000000001</c:v>
                </c:pt>
                <c:pt idx="286">
                  <c:v>13.46</c:v>
                </c:pt>
                <c:pt idx="287">
                  <c:v>13.91</c:v>
                </c:pt>
                <c:pt idx="288">
                  <c:v>14.32</c:v>
                </c:pt>
                <c:pt idx="289">
                  <c:v>18.57</c:v>
                </c:pt>
                <c:pt idx="290">
                  <c:v>16.469999000000001</c:v>
                </c:pt>
                <c:pt idx="291">
                  <c:v>13.43</c:v>
                </c:pt>
                <c:pt idx="292">
                  <c:v>13.64</c:v>
                </c:pt>
                <c:pt idx="293">
                  <c:v>11.69</c:v>
                </c:pt>
                <c:pt idx="294">
                  <c:v>11.28</c:v>
                </c:pt>
                <c:pt idx="295">
                  <c:v>16.670000000000002</c:v>
                </c:pt>
                <c:pt idx="296">
                  <c:v>12.32</c:v>
                </c:pt>
                <c:pt idx="297">
                  <c:v>16.440000999999999</c:v>
                </c:pt>
                <c:pt idx="298">
                  <c:v>14.41</c:v>
                </c:pt>
                <c:pt idx="299">
                  <c:v>14.16</c:v>
                </c:pt>
                <c:pt idx="300">
                  <c:v>17.760000000000002</c:v>
                </c:pt>
                <c:pt idx="301">
                  <c:v>20.889999</c:v>
                </c:pt>
                <c:pt idx="302">
                  <c:v>13.9</c:v>
                </c:pt>
                <c:pt idx="303">
                  <c:v>15.32</c:v>
                </c:pt>
                <c:pt idx="304">
                  <c:v>13.98</c:v>
                </c:pt>
                <c:pt idx="305">
                  <c:v>13.92</c:v>
                </c:pt>
                <c:pt idx="306">
                  <c:v>16.629999000000002</c:v>
                </c:pt>
                <c:pt idx="307">
                  <c:v>12.85</c:v>
                </c:pt>
                <c:pt idx="308">
                  <c:v>31.91</c:v>
                </c:pt>
                <c:pt idx="309">
                  <c:v>23.139999</c:v>
                </c:pt>
                <c:pt idx="310">
                  <c:v>15.41</c:v>
                </c:pt>
                <c:pt idx="311">
                  <c:v>15.61</c:v>
                </c:pt>
                <c:pt idx="312">
                  <c:v>22.48</c:v>
                </c:pt>
                <c:pt idx="313">
                  <c:v>21.32</c:v>
                </c:pt>
                <c:pt idx="314">
                  <c:v>19.84</c:v>
                </c:pt>
                <c:pt idx="315">
                  <c:v>15.23</c:v>
                </c:pt>
                <c:pt idx="316">
                  <c:v>16.329999999999998</c:v>
                </c:pt>
                <c:pt idx="317">
                  <c:v>14.45</c:v>
                </c:pt>
                <c:pt idx="318">
                  <c:v>15.59</c:v>
                </c:pt>
                <c:pt idx="319">
                  <c:v>11.89</c:v>
                </c:pt>
                <c:pt idx="320">
                  <c:v>13.07</c:v>
                </c:pt>
                <c:pt idx="321">
                  <c:v>13.75</c:v>
                </c:pt>
                <c:pt idx="322">
                  <c:v>16.540001</c:v>
                </c:pt>
                <c:pt idx="323">
                  <c:v>13.4</c:v>
                </c:pt>
                <c:pt idx="324">
                  <c:v>14.07</c:v>
                </c:pt>
                <c:pt idx="325">
                  <c:v>11.79</c:v>
                </c:pt>
                <c:pt idx="326">
                  <c:v>12.31</c:v>
                </c:pt>
                <c:pt idx="327">
                  <c:v>12.59</c:v>
                </c:pt>
                <c:pt idx="328">
                  <c:v>10.92</c:v>
                </c:pt>
                <c:pt idx="329">
                  <c:v>10.42</c:v>
                </c:pt>
                <c:pt idx="330">
                  <c:v>11.07</c:v>
                </c:pt>
                <c:pt idx="331">
                  <c:v>10.19</c:v>
                </c:pt>
                <c:pt idx="332">
                  <c:v>10.33</c:v>
                </c:pt>
                <c:pt idx="333">
                  <c:v>9.59</c:v>
                </c:pt>
                <c:pt idx="334">
                  <c:v>9.7899999999999991</c:v>
                </c:pt>
                <c:pt idx="335">
                  <c:v>11.19</c:v>
                </c:pt>
                <c:pt idx="336">
                  <c:v>10.95</c:v>
                </c:pt>
                <c:pt idx="337">
                  <c:v>13.05</c:v>
                </c:pt>
                <c:pt idx="338">
                  <c:v>19.959999</c:v>
                </c:pt>
                <c:pt idx="339">
                  <c:v>21.07</c:v>
                </c:pt>
                <c:pt idx="340">
                  <c:v>16</c:v>
                </c:pt>
                <c:pt idx="341">
                  <c:v>14.92</c:v>
                </c:pt>
                <c:pt idx="342">
                  <c:v>17.700001</c:v>
                </c:pt>
                <c:pt idx="343">
                  <c:v>13.09</c:v>
                </c:pt>
                <c:pt idx="344">
                  <c:v>13.13</c:v>
                </c:pt>
                <c:pt idx="345">
                  <c:v>11.99</c:v>
                </c:pt>
                <c:pt idx="346">
                  <c:v>20.959999</c:v>
                </c:pt>
                <c:pt idx="347">
                  <c:v>16.040001</c:v>
                </c:pt>
                <c:pt idx="348">
                  <c:v>27.540001</c:v>
                </c:pt>
                <c:pt idx="349">
                  <c:v>16.629999000000002</c:v>
                </c:pt>
                <c:pt idx="350">
                  <c:v>14.57</c:v>
                </c:pt>
                <c:pt idx="351">
                  <c:v>13.9</c:v>
                </c:pt>
                <c:pt idx="352">
                  <c:v>12.86</c:v>
                </c:pt>
                <c:pt idx="353">
                  <c:v>19.41</c:v>
                </c:pt>
                <c:pt idx="354">
                  <c:v>13.85</c:v>
                </c:pt>
                <c:pt idx="355">
                  <c:v>15.41</c:v>
                </c:pt>
                <c:pt idx="356">
                  <c:v>20.959999</c:v>
                </c:pt>
                <c:pt idx="357">
                  <c:v>16.02</c:v>
                </c:pt>
                <c:pt idx="358">
                  <c:v>18.27</c:v>
                </c:pt>
              </c:numCache>
            </c:numRef>
          </c:val>
          <c:smooth val="0"/>
          <c:extLst xmlns:c16r2="http://schemas.microsoft.com/office/drawing/2015/06/chart">
            <c:ext xmlns:c16="http://schemas.microsoft.com/office/drawing/2014/chart" uri="{C3380CC4-5D6E-409C-BE32-E72D297353CC}">
              <c16:uniqueId val="{00000000-4E3E-4C55-A927-B7CF3F5D0C55}"/>
            </c:ext>
          </c:extLst>
        </c:ser>
        <c:dLbls>
          <c:showLegendKey val="0"/>
          <c:showVal val="0"/>
          <c:showCatName val="0"/>
          <c:showSerName val="0"/>
          <c:showPercent val="0"/>
          <c:showBubbleSize val="0"/>
        </c:dLbls>
        <c:smooth val="0"/>
        <c:axId val="290568424"/>
        <c:axId val="290568816"/>
      </c:lineChart>
      <c:dateAx>
        <c:axId val="290568424"/>
        <c:scaling>
          <c:orientation val="minMax"/>
          <c:max val="43739"/>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800" b="0" i="0" u="none" strike="noStrike" kern="1200" baseline="0">
                <a:solidFill>
                  <a:schemeClr val="tx1"/>
                </a:solidFill>
                <a:latin typeface="Verdana" panose="020B0604030504040204" pitchFamily="34" charset="0"/>
                <a:ea typeface="Verdana" panose="020B0604030504040204" pitchFamily="34" charset="0"/>
                <a:cs typeface="+mn-cs"/>
              </a:defRPr>
            </a:pPr>
            <a:endParaRPr lang="sk-SK"/>
          </a:p>
        </c:txPr>
        <c:crossAx val="290568816"/>
        <c:crosses val="autoZero"/>
        <c:auto val="1"/>
        <c:lblOffset val="100"/>
        <c:baseTimeUnit val="days"/>
        <c:majorUnit val="4"/>
        <c:majorTimeUnit val="years"/>
      </c:dateAx>
      <c:valAx>
        <c:axId val="2905688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Verdana" panose="020B0604030504040204" pitchFamily="34" charset="0"/>
                <a:ea typeface="Verdana" panose="020B0604030504040204" pitchFamily="34" charset="0"/>
                <a:cs typeface="+mn-cs"/>
              </a:defRPr>
            </a:pPr>
            <a:endParaRPr lang="sk-SK"/>
          </a:p>
        </c:txPr>
        <c:crossAx val="2905684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Verdana" panose="020B0604030504040204" pitchFamily="34" charset="0"/>
          <a:ea typeface="Verdana" panose="020B0604030504040204" pitchFamily="34" charset="0"/>
        </a:defRPr>
      </a:pPr>
      <a:endParaRPr lang="sk-SK"/>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909977725003385E-2"/>
          <c:y val="5.0925925925925923E-2"/>
          <c:w val="0.89686264216972877"/>
          <c:h val="0.83391149023038769"/>
        </c:manualLayout>
      </c:layout>
      <c:lineChart>
        <c:grouping val="standard"/>
        <c:varyColors val="0"/>
        <c:ser>
          <c:idx val="6"/>
          <c:order val="0"/>
          <c:tx>
            <c:strRef>
              <c:f>spreads!$AA$1</c:f>
              <c:strCache>
                <c:ptCount val="1"/>
                <c:pt idx="0">
                  <c:v>2y</c:v>
                </c:pt>
              </c:strCache>
            </c:strRef>
          </c:tx>
          <c:spPr>
            <a:ln w="19050" cap="rnd">
              <a:solidFill>
                <a:sysClr val="window" lastClr="FFFFFF">
                  <a:lumMod val="75000"/>
                </a:sysClr>
              </a:solidFill>
              <a:round/>
            </a:ln>
            <a:effectLst/>
          </c:spPr>
          <c:marker>
            <c:symbol val="none"/>
          </c:marker>
          <c:cat>
            <c:numRef>
              <c:f>spreads!$Z$2:$Z$130</c:f>
              <c:numCache>
                <c:formatCode>m/d/yyyy</c:formatCode>
                <c:ptCount val="129"/>
                <c:pt idx="0">
                  <c:v>39843</c:v>
                </c:pt>
                <c:pt idx="1">
                  <c:v>39871</c:v>
                </c:pt>
                <c:pt idx="2">
                  <c:v>39903</c:v>
                </c:pt>
                <c:pt idx="3">
                  <c:v>39933</c:v>
                </c:pt>
                <c:pt idx="4">
                  <c:v>39962</c:v>
                </c:pt>
                <c:pt idx="5">
                  <c:v>39994</c:v>
                </c:pt>
                <c:pt idx="6">
                  <c:v>40025</c:v>
                </c:pt>
                <c:pt idx="7">
                  <c:v>40056</c:v>
                </c:pt>
                <c:pt idx="8">
                  <c:v>40086</c:v>
                </c:pt>
                <c:pt idx="9">
                  <c:v>40116</c:v>
                </c:pt>
                <c:pt idx="10">
                  <c:v>40147</c:v>
                </c:pt>
                <c:pt idx="11">
                  <c:v>40178</c:v>
                </c:pt>
                <c:pt idx="12">
                  <c:v>39843</c:v>
                </c:pt>
                <c:pt idx="13">
                  <c:v>39871</c:v>
                </c:pt>
                <c:pt idx="14">
                  <c:v>40268</c:v>
                </c:pt>
                <c:pt idx="15">
                  <c:v>40298</c:v>
                </c:pt>
                <c:pt idx="16">
                  <c:v>40329</c:v>
                </c:pt>
                <c:pt idx="17">
                  <c:v>40359</c:v>
                </c:pt>
                <c:pt idx="18">
                  <c:v>40389</c:v>
                </c:pt>
                <c:pt idx="19">
                  <c:v>40421</c:v>
                </c:pt>
                <c:pt idx="20">
                  <c:v>40451</c:v>
                </c:pt>
                <c:pt idx="21">
                  <c:v>40480</c:v>
                </c:pt>
                <c:pt idx="22">
                  <c:v>40512</c:v>
                </c:pt>
                <c:pt idx="23">
                  <c:v>40543</c:v>
                </c:pt>
                <c:pt idx="24">
                  <c:v>40574</c:v>
                </c:pt>
                <c:pt idx="25">
                  <c:v>40602</c:v>
                </c:pt>
                <c:pt idx="26">
                  <c:v>40633</c:v>
                </c:pt>
                <c:pt idx="27">
                  <c:v>40662</c:v>
                </c:pt>
                <c:pt idx="28">
                  <c:v>40694</c:v>
                </c:pt>
                <c:pt idx="29">
                  <c:v>40724</c:v>
                </c:pt>
                <c:pt idx="30">
                  <c:v>40753</c:v>
                </c:pt>
                <c:pt idx="31">
                  <c:v>40786</c:v>
                </c:pt>
                <c:pt idx="32">
                  <c:v>40816</c:v>
                </c:pt>
                <c:pt idx="33">
                  <c:v>40847</c:v>
                </c:pt>
                <c:pt idx="34">
                  <c:v>40877</c:v>
                </c:pt>
                <c:pt idx="35">
                  <c:v>40907</c:v>
                </c:pt>
                <c:pt idx="36">
                  <c:v>40939</c:v>
                </c:pt>
                <c:pt idx="37">
                  <c:v>40968</c:v>
                </c:pt>
                <c:pt idx="38">
                  <c:v>40998</c:v>
                </c:pt>
                <c:pt idx="39">
                  <c:v>41029</c:v>
                </c:pt>
                <c:pt idx="40">
                  <c:v>41060</c:v>
                </c:pt>
                <c:pt idx="41">
                  <c:v>41089</c:v>
                </c:pt>
                <c:pt idx="42">
                  <c:v>41121</c:v>
                </c:pt>
                <c:pt idx="43">
                  <c:v>41152</c:v>
                </c:pt>
                <c:pt idx="44">
                  <c:v>41180</c:v>
                </c:pt>
                <c:pt idx="45">
                  <c:v>41213</c:v>
                </c:pt>
                <c:pt idx="46">
                  <c:v>41243</c:v>
                </c:pt>
                <c:pt idx="47">
                  <c:v>41274</c:v>
                </c:pt>
                <c:pt idx="48">
                  <c:v>41305</c:v>
                </c:pt>
                <c:pt idx="49">
                  <c:v>41333</c:v>
                </c:pt>
                <c:pt idx="50">
                  <c:v>41361</c:v>
                </c:pt>
                <c:pt idx="51">
                  <c:v>41394</c:v>
                </c:pt>
                <c:pt idx="52">
                  <c:v>41425</c:v>
                </c:pt>
                <c:pt idx="53">
                  <c:v>41453</c:v>
                </c:pt>
                <c:pt idx="54">
                  <c:v>41486</c:v>
                </c:pt>
                <c:pt idx="55">
                  <c:v>41516</c:v>
                </c:pt>
                <c:pt idx="56">
                  <c:v>41547</c:v>
                </c:pt>
                <c:pt idx="57">
                  <c:v>41578</c:v>
                </c:pt>
                <c:pt idx="58">
                  <c:v>41607</c:v>
                </c:pt>
                <c:pt idx="59">
                  <c:v>41639</c:v>
                </c:pt>
                <c:pt idx="60">
                  <c:v>41670</c:v>
                </c:pt>
                <c:pt idx="61">
                  <c:v>41698</c:v>
                </c:pt>
                <c:pt idx="62">
                  <c:v>41729</c:v>
                </c:pt>
                <c:pt idx="63">
                  <c:v>41759</c:v>
                </c:pt>
                <c:pt idx="64">
                  <c:v>41789</c:v>
                </c:pt>
                <c:pt idx="65">
                  <c:v>41820</c:v>
                </c:pt>
                <c:pt idx="66">
                  <c:v>41851</c:v>
                </c:pt>
                <c:pt idx="67">
                  <c:v>41879</c:v>
                </c:pt>
                <c:pt idx="68">
                  <c:v>41912</c:v>
                </c:pt>
                <c:pt idx="69">
                  <c:v>41943</c:v>
                </c:pt>
                <c:pt idx="70">
                  <c:v>41971</c:v>
                </c:pt>
                <c:pt idx="71">
                  <c:v>42003</c:v>
                </c:pt>
                <c:pt idx="72">
                  <c:v>42034</c:v>
                </c:pt>
                <c:pt idx="73">
                  <c:v>42062</c:v>
                </c:pt>
                <c:pt idx="74">
                  <c:v>42094</c:v>
                </c:pt>
                <c:pt idx="75">
                  <c:v>42124</c:v>
                </c:pt>
                <c:pt idx="76">
                  <c:v>42153</c:v>
                </c:pt>
                <c:pt idx="77">
                  <c:v>42185</c:v>
                </c:pt>
                <c:pt idx="78">
                  <c:v>42216</c:v>
                </c:pt>
                <c:pt idx="79">
                  <c:v>42247</c:v>
                </c:pt>
                <c:pt idx="80">
                  <c:v>42277</c:v>
                </c:pt>
                <c:pt idx="81">
                  <c:v>42307</c:v>
                </c:pt>
                <c:pt idx="82">
                  <c:v>42338</c:v>
                </c:pt>
                <c:pt idx="83">
                  <c:v>42368</c:v>
                </c:pt>
                <c:pt idx="84">
                  <c:v>42398</c:v>
                </c:pt>
                <c:pt idx="85">
                  <c:v>42429</c:v>
                </c:pt>
                <c:pt idx="86">
                  <c:v>42460</c:v>
                </c:pt>
                <c:pt idx="87">
                  <c:v>42489</c:v>
                </c:pt>
                <c:pt idx="88">
                  <c:v>42521</c:v>
                </c:pt>
                <c:pt idx="89">
                  <c:v>42551</c:v>
                </c:pt>
                <c:pt idx="90">
                  <c:v>42580</c:v>
                </c:pt>
                <c:pt idx="91">
                  <c:v>42613</c:v>
                </c:pt>
                <c:pt idx="92">
                  <c:v>42643</c:v>
                </c:pt>
                <c:pt idx="93">
                  <c:v>42674</c:v>
                </c:pt>
                <c:pt idx="94">
                  <c:v>42704</c:v>
                </c:pt>
                <c:pt idx="95">
                  <c:v>42734</c:v>
                </c:pt>
                <c:pt idx="96">
                  <c:v>42766</c:v>
                </c:pt>
                <c:pt idx="97">
                  <c:v>42794</c:v>
                </c:pt>
                <c:pt idx="98">
                  <c:v>42825</c:v>
                </c:pt>
                <c:pt idx="99">
                  <c:v>42853</c:v>
                </c:pt>
                <c:pt idx="100">
                  <c:v>42886</c:v>
                </c:pt>
                <c:pt idx="101">
                  <c:v>42916</c:v>
                </c:pt>
                <c:pt idx="102">
                  <c:v>42947</c:v>
                </c:pt>
                <c:pt idx="103">
                  <c:v>42978</c:v>
                </c:pt>
                <c:pt idx="104">
                  <c:v>43007</c:v>
                </c:pt>
                <c:pt idx="105">
                  <c:v>43039</c:v>
                </c:pt>
                <c:pt idx="106">
                  <c:v>43069</c:v>
                </c:pt>
                <c:pt idx="107">
                  <c:v>43098</c:v>
                </c:pt>
                <c:pt idx="108">
                  <c:v>43131</c:v>
                </c:pt>
                <c:pt idx="109">
                  <c:v>43159</c:v>
                </c:pt>
                <c:pt idx="110">
                  <c:v>43188</c:v>
                </c:pt>
                <c:pt idx="111">
                  <c:v>43220</c:v>
                </c:pt>
                <c:pt idx="112">
                  <c:v>43251</c:v>
                </c:pt>
                <c:pt idx="113">
                  <c:v>43280</c:v>
                </c:pt>
                <c:pt idx="114">
                  <c:v>43312</c:v>
                </c:pt>
                <c:pt idx="115">
                  <c:v>43343</c:v>
                </c:pt>
                <c:pt idx="116">
                  <c:v>43371</c:v>
                </c:pt>
                <c:pt idx="117">
                  <c:v>43404</c:v>
                </c:pt>
                <c:pt idx="118">
                  <c:v>43434</c:v>
                </c:pt>
                <c:pt idx="119">
                  <c:v>43462</c:v>
                </c:pt>
                <c:pt idx="120">
                  <c:v>43496</c:v>
                </c:pt>
                <c:pt idx="121">
                  <c:v>43524</c:v>
                </c:pt>
                <c:pt idx="122">
                  <c:v>43553</c:v>
                </c:pt>
                <c:pt idx="123">
                  <c:v>43585</c:v>
                </c:pt>
                <c:pt idx="124">
                  <c:v>43616</c:v>
                </c:pt>
                <c:pt idx="125">
                  <c:v>43644</c:v>
                </c:pt>
                <c:pt idx="126">
                  <c:v>43677</c:v>
                </c:pt>
                <c:pt idx="127">
                  <c:v>43707</c:v>
                </c:pt>
                <c:pt idx="128">
                  <c:v>43738</c:v>
                </c:pt>
              </c:numCache>
            </c:numRef>
          </c:cat>
          <c:val>
            <c:numRef>
              <c:f>spreads!$AA$2:$AA$130</c:f>
              <c:numCache>
                <c:formatCode>General</c:formatCode>
                <c:ptCount val="129"/>
                <c:pt idx="0">
                  <c:v>108.2743</c:v>
                </c:pt>
                <c:pt idx="1">
                  <c:v>102.3109</c:v>
                </c:pt>
                <c:pt idx="2">
                  <c:v>103.8438</c:v>
                </c:pt>
                <c:pt idx="3">
                  <c:v>100.34669999999998</c:v>
                </c:pt>
                <c:pt idx="4">
                  <c:v>104.13769999999998</c:v>
                </c:pt>
                <c:pt idx="5">
                  <c:v>123.86960000000002</c:v>
                </c:pt>
                <c:pt idx="6">
                  <c:v>137.65540000000001</c:v>
                </c:pt>
                <c:pt idx="7">
                  <c:v>100.06029999999998</c:v>
                </c:pt>
                <c:pt idx="8">
                  <c:v>91.282100000000014</c:v>
                </c:pt>
                <c:pt idx="9">
                  <c:v>70.090499999999992</c:v>
                </c:pt>
                <c:pt idx="10">
                  <c:v>78.250100000000018</c:v>
                </c:pt>
                <c:pt idx="11">
                  <c:v>83.117099999999994</c:v>
                </c:pt>
                <c:pt idx="12">
                  <c:v>108.2743</c:v>
                </c:pt>
                <c:pt idx="13">
                  <c:v>102.3109</c:v>
                </c:pt>
                <c:pt idx="14">
                  <c:v>80.779499999999999</c:v>
                </c:pt>
                <c:pt idx="15">
                  <c:v>76.851299999999995</c:v>
                </c:pt>
                <c:pt idx="16">
                  <c:v>116.3926</c:v>
                </c:pt>
                <c:pt idx="17">
                  <c:v>106.68660000000001</c:v>
                </c:pt>
                <c:pt idx="18">
                  <c:v>103.8154</c:v>
                </c:pt>
                <c:pt idx="19">
                  <c:v>109.61330000000001</c:v>
                </c:pt>
                <c:pt idx="20">
                  <c:v>104.06789999999999</c:v>
                </c:pt>
                <c:pt idx="21">
                  <c:v>98.770699999999991</c:v>
                </c:pt>
                <c:pt idx="22">
                  <c:v>104.46359999999997</c:v>
                </c:pt>
                <c:pt idx="23">
                  <c:v>107.131</c:v>
                </c:pt>
                <c:pt idx="24">
                  <c:v>80.842500000000001</c:v>
                </c:pt>
                <c:pt idx="25">
                  <c:v>79.205299999999994</c:v>
                </c:pt>
                <c:pt idx="26">
                  <c:v>85.900199999999984</c:v>
                </c:pt>
                <c:pt idx="27">
                  <c:v>87.113299999999995</c:v>
                </c:pt>
                <c:pt idx="28">
                  <c:v>90.847200000000015</c:v>
                </c:pt>
                <c:pt idx="29">
                  <c:v>99.635999999999996</c:v>
                </c:pt>
                <c:pt idx="30">
                  <c:v>116.02029999999999</c:v>
                </c:pt>
                <c:pt idx="31">
                  <c:v>156.05590000000001</c:v>
                </c:pt>
                <c:pt idx="32">
                  <c:v>161.41</c:v>
                </c:pt>
                <c:pt idx="33">
                  <c:v>162.09820000000002</c:v>
                </c:pt>
                <c:pt idx="34">
                  <c:v>209.72669999999999</c:v>
                </c:pt>
                <c:pt idx="35">
                  <c:v>248.37830000000002</c:v>
                </c:pt>
                <c:pt idx="36">
                  <c:v>225.01090000000002</c:v>
                </c:pt>
                <c:pt idx="37">
                  <c:v>177.7294</c:v>
                </c:pt>
                <c:pt idx="38">
                  <c:v>146.74090000000001</c:v>
                </c:pt>
                <c:pt idx="39">
                  <c:v>122.14230000000002</c:v>
                </c:pt>
                <c:pt idx="40">
                  <c:v>129.11839999999998</c:v>
                </c:pt>
                <c:pt idx="41">
                  <c:v>141.1362</c:v>
                </c:pt>
                <c:pt idx="42">
                  <c:v>123.2894</c:v>
                </c:pt>
                <c:pt idx="43">
                  <c:v>111.51479999999998</c:v>
                </c:pt>
                <c:pt idx="44">
                  <c:v>87.869899999999987</c:v>
                </c:pt>
                <c:pt idx="45">
                  <c:v>71.435900000000004</c:v>
                </c:pt>
                <c:pt idx="46">
                  <c:v>65.352000000000004</c:v>
                </c:pt>
                <c:pt idx="47">
                  <c:v>51.302400000000006</c:v>
                </c:pt>
                <c:pt idx="48">
                  <c:v>31.470799999999997</c:v>
                </c:pt>
                <c:pt idx="49">
                  <c:v>61.766299999999994</c:v>
                </c:pt>
                <c:pt idx="50">
                  <c:v>73.341300000000004</c:v>
                </c:pt>
                <c:pt idx="51">
                  <c:v>55.717399999999998</c:v>
                </c:pt>
                <c:pt idx="52">
                  <c:v>46.2166</c:v>
                </c:pt>
                <c:pt idx="53">
                  <c:v>54.041399999999996</c:v>
                </c:pt>
                <c:pt idx="54">
                  <c:v>52.549099999999996</c:v>
                </c:pt>
                <c:pt idx="55">
                  <c:v>49.721800000000002</c:v>
                </c:pt>
                <c:pt idx="56">
                  <c:v>51.067399999999999</c:v>
                </c:pt>
                <c:pt idx="57">
                  <c:v>53.128700000000009</c:v>
                </c:pt>
                <c:pt idx="58">
                  <c:v>47.749200000000002</c:v>
                </c:pt>
                <c:pt idx="59">
                  <c:v>41.173100000000005</c:v>
                </c:pt>
                <c:pt idx="60">
                  <c:v>48.240799999999993</c:v>
                </c:pt>
                <c:pt idx="61">
                  <c:v>30.452500000000004</c:v>
                </c:pt>
                <c:pt idx="62">
                  <c:v>19.820699999999999</c:v>
                </c:pt>
                <c:pt idx="63">
                  <c:v>24.240100000000002</c:v>
                </c:pt>
                <c:pt idx="64">
                  <c:v>23.616499999999998</c:v>
                </c:pt>
                <c:pt idx="65">
                  <c:v>20.358500000000003</c:v>
                </c:pt>
                <c:pt idx="66">
                  <c:v>22.4361</c:v>
                </c:pt>
                <c:pt idx="67">
                  <c:v>15.5687</c:v>
                </c:pt>
                <c:pt idx="68">
                  <c:v>17.650199999999998</c:v>
                </c:pt>
                <c:pt idx="69">
                  <c:v>26.2669</c:v>
                </c:pt>
                <c:pt idx="70">
                  <c:v>8.6700999999999997</c:v>
                </c:pt>
                <c:pt idx="71">
                  <c:v>21.363399999999999</c:v>
                </c:pt>
                <c:pt idx="72">
                  <c:v>25.209799999999998</c:v>
                </c:pt>
                <c:pt idx="73">
                  <c:v>13.101199999999999</c:v>
                </c:pt>
                <c:pt idx="74">
                  <c:v>24.437000000000001</c:v>
                </c:pt>
                <c:pt idx="75">
                  <c:v>26.660499999999999</c:v>
                </c:pt>
                <c:pt idx="76">
                  <c:v>29.680300000000003</c:v>
                </c:pt>
                <c:pt idx="77">
                  <c:v>28.829099999999997</c:v>
                </c:pt>
                <c:pt idx="78">
                  <c:v>20.597500000000004</c:v>
                </c:pt>
                <c:pt idx="79">
                  <c:v>17.885299999999997</c:v>
                </c:pt>
                <c:pt idx="80">
                  <c:v>14.6904</c:v>
                </c:pt>
                <c:pt idx="81">
                  <c:v>12.343100000000002</c:v>
                </c:pt>
                <c:pt idx="82">
                  <c:v>26.293800000000001</c:v>
                </c:pt>
                <c:pt idx="83">
                  <c:v>25.627900000000004</c:v>
                </c:pt>
                <c:pt idx="84">
                  <c:v>31.610199999999999</c:v>
                </c:pt>
                <c:pt idx="85">
                  <c:v>32.564900000000009</c:v>
                </c:pt>
                <c:pt idx="86">
                  <c:v>27.045500000000001</c:v>
                </c:pt>
                <c:pt idx="87">
                  <c:v>46.243700000000004</c:v>
                </c:pt>
                <c:pt idx="88">
                  <c:v>41.5443</c:v>
                </c:pt>
                <c:pt idx="89">
                  <c:v>53.094499999999996</c:v>
                </c:pt>
                <c:pt idx="90">
                  <c:v>36.328200000000002</c:v>
                </c:pt>
                <c:pt idx="91">
                  <c:v>44.279100000000007</c:v>
                </c:pt>
                <c:pt idx="92">
                  <c:v>46.978500000000004</c:v>
                </c:pt>
                <c:pt idx="93">
                  <c:v>42.298000000000002</c:v>
                </c:pt>
                <c:pt idx="94">
                  <c:v>52.914000000000009</c:v>
                </c:pt>
                <c:pt idx="95">
                  <c:v>51.009799999999991</c:v>
                </c:pt>
                <c:pt idx="96">
                  <c:v>33.209699999999998</c:v>
                </c:pt>
                <c:pt idx="97">
                  <c:v>47.521700000000003</c:v>
                </c:pt>
                <c:pt idx="98">
                  <c:v>31.835399999999996</c:v>
                </c:pt>
                <c:pt idx="99">
                  <c:v>30.207999999999995</c:v>
                </c:pt>
                <c:pt idx="100">
                  <c:v>29.590199999999996</c:v>
                </c:pt>
                <c:pt idx="101">
                  <c:v>16.6036</c:v>
                </c:pt>
                <c:pt idx="102">
                  <c:v>22.778800000000004</c:v>
                </c:pt>
                <c:pt idx="103">
                  <c:v>23.416599999999999</c:v>
                </c:pt>
                <c:pt idx="104">
                  <c:v>17.995799999999996</c:v>
                </c:pt>
                <c:pt idx="105">
                  <c:v>16.4983</c:v>
                </c:pt>
                <c:pt idx="106">
                  <c:v>14.214499999999997</c:v>
                </c:pt>
                <c:pt idx="107">
                  <c:v>8.5216999999999992</c:v>
                </c:pt>
                <c:pt idx="108">
                  <c:v>-3.5268000000000077</c:v>
                </c:pt>
                <c:pt idx="109">
                  <c:v>4.2715999999999976</c:v>
                </c:pt>
                <c:pt idx="110">
                  <c:v>1.9956000000000085</c:v>
                </c:pt>
                <c:pt idx="111">
                  <c:v>1.0983999999999994</c:v>
                </c:pt>
                <c:pt idx="112">
                  <c:v>15.135699999999996</c:v>
                </c:pt>
                <c:pt idx="113">
                  <c:v>16.201900000000002</c:v>
                </c:pt>
                <c:pt idx="114">
                  <c:v>15.307500000000001</c:v>
                </c:pt>
                <c:pt idx="115">
                  <c:v>12.695500000000004</c:v>
                </c:pt>
                <c:pt idx="116">
                  <c:v>37.514299999999999</c:v>
                </c:pt>
                <c:pt idx="117">
                  <c:v>44.99</c:v>
                </c:pt>
                <c:pt idx="118">
                  <c:v>43.618899999999996</c:v>
                </c:pt>
                <c:pt idx="119">
                  <c:v>45.824800000000003</c:v>
                </c:pt>
                <c:pt idx="120">
                  <c:v>6.218199999999996</c:v>
                </c:pt>
                <c:pt idx="121">
                  <c:v>8.7564000000000028</c:v>
                </c:pt>
                <c:pt idx="122">
                  <c:v>32.010900000000007</c:v>
                </c:pt>
                <c:pt idx="123">
                  <c:v>16.378699999999995</c:v>
                </c:pt>
                <c:pt idx="124">
                  <c:v>18.694900000000004</c:v>
                </c:pt>
                <c:pt idx="125">
                  <c:v>22.541800000000002</c:v>
                </c:pt>
                <c:pt idx="126">
                  <c:v>21.381300000000003</c:v>
                </c:pt>
                <c:pt idx="127">
                  <c:v>31.972200000000008</c:v>
                </c:pt>
                <c:pt idx="128">
                  <c:v>32.562100000000008</c:v>
                </c:pt>
              </c:numCache>
            </c:numRef>
          </c:val>
          <c:smooth val="0"/>
          <c:extLst xmlns:c16r2="http://schemas.microsoft.com/office/drawing/2015/06/chart">
            <c:ext xmlns:c16="http://schemas.microsoft.com/office/drawing/2014/chart" uri="{C3380CC4-5D6E-409C-BE32-E72D297353CC}">
              <c16:uniqueId val="{00000000-F508-4C9B-87A2-A7F9ABACC56B}"/>
            </c:ext>
          </c:extLst>
        </c:ser>
        <c:ser>
          <c:idx val="7"/>
          <c:order val="1"/>
          <c:tx>
            <c:strRef>
              <c:f>spreads!$AB$1</c:f>
              <c:strCache>
                <c:ptCount val="1"/>
                <c:pt idx="0">
                  <c:v>5y</c:v>
                </c:pt>
              </c:strCache>
            </c:strRef>
          </c:tx>
          <c:spPr>
            <a:ln w="19050" cap="rnd">
              <a:solidFill>
                <a:sysClr val="windowText" lastClr="000000">
                  <a:lumMod val="65000"/>
                  <a:lumOff val="35000"/>
                </a:sysClr>
              </a:solidFill>
              <a:round/>
            </a:ln>
            <a:effectLst/>
          </c:spPr>
          <c:marker>
            <c:symbol val="none"/>
          </c:marker>
          <c:cat>
            <c:numRef>
              <c:f>spreads!$Z$2:$Z$130</c:f>
              <c:numCache>
                <c:formatCode>m/d/yyyy</c:formatCode>
                <c:ptCount val="129"/>
                <c:pt idx="0">
                  <c:v>39843</c:v>
                </c:pt>
                <c:pt idx="1">
                  <c:v>39871</c:v>
                </c:pt>
                <c:pt idx="2">
                  <c:v>39903</c:v>
                </c:pt>
                <c:pt idx="3">
                  <c:v>39933</c:v>
                </c:pt>
                <c:pt idx="4">
                  <c:v>39962</c:v>
                </c:pt>
                <c:pt idx="5">
                  <c:v>39994</c:v>
                </c:pt>
                <c:pt idx="6">
                  <c:v>40025</c:v>
                </c:pt>
                <c:pt idx="7">
                  <c:v>40056</c:v>
                </c:pt>
                <c:pt idx="8">
                  <c:v>40086</c:v>
                </c:pt>
                <c:pt idx="9">
                  <c:v>40116</c:v>
                </c:pt>
                <c:pt idx="10">
                  <c:v>40147</c:v>
                </c:pt>
                <c:pt idx="11">
                  <c:v>40178</c:v>
                </c:pt>
                <c:pt idx="12">
                  <c:v>39843</c:v>
                </c:pt>
                <c:pt idx="13">
                  <c:v>39871</c:v>
                </c:pt>
                <c:pt idx="14">
                  <c:v>40268</c:v>
                </c:pt>
                <c:pt idx="15">
                  <c:v>40298</c:v>
                </c:pt>
                <c:pt idx="16">
                  <c:v>40329</c:v>
                </c:pt>
                <c:pt idx="17">
                  <c:v>40359</c:v>
                </c:pt>
                <c:pt idx="18">
                  <c:v>40389</c:v>
                </c:pt>
                <c:pt idx="19">
                  <c:v>40421</c:v>
                </c:pt>
                <c:pt idx="20">
                  <c:v>40451</c:v>
                </c:pt>
                <c:pt idx="21">
                  <c:v>40480</c:v>
                </c:pt>
                <c:pt idx="22">
                  <c:v>40512</c:v>
                </c:pt>
                <c:pt idx="23">
                  <c:v>40543</c:v>
                </c:pt>
                <c:pt idx="24">
                  <c:v>40574</c:v>
                </c:pt>
                <c:pt idx="25">
                  <c:v>40602</c:v>
                </c:pt>
                <c:pt idx="26">
                  <c:v>40633</c:v>
                </c:pt>
                <c:pt idx="27">
                  <c:v>40662</c:v>
                </c:pt>
                <c:pt idx="28">
                  <c:v>40694</c:v>
                </c:pt>
                <c:pt idx="29">
                  <c:v>40724</c:v>
                </c:pt>
                <c:pt idx="30">
                  <c:v>40753</c:v>
                </c:pt>
                <c:pt idx="31">
                  <c:v>40786</c:v>
                </c:pt>
                <c:pt idx="32">
                  <c:v>40816</c:v>
                </c:pt>
                <c:pt idx="33">
                  <c:v>40847</c:v>
                </c:pt>
                <c:pt idx="34">
                  <c:v>40877</c:v>
                </c:pt>
                <c:pt idx="35">
                  <c:v>40907</c:v>
                </c:pt>
                <c:pt idx="36">
                  <c:v>40939</c:v>
                </c:pt>
                <c:pt idx="37">
                  <c:v>40968</c:v>
                </c:pt>
                <c:pt idx="38">
                  <c:v>40998</c:v>
                </c:pt>
                <c:pt idx="39">
                  <c:v>41029</c:v>
                </c:pt>
                <c:pt idx="40">
                  <c:v>41060</c:v>
                </c:pt>
                <c:pt idx="41">
                  <c:v>41089</c:v>
                </c:pt>
                <c:pt idx="42">
                  <c:v>41121</c:v>
                </c:pt>
                <c:pt idx="43">
                  <c:v>41152</c:v>
                </c:pt>
                <c:pt idx="44">
                  <c:v>41180</c:v>
                </c:pt>
                <c:pt idx="45">
                  <c:v>41213</c:v>
                </c:pt>
                <c:pt idx="46">
                  <c:v>41243</c:v>
                </c:pt>
                <c:pt idx="47">
                  <c:v>41274</c:v>
                </c:pt>
                <c:pt idx="48">
                  <c:v>41305</c:v>
                </c:pt>
                <c:pt idx="49">
                  <c:v>41333</c:v>
                </c:pt>
                <c:pt idx="50">
                  <c:v>41361</c:v>
                </c:pt>
                <c:pt idx="51">
                  <c:v>41394</c:v>
                </c:pt>
                <c:pt idx="52">
                  <c:v>41425</c:v>
                </c:pt>
                <c:pt idx="53">
                  <c:v>41453</c:v>
                </c:pt>
                <c:pt idx="54">
                  <c:v>41486</c:v>
                </c:pt>
                <c:pt idx="55">
                  <c:v>41516</c:v>
                </c:pt>
                <c:pt idx="56">
                  <c:v>41547</c:v>
                </c:pt>
                <c:pt idx="57">
                  <c:v>41578</c:v>
                </c:pt>
                <c:pt idx="58">
                  <c:v>41607</c:v>
                </c:pt>
                <c:pt idx="59">
                  <c:v>41639</c:v>
                </c:pt>
                <c:pt idx="60">
                  <c:v>41670</c:v>
                </c:pt>
                <c:pt idx="61">
                  <c:v>41698</c:v>
                </c:pt>
                <c:pt idx="62">
                  <c:v>41729</c:v>
                </c:pt>
                <c:pt idx="63">
                  <c:v>41759</c:v>
                </c:pt>
                <c:pt idx="64">
                  <c:v>41789</c:v>
                </c:pt>
                <c:pt idx="65">
                  <c:v>41820</c:v>
                </c:pt>
                <c:pt idx="66">
                  <c:v>41851</c:v>
                </c:pt>
                <c:pt idx="67">
                  <c:v>41879</c:v>
                </c:pt>
                <c:pt idx="68">
                  <c:v>41912</c:v>
                </c:pt>
                <c:pt idx="69">
                  <c:v>41943</c:v>
                </c:pt>
                <c:pt idx="70">
                  <c:v>41971</c:v>
                </c:pt>
                <c:pt idx="71">
                  <c:v>42003</c:v>
                </c:pt>
                <c:pt idx="72">
                  <c:v>42034</c:v>
                </c:pt>
                <c:pt idx="73">
                  <c:v>42062</c:v>
                </c:pt>
                <c:pt idx="74">
                  <c:v>42094</c:v>
                </c:pt>
                <c:pt idx="75">
                  <c:v>42124</c:v>
                </c:pt>
                <c:pt idx="76">
                  <c:v>42153</c:v>
                </c:pt>
                <c:pt idx="77">
                  <c:v>42185</c:v>
                </c:pt>
                <c:pt idx="78">
                  <c:v>42216</c:v>
                </c:pt>
                <c:pt idx="79">
                  <c:v>42247</c:v>
                </c:pt>
                <c:pt idx="80">
                  <c:v>42277</c:v>
                </c:pt>
                <c:pt idx="81">
                  <c:v>42307</c:v>
                </c:pt>
                <c:pt idx="82">
                  <c:v>42338</c:v>
                </c:pt>
                <c:pt idx="83">
                  <c:v>42368</c:v>
                </c:pt>
                <c:pt idx="84">
                  <c:v>42398</c:v>
                </c:pt>
                <c:pt idx="85">
                  <c:v>42429</c:v>
                </c:pt>
                <c:pt idx="86">
                  <c:v>42460</c:v>
                </c:pt>
                <c:pt idx="87">
                  <c:v>42489</c:v>
                </c:pt>
                <c:pt idx="88">
                  <c:v>42521</c:v>
                </c:pt>
                <c:pt idx="89">
                  <c:v>42551</c:v>
                </c:pt>
                <c:pt idx="90">
                  <c:v>42580</c:v>
                </c:pt>
                <c:pt idx="91">
                  <c:v>42613</c:v>
                </c:pt>
                <c:pt idx="92">
                  <c:v>42643</c:v>
                </c:pt>
                <c:pt idx="93">
                  <c:v>42674</c:v>
                </c:pt>
                <c:pt idx="94">
                  <c:v>42704</c:v>
                </c:pt>
                <c:pt idx="95">
                  <c:v>42734</c:v>
                </c:pt>
                <c:pt idx="96">
                  <c:v>42766</c:v>
                </c:pt>
                <c:pt idx="97">
                  <c:v>42794</c:v>
                </c:pt>
                <c:pt idx="98">
                  <c:v>42825</c:v>
                </c:pt>
                <c:pt idx="99">
                  <c:v>42853</c:v>
                </c:pt>
                <c:pt idx="100">
                  <c:v>42886</c:v>
                </c:pt>
                <c:pt idx="101">
                  <c:v>42916</c:v>
                </c:pt>
                <c:pt idx="102">
                  <c:v>42947</c:v>
                </c:pt>
                <c:pt idx="103">
                  <c:v>42978</c:v>
                </c:pt>
                <c:pt idx="104">
                  <c:v>43007</c:v>
                </c:pt>
                <c:pt idx="105">
                  <c:v>43039</c:v>
                </c:pt>
                <c:pt idx="106">
                  <c:v>43069</c:v>
                </c:pt>
                <c:pt idx="107">
                  <c:v>43098</c:v>
                </c:pt>
                <c:pt idx="108">
                  <c:v>43131</c:v>
                </c:pt>
                <c:pt idx="109">
                  <c:v>43159</c:v>
                </c:pt>
                <c:pt idx="110">
                  <c:v>43188</c:v>
                </c:pt>
                <c:pt idx="111">
                  <c:v>43220</c:v>
                </c:pt>
                <c:pt idx="112">
                  <c:v>43251</c:v>
                </c:pt>
                <c:pt idx="113">
                  <c:v>43280</c:v>
                </c:pt>
                <c:pt idx="114">
                  <c:v>43312</c:v>
                </c:pt>
                <c:pt idx="115">
                  <c:v>43343</c:v>
                </c:pt>
                <c:pt idx="116">
                  <c:v>43371</c:v>
                </c:pt>
                <c:pt idx="117">
                  <c:v>43404</c:v>
                </c:pt>
                <c:pt idx="118">
                  <c:v>43434</c:v>
                </c:pt>
                <c:pt idx="119">
                  <c:v>43462</c:v>
                </c:pt>
                <c:pt idx="120">
                  <c:v>43496</c:v>
                </c:pt>
                <c:pt idx="121">
                  <c:v>43524</c:v>
                </c:pt>
                <c:pt idx="122">
                  <c:v>43553</c:v>
                </c:pt>
                <c:pt idx="123">
                  <c:v>43585</c:v>
                </c:pt>
                <c:pt idx="124">
                  <c:v>43616</c:v>
                </c:pt>
                <c:pt idx="125">
                  <c:v>43644</c:v>
                </c:pt>
                <c:pt idx="126">
                  <c:v>43677</c:v>
                </c:pt>
                <c:pt idx="127">
                  <c:v>43707</c:v>
                </c:pt>
                <c:pt idx="128">
                  <c:v>43738</c:v>
                </c:pt>
              </c:numCache>
            </c:numRef>
          </c:cat>
          <c:val>
            <c:numRef>
              <c:f>spreads!$AB$2:$AB$130</c:f>
              <c:numCache>
                <c:formatCode>General</c:formatCode>
                <c:ptCount val="129"/>
                <c:pt idx="0">
                  <c:v>88.388899999999992</c:v>
                </c:pt>
                <c:pt idx="1">
                  <c:v>105.1091</c:v>
                </c:pt>
                <c:pt idx="2">
                  <c:v>104.65990000000001</c:v>
                </c:pt>
                <c:pt idx="3">
                  <c:v>151.77640000000002</c:v>
                </c:pt>
                <c:pt idx="4">
                  <c:v>147.14569999999995</c:v>
                </c:pt>
                <c:pt idx="5">
                  <c:v>164.67830000000001</c:v>
                </c:pt>
                <c:pt idx="6">
                  <c:v>152.6712</c:v>
                </c:pt>
                <c:pt idx="7">
                  <c:v>154.07050000000004</c:v>
                </c:pt>
                <c:pt idx="8">
                  <c:v>128.07150000000001</c:v>
                </c:pt>
                <c:pt idx="9">
                  <c:v>109.64719999999998</c:v>
                </c:pt>
                <c:pt idx="10">
                  <c:v>109.31860000000002</c:v>
                </c:pt>
                <c:pt idx="11">
                  <c:v>108.32380000000002</c:v>
                </c:pt>
                <c:pt idx="12">
                  <c:v>88.388899999999992</c:v>
                </c:pt>
                <c:pt idx="13">
                  <c:v>105.1091</c:v>
                </c:pt>
                <c:pt idx="14">
                  <c:v>84.42570000000002</c:v>
                </c:pt>
                <c:pt idx="15">
                  <c:v>86.846800000000002</c:v>
                </c:pt>
                <c:pt idx="16">
                  <c:v>124.04510000000002</c:v>
                </c:pt>
                <c:pt idx="17">
                  <c:v>122.7295</c:v>
                </c:pt>
                <c:pt idx="18">
                  <c:v>114.82259999999998</c:v>
                </c:pt>
                <c:pt idx="19">
                  <c:v>127.85260000000001</c:v>
                </c:pt>
                <c:pt idx="20">
                  <c:v>115.50990000000002</c:v>
                </c:pt>
                <c:pt idx="21">
                  <c:v>109.3402</c:v>
                </c:pt>
                <c:pt idx="22">
                  <c:v>117.11040000000001</c:v>
                </c:pt>
                <c:pt idx="23">
                  <c:v>96.192900000000009</c:v>
                </c:pt>
                <c:pt idx="24">
                  <c:v>80.394900000000021</c:v>
                </c:pt>
                <c:pt idx="25">
                  <c:v>79.553200000000018</c:v>
                </c:pt>
                <c:pt idx="26">
                  <c:v>83.286199999999994</c:v>
                </c:pt>
                <c:pt idx="27">
                  <c:v>88.446799999999996</c:v>
                </c:pt>
                <c:pt idx="28">
                  <c:v>104.0851</c:v>
                </c:pt>
                <c:pt idx="29">
                  <c:v>116.29730000000001</c:v>
                </c:pt>
                <c:pt idx="30">
                  <c:v>142.96719999999999</c:v>
                </c:pt>
                <c:pt idx="31">
                  <c:v>162.5042</c:v>
                </c:pt>
                <c:pt idx="32">
                  <c:v>179.90180000000001</c:v>
                </c:pt>
                <c:pt idx="33">
                  <c:v>163.45149999999998</c:v>
                </c:pt>
                <c:pt idx="34">
                  <c:v>247.19019999999995</c:v>
                </c:pt>
                <c:pt idx="35">
                  <c:v>261.48249999999996</c:v>
                </c:pt>
                <c:pt idx="36">
                  <c:v>255.11460000000002</c:v>
                </c:pt>
                <c:pt idx="37">
                  <c:v>198.5359</c:v>
                </c:pt>
                <c:pt idx="38">
                  <c:v>167.42019999999997</c:v>
                </c:pt>
                <c:pt idx="39">
                  <c:v>151.30549999999999</c:v>
                </c:pt>
                <c:pt idx="40">
                  <c:v>174.36629999999997</c:v>
                </c:pt>
                <c:pt idx="41">
                  <c:v>162.81489999999999</c:v>
                </c:pt>
                <c:pt idx="42">
                  <c:v>178.43810000000002</c:v>
                </c:pt>
                <c:pt idx="43">
                  <c:v>137.03530000000001</c:v>
                </c:pt>
                <c:pt idx="44">
                  <c:v>123.30000000000001</c:v>
                </c:pt>
                <c:pt idx="45">
                  <c:v>95.714699999999993</c:v>
                </c:pt>
                <c:pt idx="46">
                  <c:v>103.58879999999999</c:v>
                </c:pt>
                <c:pt idx="47">
                  <c:v>52.743100000000013</c:v>
                </c:pt>
                <c:pt idx="48">
                  <c:v>59.625000000000007</c:v>
                </c:pt>
                <c:pt idx="49">
                  <c:v>102.1695</c:v>
                </c:pt>
                <c:pt idx="50">
                  <c:v>112.46499999999999</c:v>
                </c:pt>
                <c:pt idx="51">
                  <c:v>86.179699999999997</c:v>
                </c:pt>
                <c:pt idx="52">
                  <c:v>56.189</c:v>
                </c:pt>
                <c:pt idx="53">
                  <c:v>64.045399999999987</c:v>
                </c:pt>
                <c:pt idx="54">
                  <c:v>63.062399999999997</c:v>
                </c:pt>
                <c:pt idx="55">
                  <c:v>51.747000000000007</c:v>
                </c:pt>
                <c:pt idx="56">
                  <c:v>65.502500000000012</c:v>
                </c:pt>
                <c:pt idx="57">
                  <c:v>71.483400000000003</c:v>
                </c:pt>
                <c:pt idx="58">
                  <c:v>62.674399999999999</c:v>
                </c:pt>
                <c:pt idx="59">
                  <c:v>44.885799999999996</c:v>
                </c:pt>
                <c:pt idx="60">
                  <c:v>63.48919999999999</c:v>
                </c:pt>
                <c:pt idx="61">
                  <c:v>52.393600000000006</c:v>
                </c:pt>
                <c:pt idx="62">
                  <c:v>45.116899999999994</c:v>
                </c:pt>
                <c:pt idx="63">
                  <c:v>35.393500000000003</c:v>
                </c:pt>
                <c:pt idx="64">
                  <c:v>40.428599999999989</c:v>
                </c:pt>
                <c:pt idx="65">
                  <c:v>35.895299999999999</c:v>
                </c:pt>
                <c:pt idx="66">
                  <c:v>35.138100000000001</c:v>
                </c:pt>
                <c:pt idx="67">
                  <c:v>33.210199999999993</c:v>
                </c:pt>
                <c:pt idx="68">
                  <c:v>17.9771</c:v>
                </c:pt>
                <c:pt idx="69">
                  <c:v>22.248799999999999</c:v>
                </c:pt>
                <c:pt idx="70">
                  <c:v>40.010799999999996</c:v>
                </c:pt>
                <c:pt idx="71">
                  <c:v>47.685400000000008</c:v>
                </c:pt>
                <c:pt idx="72">
                  <c:v>20.923300000000001</c:v>
                </c:pt>
                <c:pt idx="73">
                  <c:v>24.053599999999999</c:v>
                </c:pt>
                <c:pt idx="74">
                  <c:v>14.291700000000002</c:v>
                </c:pt>
                <c:pt idx="75">
                  <c:v>4.9093999999999998</c:v>
                </c:pt>
                <c:pt idx="76">
                  <c:v>17.221700000000002</c:v>
                </c:pt>
                <c:pt idx="77">
                  <c:v>30.900400000000001</c:v>
                </c:pt>
                <c:pt idx="78">
                  <c:v>12.4672</c:v>
                </c:pt>
                <c:pt idx="79">
                  <c:v>8.177699999999998</c:v>
                </c:pt>
                <c:pt idx="80">
                  <c:v>5.9761000000000006</c:v>
                </c:pt>
                <c:pt idx="81">
                  <c:v>11.550699999999999</c:v>
                </c:pt>
                <c:pt idx="82">
                  <c:v>15.088899999999999</c:v>
                </c:pt>
                <c:pt idx="83">
                  <c:v>8.2608999999999995</c:v>
                </c:pt>
                <c:pt idx="84">
                  <c:v>16.04</c:v>
                </c:pt>
                <c:pt idx="85">
                  <c:v>20.453700000000001</c:v>
                </c:pt>
                <c:pt idx="86">
                  <c:v>11.5311</c:v>
                </c:pt>
                <c:pt idx="87">
                  <c:v>13.675799999999999</c:v>
                </c:pt>
                <c:pt idx="88">
                  <c:v>10.636900000000002</c:v>
                </c:pt>
                <c:pt idx="89">
                  <c:v>19.229099999999992</c:v>
                </c:pt>
                <c:pt idx="90">
                  <c:v>14.7644</c:v>
                </c:pt>
                <c:pt idx="91">
                  <c:v>8.7108999999999934</c:v>
                </c:pt>
                <c:pt idx="92">
                  <c:v>8.4515000000000011</c:v>
                </c:pt>
                <c:pt idx="93">
                  <c:v>3.1569000000000011</c:v>
                </c:pt>
                <c:pt idx="94">
                  <c:v>12.592500000000001</c:v>
                </c:pt>
                <c:pt idx="95">
                  <c:v>9.3372000000000011</c:v>
                </c:pt>
                <c:pt idx="96">
                  <c:v>6.0017000000000014</c:v>
                </c:pt>
                <c:pt idx="97">
                  <c:v>22.036799999999996</c:v>
                </c:pt>
                <c:pt idx="98">
                  <c:v>16.429600000000001</c:v>
                </c:pt>
                <c:pt idx="99">
                  <c:v>13.888000000000003</c:v>
                </c:pt>
                <c:pt idx="100">
                  <c:v>11.211599999999999</c:v>
                </c:pt>
                <c:pt idx="101">
                  <c:v>1.1833000000000009</c:v>
                </c:pt>
                <c:pt idx="102">
                  <c:v>4.3489000000000004</c:v>
                </c:pt>
                <c:pt idx="103">
                  <c:v>8.2245999999999988</c:v>
                </c:pt>
                <c:pt idx="104">
                  <c:v>3.6772</c:v>
                </c:pt>
                <c:pt idx="105">
                  <c:v>4.3968999999999978</c:v>
                </c:pt>
                <c:pt idx="106">
                  <c:v>2.5617999999999972</c:v>
                </c:pt>
                <c:pt idx="107">
                  <c:v>1.5891000000000015</c:v>
                </c:pt>
                <c:pt idx="108">
                  <c:v>-0.65979999999999994</c:v>
                </c:pt>
                <c:pt idx="109">
                  <c:v>3.8321000000000001</c:v>
                </c:pt>
                <c:pt idx="110">
                  <c:v>5.4290999999999991</c:v>
                </c:pt>
                <c:pt idx="111">
                  <c:v>3.3290000000000002</c:v>
                </c:pt>
                <c:pt idx="112">
                  <c:v>15.9491</c:v>
                </c:pt>
                <c:pt idx="113">
                  <c:v>24.205299999999998</c:v>
                </c:pt>
                <c:pt idx="114">
                  <c:v>26.189400000000003</c:v>
                </c:pt>
                <c:pt idx="115">
                  <c:v>23.237199999999998</c:v>
                </c:pt>
                <c:pt idx="116">
                  <c:v>42.025400000000005</c:v>
                </c:pt>
                <c:pt idx="117">
                  <c:v>48.063900000000004</c:v>
                </c:pt>
                <c:pt idx="118">
                  <c:v>50.425899999999999</c:v>
                </c:pt>
                <c:pt idx="119">
                  <c:v>53.284700000000008</c:v>
                </c:pt>
                <c:pt idx="120">
                  <c:v>19.005699999999997</c:v>
                </c:pt>
                <c:pt idx="121">
                  <c:v>20.800200000000004</c:v>
                </c:pt>
                <c:pt idx="122">
                  <c:v>50.878899999999994</c:v>
                </c:pt>
                <c:pt idx="123">
                  <c:v>15.8772</c:v>
                </c:pt>
                <c:pt idx="124">
                  <c:v>21.425000000000004</c:v>
                </c:pt>
                <c:pt idx="125">
                  <c:v>18.416899999999998</c:v>
                </c:pt>
                <c:pt idx="126">
                  <c:v>17.4145</c:v>
                </c:pt>
                <c:pt idx="127">
                  <c:v>12.633499999999998</c:v>
                </c:pt>
                <c:pt idx="128">
                  <c:v>12.048099999999994</c:v>
                </c:pt>
              </c:numCache>
            </c:numRef>
          </c:val>
          <c:smooth val="0"/>
          <c:extLst xmlns:c16r2="http://schemas.microsoft.com/office/drawing/2015/06/chart">
            <c:ext xmlns:c16="http://schemas.microsoft.com/office/drawing/2014/chart" uri="{C3380CC4-5D6E-409C-BE32-E72D297353CC}">
              <c16:uniqueId val="{00000001-F508-4C9B-87A2-A7F9ABACC56B}"/>
            </c:ext>
          </c:extLst>
        </c:ser>
        <c:ser>
          <c:idx val="8"/>
          <c:order val="2"/>
          <c:tx>
            <c:strRef>
              <c:f>spreads!$AC$1</c:f>
              <c:strCache>
                <c:ptCount val="1"/>
                <c:pt idx="0">
                  <c:v>10y</c:v>
                </c:pt>
              </c:strCache>
            </c:strRef>
          </c:tx>
          <c:spPr>
            <a:ln w="19050" cap="rnd">
              <a:solidFill>
                <a:sysClr val="windowText" lastClr="000000"/>
              </a:solidFill>
              <a:round/>
            </a:ln>
            <a:effectLst/>
          </c:spPr>
          <c:marker>
            <c:symbol val="none"/>
          </c:marker>
          <c:dPt>
            <c:idx val="86"/>
            <c:marker>
              <c:symbol val="none"/>
            </c:marker>
            <c:bubble3D val="0"/>
            <c:spPr>
              <a:ln w="19050" cap="rnd">
                <a:solidFill>
                  <a:sysClr val="windowText" lastClr="000000">
                    <a:lumMod val="65000"/>
                    <a:lumOff val="35000"/>
                  </a:sysClr>
                </a:solidFill>
                <a:round/>
              </a:ln>
              <a:effectLst/>
            </c:spPr>
            <c:extLst xmlns:c16r2="http://schemas.microsoft.com/office/drawing/2015/06/chart">
              <c:ext xmlns:c16="http://schemas.microsoft.com/office/drawing/2014/chart" uri="{C3380CC4-5D6E-409C-BE32-E72D297353CC}">
                <c16:uniqueId val="{00000001-8181-5248-BE28-C75D2236D7E9}"/>
              </c:ext>
            </c:extLst>
          </c:dPt>
          <c:cat>
            <c:numRef>
              <c:f>spreads!$Z$2:$Z$130</c:f>
              <c:numCache>
                <c:formatCode>m/d/yyyy</c:formatCode>
                <c:ptCount val="129"/>
                <c:pt idx="0">
                  <c:v>39843</c:v>
                </c:pt>
                <c:pt idx="1">
                  <c:v>39871</c:v>
                </c:pt>
                <c:pt idx="2">
                  <c:v>39903</c:v>
                </c:pt>
                <c:pt idx="3">
                  <c:v>39933</c:v>
                </c:pt>
                <c:pt idx="4">
                  <c:v>39962</c:v>
                </c:pt>
                <c:pt idx="5">
                  <c:v>39994</c:v>
                </c:pt>
                <c:pt idx="6">
                  <c:v>40025</c:v>
                </c:pt>
                <c:pt idx="7">
                  <c:v>40056</c:v>
                </c:pt>
                <c:pt idx="8">
                  <c:v>40086</c:v>
                </c:pt>
                <c:pt idx="9">
                  <c:v>40116</c:v>
                </c:pt>
                <c:pt idx="10">
                  <c:v>40147</c:v>
                </c:pt>
                <c:pt idx="11">
                  <c:v>40178</c:v>
                </c:pt>
                <c:pt idx="12">
                  <c:v>39843</c:v>
                </c:pt>
                <c:pt idx="13">
                  <c:v>39871</c:v>
                </c:pt>
                <c:pt idx="14">
                  <c:v>40268</c:v>
                </c:pt>
                <c:pt idx="15">
                  <c:v>40298</c:v>
                </c:pt>
                <c:pt idx="16">
                  <c:v>40329</c:v>
                </c:pt>
                <c:pt idx="17">
                  <c:v>40359</c:v>
                </c:pt>
                <c:pt idx="18">
                  <c:v>40389</c:v>
                </c:pt>
                <c:pt idx="19">
                  <c:v>40421</c:v>
                </c:pt>
                <c:pt idx="20">
                  <c:v>40451</c:v>
                </c:pt>
                <c:pt idx="21">
                  <c:v>40480</c:v>
                </c:pt>
                <c:pt idx="22">
                  <c:v>40512</c:v>
                </c:pt>
                <c:pt idx="23">
                  <c:v>40543</c:v>
                </c:pt>
                <c:pt idx="24">
                  <c:v>40574</c:v>
                </c:pt>
                <c:pt idx="25">
                  <c:v>40602</c:v>
                </c:pt>
                <c:pt idx="26">
                  <c:v>40633</c:v>
                </c:pt>
                <c:pt idx="27">
                  <c:v>40662</c:v>
                </c:pt>
                <c:pt idx="28">
                  <c:v>40694</c:v>
                </c:pt>
                <c:pt idx="29">
                  <c:v>40724</c:v>
                </c:pt>
                <c:pt idx="30">
                  <c:v>40753</c:v>
                </c:pt>
                <c:pt idx="31">
                  <c:v>40786</c:v>
                </c:pt>
                <c:pt idx="32">
                  <c:v>40816</c:v>
                </c:pt>
                <c:pt idx="33">
                  <c:v>40847</c:v>
                </c:pt>
                <c:pt idx="34">
                  <c:v>40877</c:v>
                </c:pt>
                <c:pt idx="35">
                  <c:v>40907</c:v>
                </c:pt>
                <c:pt idx="36">
                  <c:v>40939</c:v>
                </c:pt>
                <c:pt idx="37">
                  <c:v>40968</c:v>
                </c:pt>
                <c:pt idx="38">
                  <c:v>40998</c:v>
                </c:pt>
                <c:pt idx="39">
                  <c:v>41029</c:v>
                </c:pt>
                <c:pt idx="40">
                  <c:v>41060</c:v>
                </c:pt>
                <c:pt idx="41">
                  <c:v>41089</c:v>
                </c:pt>
                <c:pt idx="42">
                  <c:v>41121</c:v>
                </c:pt>
                <c:pt idx="43">
                  <c:v>41152</c:v>
                </c:pt>
                <c:pt idx="44">
                  <c:v>41180</c:v>
                </c:pt>
                <c:pt idx="45">
                  <c:v>41213</c:v>
                </c:pt>
                <c:pt idx="46">
                  <c:v>41243</c:v>
                </c:pt>
                <c:pt idx="47">
                  <c:v>41274</c:v>
                </c:pt>
                <c:pt idx="48">
                  <c:v>41305</c:v>
                </c:pt>
                <c:pt idx="49">
                  <c:v>41333</c:v>
                </c:pt>
                <c:pt idx="50">
                  <c:v>41361</c:v>
                </c:pt>
                <c:pt idx="51">
                  <c:v>41394</c:v>
                </c:pt>
                <c:pt idx="52">
                  <c:v>41425</c:v>
                </c:pt>
                <c:pt idx="53">
                  <c:v>41453</c:v>
                </c:pt>
                <c:pt idx="54">
                  <c:v>41486</c:v>
                </c:pt>
                <c:pt idx="55">
                  <c:v>41516</c:v>
                </c:pt>
                <c:pt idx="56">
                  <c:v>41547</c:v>
                </c:pt>
                <c:pt idx="57">
                  <c:v>41578</c:v>
                </c:pt>
                <c:pt idx="58">
                  <c:v>41607</c:v>
                </c:pt>
                <c:pt idx="59">
                  <c:v>41639</c:v>
                </c:pt>
                <c:pt idx="60">
                  <c:v>41670</c:v>
                </c:pt>
                <c:pt idx="61">
                  <c:v>41698</c:v>
                </c:pt>
                <c:pt idx="62">
                  <c:v>41729</c:v>
                </c:pt>
                <c:pt idx="63">
                  <c:v>41759</c:v>
                </c:pt>
                <c:pt idx="64">
                  <c:v>41789</c:v>
                </c:pt>
                <c:pt idx="65">
                  <c:v>41820</c:v>
                </c:pt>
                <c:pt idx="66">
                  <c:v>41851</c:v>
                </c:pt>
                <c:pt idx="67">
                  <c:v>41879</c:v>
                </c:pt>
                <c:pt idx="68">
                  <c:v>41912</c:v>
                </c:pt>
                <c:pt idx="69">
                  <c:v>41943</c:v>
                </c:pt>
                <c:pt idx="70">
                  <c:v>41971</c:v>
                </c:pt>
                <c:pt idx="71">
                  <c:v>42003</c:v>
                </c:pt>
                <c:pt idx="72">
                  <c:v>42034</c:v>
                </c:pt>
                <c:pt idx="73">
                  <c:v>42062</c:v>
                </c:pt>
                <c:pt idx="74">
                  <c:v>42094</c:v>
                </c:pt>
                <c:pt idx="75">
                  <c:v>42124</c:v>
                </c:pt>
                <c:pt idx="76">
                  <c:v>42153</c:v>
                </c:pt>
                <c:pt idx="77">
                  <c:v>42185</c:v>
                </c:pt>
                <c:pt idx="78">
                  <c:v>42216</c:v>
                </c:pt>
                <c:pt idx="79">
                  <c:v>42247</c:v>
                </c:pt>
                <c:pt idx="80">
                  <c:v>42277</c:v>
                </c:pt>
                <c:pt idx="81">
                  <c:v>42307</c:v>
                </c:pt>
                <c:pt idx="82">
                  <c:v>42338</c:v>
                </c:pt>
                <c:pt idx="83">
                  <c:v>42368</c:v>
                </c:pt>
                <c:pt idx="84">
                  <c:v>42398</c:v>
                </c:pt>
                <c:pt idx="85">
                  <c:v>42429</c:v>
                </c:pt>
                <c:pt idx="86">
                  <c:v>42460</c:v>
                </c:pt>
                <c:pt idx="87">
                  <c:v>42489</c:v>
                </c:pt>
                <c:pt idx="88">
                  <c:v>42521</c:v>
                </c:pt>
                <c:pt idx="89">
                  <c:v>42551</c:v>
                </c:pt>
                <c:pt idx="90">
                  <c:v>42580</c:v>
                </c:pt>
                <c:pt idx="91">
                  <c:v>42613</c:v>
                </c:pt>
                <c:pt idx="92">
                  <c:v>42643</c:v>
                </c:pt>
                <c:pt idx="93">
                  <c:v>42674</c:v>
                </c:pt>
                <c:pt idx="94">
                  <c:v>42704</c:v>
                </c:pt>
                <c:pt idx="95">
                  <c:v>42734</c:v>
                </c:pt>
                <c:pt idx="96">
                  <c:v>42766</c:v>
                </c:pt>
                <c:pt idx="97">
                  <c:v>42794</c:v>
                </c:pt>
                <c:pt idx="98">
                  <c:v>42825</c:v>
                </c:pt>
                <c:pt idx="99">
                  <c:v>42853</c:v>
                </c:pt>
                <c:pt idx="100">
                  <c:v>42886</c:v>
                </c:pt>
                <c:pt idx="101">
                  <c:v>42916</c:v>
                </c:pt>
                <c:pt idx="102">
                  <c:v>42947</c:v>
                </c:pt>
                <c:pt idx="103">
                  <c:v>42978</c:v>
                </c:pt>
                <c:pt idx="104">
                  <c:v>43007</c:v>
                </c:pt>
                <c:pt idx="105">
                  <c:v>43039</c:v>
                </c:pt>
                <c:pt idx="106">
                  <c:v>43069</c:v>
                </c:pt>
                <c:pt idx="107">
                  <c:v>43098</c:v>
                </c:pt>
                <c:pt idx="108">
                  <c:v>43131</c:v>
                </c:pt>
                <c:pt idx="109">
                  <c:v>43159</c:v>
                </c:pt>
                <c:pt idx="110">
                  <c:v>43188</c:v>
                </c:pt>
                <c:pt idx="111">
                  <c:v>43220</c:v>
                </c:pt>
                <c:pt idx="112">
                  <c:v>43251</c:v>
                </c:pt>
                <c:pt idx="113">
                  <c:v>43280</c:v>
                </c:pt>
                <c:pt idx="114">
                  <c:v>43312</c:v>
                </c:pt>
                <c:pt idx="115">
                  <c:v>43343</c:v>
                </c:pt>
                <c:pt idx="116">
                  <c:v>43371</c:v>
                </c:pt>
                <c:pt idx="117">
                  <c:v>43404</c:v>
                </c:pt>
                <c:pt idx="118">
                  <c:v>43434</c:v>
                </c:pt>
                <c:pt idx="119">
                  <c:v>43462</c:v>
                </c:pt>
                <c:pt idx="120">
                  <c:v>43496</c:v>
                </c:pt>
                <c:pt idx="121">
                  <c:v>43524</c:v>
                </c:pt>
                <c:pt idx="122">
                  <c:v>43553</c:v>
                </c:pt>
                <c:pt idx="123">
                  <c:v>43585</c:v>
                </c:pt>
                <c:pt idx="124">
                  <c:v>43616</c:v>
                </c:pt>
                <c:pt idx="125">
                  <c:v>43644</c:v>
                </c:pt>
                <c:pt idx="126">
                  <c:v>43677</c:v>
                </c:pt>
                <c:pt idx="127">
                  <c:v>43707</c:v>
                </c:pt>
                <c:pt idx="128">
                  <c:v>43738</c:v>
                </c:pt>
              </c:numCache>
            </c:numRef>
          </c:cat>
          <c:val>
            <c:numRef>
              <c:f>spreads!$AC$2:$AC$130</c:f>
              <c:numCache>
                <c:formatCode>General</c:formatCode>
                <c:ptCount val="129"/>
                <c:pt idx="0">
                  <c:v>76.702500000000029</c:v>
                </c:pt>
                <c:pt idx="1">
                  <c:v>93.716899999999995</c:v>
                </c:pt>
                <c:pt idx="2">
                  <c:v>88.671099999999996</c:v>
                </c:pt>
                <c:pt idx="3">
                  <c:v>156.33229999999995</c:v>
                </c:pt>
                <c:pt idx="4">
                  <c:v>141.05929999999995</c:v>
                </c:pt>
                <c:pt idx="5">
                  <c:v>156.25359999999998</c:v>
                </c:pt>
                <c:pt idx="6">
                  <c:v>130.89159999999998</c:v>
                </c:pt>
                <c:pt idx="7">
                  <c:v>125.01829999999998</c:v>
                </c:pt>
                <c:pt idx="8">
                  <c:v>94.4893</c:v>
                </c:pt>
                <c:pt idx="9">
                  <c:v>75.198199999999986</c:v>
                </c:pt>
                <c:pt idx="10">
                  <c:v>79.011500000000012</c:v>
                </c:pt>
                <c:pt idx="11">
                  <c:v>78.047099999999986</c:v>
                </c:pt>
                <c:pt idx="12">
                  <c:v>76.702500000000029</c:v>
                </c:pt>
                <c:pt idx="13">
                  <c:v>93.716899999999995</c:v>
                </c:pt>
                <c:pt idx="14">
                  <c:v>73.730300000000028</c:v>
                </c:pt>
                <c:pt idx="15">
                  <c:v>76.346800000000002</c:v>
                </c:pt>
                <c:pt idx="16">
                  <c:v>103.46950000000001</c:v>
                </c:pt>
                <c:pt idx="17">
                  <c:v>105.47430000000003</c:v>
                </c:pt>
                <c:pt idx="18">
                  <c:v>98.150900000000036</c:v>
                </c:pt>
                <c:pt idx="19">
                  <c:v>114.2201</c:v>
                </c:pt>
                <c:pt idx="20">
                  <c:v>97.775100000000009</c:v>
                </c:pt>
                <c:pt idx="21">
                  <c:v>119.2246</c:v>
                </c:pt>
                <c:pt idx="22">
                  <c:v>122.21260000000002</c:v>
                </c:pt>
                <c:pt idx="23">
                  <c:v>104.82970000000003</c:v>
                </c:pt>
                <c:pt idx="24">
                  <c:v>107.69870000000003</c:v>
                </c:pt>
                <c:pt idx="25">
                  <c:v>108.00900000000001</c:v>
                </c:pt>
                <c:pt idx="26">
                  <c:v>98.223899999999986</c:v>
                </c:pt>
                <c:pt idx="27">
                  <c:v>110.58500000000002</c:v>
                </c:pt>
                <c:pt idx="28">
                  <c:v>121.4623</c:v>
                </c:pt>
                <c:pt idx="29">
                  <c:v>129.26420000000002</c:v>
                </c:pt>
                <c:pt idx="30">
                  <c:v>166.26139999999995</c:v>
                </c:pt>
                <c:pt idx="31">
                  <c:v>181.65560000000002</c:v>
                </c:pt>
                <c:pt idx="32">
                  <c:v>207.66239999999999</c:v>
                </c:pt>
                <c:pt idx="33">
                  <c:v>174.14510000000001</c:v>
                </c:pt>
                <c:pt idx="34">
                  <c:v>302.80529999999993</c:v>
                </c:pt>
                <c:pt idx="35">
                  <c:v>306.48719999999997</c:v>
                </c:pt>
                <c:pt idx="36">
                  <c:v>253.42480000000003</c:v>
                </c:pt>
                <c:pt idx="37">
                  <c:v>208.90119999999999</c:v>
                </c:pt>
                <c:pt idx="38">
                  <c:v>172.08410000000001</c:v>
                </c:pt>
                <c:pt idx="39">
                  <c:v>164.8905</c:v>
                </c:pt>
                <c:pt idx="40">
                  <c:v>198.29300000000001</c:v>
                </c:pt>
                <c:pt idx="41">
                  <c:v>175.42620000000002</c:v>
                </c:pt>
                <c:pt idx="42">
                  <c:v>183.85369999999998</c:v>
                </c:pt>
                <c:pt idx="43">
                  <c:v>145.55590000000001</c:v>
                </c:pt>
                <c:pt idx="44">
                  <c:v>125.98520000000002</c:v>
                </c:pt>
                <c:pt idx="45">
                  <c:v>109.05</c:v>
                </c:pt>
                <c:pt idx="46">
                  <c:v>112.48949999999999</c:v>
                </c:pt>
                <c:pt idx="47">
                  <c:v>101.74670000000002</c:v>
                </c:pt>
                <c:pt idx="48">
                  <c:v>109.9345</c:v>
                </c:pt>
                <c:pt idx="49">
                  <c:v>132.95079999999999</c:v>
                </c:pt>
                <c:pt idx="50">
                  <c:v>130.07740000000001</c:v>
                </c:pt>
                <c:pt idx="51">
                  <c:v>115.96819999999998</c:v>
                </c:pt>
                <c:pt idx="52">
                  <c:v>67.724400000000003</c:v>
                </c:pt>
                <c:pt idx="53">
                  <c:v>69.274499999999989</c:v>
                </c:pt>
                <c:pt idx="54">
                  <c:v>89.50500000000001</c:v>
                </c:pt>
                <c:pt idx="55">
                  <c:v>78.642399999999981</c:v>
                </c:pt>
                <c:pt idx="56">
                  <c:v>90.506099999999989</c:v>
                </c:pt>
                <c:pt idx="57">
                  <c:v>94.817099999999982</c:v>
                </c:pt>
                <c:pt idx="58">
                  <c:v>86.341600000000014</c:v>
                </c:pt>
                <c:pt idx="59">
                  <c:v>59.911999999999964</c:v>
                </c:pt>
                <c:pt idx="60">
                  <c:v>91.539600000000007</c:v>
                </c:pt>
                <c:pt idx="61">
                  <c:v>85.985800000000026</c:v>
                </c:pt>
                <c:pt idx="62">
                  <c:v>82.788099999999986</c:v>
                </c:pt>
                <c:pt idx="63">
                  <c:v>74.923500000000004</c:v>
                </c:pt>
                <c:pt idx="64">
                  <c:v>83.208200000000019</c:v>
                </c:pt>
                <c:pt idx="65">
                  <c:v>84.153699999999972</c:v>
                </c:pt>
                <c:pt idx="66">
                  <c:v>77.168499999999995</c:v>
                </c:pt>
                <c:pt idx="67">
                  <c:v>87.544399999999996</c:v>
                </c:pt>
                <c:pt idx="68">
                  <c:v>62.114999999999988</c:v>
                </c:pt>
                <c:pt idx="69">
                  <c:v>64.616400000000013</c:v>
                </c:pt>
                <c:pt idx="70">
                  <c:v>75.8476</c:v>
                </c:pt>
                <c:pt idx="71">
                  <c:v>86.196600000000004</c:v>
                </c:pt>
                <c:pt idx="72">
                  <c:v>39.637999999999998</c:v>
                </c:pt>
                <c:pt idx="73">
                  <c:v>40.0867</c:v>
                </c:pt>
                <c:pt idx="74">
                  <c:v>23.606999999999999</c:v>
                </c:pt>
                <c:pt idx="75">
                  <c:v>12.315400000000004</c:v>
                </c:pt>
                <c:pt idx="76">
                  <c:v>24.099099999999996</c:v>
                </c:pt>
                <c:pt idx="77">
                  <c:v>51.715899999999991</c:v>
                </c:pt>
                <c:pt idx="78">
                  <c:v>28.136099999999999</c:v>
                </c:pt>
                <c:pt idx="79">
                  <c:v>24.994300000000003</c:v>
                </c:pt>
                <c:pt idx="80">
                  <c:v>21.665100000000002</c:v>
                </c:pt>
                <c:pt idx="81">
                  <c:v>23.001200000000001</c:v>
                </c:pt>
                <c:pt idx="82">
                  <c:v>19.960900000000002</c:v>
                </c:pt>
                <c:pt idx="83">
                  <c:v>17.102999999999991</c:v>
                </c:pt>
                <c:pt idx="84">
                  <c:v>34.061</c:v>
                </c:pt>
                <c:pt idx="85">
                  <c:v>32.117200000000004</c:v>
                </c:pt>
                <c:pt idx="86">
                  <c:v>33.7408</c:v>
                </c:pt>
                <c:pt idx="87">
                  <c:v>39.680500000000002</c:v>
                </c:pt>
                <c:pt idx="88">
                  <c:v>47.759199999999993</c:v>
                </c:pt>
                <c:pt idx="89">
                  <c:v>62.442600000000006</c:v>
                </c:pt>
                <c:pt idx="90">
                  <c:v>45.179699999999997</c:v>
                </c:pt>
                <c:pt idx="91">
                  <c:v>38.769399999999997</c:v>
                </c:pt>
                <c:pt idx="92">
                  <c:v>40.205199999999998</c:v>
                </c:pt>
                <c:pt idx="93">
                  <c:v>36.705799999999996</c:v>
                </c:pt>
                <c:pt idx="94">
                  <c:v>58.565400000000004</c:v>
                </c:pt>
                <c:pt idx="95">
                  <c:v>55.187399999999997</c:v>
                </c:pt>
                <c:pt idx="96">
                  <c:v>53.302099999999996</c:v>
                </c:pt>
                <c:pt idx="97">
                  <c:v>68.785199999999989</c:v>
                </c:pt>
                <c:pt idx="98">
                  <c:v>64.859800000000007</c:v>
                </c:pt>
                <c:pt idx="99">
                  <c:v>62.800800000000002</c:v>
                </c:pt>
                <c:pt idx="100">
                  <c:v>56.831300000000006</c:v>
                </c:pt>
                <c:pt idx="101">
                  <c:v>50.908000000000008</c:v>
                </c:pt>
                <c:pt idx="102">
                  <c:v>47.28990000000001</c:v>
                </c:pt>
                <c:pt idx="103">
                  <c:v>53.534600000000012</c:v>
                </c:pt>
                <c:pt idx="104">
                  <c:v>49.374700000000004</c:v>
                </c:pt>
                <c:pt idx="105">
                  <c:v>50.144999999999996</c:v>
                </c:pt>
                <c:pt idx="106">
                  <c:v>48.295800000000007</c:v>
                </c:pt>
                <c:pt idx="107">
                  <c:v>42.795699999999989</c:v>
                </c:pt>
                <c:pt idx="108">
                  <c:v>41.012400000000014</c:v>
                </c:pt>
                <c:pt idx="109">
                  <c:v>43.085599999999992</c:v>
                </c:pt>
                <c:pt idx="110">
                  <c:v>44.156099999999995</c:v>
                </c:pt>
                <c:pt idx="111">
                  <c:v>41.132100000000008</c:v>
                </c:pt>
                <c:pt idx="112">
                  <c:v>54.753299999999996</c:v>
                </c:pt>
                <c:pt idx="113">
                  <c:v>50.094400000000007</c:v>
                </c:pt>
                <c:pt idx="114">
                  <c:v>46.466000000000001</c:v>
                </c:pt>
                <c:pt idx="115">
                  <c:v>43.809100000000008</c:v>
                </c:pt>
                <c:pt idx="116">
                  <c:v>42.087200000000003</c:v>
                </c:pt>
                <c:pt idx="117">
                  <c:v>48.574300000000001</c:v>
                </c:pt>
                <c:pt idx="118">
                  <c:v>49.096799999999995</c:v>
                </c:pt>
                <c:pt idx="119">
                  <c:v>53.377699999999997</c:v>
                </c:pt>
                <c:pt idx="120">
                  <c:v>55.2393</c:v>
                </c:pt>
                <c:pt idx="121">
                  <c:v>52.186699999999995</c:v>
                </c:pt>
                <c:pt idx="122">
                  <c:v>57.342900000000007</c:v>
                </c:pt>
                <c:pt idx="123">
                  <c:v>41.381199999999993</c:v>
                </c:pt>
                <c:pt idx="124">
                  <c:v>50.173400000000001</c:v>
                </c:pt>
                <c:pt idx="125">
                  <c:v>42.889400000000002</c:v>
                </c:pt>
                <c:pt idx="126">
                  <c:v>42.045900000000003</c:v>
                </c:pt>
                <c:pt idx="127">
                  <c:v>36.268099999999997</c:v>
                </c:pt>
                <c:pt idx="128">
                  <c:v>35.101999999999997</c:v>
                </c:pt>
              </c:numCache>
            </c:numRef>
          </c:val>
          <c:smooth val="0"/>
          <c:extLst xmlns:c16r2="http://schemas.microsoft.com/office/drawing/2015/06/chart">
            <c:ext xmlns:c16="http://schemas.microsoft.com/office/drawing/2014/chart" uri="{C3380CC4-5D6E-409C-BE32-E72D297353CC}">
              <c16:uniqueId val="{00000002-F508-4C9B-87A2-A7F9ABACC56B}"/>
            </c:ext>
          </c:extLst>
        </c:ser>
        <c:dLbls>
          <c:showLegendKey val="0"/>
          <c:showVal val="0"/>
          <c:showCatName val="0"/>
          <c:showSerName val="0"/>
          <c:showPercent val="0"/>
          <c:showBubbleSize val="0"/>
        </c:dLbls>
        <c:smooth val="0"/>
        <c:axId val="138843928"/>
        <c:axId val="138844320"/>
      </c:lineChart>
      <c:dateAx>
        <c:axId val="138843928"/>
        <c:scaling>
          <c:orientation val="minMax"/>
        </c:scaling>
        <c:delete val="0"/>
        <c:axPos val="b"/>
        <c:numFmt formatCode="yyyy" sourceLinked="0"/>
        <c:majorTickMark val="out"/>
        <c:minorTickMark val="none"/>
        <c:tickLblPos val="low"/>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sk-SK"/>
          </a:p>
        </c:txPr>
        <c:crossAx val="138844320"/>
        <c:crosses val="autoZero"/>
        <c:auto val="1"/>
        <c:lblOffset val="100"/>
        <c:baseTimeUnit val="days"/>
        <c:majorUnit val="2"/>
        <c:majorTimeUnit val="years"/>
      </c:dateAx>
      <c:valAx>
        <c:axId val="138844320"/>
        <c:scaling>
          <c:orientation val="minMax"/>
          <c:min val="-5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Verdana" panose="020B0604030504040204" pitchFamily="34" charset="0"/>
                <a:ea typeface="Verdana" panose="020B0604030504040204" pitchFamily="34" charset="0"/>
                <a:cs typeface="+mn-cs"/>
              </a:defRPr>
            </a:pPr>
            <a:endParaRPr lang="sk-SK"/>
          </a:p>
        </c:txPr>
        <c:crossAx val="138843928"/>
        <c:crosses val="autoZero"/>
        <c:crossBetween val="between"/>
        <c:majorUnit val="50"/>
      </c:valAx>
      <c:spPr>
        <a:noFill/>
        <a:ln>
          <a:noFill/>
        </a:ln>
        <a:effectLst/>
      </c:spPr>
    </c:plotArea>
    <c:legend>
      <c:legendPos val="t"/>
      <c:layout>
        <c:manualLayout>
          <c:xMode val="edge"/>
          <c:yMode val="edge"/>
          <c:x val="0.20384491730921178"/>
          <c:y val="6.1391415379775309E-4"/>
          <c:w val="0.57660427394672553"/>
          <c:h val="0.1255892702853137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Verdana" panose="020B0604030504040204" pitchFamily="34" charset="0"/>
              <a:ea typeface="Verdana" panose="020B0604030504040204" pitchFamily="34" charset="0"/>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Verdana" panose="020B0604030504040204" pitchFamily="34" charset="0"/>
          <a:ea typeface="Verdana" panose="020B0604030504040204" pitchFamily="34" charset="0"/>
        </a:defRPr>
      </a:pPr>
      <a:endParaRPr lang="sk-SK"/>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F314966-6421-4E60-906B-F952A7B9A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11</Pages>
  <Words>3001</Words>
  <Characters>17108</Characters>
  <Application>Microsoft Office Word</Application>
  <DocSecurity>0</DocSecurity>
  <Lines>142</Lines>
  <Paragraphs>40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Komentovaný návrh obsahu Aktualizácie stratégie riadenia štátneho dlhu</vt:lpstr>
      <vt:lpstr>Komentovaný návrh obsahu Aktualizácie stratégie riadenia štátneho dlhu</vt:lpstr>
    </vt:vector>
  </TitlesOfParts>
  <Company>MFSR</Company>
  <LinksUpToDate>false</LinksUpToDate>
  <CharactersWithSpaces>20069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Komentovaný návrh obsahu Aktualizácie stratégie riadenia štátneho dlhu</dc:title>
  <dc:subject/>
  <dc:creator>ARDAL</dc:creator>
  <cp:keywords/>
  <cp:lastModifiedBy>Vrankova Miroslava</cp:lastModifiedBy>
  <cp:revision>60</cp:revision>
  <cp:lastPrinted>2019-10-10T09:28:00Z</cp:lastPrinted>
  <dcterms:created xsi:type="dcterms:W3CDTF">2019-10-10T08:24:00Z</dcterms:created>
  <dcterms:modified xsi:type="dcterms:W3CDTF">2019-10-10T13:19:00Z</dcterms:modified>
</cp:coreProperties>
</file>