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96F3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6B95E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D617B8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CBE87E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CA30171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47B137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0A64D5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6F0DFC9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1C6072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50E051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5E52E19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4265584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DAB7A0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675268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754B821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82899B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89DBF2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6BADB17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973C35E" w14:textId="77777777" w:rsidR="00625A94" w:rsidRDefault="00625A94" w:rsidP="00625A94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Príloha č. 5</w:t>
      </w:r>
    </w:p>
    <w:p w14:paraId="291AC7F7" w14:textId="77777777" w:rsidR="00625A94" w:rsidRDefault="00625A94" w:rsidP="00625A94">
      <w:pPr>
        <w:pStyle w:val="Normlnywebov"/>
        <w:spacing w:before="0" w:beforeAutospacing="0" w:after="0" w:afterAutospacing="0"/>
        <w:jc w:val="center"/>
        <w:rPr>
          <w:b/>
          <w:bCs/>
          <w:sz w:val="44"/>
          <w:szCs w:val="44"/>
        </w:rPr>
      </w:pPr>
    </w:p>
    <w:p w14:paraId="037607E8" w14:textId="77777777" w:rsidR="00625A94" w:rsidRDefault="00625A94" w:rsidP="00625A94">
      <w:pPr>
        <w:pStyle w:val="Normlnywebov"/>
        <w:spacing w:before="0" w:beforeAutospacing="0" w:after="0" w:afterAutospacing="0"/>
        <w:jc w:val="center"/>
      </w:pPr>
      <w:r>
        <w:rPr>
          <w:b/>
          <w:bCs/>
          <w:sz w:val="44"/>
          <w:szCs w:val="44"/>
        </w:rPr>
        <w:t>Implicitné záväzky</w:t>
      </w:r>
    </w:p>
    <w:p w14:paraId="6219F318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88FD92E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18B7E0B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6F5F03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E9CC8F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FD65B29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D740CE8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820186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5494C3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1DBCDEA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877520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4922C48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6B9B546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D6C269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910E80A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8A28D2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F0E73AD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878918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730403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B6DD47C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F7D7A6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BCCB335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703B52B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44A2650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BAC8FEB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61A27CE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75C002" w14:textId="77777777" w:rsidR="00625A94" w:rsidRDefault="00625A94" w:rsidP="00625A94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8D7B7AD" w14:textId="77777777" w:rsidR="003F2E15" w:rsidRPr="00DA6075" w:rsidRDefault="003F2E15" w:rsidP="003F2E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075">
        <w:rPr>
          <w:rFonts w:ascii="Times New Roman" w:hAnsi="Times New Roman" w:cs="Times New Roman"/>
          <w:b/>
          <w:sz w:val="24"/>
          <w:szCs w:val="24"/>
        </w:rPr>
        <w:lastRenderedPageBreak/>
        <w:t>Implicitné záväzky</w:t>
      </w:r>
    </w:p>
    <w:p w14:paraId="56AE2EE1" w14:textId="77777777" w:rsidR="003F2E15" w:rsidRPr="00DA6075" w:rsidRDefault="003F2E15" w:rsidP="003F2E15">
      <w:pPr>
        <w:spacing w:after="0" w:line="240" w:lineRule="auto"/>
        <w:rPr>
          <w:rFonts w:ascii="Times New Roman" w:hAnsi="Times New Roman" w:cs="Times New Roman"/>
        </w:rPr>
      </w:pPr>
    </w:p>
    <w:p w14:paraId="73494F11" w14:textId="055F4C3A" w:rsidR="003F2E15" w:rsidRPr="00972692" w:rsidRDefault="003F2E15" w:rsidP="009C62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92">
        <w:rPr>
          <w:rFonts w:ascii="Times New Roman" w:hAnsi="Times New Roman" w:cs="Times New Roman"/>
          <w:sz w:val="24"/>
          <w:szCs w:val="24"/>
        </w:rPr>
        <w:t>Implicitné záv</w:t>
      </w:r>
      <w:r w:rsidR="00A73902" w:rsidRPr="00972692">
        <w:rPr>
          <w:rFonts w:ascii="Times New Roman" w:hAnsi="Times New Roman" w:cs="Times New Roman"/>
          <w:sz w:val="24"/>
          <w:szCs w:val="24"/>
        </w:rPr>
        <w:t xml:space="preserve">äzky sú podľa ústavného zákona </w:t>
      </w:r>
      <w:r w:rsidRPr="00972692">
        <w:rPr>
          <w:rFonts w:ascii="Times New Roman" w:hAnsi="Times New Roman" w:cs="Times New Roman"/>
          <w:sz w:val="24"/>
          <w:szCs w:val="24"/>
        </w:rPr>
        <w:t>č. 493/2011 Z.</w:t>
      </w:r>
      <w:r w:rsidR="00A73902" w:rsidRPr="00972692">
        <w:rPr>
          <w:rFonts w:ascii="Times New Roman" w:hAnsi="Times New Roman" w:cs="Times New Roman"/>
          <w:sz w:val="24"/>
          <w:szCs w:val="24"/>
        </w:rPr>
        <w:t xml:space="preserve"> z.</w:t>
      </w:r>
      <w:r w:rsidRPr="00972692">
        <w:rPr>
          <w:rFonts w:ascii="Times New Roman" w:hAnsi="Times New Roman" w:cs="Times New Roman"/>
          <w:sz w:val="24"/>
          <w:szCs w:val="24"/>
        </w:rPr>
        <w:t xml:space="preserve"> o rozpočtovej zodpovednosti definované ako „rozdiel medzi očakávanými budúcimi výdavkami subjektov verejnej správy a očakávanými budúcimi príjmami subjektov verejnej správy, ktoré vyplývajú z finančných dôsledkov spôsobených budúcim uplatňovaním práv a povinností ustanovených právnym poriadkom Slovenskej republiky, ak tieto nie sú súčasťou dlhu verejnej správy“. Ide o </w:t>
      </w:r>
      <w:r w:rsidRPr="00972692">
        <w:rPr>
          <w:rFonts w:ascii="Times New Roman" w:hAnsi="Times New Roman" w:cs="Times New Roman"/>
          <w:b/>
          <w:sz w:val="24"/>
          <w:szCs w:val="24"/>
        </w:rPr>
        <w:t xml:space="preserve">čisté záväzky v sektore sociálnych vecí, zdravotníctva a školstva spojené so starnutím populácie a ďalšie typy záväzkov, ako napríklad záväzky z PPP projektov a náklady na odstavenie jadrových elektrární. </w:t>
      </w:r>
      <w:r w:rsidRPr="00972692">
        <w:rPr>
          <w:rFonts w:ascii="Times New Roman" w:hAnsi="Times New Roman" w:cs="Times New Roman"/>
          <w:sz w:val="24"/>
          <w:szCs w:val="24"/>
        </w:rPr>
        <w:t>Z uvedeného vyplýva, že nejde o záväzky vykázané v súvahe účtovných závierok subjektov verejnej správy v aktuálnom roku, keďže ich ocenenie môže byť problematické. Napriek tomu však možno pri zohľadnení aktuálneho legislatívneho stavu odhadnúť ich výšku.</w:t>
      </w:r>
    </w:p>
    <w:p w14:paraId="5E6B3D81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3614B" w14:textId="77777777" w:rsidR="003F2E15" w:rsidRPr="00972692" w:rsidRDefault="003F2E15" w:rsidP="003F2E1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t>Celkové implicitné záväzky</w:t>
      </w:r>
    </w:p>
    <w:p w14:paraId="0F585583" w14:textId="77777777" w:rsidR="003F2E15" w:rsidRPr="00972692" w:rsidRDefault="003F2E15" w:rsidP="003F2E1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53F35" w14:textId="77777777" w:rsidR="003F2E15" w:rsidRPr="00DA6075" w:rsidRDefault="003F2E15" w:rsidP="009C62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72692">
        <w:rPr>
          <w:rFonts w:ascii="Times New Roman" w:hAnsi="Times New Roman" w:cs="Times New Roman"/>
          <w:sz w:val="24"/>
          <w:szCs w:val="24"/>
        </w:rPr>
        <w:t>Implicitné záväzky sú odhadnuté ako súčasná hodnota budúcich záväzkov vyplývajúcich zo starnutia populácie, záväzkov z PPP projektov a Národného jadrového fondu v nekonečnom horizonte vyjadrené ako percento aktuálneho HDP roku 2019. Jednotlivým oblastiam sa venujú nasledujúce časti tejto prílohy. Manuál k implicitným záväzkom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972692">
        <w:rPr>
          <w:rFonts w:ascii="Times New Roman" w:hAnsi="Times New Roman" w:cs="Times New Roman"/>
          <w:sz w:val="24"/>
          <w:szCs w:val="24"/>
        </w:rPr>
        <w:t xml:space="preserve"> popisuje podrobnejšie postup výpočtu.</w:t>
      </w:r>
      <w:r w:rsidRPr="00DA6075">
        <w:rPr>
          <w:rFonts w:ascii="Times New Roman" w:hAnsi="Times New Roman" w:cs="Times New Roman"/>
        </w:rPr>
        <w:t xml:space="preserve"> </w:t>
      </w:r>
    </w:p>
    <w:p w14:paraId="71E6AC11" w14:textId="77777777" w:rsidR="003F2E15" w:rsidRPr="00DA6075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1701"/>
      </w:tblGrid>
      <w:tr w:rsidR="0045646A" w:rsidRPr="0045646A" w14:paraId="4CF5CABE" w14:textId="77777777" w:rsidTr="00FB3ED9">
        <w:trPr>
          <w:trHeight w:val="283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96403E2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Implicitné záväzky – scenár nezmenených politík (hodnota k roku 2019, v % HDP)</w:t>
            </w:r>
          </w:p>
        </w:tc>
      </w:tr>
      <w:tr w:rsidR="003F2E15" w:rsidRPr="00DA6075" w14:paraId="049802F5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6FCC78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03CB38" w14:textId="77777777" w:rsidR="003F2E15" w:rsidRPr="00CB2EFB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</w:tr>
      <w:tr w:rsidR="003F2E15" w:rsidRPr="00DA6075" w14:paraId="0AA30522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1BC9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1. Vplyv starnutia populácie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E35C" w14:textId="77777777" w:rsidR="003F2E15" w:rsidRPr="00CB2EFB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387,8 %</w:t>
            </w:r>
          </w:p>
        </w:tc>
      </w:tr>
      <w:tr w:rsidR="003F2E15" w:rsidRPr="00DA6075" w14:paraId="1F09BDBB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B27C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2. Vplyv PPP projektu - rýchlostná cesta R1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D51" w14:textId="77777777" w:rsidR="003F2E15" w:rsidRPr="00CB2EFB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2,3 %</w:t>
            </w:r>
          </w:p>
        </w:tc>
      </w:tr>
      <w:tr w:rsidR="003F2E15" w:rsidRPr="00DA6075" w14:paraId="2F0A5D3C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7657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3. Vplyv PPP projektu - obchvat BA D4/R7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C56B" w14:textId="77777777" w:rsidR="003F2E15" w:rsidRPr="00CB2EFB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B2EF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1,0 </w:t>
            </w:r>
            <w:r w:rsidRPr="00CB2EF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3F2E15" w:rsidRPr="00DA6075" w14:paraId="755BB152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8596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4. Vplyv PPP projektu - väzenské zariadenie Rimavská 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AD93" w14:textId="77777777" w:rsidR="003F2E15" w:rsidRPr="00CB2EFB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B2EF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0,3 </w:t>
            </w:r>
            <w:r w:rsidRPr="00CB2EF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3F2E15" w:rsidRPr="00DA6075" w14:paraId="2B1BE68E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9D95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5. Vplyv Národného jadrového fondu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54A4" w14:textId="77777777" w:rsidR="003F2E15" w:rsidRPr="00CB2EFB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-2,7 %</w:t>
            </w:r>
          </w:p>
        </w:tc>
      </w:tr>
      <w:tr w:rsidR="003F2E15" w:rsidRPr="00DA6075" w14:paraId="234C1D4A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689A4B" w14:textId="77777777" w:rsidR="003F2E15" w:rsidRPr="00CB2EF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6. Celková výška implicitných záväzkov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F41EBE" w14:textId="77777777" w:rsidR="003F2E15" w:rsidRPr="00CB2EFB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CB2E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388,7 %</w:t>
            </w:r>
          </w:p>
        </w:tc>
      </w:tr>
      <w:tr w:rsidR="003F2E15" w:rsidRPr="00DA6075" w14:paraId="0F8AB54D" w14:textId="77777777" w:rsidTr="00FB3ED9">
        <w:trPr>
          <w:trHeight w:val="283"/>
          <w:jc w:val="center"/>
        </w:trPr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778D" w14:textId="48264AB9" w:rsidR="003F2E15" w:rsidRPr="00BB3DCF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</w:pPr>
            <w:r w:rsidRPr="00BB3DC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>* (-) vplyvy znižujúce výšku implicitných záväzkov (+)</w:t>
            </w:r>
            <w:r w:rsidR="00CB6C55" w:rsidRPr="00BB3DC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BB3DC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>vplyvy zvyšujúce výšku implicitných záväzkov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23A2" w14:textId="77777777" w:rsidR="003F2E15" w:rsidRPr="00BB3DCF" w:rsidRDefault="003F2E15" w:rsidP="0044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</w:pPr>
            <w:r w:rsidRPr="00BB3DC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>Zdroj: MF SR</w:t>
            </w:r>
          </w:p>
        </w:tc>
      </w:tr>
    </w:tbl>
    <w:p w14:paraId="575A0E55" w14:textId="77777777" w:rsidR="003F2E15" w:rsidRPr="00DA6075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14:paraId="34E4B808" w14:textId="6536AB5C" w:rsidR="003F2E15" w:rsidRPr="00972692" w:rsidRDefault="003F2E15" w:rsidP="00C357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t>V roku 2019 dosahujú celkové implicitné záväzky 388,7 % HDP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972692">
        <w:rPr>
          <w:rFonts w:ascii="Times New Roman" w:hAnsi="Times New Roman" w:cs="Times New Roman"/>
          <w:sz w:val="24"/>
          <w:szCs w:val="24"/>
        </w:rPr>
        <w:t xml:space="preserve">. V porovnaní s údajmi prezentovanými v rozpočte verejnej správy na roky 2019 až 2021 (implicitné záväzky vo výške 182,3 %  HDP) došlo k zvýšeniu odhadovaných implicitných záväzkov o 206,4 % HDP. </w:t>
      </w:r>
      <w:r w:rsidRPr="00972692">
        <w:rPr>
          <w:rFonts w:ascii="Times New Roman" w:hAnsi="Times New Roman" w:cs="Times New Roman"/>
          <w:b/>
          <w:sz w:val="24"/>
          <w:szCs w:val="24"/>
        </w:rPr>
        <w:t xml:space="preserve">Táto zmena bola spôsobená predovšetkým zapracovaním legislatívnych zmien v penzijnom systéme z roku 2019 </w:t>
      </w:r>
      <w:r w:rsidRPr="00972692">
        <w:rPr>
          <w:rFonts w:ascii="Times New Roman" w:hAnsi="Times New Roman" w:cs="Times New Roman"/>
          <w:sz w:val="24"/>
          <w:szCs w:val="24"/>
        </w:rPr>
        <w:t>(BOX 1),</w:t>
      </w:r>
      <w:r w:rsidRPr="00972692">
        <w:rPr>
          <w:rFonts w:ascii="Times New Roman" w:hAnsi="Times New Roman" w:cs="Times New Roman"/>
          <w:b/>
          <w:sz w:val="24"/>
          <w:szCs w:val="24"/>
        </w:rPr>
        <w:t xml:space="preserve">  nad rámec oficálnych projekcií z roku 2018, ktoré zostavuje pracovná skupina pre starnutie obyvateľstva (AWG – Ageing working group). </w:t>
      </w:r>
      <w:r w:rsidRPr="00972692">
        <w:rPr>
          <w:rFonts w:ascii="Times New Roman" w:hAnsi="Times New Roman" w:cs="Times New Roman"/>
          <w:sz w:val="24"/>
          <w:szCs w:val="24"/>
        </w:rPr>
        <w:t>Zmena implicitných záväzkov bola v menšej miere ovplyvnená aj pravidelnou krá</w:t>
      </w:r>
      <w:r w:rsidR="0055615F">
        <w:rPr>
          <w:rFonts w:ascii="Times New Roman" w:hAnsi="Times New Roman" w:cs="Times New Roman"/>
          <w:sz w:val="24"/>
          <w:szCs w:val="24"/>
        </w:rPr>
        <w:t>t</w:t>
      </w:r>
      <w:r w:rsidRPr="00972692">
        <w:rPr>
          <w:rFonts w:ascii="Times New Roman" w:hAnsi="Times New Roman" w:cs="Times New Roman"/>
          <w:sz w:val="24"/>
          <w:szCs w:val="24"/>
        </w:rPr>
        <w:t>kodobou prognózou makroekonomických údajov a každoročným posunom sledovaného horizontu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Pr="00972692">
        <w:rPr>
          <w:rFonts w:ascii="Times New Roman" w:hAnsi="Times New Roman" w:cs="Times New Roman"/>
          <w:sz w:val="24"/>
          <w:szCs w:val="24"/>
        </w:rPr>
        <w:t>.</w:t>
      </w:r>
    </w:p>
    <w:p w14:paraId="4574ECFD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476D5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-53"/>
        <w:tblW w:w="0" w:type="auto"/>
        <w:shd w:val="clear" w:color="auto" w:fill="A6A6A6" w:themeFill="background1" w:themeFillShade="A6"/>
        <w:tblLayout w:type="fixed"/>
        <w:tblLook w:val="04A0" w:firstRow="1" w:lastRow="0" w:firstColumn="1" w:lastColumn="0" w:noHBand="0" w:noVBand="1"/>
      </w:tblPr>
      <w:tblGrid>
        <w:gridCol w:w="9062"/>
      </w:tblGrid>
      <w:tr w:rsidR="003F2E15" w:rsidRPr="00972692" w14:paraId="0311D552" w14:textId="77777777" w:rsidTr="00972692">
        <w:tc>
          <w:tcPr>
            <w:tcW w:w="9062" w:type="dxa"/>
            <w:shd w:val="clear" w:color="auto" w:fill="BFBFBF" w:themeFill="background1" w:themeFillShade="BF"/>
          </w:tcPr>
          <w:p w14:paraId="733FA9CF" w14:textId="77777777" w:rsidR="003F2E15" w:rsidRPr="00972692" w:rsidRDefault="003F2E15" w:rsidP="0044705F">
            <w:pPr>
              <w:pStyle w:val="Default"/>
              <w:jc w:val="both"/>
              <w:rPr>
                <w:b/>
              </w:rPr>
            </w:pPr>
            <w:r w:rsidRPr="00972692">
              <w:rPr>
                <w:b/>
                <w:bCs/>
                <w:lang w:val="sk-SK"/>
              </w:rPr>
              <w:lastRenderedPageBreak/>
              <w:t xml:space="preserve">BOX 1 </w:t>
            </w:r>
            <w:r w:rsidRPr="00972692">
              <w:rPr>
                <w:b/>
                <w:lang w:val="sk-SK"/>
              </w:rPr>
              <w:t>- Z</w:t>
            </w:r>
            <w:r w:rsidRPr="00972692">
              <w:rPr>
                <w:b/>
              </w:rPr>
              <w:t>meny v politikách citlivých na starnutie populácie</w:t>
            </w:r>
          </w:p>
          <w:p w14:paraId="6C6261A2" w14:textId="77777777" w:rsidR="003F2E15" w:rsidRPr="00972692" w:rsidRDefault="003F2E15" w:rsidP="0044705F">
            <w:pPr>
              <w:pStyle w:val="Default"/>
              <w:jc w:val="both"/>
            </w:pPr>
          </w:p>
          <w:p w14:paraId="15487260" w14:textId="33A5C103" w:rsidR="003F2E15" w:rsidRPr="00972692" w:rsidRDefault="003F2E15" w:rsidP="0044705F">
            <w:pPr>
              <w:pStyle w:val="Default"/>
              <w:jc w:val="both"/>
            </w:pPr>
            <w:r w:rsidRPr="00972692">
              <w:t>Dlhodobé projekcie výdavkov citlivých na starnutie, s ktorým uvažujú aktuálne platné projekcie AWG z roku 2018, boli v kva</w:t>
            </w:r>
            <w:r w:rsidR="00751B2E">
              <w:t>ntifikácii implicitných závä</w:t>
            </w:r>
            <w:r w:rsidRPr="00972692">
              <w:t xml:space="preserve">zkov upravené o novoprijaté opatrenia v oblasti penzijného systému. </w:t>
            </w:r>
            <w:r w:rsidRPr="00972692">
              <w:rPr>
                <w:b/>
              </w:rPr>
              <w:t>Oproti stavu z roku 2019 vzrastú výdavky na dôchodkové dávky do roku 2062 približne o 3,2 % HDP.</w:t>
            </w:r>
          </w:p>
          <w:p w14:paraId="17587D5B" w14:textId="77777777" w:rsidR="003F2E15" w:rsidRPr="00972692" w:rsidRDefault="003F2E15" w:rsidP="0044705F">
            <w:pPr>
              <w:pStyle w:val="Default"/>
              <w:jc w:val="both"/>
            </w:pPr>
          </w:p>
          <w:p w14:paraId="38CDD38A" w14:textId="77777777" w:rsidR="003F2E15" w:rsidRPr="00972692" w:rsidRDefault="003F2E15" w:rsidP="0044705F">
            <w:pPr>
              <w:pStyle w:val="Default"/>
              <w:jc w:val="both"/>
              <w:rPr>
                <w:b/>
              </w:rPr>
            </w:pPr>
            <w:r w:rsidRPr="00972692">
              <w:rPr>
                <w:b/>
              </w:rPr>
              <w:t>Prijaté opatrenia v roku 2019</w:t>
            </w:r>
            <w:r w:rsidRPr="00972692">
              <w:rPr>
                <w:rStyle w:val="Odkaznapoznmkupodiarou"/>
              </w:rPr>
              <w:footnoteReference w:id="4"/>
            </w:r>
            <w:r w:rsidRPr="00972692">
              <w:rPr>
                <w:b/>
              </w:rPr>
              <w:t>:</w:t>
            </w:r>
          </w:p>
          <w:p w14:paraId="4B3939E9" w14:textId="77777777" w:rsidR="003F2E15" w:rsidRPr="00972692" w:rsidRDefault="003F2E15" w:rsidP="003F2E15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692">
              <w:rPr>
                <w:rFonts w:ascii="Times New Roman" w:hAnsi="Times New Roman" w:cs="Times New Roman"/>
                <w:b/>
                <w:sz w:val="24"/>
                <w:szCs w:val="24"/>
              </w:rPr>
              <w:t>Zavedenie stropu na vek odchodu do dôchodku:</w:t>
            </w:r>
          </w:p>
          <w:p w14:paraId="6D6F853F" w14:textId="77777777" w:rsidR="003F2E15" w:rsidRPr="00972692" w:rsidRDefault="003F2E15" w:rsidP="004470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92">
              <w:rPr>
                <w:rFonts w:ascii="Times New Roman" w:hAnsi="Times New Roman" w:cs="Times New Roman"/>
                <w:sz w:val="24"/>
                <w:szCs w:val="24"/>
              </w:rPr>
              <w:t>Ústavným zákonom sa koncom marca 2019 schválil zavedenie stropu na vek odchodu do dôchodku. Rast dôchodkového veku sa zastaví na hranici 64 rokov a strop pre ženy bude závisieť od počtu vychovaných detí</w:t>
            </w:r>
            <w:r w:rsidRPr="00972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972692">
              <w:rPr>
                <w:rFonts w:ascii="Times New Roman" w:hAnsi="Times New Roman" w:cs="Times New Roman"/>
                <w:sz w:val="24"/>
                <w:szCs w:val="24"/>
              </w:rPr>
              <w:t>Dosiahnutie všeobecného stropu na úrovni 64 rokov sa pri súčasnom nastavení zvyšovania dôchodkového veku očakáva po roku 2028. Na skrátenom horizonte RVS má opatrenie malý vplyv (približne 0,01 % HDP v roku 2022).</w:t>
            </w:r>
          </w:p>
          <w:p w14:paraId="6A57A76A" w14:textId="77777777" w:rsidR="003F2E15" w:rsidRPr="00972692" w:rsidRDefault="003F2E15" w:rsidP="0044705F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E6C25" w14:textId="77777777" w:rsidR="003F2E15" w:rsidRPr="00972692" w:rsidRDefault="003F2E15" w:rsidP="003F2E15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692">
              <w:rPr>
                <w:rFonts w:ascii="Times New Roman" w:hAnsi="Times New Roman" w:cs="Times New Roman"/>
                <w:b/>
                <w:sz w:val="24"/>
                <w:szCs w:val="24"/>
              </w:rPr>
              <w:t>Zmeny v určovaní dôchodkového veku</w:t>
            </w:r>
          </w:p>
          <w:p w14:paraId="07478ABB" w14:textId="77777777" w:rsidR="003F2E15" w:rsidRPr="00972692" w:rsidRDefault="003F2E15" w:rsidP="0044705F">
            <w:pPr>
              <w:pStyle w:val="Odsekzoznamu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692">
              <w:rPr>
                <w:rFonts w:ascii="Times New Roman" w:hAnsi="Times New Roman" w:cs="Times New Roman"/>
                <w:sz w:val="24"/>
                <w:szCs w:val="24"/>
              </w:rPr>
              <w:t>Dôchodkový vek sa od januára 2019 po novom určuje na 5 rokov dopredu a zaokrúhľuje sa na celé mesiace. Vzhľadom na schválenie zastropovania dôchodkového veku v marci 2019 bude mať toto opatrenie reálny efekt len do roku 2028. V roku 2019 má toto opatrenie negatívny dopad vo výške 6,7 mil. eur.</w:t>
            </w:r>
          </w:p>
          <w:p w14:paraId="5EA1DFC1" w14:textId="77777777" w:rsidR="003F2E15" w:rsidRPr="00972692" w:rsidRDefault="003F2E15" w:rsidP="0044705F">
            <w:pPr>
              <w:pStyle w:val="Odsekzoznamu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3154F9" w14:textId="77777777" w:rsidR="003F2E15" w:rsidRPr="00972692" w:rsidRDefault="003F2E15" w:rsidP="003F2E15">
      <w:pPr>
        <w:pStyle w:val="Default"/>
        <w:jc w:val="both"/>
        <w:rPr>
          <w:b/>
          <w:bCs/>
          <w:lang w:val="sk-SK"/>
        </w:rPr>
      </w:pPr>
    </w:p>
    <w:p w14:paraId="2595B86A" w14:textId="77777777" w:rsidR="003F2E15" w:rsidRPr="00972692" w:rsidRDefault="003F2E15" w:rsidP="003F2E15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t>Záväzky spojené so starnutím populácie</w:t>
      </w:r>
    </w:p>
    <w:p w14:paraId="7BD090D2" w14:textId="77777777" w:rsidR="003F2E15" w:rsidRPr="00972692" w:rsidRDefault="003F2E15" w:rsidP="003F2E15">
      <w:pPr>
        <w:pStyle w:val="Odsekzoznamu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D216" w14:textId="77777777" w:rsidR="003F2E15" w:rsidRPr="00972692" w:rsidRDefault="003F2E15" w:rsidP="009C62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692">
        <w:rPr>
          <w:rFonts w:ascii="Times New Roman" w:hAnsi="Times New Roman" w:cs="Times New Roman"/>
          <w:sz w:val="24"/>
          <w:szCs w:val="24"/>
        </w:rPr>
        <w:t>Základom kvantifikácie sú predpoklady a projekcie pracovnej skupiny AWG zaoberajúcej sa vplyvmi starnutia populácie na verejné financie členských krajín EÚ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5"/>
      </w:r>
      <w:r w:rsidRPr="00972692">
        <w:rPr>
          <w:rFonts w:ascii="Times New Roman" w:hAnsi="Times New Roman" w:cs="Times New Roman"/>
          <w:sz w:val="24"/>
          <w:szCs w:val="24"/>
        </w:rPr>
        <w:t xml:space="preserve">. Táto skupina publikuje každé tri roky </w:t>
      </w:r>
      <w:r w:rsidRPr="00972692">
        <w:rPr>
          <w:rFonts w:ascii="Times New Roman" w:hAnsi="Times New Roman" w:cs="Times New Roman"/>
          <w:color w:val="000000"/>
          <w:sz w:val="24"/>
          <w:szCs w:val="24"/>
        </w:rPr>
        <w:t>dlhodobé projekcie príjmov a výdavkov citlivých na starnutie populácie na základe projekcií demografického vývoja Eurostatu a dlhodobých makroekonomických projekcií Európskej komisie (EK). Pre účel stanovenia implicitných záväzkov do RVS na roky 2020 až 2022 boli zapracované legislatívne úpravy prijaté v roku 2019, ktoré významným spôsobom ovplyvnili ich výšku. Kvantifikácia implicitných záväzkov uvažuje aj s aktualizáciou dlhodobých rastov HDP, ktorých zmenu taktiež ovplyvnili nové legislatívne opatrenia.</w:t>
      </w:r>
    </w:p>
    <w:p w14:paraId="36984AF8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0CFAF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t>Postup výpočtu záväzkov spojených so starnutím možno rozdeliť do dvoch krokov:</w:t>
      </w:r>
    </w:p>
    <w:p w14:paraId="67AC19E7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AAF00" w14:textId="67C56A66" w:rsidR="003F2E15" w:rsidRPr="00972692" w:rsidRDefault="003F2E15" w:rsidP="00E44782">
      <w:pPr>
        <w:pStyle w:val="Odsekzoznamu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t xml:space="preserve">Prvým krokom </w:t>
      </w:r>
      <w:r w:rsidRPr="00972692">
        <w:rPr>
          <w:rFonts w:ascii="Times New Roman" w:hAnsi="Times New Roman" w:cs="Times New Roman"/>
          <w:sz w:val="24"/>
          <w:szCs w:val="24"/>
        </w:rPr>
        <w:t>výpočtu</w:t>
      </w:r>
      <w:r w:rsidRPr="00972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692">
        <w:rPr>
          <w:rFonts w:ascii="Times New Roman" w:hAnsi="Times New Roman" w:cs="Times New Roman"/>
          <w:sz w:val="24"/>
          <w:szCs w:val="24"/>
        </w:rPr>
        <w:t>je zostavenie bilancie príjmov a výdavkov spojených so starnutím populácie, pričom východiskovým rokom je 2019</w:t>
      </w:r>
      <w:r w:rsidR="00416412">
        <w:rPr>
          <w:rFonts w:ascii="Times New Roman" w:hAnsi="Times New Roman" w:cs="Times New Roman"/>
          <w:sz w:val="24"/>
          <w:szCs w:val="24"/>
        </w:rPr>
        <w:t>,</w:t>
      </w:r>
      <w:r w:rsidRPr="00972692">
        <w:rPr>
          <w:rFonts w:ascii="Times New Roman" w:hAnsi="Times New Roman" w:cs="Times New Roman"/>
          <w:sz w:val="24"/>
          <w:szCs w:val="24"/>
        </w:rPr>
        <w:t xml:space="preserve"> t.</w:t>
      </w:r>
      <w:r w:rsidR="00416412">
        <w:rPr>
          <w:rFonts w:ascii="Times New Roman" w:hAnsi="Times New Roman" w:cs="Times New Roman"/>
          <w:sz w:val="24"/>
          <w:szCs w:val="24"/>
        </w:rPr>
        <w:t xml:space="preserve"> </w:t>
      </w:r>
      <w:r w:rsidRPr="00972692">
        <w:rPr>
          <w:rFonts w:ascii="Times New Roman" w:hAnsi="Times New Roman" w:cs="Times New Roman"/>
          <w:sz w:val="24"/>
          <w:szCs w:val="24"/>
        </w:rPr>
        <w:t xml:space="preserve">j. rok, z ktorého sa vychádza pri zostavovaní rozpočtu verejnej správy na roky 2020 až 2022. Zostavuje sa na konečnom horizonte, ktorý pre aktuálny rok zodpovedá obdobiu do </w:t>
      </w:r>
      <w:r w:rsidR="00713F44">
        <w:rPr>
          <w:rFonts w:ascii="Times New Roman" w:hAnsi="Times New Roman" w:cs="Times New Roman"/>
          <w:sz w:val="24"/>
          <w:szCs w:val="24"/>
        </w:rPr>
        <w:t xml:space="preserve">roku </w:t>
      </w:r>
      <w:r w:rsidRPr="00972692">
        <w:rPr>
          <w:rFonts w:ascii="Times New Roman" w:hAnsi="Times New Roman" w:cs="Times New Roman"/>
          <w:sz w:val="24"/>
          <w:szCs w:val="24"/>
        </w:rPr>
        <w:t>2062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6"/>
      </w:r>
      <w:r w:rsidRPr="00972692">
        <w:rPr>
          <w:rFonts w:ascii="Times New Roman" w:hAnsi="Times New Roman" w:cs="Times New Roman"/>
          <w:sz w:val="24"/>
          <w:szCs w:val="24"/>
        </w:rPr>
        <w:t>. Po tomto roku sa vo výpočtoch uvažuje s konštantnými podielmi jednotlivých príjmov a výdavkov na HDP.</w:t>
      </w:r>
    </w:p>
    <w:p w14:paraId="27C8650C" w14:textId="77777777" w:rsidR="003F2E15" w:rsidRPr="00972692" w:rsidRDefault="003F2E15" w:rsidP="00E44782">
      <w:pPr>
        <w:pStyle w:val="Odsekzoznamu"/>
        <w:numPr>
          <w:ilvl w:val="0"/>
          <w:numId w:val="4"/>
        </w:numPr>
        <w:spacing w:before="240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lastRenderedPageBreak/>
        <w:t>V druhom kroku</w:t>
      </w:r>
      <w:r w:rsidRPr="00972692">
        <w:rPr>
          <w:rFonts w:ascii="Times New Roman" w:hAnsi="Times New Roman" w:cs="Times New Roman"/>
          <w:sz w:val="24"/>
          <w:szCs w:val="24"/>
        </w:rPr>
        <w:t xml:space="preserve"> sa vyčísli suma súčasnej (diskontovanej) hodnoty tejto bilancie v nekonečnom horizonte. Táto suma predstavuje samotnú výšku implicitných záväzkov.</w:t>
      </w:r>
    </w:p>
    <w:p w14:paraId="4DD9533A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AB80E" w14:textId="77777777" w:rsidR="003F2E15" w:rsidRPr="00972692" w:rsidRDefault="003F2E15" w:rsidP="0023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t>Na strane príjmov</w:t>
      </w:r>
      <w:r w:rsidRPr="00972692">
        <w:rPr>
          <w:rFonts w:ascii="Times New Roman" w:hAnsi="Times New Roman" w:cs="Times New Roman"/>
          <w:sz w:val="24"/>
          <w:szCs w:val="24"/>
        </w:rPr>
        <w:t xml:space="preserve"> ide konkrétne o príjmy Sociálnej poisťovne plynúce z dôchodkového poistenia a poistenia v nezamestnanosti a zdravotných poisťovní zo zdravotného poistenia. Ide o príjmy od ekonomicky aktívneho obyvateľstva a dlžné poistné. Časť výdavkov citlivých na starnutie populácie je financovaná aj z daní a iných príjmov. </w:t>
      </w:r>
    </w:p>
    <w:p w14:paraId="2453BEB7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82CDA" w14:textId="553E79BA" w:rsidR="003F2E15" w:rsidRPr="00972692" w:rsidRDefault="003F2E15" w:rsidP="0023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sz w:val="24"/>
          <w:szCs w:val="24"/>
        </w:rPr>
        <w:t>V prognózovanom období sa uvažuje s približne nezmeneným podielom uvedených príjmov na HDP, čo zodpovedá predpokladu, že daňové príjmy a odvody by mali v dlhodobom horizonte rásť v súlade s rastom nominálneho HDP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7"/>
      </w:r>
      <w:r w:rsidRPr="00972692">
        <w:rPr>
          <w:rFonts w:ascii="Times New Roman" w:hAnsi="Times New Roman" w:cs="Times New Roman"/>
          <w:sz w:val="24"/>
          <w:szCs w:val="24"/>
        </w:rPr>
        <w:t>. Prípadná zmena podielu príjmov z dôchodkového poistenia na HDP v čase by súvisela s tým, že časť odvodov je presmerovaná do II. piliera dôchodkového systému (t.</w:t>
      </w:r>
      <w:r w:rsidR="00A970E2">
        <w:rPr>
          <w:rFonts w:ascii="Times New Roman" w:hAnsi="Times New Roman" w:cs="Times New Roman"/>
          <w:sz w:val="24"/>
          <w:szCs w:val="24"/>
        </w:rPr>
        <w:t xml:space="preserve"> </w:t>
      </w:r>
      <w:r w:rsidRPr="00972692">
        <w:rPr>
          <w:rFonts w:ascii="Times New Roman" w:hAnsi="Times New Roman" w:cs="Times New Roman"/>
          <w:sz w:val="24"/>
          <w:szCs w:val="24"/>
        </w:rPr>
        <w:t>j. mimo sektor verejnej správy). Táto časť sa v čase môže meniť v dôsledku zmeny podielu sporiteľov na celkovom počte poistencov.</w:t>
      </w:r>
    </w:p>
    <w:p w14:paraId="096D6DC8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9492E" w14:textId="77777777" w:rsidR="003F2E15" w:rsidRPr="00042FCC" w:rsidRDefault="003F2E15" w:rsidP="0023049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t>Na strane výdavkov</w:t>
      </w:r>
      <w:r w:rsidRPr="00972692">
        <w:rPr>
          <w:rFonts w:ascii="Times New Roman" w:hAnsi="Times New Roman" w:cs="Times New Roman"/>
          <w:sz w:val="24"/>
          <w:szCs w:val="24"/>
        </w:rPr>
        <w:t xml:space="preserve"> ide o výdavky na dôchodkové dávky, zdravotnú a dlhodobú starostlivosť, školstvo a dávky v nezamestnanosti. Neuvažuje sa tu so zmenou úrokových nákladov vyvolaných zmenou primárneho salda verejnej správy v dôsledku starnutia populácie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8"/>
      </w:r>
      <w:r w:rsidRPr="00972692">
        <w:rPr>
          <w:rFonts w:ascii="Times New Roman" w:hAnsi="Times New Roman" w:cs="Times New Roman"/>
          <w:sz w:val="24"/>
          <w:szCs w:val="24"/>
        </w:rPr>
        <w:t>. V prípade aktuálnych výdavkov na dôchodkové dávky ide o projekcie MF SR. Prijaté legislatívne opatrenia z roku 2019 nad rámec aktuálných AWG projekcií budú konzultované a schvaľované v rámci pracovnej skupiny AWG v roku 2021. Projekcie ostatných výdavkov sú prevzaté od EK priamo z AWG.</w:t>
      </w:r>
    </w:p>
    <w:p w14:paraId="5319340A" w14:textId="77777777" w:rsidR="003F2E15" w:rsidRPr="00DA6075" w:rsidRDefault="003F2E15" w:rsidP="003F2E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66" w:type="dxa"/>
        <w:jc w:val="center"/>
        <w:tblLayout w:type="fixed"/>
        <w:tblLook w:val="04A0" w:firstRow="1" w:lastRow="0" w:firstColumn="1" w:lastColumn="0" w:noHBand="0" w:noVBand="1"/>
      </w:tblPr>
      <w:tblGrid>
        <w:gridCol w:w="3848"/>
        <w:gridCol w:w="744"/>
        <w:gridCol w:w="745"/>
        <w:gridCol w:w="745"/>
        <w:gridCol w:w="749"/>
        <w:gridCol w:w="745"/>
        <w:gridCol w:w="745"/>
        <w:gridCol w:w="224"/>
        <w:gridCol w:w="521"/>
      </w:tblGrid>
      <w:tr w:rsidR="00B15E6E" w:rsidRPr="00B15E6E" w14:paraId="50F3DB61" w14:textId="77777777" w:rsidTr="00B15E6E">
        <w:trPr>
          <w:trHeight w:val="340"/>
          <w:jc w:val="center"/>
        </w:trPr>
        <w:tc>
          <w:tcPr>
            <w:tcW w:w="8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8EE44AB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Vplyv demografických zmien na príjmy a výdavky verejnej správy (% HDP, scenár nezmenených politík)</w:t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CD1037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2E15" w:rsidRPr="00DA6075" w14:paraId="5BDA9F4C" w14:textId="77777777" w:rsidTr="00B15E6E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340A6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80F0E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A6D10B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AE67E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D467F3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A4B21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51DE66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CDBD0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2062</w:t>
            </w:r>
          </w:p>
        </w:tc>
      </w:tr>
      <w:tr w:rsidR="003F2E15" w:rsidRPr="00DA6075" w14:paraId="022CA11B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D1DFEF3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A. Príjmy VS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900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888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9188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F1F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39BF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2F2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730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</w:tr>
      <w:tr w:rsidR="003F2E15" w:rsidRPr="00DA6075" w14:paraId="13200AFE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52D352C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dôchodkové poistenie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7A7B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929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CA16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8475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6DDF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D708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1A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</w:tr>
      <w:tr w:rsidR="003F2E15" w:rsidRPr="00DA6075" w14:paraId="26B8E933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5E68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poistenie v nezamestnanosti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AC1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1FA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80E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5C8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D13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A52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0343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3F2E15" w:rsidRPr="00DA6075" w14:paraId="38FE980A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ED7046C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zdravotné poistenie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743C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E2D6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F8B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8D0C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CAAC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DCA3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1CDF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</w:tr>
      <w:tr w:rsidR="003F2E15" w:rsidRPr="00DA6075" w14:paraId="5E459BC2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1A1B893B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ostatné príjmy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6EDB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99E8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24A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36E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E5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FC13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25C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6,9</w:t>
            </w:r>
          </w:p>
        </w:tc>
      </w:tr>
      <w:tr w:rsidR="003F2E15" w:rsidRPr="00DA6075" w14:paraId="242399CC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F755877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B. Výdavky citlivé na starnutie populácie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91C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D3F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B10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955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20,0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059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22,4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9F3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24,4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CD2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24,5</w:t>
            </w:r>
          </w:p>
        </w:tc>
      </w:tr>
      <w:tr w:rsidR="003F2E15" w:rsidRPr="00DA6075" w14:paraId="63F4934E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4CFF809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dôchodkové dávky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2B57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79A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038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BD2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301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3D9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11,3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DC7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</w:tr>
      <w:tr w:rsidR="003F2E15" w:rsidRPr="00DA6075" w14:paraId="28EAEF80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8C406C1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zdravotná starostlivosť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F7C6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42B7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53E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99B5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6,7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8CB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522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2F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7,4</w:t>
            </w:r>
          </w:p>
        </w:tc>
      </w:tr>
      <w:tr w:rsidR="003F2E15" w:rsidRPr="00DA6075" w14:paraId="59F05182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7F2D891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dlhodobá starostlivosť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0F1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B13B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E4CC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411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3D0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5E1B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64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1,6</w:t>
            </w:r>
          </w:p>
        </w:tc>
      </w:tr>
      <w:tr w:rsidR="003F2E15" w:rsidRPr="00DA6075" w14:paraId="0D87E604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D8C4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školstvo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D0AA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CE2C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1B3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E847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9B9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121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4668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</w:tr>
      <w:tr w:rsidR="003F2E15" w:rsidRPr="00DA6075" w14:paraId="2A0D9157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E006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dávky v nezamestnanosti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2556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84F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C01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E1F7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9AD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243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B1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3F2E15" w:rsidRPr="00DA6075" w14:paraId="65AF4938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7B3D" w14:textId="33AC8271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C. Primárne saldo (A-B)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BA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1153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37498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-0,4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C416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-1,8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43C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-4,0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F812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-6,1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BA4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-6,2</w:t>
            </w:r>
          </w:p>
        </w:tc>
      </w:tr>
      <w:tr w:rsidR="003F2E15" w:rsidRPr="00DA6075" w14:paraId="04A601B1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E20E" w14:textId="77777777" w:rsidR="003F2E15" w:rsidRPr="001A74C1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Primárne saldo diskontované k roku 2019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FE77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EABB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0,1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D70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-0,5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2D1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-2,1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D8F9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-3,9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8778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-4,9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FD9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b/>
                <w:sz w:val="16"/>
                <w:szCs w:val="16"/>
              </w:rPr>
              <w:t>-4,8</w:t>
            </w:r>
          </w:p>
        </w:tc>
      </w:tr>
      <w:tr w:rsidR="003F2E15" w:rsidRPr="00DA6075" w14:paraId="360D0530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9E7E" w14:textId="1AE6DBEB" w:rsidR="003F2E15" w:rsidRPr="001A74C1" w:rsidRDefault="003F2E15" w:rsidP="0044705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p.</w:t>
            </w:r>
            <w:r w:rsidR="00871656" w:rsidRPr="001A74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1A74C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m. nominálny rast HDP (v %)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34A5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74F0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CA3D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4,7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890F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EAE1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78D3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49C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</w:tr>
      <w:tr w:rsidR="003F2E15" w:rsidRPr="00DA6075" w14:paraId="4F9773FE" w14:textId="77777777" w:rsidTr="00F6719B">
        <w:trPr>
          <w:trHeight w:val="239"/>
          <w:jc w:val="center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C4FA" w14:textId="258F74FA" w:rsidR="003F2E15" w:rsidRPr="001A74C1" w:rsidRDefault="003F2E15" w:rsidP="0044705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p.</w:t>
            </w:r>
            <w:r w:rsidR="00871656" w:rsidRPr="001A74C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A74C1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m. nominálna úroková miera (v %)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69B0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47A0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91EE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11E7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BED5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CB37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F504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A74C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3F2E15" w:rsidRPr="00EE21F3" w14:paraId="079CD842" w14:textId="77777777" w:rsidTr="0044705F">
        <w:trPr>
          <w:trHeight w:val="239"/>
          <w:jc w:val="center"/>
        </w:trPr>
        <w:tc>
          <w:tcPr>
            <w:tcW w:w="683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49B370" w14:textId="77777777" w:rsidR="003F2E15" w:rsidRPr="001A74C1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6759333" w14:textId="77777777" w:rsidR="003F2E15" w:rsidRPr="00C5174E" w:rsidRDefault="003F2E15" w:rsidP="0044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C517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Zdroj: MF SR, EK</w:t>
            </w:r>
          </w:p>
        </w:tc>
      </w:tr>
    </w:tbl>
    <w:p w14:paraId="27211DD7" w14:textId="77777777" w:rsidR="003F2E15" w:rsidRPr="00DA6075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C828DFC" w14:textId="6CA6C7A8" w:rsidR="003F2E15" w:rsidRPr="00972692" w:rsidRDefault="003F2E15" w:rsidP="00230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sz w:val="24"/>
          <w:szCs w:val="24"/>
        </w:rPr>
        <w:t>Výsledky v tabuľke možno interpretovať tak, že v roku 2062 dôjde v porovnaní s rokom 2019</w:t>
      </w:r>
      <w:r w:rsidR="00871656">
        <w:rPr>
          <w:rFonts w:ascii="Times New Roman" w:hAnsi="Times New Roman" w:cs="Times New Roman"/>
          <w:sz w:val="24"/>
          <w:szCs w:val="24"/>
        </w:rPr>
        <w:t xml:space="preserve"> k zhoršeniu primárneho salda vy</w:t>
      </w:r>
      <w:r w:rsidRPr="00972692">
        <w:rPr>
          <w:rFonts w:ascii="Times New Roman" w:hAnsi="Times New Roman" w:cs="Times New Roman"/>
          <w:sz w:val="24"/>
          <w:szCs w:val="24"/>
        </w:rPr>
        <w:t>jadreného v súčasných cenách v dôsledku starnutia populácie o 4,8 p.</w:t>
      </w:r>
      <w:r w:rsidR="00871656">
        <w:rPr>
          <w:rFonts w:ascii="Times New Roman" w:hAnsi="Times New Roman" w:cs="Times New Roman"/>
          <w:sz w:val="24"/>
          <w:szCs w:val="24"/>
        </w:rPr>
        <w:t xml:space="preserve"> </w:t>
      </w:r>
      <w:r w:rsidRPr="00972692">
        <w:rPr>
          <w:rFonts w:ascii="Times New Roman" w:hAnsi="Times New Roman" w:cs="Times New Roman"/>
          <w:sz w:val="24"/>
          <w:szCs w:val="24"/>
        </w:rPr>
        <w:t>b.</w:t>
      </w:r>
    </w:p>
    <w:p w14:paraId="778DBDF5" w14:textId="77777777" w:rsidR="003F2E15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7F8AD" w14:textId="77777777" w:rsidR="001A74C1" w:rsidRPr="00972692" w:rsidRDefault="001A74C1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4FCD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692">
        <w:rPr>
          <w:rFonts w:ascii="Times New Roman" w:hAnsi="Times New Roman" w:cs="Times New Roman"/>
          <w:b/>
          <w:sz w:val="24"/>
          <w:szCs w:val="24"/>
        </w:rPr>
        <w:lastRenderedPageBreak/>
        <w:t>3. Iné záväzky – PPP projekty a Národný jadrový fond</w:t>
      </w:r>
    </w:p>
    <w:p w14:paraId="60AB1F3F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AA16F" w14:textId="6061DB11" w:rsidR="003F2E15" w:rsidRPr="00972692" w:rsidRDefault="003F2E15" w:rsidP="00777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sz w:val="24"/>
          <w:szCs w:val="24"/>
        </w:rPr>
        <w:t xml:space="preserve">Do celkovej kvantifikácie implicitných záväzkov bol zahrnutý aj </w:t>
      </w:r>
      <w:r w:rsidRPr="00972692">
        <w:rPr>
          <w:rFonts w:ascii="Times New Roman" w:hAnsi="Times New Roman" w:cs="Times New Roman"/>
          <w:b/>
          <w:sz w:val="24"/>
          <w:szCs w:val="24"/>
        </w:rPr>
        <w:t xml:space="preserve">vplyv splácania PPP projektov – rýchlostnej cesty R1, obchvatu Bratislavy D4/R7 a projektu výstavby </w:t>
      </w:r>
      <w:r w:rsidRPr="00972692">
        <w:rPr>
          <w:rFonts w:ascii="Times New Roman" w:hAnsi="Times New Roman" w:cs="Times New Roman"/>
          <w:b/>
          <w:color w:val="000000"/>
          <w:sz w:val="24"/>
          <w:szCs w:val="24"/>
        </w:rPr>
        <w:t>väzenského zariadenia</w:t>
      </w:r>
      <w:r w:rsidRPr="00972692">
        <w:rPr>
          <w:rFonts w:ascii="Times New Roman" w:hAnsi="Times New Roman" w:cs="Times New Roman"/>
          <w:b/>
          <w:sz w:val="24"/>
          <w:szCs w:val="24"/>
        </w:rPr>
        <w:t xml:space="preserve"> v Rimavskej Sobote. </w:t>
      </w:r>
      <w:r w:rsidRPr="00972692">
        <w:rPr>
          <w:rFonts w:ascii="Times New Roman" w:hAnsi="Times New Roman" w:cs="Times New Roman"/>
          <w:sz w:val="24"/>
          <w:szCs w:val="24"/>
        </w:rPr>
        <w:t>Východiskom boli predpokladané platby štátu za dostupnosť počas celej doby trvania koncesie, t.</w:t>
      </w:r>
      <w:r w:rsidR="00490FEB">
        <w:rPr>
          <w:rFonts w:ascii="Times New Roman" w:hAnsi="Times New Roman" w:cs="Times New Roman"/>
          <w:sz w:val="24"/>
          <w:szCs w:val="24"/>
        </w:rPr>
        <w:t xml:space="preserve"> </w:t>
      </w:r>
      <w:r w:rsidRPr="00972692">
        <w:rPr>
          <w:rFonts w:ascii="Times New Roman" w:hAnsi="Times New Roman" w:cs="Times New Roman"/>
          <w:sz w:val="24"/>
          <w:szCs w:val="24"/>
        </w:rPr>
        <w:t>j. do roku 2041 v prípade PPP – R1 a väzenského zariadenia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9"/>
      </w:r>
      <w:r w:rsidRPr="00972692">
        <w:rPr>
          <w:rFonts w:ascii="Times New Roman" w:hAnsi="Times New Roman" w:cs="Times New Roman"/>
          <w:sz w:val="24"/>
          <w:szCs w:val="24"/>
        </w:rPr>
        <w:t xml:space="preserve"> a do roku 2050 v prípade PPP - obchvat BA - D4/R7. </w:t>
      </w:r>
    </w:p>
    <w:p w14:paraId="216FE83B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CEF28" w14:textId="3E8972A2" w:rsidR="003F2E15" w:rsidRPr="00972692" w:rsidRDefault="00B22F2D" w:rsidP="00777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PPP – rý</w:t>
      </w:r>
      <w:bookmarkStart w:id="0" w:name="_GoBack"/>
      <w:bookmarkEnd w:id="0"/>
      <w:r w:rsidR="003F2E15" w:rsidRPr="00972692">
        <w:rPr>
          <w:rFonts w:ascii="Times New Roman" w:hAnsi="Times New Roman" w:cs="Times New Roman"/>
          <w:b/>
          <w:sz w:val="24"/>
          <w:szCs w:val="24"/>
        </w:rPr>
        <w:t>chlostná cesta R1</w:t>
      </w:r>
      <w:r w:rsidR="003F2E15" w:rsidRPr="00972692">
        <w:rPr>
          <w:rFonts w:ascii="Times New Roman" w:hAnsi="Times New Roman" w:cs="Times New Roman"/>
          <w:sz w:val="24"/>
          <w:szCs w:val="24"/>
        </w:rPr>
        <w:t xml:space="preserve"> - tento PPP projekt prináša aktuálne dodatočné záväzky vo výške 2,3 % HDP, ktoré súvisia s projekciou ročných platieb za dostupnosť. Platby za dostupnosť</w:t>
      </w:r>
      <w:r w:rsidR="003F2E15" w:rsidRPr="009726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E15" w:rsidRPr="00972692">
        <w:rPr>
          <w:rFonts w:ascii="Times New Roman" w:hAnsi="Times New Roman" w:cs="Times New Roman"/>
          <w:sz w:val="24"/>
          <w:szCs w:val="24"/>
        </w:rPr>
        <w:t>sú znížené o platbu DPH za služby, keďže táto je z pohľadu vplyvu na saldo a dlh neutrálna. Súčasne sa tu neuvažuje ani s alikvotnou časťou zo zaplatenej DPH pri odovzdaní úsekov v roku 2011, keďže nemá vplyv na dlh (iba na saldo v jednotlivých rokoch</w:t>
      </w:r>
      <w:r w:rsidR="003F2E15"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0"/>
      </w:r>
      <w:r w:rsidR="003F2E15" w:rsidRPr="0097269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FDFB590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51B98" w14:textId="77777777" w:rsidR="003F2E15" w:rsidRPr="00972692" w:rsidRDefault="003F2E15" w:rsidP="00777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sz w:val="24"/>
          <w:szCs w:val="24"/>
        </w:rPr>
        <w:t xml:space="preserve">Implicitné záväzky súvisiace s </w:t>
      </w:r>
      <w:r w:rsidRPr="00972692">
        <w:rPr>
          <w:rFonts w:ascii="Times New Roman" w:hAnsi="Times New Roman" w:cs="Times New Roman"/>
          <w:b/>
          <w:sz w:val="24"/>
          <w:szCs w:val="24"/>
        </w:rPr>
        <w:t>PPP projektom výstavby obchvatu Bratislavy D4/R7</w:t>
      </w:r>
      <w:r w:rsidRPr="00972692">
        <w:rPr>
          <w:rFonts w:ascii="Times New Roman" w:hAnsi="Times New Roman" w:cs="Times New Roman"/>
          <w:sz w:val="24"/>
          <w:szCs w:val="24"/>
        </w:rPr>
        <w:t xml:space="preserve"> sú kvantifikované na základe odhadu platieb štátu za dostupnosť počas celej doby trvania koncesie do roku 2050. Aktuálny príspevok k implicitným záväzkom predstavuje 1,0 % HDP.</w:t>
      </w:r>
    </w:p>
    <w:p w14:paraId="4A407E98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56809" w14:textId="369FFF13" w:rsidR="003F2E15" w:rsidRPr="00972692" w:rsidRDefault="003F2E15" w:rsidP="007775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692">
        <w:rPr>
          <w:rFonts w:ascii="Times New Roman" w:hAnsi="Times New Roman" w:cs="Times New Roman"/>
          <w:color w:val="000000"/>
          <w:sz w:val="24"/>
          <w:szCs w:val="24"/>
        </w:rPr>
        <w:t xml:space="preserve">Vláda </w:t>
      </w:r>
      <w:r w:rsidR="00551610">
        <w:rPr>
          <w:rFonts w:ascii="Times New Roman" w:hAnsi="Times New Roman" w:cs="Times New Roman"/>
          <w:color w:val="000000"/>
          <w:sz w:val="24"/>
          <w:szCs w:val="24"/>
        </w:rPr>
        <w:t>Slovenskej republiky schválila u</w:t>
      </w:r>
      <w:r w:rsidRPr="00972692">
        <w:rPr>
          <w:rFonts w:ascii="Times New Roman" w:hAnsi="Times New Roman" w:cs="Times New Roman"/>
          <w:color w:val="000000"/>
          <w:sz w:val="24"/>
          <w:szCs w:val="24"/>
        </w:rPr>
        <w:t xml:space="preserve">znesením vlády Slovenskej republiky č. 97/2018 z februára 2018 návrh realizácie projektu </w:t>
      </w:r>
      <w:r w:rsidRPr="00972692">
        <w:rPr>
          <w:rFonts w:ascii="Times New Roman" w:hAnsi="Times New Roman" w:cs="Times New Roman"/>
          <w:b/>
          <w:color w:val="000000"/>
          <w:sz w:val="24"/>
          <w:szCs w:val="24"/>
        </w:rPr>
        <w:t>„Výstavba väzenského zariadenia Rimavská Sobota – Sabová formou verejno-súkromného partnerstva“</w:t>
      </w:r>
      <w:r w:rsidRPr="00DA6D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726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692">
        <w:rPr>
          <w:rFonts w:ascii="Times New Roman" w:hAnsi="Times New Roman" w:cs="Times New Roman"/>
          <w:color w:val="000000"/>
          <w:sz w:val="24"/>
          <w:szCs w:val="24"/>
        </w:rPr>
        <w:t xml:space="preserve">Projekt výstavby väzenského zariadenia je aktuálne vo fáze verejného obstarávania. Samotná vystavba by sa mohla začať na konci druhého polroku 2020. </w:t>
      </w:r>
      <w:r w:rsidRPr="00972692">
        <w:rPr>
          <w:rFonts w:ascii="Times New Roman" w:hAnsi="Times New Roman" w:cs="Times New Roman"/>
          <w:sz w:val="24"/>
          <w:szCs w:val="24"/>
        </w:rPr>
        <w:t>Aktuálny príspevok tohto PPP projektu k implicitným záväzkom predstavuje 0,3 % HDP vychádzajúc z projekcie ročných platieb za dostupnosť.</w:t>
      </w:r>
    </w:p>
    <w:p w14:paraId="2CB4DA71" w14:textId="77777777" w:rsidR="003F2E15" w:rsidRPr="00DA6075" w:rsidRDefault="003F2E15" w:rsidP="003F2E1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79"/>
        <w:gridCol w:w="383"/>
        <w:gridCol w:w="951"/>
        <w:gridCol w:w="88"/>
        <w:gridCol w:w="737"/>
        <w:gridCol w:w="964"/>
        <w:gridCol w:w="812"/>
        <w:gridCol w:w="889"/>
      </w:tblGrid>
      <w:tr w:rsidR="00FC0985" w:rsidRPr="00FC0985" w14:paraId="23490988" w14:textId="77777777" w:rsidTr="00FC0985">
        <w:trPr>
          <w:trHeight w:val="330"/>
        </w:trPr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2CEB3B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Vplyv PPP projektov (v % HDP) </w:t>
            </w:r>
          </w:p>
        </w:tc>
      </w:tr>
      <w:tr w:rsidR="003F2E15" w:rsidRPr="00DA6075" w14:paraId="566646CB" w14:textId="77777777" w:rsidTr="00FC0985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3FF6ABE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AEC7AD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2019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2F0AB8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BB0AA3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93E83C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40F12D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2050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715212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</w:tr>
      <w:tr w:rsidR="003F2E15" w:rsidRPr="00DA6075" w14:paraId="1887397C" w14:textId="77777777" w:rsidTr="000C7F8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B3D0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Platba za dostupnosť R1*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F2C6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953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DE24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CC45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797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B25C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</w:p>
        </w:tc>
      </w:tr>
      <w:tr w:rsidR="003F2E15" w:rsidRPr="00DA6075" w14:paraId="611D3923" w14:textId="77777777" w:rsidTr="000C7F8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F728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- diskontovaná hodnota k roku 2019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7A58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0,13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6060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3DFB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0CE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0,07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BAE3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4719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2,3</w:t>
            </w:r>
          </w:p>
        </w:tc>
      </w:tr>
      <w:tr w:rsidR="003F2E15" w:rsidRPr="00DA6075" w14:paraId="40E28770" w14:textId="77777777" w:rsidTr="000C7F8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D041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Platba za dostupnosť Obchvat BA - D4/R7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1910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77A5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C018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9AD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7D7C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DD82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</w:p>
        </w:tc>
      </w:tr>
      <w:tr w:rsidR="003F2E15" w:rsidRPr="00DA6075" w14:paraId="37406E2C" w14:textId="77777777" w:rsidTr="000C7F87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AE7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- diskontovaná hodnota k roku 2019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4A3E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FCB2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2024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D900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9943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506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1,0</w:t>
            </w:r>
          </w:p>
        </w:tc>
      </w:tr>
      <w:tr w:rsidR="003F2E15" w:rsidRPr="00DA6075" w14:paraId="54E0F440" w14:textId="77777777" w:rsidTr="000C7F87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367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Platba za dostupnosť väzenské zariadenie Rimavská Sobota – Sabová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42F4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70FF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9EC2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5431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9BDD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52BC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-</w:t>
            </w:r>
          </w:p>
        </w:tc>
      </w:tr>
      <w:tr w:rsidR="003F2E15" w:rsidRPr="00DA6075" w14:paraId="48C72A51" w14:textId="77777777" w:rsidTr="000C7F87">
        <w:trPr>
          <w:trHeight w:val="28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2220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 xml:space="preserve"> - diskontovaná hodnota k roku 2019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0E87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0FE8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E2055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29D5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0,01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98C3" w14:textId="77777777" w:rsidR="003F2E15" w:rsidRPr="000C7F87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0C7F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627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sk-SK"/>
              </w:rPr>
              <w:t>0,3</w:t>
            </w:r>
          </w:p>
        </w:tc>
      </w:tr>
      <w:tr w:rsidR="003F2E15" w:rsidRPr="00EE21F3" w14:paraId="677643B9" w14:textId="77777777" w:rsidTr="0044705F">
        <w:trPr>
          <w:trHeight w:val="227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4F74" w14:textId="77777777" w:rsidR="003F2E15" w:rsidRPr="00F82B0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82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* bez započítania DPH za služby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C971" w14:textId="77777777" w:rsidR="003F2E15" w:rsidRPr="00F82B0B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82B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4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747C5A7" w14:textId="55B062BC" w:rsidR="003F2E15" w:rsidRPr="00BB3DCF" w:rsidRDefault="0027151E" w:rsidP="0044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BB3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Zdroj: MF SR, MDV</w:t>
            </w:r>
            <w:r w:rsidR="003F2E15" w:rsidRPr="00BB3D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SR</w:t>
            </w:r>
          </w:p>
        </w:tc>
      </w:tr>
      <w:tr w:rsidR="003F2E15" w:rsidRPr="00EE21F3" w14:paraId="0F104161" w14:textId="77777777" w:rsidTr="00F82B0B">
        <w:trPr>
          <w:trHeight w:val="68"/>
        </w:trPr>
        <w:tc>
          <w:tcPr>
            <w:tcW w:w="42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08EB" w14:textId="5997DE6A" w:rsidR="003F2E15" w:rsidRPr="00F82B0B" w:rsidRDefault="00F82B0B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  <w:r w:rsidRPr="00F82B0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 xml:space="preserve">  </w:t>
            </w:r>
            <w:r w:rsidR="003F2E15" w:rsidRPr="00F82B0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>Pozn.: kladné hodno</w:t>
            </w:r>
            <w:r w:rsidRPr="00F82B0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 xml:space="preserve">ty znamenajú negatívny vplyv na </w:t>
            </w:r>
            <w:r w:rsidR="003F2E15" w:rsidRPr="00F82B0B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>saldo</w:t>
            </w:r>
          </w:p>
        </w:tc>
        <w:tc>
          <w:tcPr>
            <w:tcW w:w="13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EAC1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349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D9740" w14:textId="77777777" w:rsidR="003F2E15" w:rsidRPr="00FC0985" w:rsidRDefault="003F2E15" w:rsidP="0044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sk-SK"/>
              </w:rPr>
            </w:pPr>
          </w:p>
        </w:tc>
      </w:tr>
    </w:tbl>
    <w:p w14:paraId="6A432E18" w14:textId="77777777" w:rsidR="00FC0985" w:rsidRDefault="00FC0985" w:rsidP="007775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A8D284" w14:textId="77777777" w:rsidR="003F2E15" w:rsidRPr="00972692" w:rsidRDefault="003F2E15" w:rsidP="0077754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692">
        <w:rPr>
          <w:rFonts w:ascii="Times New Roman" w:hAnsi="Times New Roman" w:cs="Times New Roman"/>
          <w:sz w:val="24"/>
          <w:szCs w:val="24"/>
        </w:rPr>
        <w:t xml:space="preserve">Ďalším faktorom ovplyvňujúcim implicitné záväzky je </w:t>
      </w:r>
      <w:r w:rsidRPr="00972692">
        <w:rPr>
          <w:rFonts w:ascii="Times New Roman" w:hAnsi="Times New Roman" w:cs="Times New Roman"/>
          <w:b/>
          <w:sz w:val="24"/>
          <w:szCs w:val="24"/>
        </w:rPr>
        <w:t>systém financovania nákladov spojených s vyraďovaním jadrových zariadení</w:t>
      </w:r>
      <w:r w:rsidRPr="00972692">
        <w:rPr>
          <w:rFonts w:ascii="Times New Roman" w:hAnsi="Times New Roman" w:cs="Times New Roman"/>
          <w:sz w:val="24"/>
          <w:szCs w:val="24"/>
        </w:rPr>
        <w:t>. Štát pokrýva náklady na likvidáciu odstavených jadrových elektrární a vyhoreného paliva, ktoré v budúcnosti významne narastú. Podľa aktuálneho plánu financovania schváleného vládou</w:t>
      </w:r>
      <w:r w:rsidRPr="00972692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97269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2692">
        <w:rPr>
          <w:rFonts w:ascii="Times New Roman" w:hAnsi="Times New Roman" w:cs="Times New Roman"/>
          <w:sz w:val="24"/>
          <w:szCs w:val="24"/>
        </w:rPr>
        <w:t xml:space="preserve">by mal systém hospodáriť s vyrovnanou bilanciu v dlhodobom horizonte. Počas prevádzky jadrového zariadenia by sa malo naakumulovať v Národnom jadrovom fonde (NJF) také množstvo finančných prostriedkov, ktoré bude postačujúce pre jeho budúce vyradenie, vrátane nakladania s rádioaktívnymi </w:t>
      </w:r>
      <w:r w:rsidRPr="00972692">
        <w:rPr>
          <w:rFonts w:ascii="Times New Roman" w:hAnsi="Times New Roman" w:cs="Times New Roman"/>
          <w:sz w:val="24"/>
          <w:szCs w:val="24"/>
        </w:rPr>
        <w:lastRenderedPageBreak/>
        <w:t xml:space="preserve">odpadmi a vyhoreným palivom. Rizikom pre finančnú schému predstavuje značná závislosť nákladov na harmonograme vyraďovania jednotlivých blokov a zvoleného spôsobu likvidácie. </w:t>
      </w:r>
    </w:p>
    <w:p w14:paraId="50A11F91" w14:textId="77777777" w:rsidR="003F2E15" w:rsidRPr="00972692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4E334" w14:textId="7BB8DD92" w:rsidR="003F2E15" w:rsidRPr="00DA6075" w:rsidRDefault="003F2E15" w:rsidP="007775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972692">
        <w:rPr>
          <w:rFonts w:ascii="Times New Roman" w:hAnsi="Times New Roman" w:cs="Times New Roman"/>
          <w:sz w:val="24"/>
          <w:szCs w:val="24"/>
        </w:rPr>
        <w:t>Model odhadu nákladov na likvidáci</w:t>
      </w:r>
      <w:r w:rsidR="0046535F">
        <w:rPr>
          <w:rFonts w:ascii="Times New Roman" w:hAnsi="Times New Roman" w:cs="Times New Roman"/>
          <w:sz w:val="24"/>
          <w:szCs w:val="24"/>
        </w:rPr>
        <w:t>u jadrových zariadení preberá Ministerstvo financií</w:t>
      </w:r>
      <w:r w:rsidRPr="00972692">
        <w:rPr>
          <w:rFonts w:ascii="Times New Roman" w:hAnsi="Times New Roman" w:cs="Times New Roman"/>
          <w:sz w:val="24"/>
          <w:szCs w:val="24"/>
        </w:rPr>
        <w:t xml:space="preserve"> SR od Ministerstva hospodárstva SR.</w:t>
      </w:r>
      <w:r w:rsidRPr="00972692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2"/>
      </w:r>
      <w:r w:rsidRPr="00972692">
        <w:rPr>
          <w:rFonts w:ascii="Times New Roman" w:hAnsi="Times New Roman" w:cs="Times New Roman"/>
          <w:sz w:val="24"/>
          <w:szCs w:val="24"/>
        </w:rPr>
        <w:t xml:space="preserve"> Saldá sú následne diskontované rovnakým faktorom ako pri záväzkoch zo starnutia populácie. Podľa aktuálnych odhadov by mal byť systém v prebytku počas prvých desaťročí. Vzhľadom na výraznejší vplyv diskontovania budúcich deficitov, ako je vplyv diskontovania prebytkov v najbližšom období, </w:t>
      </w:r>
      <w:r w:rsidRPr="00972692">
        <w:rPr>
          <w:rFonts w:ascii="Times New Roman" w:hAnsi="Times New Roman" w:cs="Times New Roman"/>
          <w:b/>
          <w:sz w:val="24"/>
          <w:szCs w:val="24"/>
        </w:rPr>
        <w:t>má NJF celkovo pozitívny vplyv na implicitné záväzky.</w:t>
      </w:r>
    </w:p>
    <w:p w14:paraId="7DCD2072" w14:textId="77777777" w:rsidR="003F2E15" w:rsidRPr="00DA6075" w:rsidRDefault="003F2E15" w:rsidP="003F2E1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40"/>
        <w:gridCol w:w="938"/>
        <w:gridCol w:w="938"/>
        <w:gridCol w:w="939"/>
        <w:gridCol w:w="939"/>
        <w:gridCol w:w="598"/>
        <w:gridCol w:w="341"/>
        <w:gridCol w:w="939"/>
      </w:tblGrid>
      <w:tr w:rsidR="00FC0985" w:rsidRPr="00FC0985" w14:paraId="043170E4" w14:textId="77777777" w:rsidTr="00FC0985">
        <w:trPr>
          <w:trHeight w:val="283"/>
          <w:jc w:val="center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162BE75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Vplyv Národného jadrového fondu (v % HDP) </w:t>
            </w:r>
          </w:p>
        </w:tc>
      </w:tr>
      <w:tr w:rsidR="003F2E15" w:rsidRPr="00DA6075" w14:paraId="51843BA0" w14:textId="77777777" w:rsidTr="00FC0985">
        <w:trPr>
          <w:trHeight w:val="283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C47AE5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AB9981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D2CBC83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48AE7A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5A63B2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1AF9AA6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CCBD3B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Spolu</w:t>
            </w:r>
          </w:p>
        </w:tc>
      </w:tr>
      <w:tr w:rsidR="003F2E15" w:rsidRPr="00DA6075" w14:paraId="4E5D7723" w14:textId="77777777" w:rsidTr="0044705F">
        <w:trPr>
          <w:trHeight w:val="283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55FF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Vplyv NJF na saldo*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EE8E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8C09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-0,15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15ED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0B12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B9E9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999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3F2E15" w:rsidRPr="00DA6075" w14:paraId="725848CD" w14:textId="77777777" w:rsidTr="0044705F">
        <w:trPr>
          <w:trHeight w:val="283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4A69" w14:textId="77777777" w:rsidR="003F2E15" w:rsidRPr="00FC0985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- diskontovaná hodnota k roku 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9008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-0,15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86B5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-0,15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94B6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E47C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1EC5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E7A" w14:textId="77777777" w:rsidR="003F2E15" w:rsidRPr="00FC0985" w:rsidRDefault="003F2E15" w:rsidP="0044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098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-2,7</w:t>
            </w:r>
          </w:p>
        </w:tc>
      </w:tr>
      <w:tr w:rsidR="003F2E15" w:rsidRPr="00EE21F3" w14:paraId="01325C00" w14:textId="77777777" w:rsidTr="00F04F30">
        <w:trPr>
          <w:trHeight w:val="196"/>
          <w:jc w:val="center"/>
        </w:trPr>
        <w:tc>
          <w:tcPr>
            <w:tcW w:w="7792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3FEDE04D" w14:textId="77777777" w:rsidR="003F2E15" w:rsidRPr="00F04F30" w:rsidRDefault="003F2E15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4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* Projekcie pre účely </w:t>
            </w:r>
            <w:r w:rsidRPr="00F04F30">
              <w:rPr>
                <w:rFonts w:ascii="Times New Roman" w:hAnsi="Times New Roman" w:cs="Times New Roman"/>
                <w:sz w:val="16"/>
                <w:szCs w:val="16"/>
              </w:rPr>
              <w:t>Stratégie záverečnej časti mierového využívania jadrovej energie v SR siahajú po rok 2140.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3C2BF51" w14:textId="77777777" w:rsidR="003F2E15" w:rsidRPr="00F04F30" w:rsidRDefault="003F2E15" w:rsidP="00447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4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Zdroj: MF SR</w:t>
            </w:r>
          </w:p>
        </w:tc>
      </w:tr>
      <w:tr w:rsidR="003F2E15" w:rsidRPr="00EE21F3" w14:paraId="1082C280" w14:textId="77777777" w:rsidTr="00F04F30">
        <w:trPr>
          <w:trHeight w:val="138"/>
          <w:jc w:val="center"/>
        </w:trPr>
        <w:tc>
          <w:tcPr>
            <w:tcW w:w="9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09C0" w14:textId="59E8616D" w:rsidR="003F2E15" w:rsidRPr="00F04F30" w:rsidRDefault="00F04F30" w:rsidP="00447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04F3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 xml:space="preserve">   </w:t>
            </w:r>
            <w:r w:rsidR="003F2E15" w:rsidRPr="00F04F30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sk-SK"/>
              </w:rPr>
              <w:t>Pozn.: záporné hodnoty znamenajú pozitívny vplyv na implicitné záväzky</w:t>
            </w:r>
          </w:p>
        </w:tc>
      </w:tr>
    </w:tbl>
    <w:p w14:paraId="09A783C1" w14:textId="77777777" w:rsidR="00BA123E" w:rsidRPr="00625A94" w:rsidRDefault="00BA123E" w:rsidP="003F2E15">
      <w:pPr>
        <w:jc w:val="both"/>
        <w:rPr>
          <w:rFonts w:ascii="Times New Roman" w:hAnsi="Times New Roman" w:cs="Times New Roman"/>
        </w:rPr>
      </w:pPr>
    </w:p>
    <w:sectPr w:rsidR="00BA123E" w:rsidRPr="00625A94" w:rsidSect="00625A94">
      <w:footerReference w:type="defaul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A2647" w14:textId="77777777" w:rsidR="000B13B4" w:rsidRDefault="000B13B4" w:rsidP="00FA25AD">
      <w:pPr>
        <w:spacing w:after="0" w:line="240" w:lineRule="auto"/>
      </w:pPr>
      <w:r>
        <w:separator/>
      </w:r>
    </w:p>
  </w:endnote>
  <w:endnote w:type="continuationSeparator" w:id="0">
    <w:p w14:paraId="6A8407A1" w14:textId="77777777" w:rsidR="000B13B4" w:rsidRDefault="000B13B4" w:rsidP="00FA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38379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0F231A5" w14:textId="55A85975" w:rsidR="00064CA3" w:rsidRPr="00B1756A" w:rsidRDefault="00064CA3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B1756A">
          <w:rPr>
            <w:rFonts w:ascii="Times New Roman" w:hAnsi="Times New Roman" w:cs="Times New Roman"/>
            <w:sz w:val="24"/>
          </w:rPr>
          <w:fldChar w:fldCharType="begin"/>
        </w:r>
        <w:r w:rsidRPr="00B1756A">
          <w:rPr>
            <w:rFonts w:ascii="Times New Roman" w:hAnsi="Times New Roman" w:cs="Times New Roman"/>
            <w:sz w:val="24"/>
          </w:rPr>
          <w:instrText>PAGE   \* MERGEFORMAT</w:instrText>
        </w:r>
        <w:r w:rsidRPr="00B1756A">
          <w:rPr>
            <w:rFonts w:ascii="Times New Roman" w:hAnsi="Times New Roman" w:cs="Times New Roman"/>
            <w:sz w:val="24"/>
          </w:rPr>
          <w:fldChar w:fldCharType="separate"/>
        </w:r>
        <w:r w:rsidR="00B22F2D">
          <w:rPr>
            <w:rFonts w:ascii="Times New Roman" w:hAnsi="Times New Roman" w:cs="Times New Roman"/>
            <w:noProof/>
            <w:sz w:val="24"/>
          </w:rPr>
          <w:t>6</w:t>
        </w:r>
        <w:r w:rsidRPr="00B175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2959EE6" w14:textId="77777777" w:rsidR="00064CA3" w:rsidRDefault="00064C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0DF85" w14:textId="77777777" w:rsidR="000B13B4" w:rsidRDefault="000B13B4" w:rsidP="00FA25AD">
      <w:pPr>
        <w:spacing w:after="0" w:line="240" w:lineRule="auto"/>
      </w:pPr>
      <w:r>
        <w:separator/>
      </w:r>
    </w:p>
  </w:footnote>
  <w:footnote w:type="continuationSeparator" w:id="0">
    <w:p w14:paraId="31DFFF00" w14:textId="77777777" w:rsidR="000B13B4" w:rsidRDefault="000B13B4" w:rsidP="00FA25AD">
      <w:pPr>
        <w:spacing w:after="0" w:line="240" w:lineRule="auto"/>
      </w:pPr>
      <w:r>
        <w:continuationSeparator/>
      </w:r>
    </w:p>
  </w:footnote>
  <w:footnote w:id="1">
    <w:p w14:paraId="71995C57" w14:textId="77777777" w:rsidR="003F2E15" w:rsidRPr="002547EE" w:rsidRDefault="003F2E15" w:rsidP="003F2E15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</w:t>
      </w:r>
      <w:hyperlink r:id="rId1" w:history="1">
        <w:r w:rsidRPr="002547EE">
          <w:rPr>
            <w:rStyle w:val="Hypertextovprepojenie"/>
            <w:rFonts w:ascii="Times New Roman" w:hAnsi="Times New Roman" w:cs="Times New Roman"/>
            <w:sz w:val="16"/>
            <w:szCs w:val="16"/>
          </w:rPr>
          <w:t>Metodika výpočtu implicitných záväzkov</w:t>
        </w:r>
      </w:hyperlink>
      <w:r w:rsidRPr="002547EE"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37863E2" w14:textId="45DFBFBD" w:rsidR="003F2E15" w:rsidRPr="00AC21E4" w:rsidRDefault="003F2E15" w:rsidP="003F2E1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F3D69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9F3D69">
        <w:rPr>
          <w:rFonts w:ascii="Times New Roman" w:hAnsi="Times New Roman" w:cs="Times New Roman"/>
          <w:sz w:val="16"/>
          <w:szCs w:val="16"/>
        </w:rPr>
        <w:t xml:space="preserve"> </w:t>
      </w:r>
      <w:r w:rsidRPr="00AC21E4">
        <w:rPr>
          <w:rFonts w:ascii="Times New Roman" w:hAnsi="Times New Roman" w:cs="Times New Roman"/>
          <w:sz w:val="16"/>
          <w:szCs w:val="16"/>
        </w:rPr>
        <w:t xml:space="preserve">Uvedené výsledky je potrebné interpretovať starostlivo. </w:t>
      </w:r>
      <w:r w:rsidRPr="00AC21E4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Pri výpočte implicitných záväzkov je potrebné brať do úvahy fakt, že hodnota </w:t>
      </w:r>
      <w:r w:rsidR="00A970E2">
        <w:rPr>
          <w:rFonts w:ascii="Times New Roman" w:hAnsi="Times New Roman" w:cs="Times New Roman"/>
          <w:iCs/>
          <w:color w:val="000000"/>
          <w:sz w:val="16"/>
          <w:szCs w:val="16"/>
        </w:rPr>
        <w:br/>
        <w:t xml:space="preserve">   </w:t>
      </w:r>
      <w:r w:rsidRPr="00AC21E4">
        <w:rPr>
          <w:rFonts w:ascii="Times New Roman" w:hAnsi="Times New Roman" w:cs="Times New Roman"/>
          <w:iCs/>
          <w:color w:val="000000"/>
          <w:sz w:val="16"/>
          <w:szCs w:val="16"/>
        </w:rPr>
        <w:t>implicitných záväzkov plynúcich zo starnutia</w:t>
      </w:r>
      <w:r w:rsidRPr="00AC21E4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 je vyjadrená v súčasnej hodnote a v pomere k aktuálnemu výkonu ekonomiky (</w:t>
      </w:r>
      <w:r w:rsidRPr="00AC21E4">
        <w:rPr>
          <w:rFonts w:ascii="Times New Roman" w:hAnsi="Times New Roman" w:cs="Times New Roman"/>
          <w:bCs/>
          <w:iCs/>
          <w:color w:val="000000"/>
          <w:sz w:val="16"/>
          <w:szCs w:val="16"/>
          <w:lang w:val="en-US"/>
        </w:rPr>
        <w:t>% HDP)</w:t>
      </w:r>
      <w:r w:rsidRPr="00AC21E4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. </w:t>
      </w:r>
      <w:r w:rsidR="00A970E2">
        <w:rPr>
          <w:rFonts w:ascii="Times New Roman" w:hAnsi="Times New Roman" w:cs="Times New Roman"/>
          <w:iCs/>
          <w:color w:val="000000"/>
          <w:sz w:val="16"/>
          <w:szCs w:val="16"/>
        </w:rPr>
        <w:br/>
        <w:t xml:space="preserve">   </w:t>
      </w:r>
      <w:r w:rsidRPr="00AC21E4">
        <w:rPr>
          <w:rFonts w:ascii="Times New Roman" w:hAnsi="Times New Roman" w:cs="Times New Roman"/>
          <w:bCs/>
          <w:iCs/>
          <w:color w:val="000000"/>
          <w:sz w:val="16"/>
          <w:szCs w:val="16"/>
        </w:rPr>
        <w:t xml:space="preserve">Pozitívny efekt menovateľa z očakávaného rastu HDP v budúcnosti nie je v hodnote implicitných záväzkov zohľadnený. Zároveň, </w:t>
      </w:r>
      <w:r w:rsidRPr="00AC21E4">
        <w:rPr>
          <w:rFonts w:ascii="Times New Roman" w:hAnsi="Times New Roman" w:cs="Times New Roman"/>
          <w:sz w:val="16"/>
          <w:szCs w:val="16"/>
        </w:rPr>
        <w:t xml:space="preserve">neistota </w:t>
      </w:r>
      <w:r w:rsidR="00A970E2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Pr="00AC21E4">
        <w:rPr>
          <w:rFonts w:ascii="Times New Roman" w:hAnsi="Times New Roman" w:cs="Times New Roman"/>
          <w:sz w:val="16"/>
          <w:szCs w:val="16"/>
        </w:rPr>
        <w:t xml:space="preserve">celkových implicitných záväzkov pramení aj z relatívne vysokej váhy posledného bodu projekcie, ktorý je základom pre odhad záväzkov </w:t>
      </w:r>
      <w:r w:rsidR="00A970E2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Pr="00AC21E4">
        <w:rPr>
          <w:rFonts w:ascii="Times New Roman" w:hAnsi="Times New Roman" w:cs="Times New Roman"/>
          <w:sz w:val="16"/>
          <w:szCs w:val="16"/>
        </w:rPr>
        <w:t>v nekonečnom horizonte.</w:t>
      </w:r>
    </w:p>
  </w:footnote>
  <w:footnote w:id="3">
    <w:p w14:paraId="5C9C9EE8" w14:textId="21758862" w:rsidR="003F2E15" w:rsidRPr="002547EE" w:rsidRDefault="003F2E15" w:rsidP="003F2E1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Každoročný posun východiskového roku je vyvážený posunom koncového </w:t>
      </w:r>
      <w:r w:rsidR="0055615F">
        <w:rPr>
          <w:rFonts w:ascii="Times New Roman" w:hAnsi="Times New Roman" w:cs="Times New Roman"/>
          <w:color w:val="000000" w:themeColor="text1"/>
          <w:sz w:val="16"/>
          <w:szCs w:val="16"/>
        </w:rPr>
        <w:t>roku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Takto sa zabezpečuje konzistencia pri medziročnom </w:t>
      </w:r>
      <w:r w:rsidR="00A970E2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   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>porovnaní sledovaného intervalu projekcií. Pre účel RVS to aktuálne predstavuje obdobie rokov 201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9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až 206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</w:footnote>
  <w:footnote w:id="4">
    <w:p w14:paraId="7F8900E5" w14:textId="15047BA4" w:rsidR="003F2E15" w:rsidRPr="00904445" w:rsidRDefault="003F2E15" w:rsidP="003F2E1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904445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="00CC1D42">
        <w:rPr>
          <w:rFonts w:ascii="Times New Roman" w:hAnsi="Times New Roman" w:cs="Times New Roman"/>
          <w:sz w:val="16"/>
          <w:szCs w:val="16"/>
        </w:rPr>
        <w:t xml:space="preserve"> </w:t>
      </w:r>
      <w:r w:rsidRPr="00904445">
        <w:rPr>
          <w:rStyle w:val="Odkaznapoznmkupodiarou"/>
          <w:rFonts w:ascii="Times New Roman" w:hAnsi="Times New Roman" w:cs="Times New Roman"/>
          <w:sz w:val="16"/>
          <w:szCs w:val="16"/>
        </w:rPr>
        <w:t xml:space="preserve"> </w:t>
      </w:r>
      <w:r w:rsidRPr="00904445">
        <w:rPr>
          <w:rFonts w:ascii="Times New Roman" w:hAnsi="Times New Roman" w:cs="Times New Roman"/>
          <w:sz w:val="16"/>
          <w:szCs w:val="16"/>
        </w:rPr>
        <w:t xml:space="preserve">V roku 2019 došlo aj k zdvojnásobeniu výšky vianočných príspevkov (ktorých rast už je zahrnutý v predpokladoch projekcií AWG) a prijatiu </w:t>
      </w:r>
      <w:r w:rsidR="00CC1D42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Pr="00904445">
        <w:rPr>
          <w:rFonts w:ascii="Times New Roman" w:hAnsi="Times New Roman" w:cs="Times New Roman"/>
          <w:sz w:val="16"/>
          <w:szCs w:val="16"/>
        </w:rPr>
        <w:t>prechodnej valorizácie výsluhových dôc</w:t>
      </w:r>
      <w:r w:rsidR="002C17C8">
        <w:rPr>
          <w:rFonts w:ascii="Times New Roman" w:hAnsi="Times New Roman" w:cs="Times New Roman"/>
          <w:sz w:val="16"/>
          <w:szCs w:val="16"/>
        </w:rPr>
        <w:t>h</w:t>
      </w:r>
      <w:r w:rsidRPr="00904445">
        <w:rPr>
          <w:rFonts w:ascii="Times New Roman" w:hAnsi="Times New Roman" w:cs="Times New Roman"/>
          <w:sz w:val="16"/>
          <w:szCs w:val="16"/>
        </w:rPr>
        <w:t>odkov (s minimálnym vplyvom na dlhodobú udržateľnosť)</w:t>
      </w:r>
    </w:p>
  </w:footnote>
  <w:footnote w:id="5">
    <w:p w14:paraId="45F4507F" w14:textId="0373335C" w:rsidR="003F2E15" w:rsidRPr="002547EE" w:rsidRDefault="003F2E15" w:rsidP="003F2E15">
      <w:pPr>
        <w:pStyle w:val="Textpoznmkypodiarou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eastAsia="sk-SK"/>
        </w:rPr>
      </w:pPr>
      <w:r w:rsidRPr="002547EE">
        <w:rPr>
          <w:rStyle w:val="Odkaznapoznmkupodiarou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="00CC1D4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2" w:history="1">
        <w:r w:rsidRPr="002547EE">
          <w:rPr>
            <w:rStyle w:val="Hypertextovprepojenie"/>
            <w:rFonts w:ascii="Times New Roman" w:hAnsi="Times New Roman" w:cs="Times New Roman"/>
            <w:color w:val="000000" w:themeColor="text1"/>
            <w:sz w:val="16"/>
            <w:szCs w:val="16"/>
          </w:rPr>
          <w:t>The 2018 Ageing Report</w:t>
        </w:r>
      </w:hyperlink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(https://ec.europa.eu/info/sites/info/files/economy-finance/ip079_en.pdf).</w:t>
      </w:r>
    </w:p>
  </w:footnote>
  <w:footnote w:id="6">
    <w:p w14:paraId="48C0E2FD" w14:textId="1893596D" w:rsidR="003F2E15" w:rsidRPr="002547EE" w:rsidRDefault="003F2E15" w:rsidP="003F2E15">
      <w:pPr>
        <w:pStyle w:val="Textpoznmkypodiarou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Aktuálna projekcia AWG z </w:t>
      </w:r>
      <w:r w:rsidR="002C17C8">
        <w:rPr>
          <w:rFonts w:ascii="Times New Roman" w:hAnsi="Times New Roman" w:cs="Times New Roman"/>
          <w:sz w:val="16"/>
          <w:szCs w:val="16"/>
        </w:rPr>
        <w:t>roku 2018 rozšírila údajovú bázu</w:t>
      </w:r>
      <w:r w:rsidRPr="002547EE">
        <w:rPr>
          <w:rFonts w:ascii="Times New Roman" w:hAnsi="Times New Roman" w:cs="Times New Roman"/>
          <w:sz w:val="16"/>
          <w:szCs w:val="16"/>
        </w:rPr>
        <w:t xml:space="preserve"> do roku 2070. Z dôvodu zachovania 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konzistencie pri medziročnom porovnaní </w:t>
      </w:r>
      <w:r w:rsidR="00CC1D42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  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sledovaného intervalu projekcií je každoročný posun východiskového roku vývážený posunom koncového roku. Pre účel RVS to aktuálne </w:t>
      </w:r>
      <w:r w:rsidR="00CC1D42">
        <w:rPr>
          <w:rFonts w:ascii="Times New Roman" w:hAnsi="Times New Roman" w:cs="Times New Roman"/>
          <w:color w:val="000000" w:themeColor="text1"/>
          <w:sz w:val="16"/>
          <w:szCs w:val="16"/>
        </w:rPr>
        <w:br/>
        <w:t xml:space="preserve">  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>predstavuje obdobie rokov 201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9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až 206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2547EE">
        <w:rPr>
          <w:rFonts w:ascii="Times New Roman" w:hAnsi="Times New Roman" w:cs="Times New Roman"/>
          <w:color w:val="000000" w:themeColor="text1"/>
          <w:sz w:val="16"/>
          <w:szCs w:val="16"/>
        </w:rPr>
        <w:t>.</w:t>
      </w:r>
    </w:p>
  </w:footnote>
  <w:footnote w:id="7">
    <w:p w14:paraId="2AD0EF5C" w14:textId="77777777" w:rsidR="003F2E15" w:rsidRPr="002547EE" w:rsidRDefault="003F2E15" w:rsidP="003F2E1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Takýto prístup k projekcii príjmov sa používa aj v rámci pracovnej skupiny AWG.</w:t>
      </w:r>
    </w:p>
  </w:footnote>
  <w:footnote w:id="8">
    <w:p w14:paraId="2C7B6208" w14:textId="12FCC77C" w:rsidR="003F2E15" w:rsidRPr="002547EE" w:rsidRDefault="003F2E15" w:rsidP="003F2E15">
      <w:pPr>
        <w:pStyle w:val="Textpoznmkypodiarou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Pri zmenách primárneho salda dochádza aj k zmenám v úrokových nákladoch</w:t>
      </w:r>
      <w:r w:rsidR="00490FEB">
        <w:rPr>
          <w:rFonts w:ascii="Times New Roman" w:hAnsi="Times New Roman" w:cs="Times New Roman"/>
          <w:sz w:val="16"/>
          <w:szCs w:val="16"/>
        </w:rPr>
        <w:t>,</w:t>
      </w:r>
      <w:r w:rsidRPr="002547EE">
        <w:rPr>
          <w:rFonts w:ascii="Times New Roman" w:hAnsi="Times New Roman" w:cs="Times New Roman"/>
          <w:sz w:val="16"/>
          <w:szCs w:val="16"/>
        </w:rPr>
        <w:t xml:space="preserve"> resp. úrokových príjmoch (pokiaľ sa nekumuluje dlh, ale </w:t>
      </w:r>
      <w:r w:rsidR="00490FEB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Pr="002547EE">
        <w:rPr>
          <w:rFonts w:ascii="Times New Roman" w:hAnsi="Times New Roman" w:cs="Times New Roman"/>
          <w:sz w:val="16"/>
          <w:szCs w:val="16"/>
        </w:rPr>
        <w:t>aktíva) verejnej správy. Ak vláda uskutoční opatrenia zlepšujúce primárne saldo, automaticky to povedie aj k poklesu úrokových nákladov</w:t>
      </w:r>
      <w:r w:rsidR="00490FEB">
        <w:rPr>
          <w:rFonts w:ascii="Times New Roman" w:hAnsi="Times New Roman" w:cs="Times New Roman"/>
          <w:sz w:val="16"/>
          <w:szCs w:val="16"/>
        </w:rPr>
        <w:t>,</w:t>
      </w:r>
      <w:r w:rsidRPr="002547EE">
        <w:rPr>
          <w:rFonts w:ascii="Times New Roman" w:hAnsi="Times New Roman" w:cs="Times New Roman"/>
          <w:sz w:val="16"/>
          <w:szCs w:val="16"/>
        </w:rPr>
        <w:t xml:space="preserve"> </w:t>
      </w:r>
      <w:r w:rsidR="00490FEB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Pr="002547EE">
        <w:rPr>
          <w:rFonts w:ascii="Times New Roman" w:hAnsi="Times New Roman" w:cs="Times New Roman"/>
          <w:sz w:val="16"/>
          <w:szCs w:val="16"/>
        </w:rPr>
        <w:t xml:space="preserve">resp. nárastu úrokových príjmov. </w:t>
      </w:r>
    </w:p>
  </w:footnote>
  <w:footnote w:id="9">
    <w:p w14:paraId="146C9CEF" w14:textId="5984DCE9" w:rsidR="003F2E15" w:rsidRPr="002547EE" w:rsidRDefault="003F2E15" w:rsidP="003F2E15">
      <w:pPr>
        <w:pStyle w:val="Default"/>
        <w:jc w:val="both"/>
        <w:rPr>
          <w:sz w:val="16"/>
          <w:szCs w:val="16"/>
        </w:rPr>
      </w:pPr>
      <w:r w:rsidRPr="002547EE">
        <w:rPr>
          <w:rStyle w:val="Odkaznapoznmkupodiarou"/>
          <w:sz w:val="16"/>
          <w:szCs w:val="16"/>
        </w:rPr>
        <w:footnoteRef/>
      </w:r>
      <w:r w:rsidRPr="002547EE">
        <w:rPr>
          <w:sz w:val="16"/>
          <w:szCs w:val="16"/>
        </w:rPr>
        <w:t xml:space="preserve"> </w:t>
      </w:r>
      <w:r w:rsidR="004057B1">
        <w:rPr>
          <w:sz w:val="16"/>
          <w:szCs w:val="16"/>
        </w:rPr>
        <w:t xml:space="preserve"> </w:t>
      </w:r>
      <w:r w:rsidRPr="002547EE">
        <w:rPr>
          <w:sz w:val="16"/>
          <w:szCs w:val="16"/>
        </w:rPr>
        <w:t>V súlade s a</w:t>
      </w:r>
      <w:r w:rsidRPr="002547EE">
        <w:rPr>
          <w:bCs/>
          <w:iCs/>
          <w:sz w:val="16"/>
          <w:szCs w:val="16"/>
        </w:rPr>
        <w:t xml:space="preserve">ktualizáciou </w:t>
      </w:r>
      <w:hyperlink r:id="rId3" w:history="1">
        <w:r w:rsidRPr="002547EE">
          <w:rPr>
            <w:rStyle w:val="Hypertextovprepojenie"/>
            <w:bCs/>
            <w:iCs/>
            <w:sz w:val="16"/>
            <w:szCs w:val="16"/>
          </w:rPr>
          <w:t xml:space="preserve">štúdie uskutočniteľnosti výstavby väzenského zariadenia Rimavská Sobota – Sabová formou verejno – súkromného </w:t>
        </w:r>
        <w:r w:rsidR="00E11BCA">
          <w:rPr>
            <w:rStyle w:val="Hypertextovprepojenie"/>
            <w:bCs/>
            <w:iCs/>
            <w:sz w:val="16"/>
            <w:szCs w:val="16"/>
          </w:rPr>
          <w:br/>
        </w:r>
        <w:r w:rsidR="00E11BCA" w:rsidRPr="00E11BCA">
          <w:rPr>
            <w:rStyle w:val="Hypertextovprepojenie"/>
            <w:bCs/>
            <w:iCs/>
            <w:sz w:val="16"/>
            <w:szCs w:val="16"/>
            <w:u w:val="none"/>
          </w:rPr>
          <w:t xml:space="preserve">   </w:t>
        </w:r>
        <w:r w:rsidR="004057B1">
          <w:rPr>
            <w:rStyle w:val="Hypertextovprepojenie"/>
            <w:bCs/>
            <w:iCs/>
            <w:sz w:val="16"/>
            <w:szCs w:val="16"/>
            <w:u w:val="none"/>
          </w:rPr>
          <w:t xml:space="preserve"> </w:t>
        </w:r>
        <w:r w:rsidRPr="002547EE">
          <w:rPr>
            <w:rStyle w:val="Hypertextovprepojenie"/>
            <w:bCs/>
            <w:iCs/>
            <w:sz w:val="16"/>
            <w:szCs w:val="16"/>
          </w:rPr>
          <w:t>partnerstva</w:t>
        </w:r>
        <w:r w:rsidRPr="0080276A">
          <w:rPr>
            <w:rStyle w:val="Hypertextovprepojenie"/>
            <w:bCs/>
            <w:iCs/>
            <w:sz w:val="16"/>
            <w:szCs w:val="16"/>
            <w:u w:val="none"/>
          </w:rPr>
          <w:t>.</w:t>
        </w:r>
      </w:hyperlink>
    </w:p>
  </w:footnote>
  <w:footnote w:id="10">
    <w:p w14:paraId="25CD3001" w14:textId="7D3E6394" w:rsidR="003F2E15" w:rsidRPr="002547EE" w:rsidRDefault="003F2E15" w:rsidP="003F2E15">
      <w:pPr>
        <w:pStyle w:val="Textpoznmkypodiarou"/>
        <w:ind w:left="113" w:hanging="113"/>
        <w:jc w:val="both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V čase odovzdania jednotlivých úsekov rýchlostnej cesty v roku 2011 došlo k odvedeniu DPH zo strany investora v sume 174 mil. eur (po </w:t>
      </w:r>
      <w:r w:rsidR="004057B1">
        <w:rPr>
          <w:rFonts w:ascii="Times New Roman" w:hAnsi="Times New Roman" w:cs="Times New Roman"/>
          <w:sz w:val="16"/>
          <w:szCs w:val="16"/>
        </w:rPr>
        <w:br/>
        <w:t xml:space="preserve"> </w:t>
      </w:r>
      <w:r w:rsidRPr="002547EE">
        <w:rPr>
          <w:rFonts w:ascii="Times New Roman" w:hAnsi="Times New Roman" w:cs="Times New Roman"/>
          <w:sz w:val="16"/>
          <w:szCs w:val="16"/>
        </w:rPr>
        <w:t xml:space="preserve">zaplatení zo strany štátu), čo sa prejavilo v daňových príjmoch a pozitívne ovplyvnilo saldo verejnej správy v uvedenej sume. Vzhľadom na </w:t>
      </w:r>
      <w:r w:rsidR="004057B1">
        <w:rPr>
          <w:rFonts w:ascii="Times New Roman" w:hAnsi="Times New Roman" w:cs="Times New Roman"/>
          <w:sz w:val="16"/>
          <w:szCs w:val="16"/>
        </w:rPr>
        <w:br/>
        <w:t xml:space="preserve"> </w:t>
      </w:r>
      <w:r w:rsidRPr="002547EE">
        <w:rPr>
          <w:rFonts w:ascii="Times New Roman" w:hAnsi="Times New Roman" w:cs="Times New Roman"/>
          <w:sz w:val="16"/>
          <w:szCs w:val="16"/>
        </w:rPr>
        <w:t xml:space="preserve">to, že uvedený projekt je zaznamenaný mimo bilancie verejnej správy, zaplatená DPH zo strany štátu sa rovnomerne zaznamenáva počas </w:t>
      </w:r>
      <w:r w:rsidR="004057B1">
        <w:rPr>
          <w:rFonts w:ascii="Times New Roman" w:hAnsi="Times New Roman" w:cs="Times New Roman"/>
          <w:sz w:val="16"/>
          <w:szCs w:val="16"/>
        </w:rPr>
        <w:br/>
        <w:t xml:space="preserve"> </w:t>
      </w:r>
      <w:r w:rsidRPr="002547EE">
        <w:rPr>
          <w:rFonts w:ascii="Times New Roman" w:hAnsi="Times New Roman" w:cs="Times New Roman"/>
          <w:sz w:val="16"/>
          <w:szCs w:val="16"/>
        </w:rPr>
        <w:t xml:space="preserve">celého obdobia trvania koncesie spolu s platbami štátu za dostupnosť, čo každý rok zhorší saldo o takmer 6 mil. eur. Z pohľadu vplyvu na </w:t>
      </w:r>
      <w:r w:rsidR="004057B1">
        <w:rPr>
          <w:rFonts w:ascii="Times New Roman" w:hAnsi="Times New Roman" w:cs="Times New Roman"/>
          <w:sz w:val="16"/>
          <w:szCs w:val="16"/>
        </w:rPr>
        <w:br/>
        <w:t xml:space="preserve"> </w:t>
      </w:r>
      <w:r w:rsidRPr="002547EE">
        <w:rPr>
          <w:rFonts w:ascii="Times New Roman" w:hAnsi="Times New Roman" w:cs="Times New Roman"/>
          <w:sz w:val="16"/>
          <w:szCs w:val="16"/>
        </w:rPr>
        <w:t>dlh však ide o neutrálnu operáciu.</w:t>
      </w:r>
    </w:p>
  </w:footnote>
  <w:footnote w:id="11">
    <w:p w14:paraId="4BB74C29" w14:textId="77777777" w:rsidR="003F2E15" w:rsidRPr="002547EE" w:rsidRDefault="003F2E15" w:rsidP="003F2E15">
      <w:pPr>
        <w:pStyle w:val="Textpoznmkypodiarou"/>
        <w:ind w:left="170" w:hanging="170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</w:t>
      </w:r>
      <w:hyperlink r:id="rId4" w:history="1">
        <w:r w:rsidRPr="002547EE">
          <w:rPr>
            <w:rStyle w:val="Hypertextovprepojenie"/>
            <w:rFonts w:ascii="Times New Roman" w:hAnsi="Times New Roman" w:cs="Times New Roman"/>
            <w:sz w:val="16"/>
            <w:szCs w:val="16"/>
          </w:rPr>
          <w:t>Aktualizácia stratégie záverečnej časti mierového využívania jadrovej energie v SR</w:t>
        </w:r>
      </w:hyperlink>
      <w:r w:rsidRPr="002547EE">
        <w:rPr>
          <w:rFonts w:ascii="Times New Roman" w:hAnsi="Times New Roman" w:cs="Times New Roman"/>
          <w:sz w:val="16"/>
          <w:szCs w:val="16"/>
        </w:rPr>
        <w:t xml:space="preserve"> schválená </w:t>
      </w:r>
      <w:hyperlink r:id="rId5" w:history="1">
        <w:r w:rsidRPr="002547EE">
          <w:rPr>
            <w:rStyle w:val="Hypertextovprepojenie"/>
            <w:rFonts w:ascii="Times New Roman" w:hAnsi="Times New Roman" w:cs="Times New Roman"/>
            <w:sz w:val="16"/>
            <w:szCs w:val="16"/>
          </w:rPr>
          <w:t>uznesením vlády č. 387/2015 z 8. júla 2015</w:t>
        </w:r>
      </w:hyperlink>
      <w:r w:rsidRPr="002547EE">
        <w:rPr>
          <w:rFonts w:ascii="Times New Roman" w:hAnsi="Times New Roman" w:cs="Times New Roman"/>
          <w:sz w:val="16"/>
          <w:szCs w:val="16"/>
        </w:rPr>
        <w:t>.</w:t>
      </w:r>
    </w:p>
  </w:footnote>
  <w:footnote w:id="12">
    <w:p w14:paraId="51F1AAC4" w14:textId="77777777" w:rsidR="003F2E15" w:rsidRPr="002547EE" w:rsidRDefault="003F2E15" w:rsidP="003F2E15">
      <w:pPr>
        <w:pStyle w:val="Textpoznmkypodiarou"/>
        <w:ind w:left="170" w:hanging="170"/>
        <w:rPr>
          <w:rFonts w:ascii="Times New Roman" w:hAnsi="Times New Roman" w:cs="Times New Roman"/>
          <w:sz w:val="16"/>
          <w:szCs w:val="16"/>
        </w:rPr>
      </w:pPr>
      <w:r w:rsidRPr="002547EE">
        <w:rPr>
          <w:rStyle w:val="Odkaznapoznmkupodiarou"/>
          <w:rFonts w:ascii="Times New Roman" w:hAnsi="Times New Roman" w:cs="Times New Roman"/>
          <w:sz w:val="16"/>
          <w:szCs w:val="16"/>
        </w:rPr>
        <w:footnoteRef/>
      </w:r>
      <w:r w:rsidRPr="002547EE">
        <w:rPr>
          <w:rFonts w:ascii="Times New Roman" w:hAnsi="Times New Roman" w:cs="Times New Roman"/>
          <w:sz w:val="16"/>
          <w:szCs w:val="16"/>
        </w:rPr>
        <w:t xml:space="preserve"> MF SR modifikuje model o aktuálnu prognózu makroekonomického vývoja.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AE2"/>
    <w:multiLevelType w:val="hybridMultilevel"/>
    <w:tmpl w:val="FC7E1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E0C"/>
    <w:multiLevelType w:val="hybridMultilevel"/>
    <w:tmpl w:val="AE822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3C5"/>
    <w:multiLevelType w:val="hybridMultilevel"/>
    <w:tmpl w:val="D37CF8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1C8C"/>
    <w:multiLevelType w:val="hybridMultilevel"/>
    <w:tmpl w:val="136201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56E23"/>
    <w:multiLevelType w:val="hybridMultilevel"/>
    <w:tmpl w:val="0ADAA3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5B7D"/>
    <w:multiLevelType w:val="hybridMultilevel"/>
    <w:tmpl w:val="5902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922C2"/>
    <w:multiLevelType w:val="hybridMultilevel"/>
    <w:tmpl w:val="6882DE1A"/>
    <w:lvl w:ilvl="0" w:tplc="0409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586C74A6"/>
    <w:multiLevelType w:val="hybridMultilevel"/>
    <w:tmpl w:val="7084E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B2223"/>
    <w:multiLevelType w:val="hybridMultilevel"/>
    <w:tmpl w:val="87C88102"/>
    <w:lvl w:ilvl="0" w:tplc="A0821A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219E0"/>
    <w:multiLevelType w:val="hybridMultilevel"/>
    <w:tmpl w:val="6D7CC4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4236F"/>
    <w:multiLevelType w:val="hybridMultilevel"/>
    <w:tmpl w:val="590215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20E14"/>
    <w:multiLevelType w:val="hybridMultilevel"/>
    <w:tmpl w:val="FB44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14D11"/>
    <w:multiLevelType w:val="hybridMultilevel"/>
    <w:tmpl w:val="9822E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2A"/>
    <w:rsid w:val="00002AC2"/>
    <w:rsid w:val="000049C3"/>
    <w:rsid w:val="00005AE7"/>
    <w:rsid w:val="00007A86"/>
    <w:rsid w:val="00007FB3"/>
    <w:rsid w:val="00012543"/>
    <w:rsid w:val="00012A9F"/>
    <w:rsid w:val="000241D8"/>
    <w:rsid w:val="00024F64"/>
    <w:rsid w:val="00025618"/>
    <w:rsid w:val="00026841"/>
    <w:rsid w:val="00027137"/>
    <w:rsid w:val="000343FC"/>
    <w:rsid w:val="00034BCD"/>
    <w:rsid w:val="00035500"/>
    <w:rsid w:val="00042615"/>
    <w:rsid w:val="00042B41"/>
    <w:rsid w:val="00050159"/>
    <w:rsid w:val="0005513F"/>
    <w:rsid w:val="00055AE7"/>
    <w:rsid w:val="000560AE"/>
    <w:rsid w:val="000613B8"/>
    <w:rsid w:val="00064C0D"/>
    <w:rsid w:val="00064CA3"/>
    <w:rsid w:val="00073117"/>
    <w:rsid w:val="000779D6"/>
    <w:rsid w:val="0008369B"/>
    <w:rsid w:val="00085646"/>
    <w:rsid w:val="00090047"/>
    <w:rsid w:val="000945C7"/>
    <w:rsid w:val="000A1148"/>
    <w:rsid w:val="000A5BD0"/>
    <w:rsid w:val="000B13B4"/>
    <w:rsid w:val="000B7282"/>
    <w:rsid w:val="000C3382"/>
    <w:rsid w:val="000C5800"/>
    <w:rsid w:val="000C7F87"/>
    <w:rsid w:val="000D08F6"/>
    <w:rsid w:val="000D0FCD"/>
    <w:rsid w:val="000D6D87"/>
    <w:rsid w:val="000E21DF"/>
    <w:rsid w:val="000E3E92"/>
    <w:rsid w:val="000E511F"/>
    <w:rsid w:val="000E7EEF"/>
    <w:rsid w:val="000F00ED"/>
    <w:rsid w:val="000F2F51"/>
    <w:rsid w:val="000F6D6A"/>
    <w:rsid w:val="001051E1"/>
    <w:rsid w:val="001127C2"/>
    <w:rsid w:val="00124F47"/>
    <w:rsid w:val="00127CA4"/>
    <w:rsid w:val="00134024"/>
    <w:rsid w:val="001366B1"/>
    <w:rsid w:val="0013749E"/>
    <w:rsid w:val="00137DEF"/>
    <w:rsid w:val="0015041D"/>
    <w:rsid w:val="0015119F"/>
    <w:rsid w:val="001511E0"/>
    <w:rsid w:val="00152765"/>
    <w:rsid w:val="00154823"/>
    <w:rsid w:val="00160A4E"/>
    <w:rsid w:val="00167410"/>
    <w:rsid w:val="001675D0"/>
    <w:rsid w:val="0017284D"/>
    <w:rsid w:val="001753EE"/>
    <w:rsid w:val="00177AA2"/>
    <w:rsid w:val="00177CD8"/>
    <w:rsid w:val="00182E17"/>
    <w:rsid w:val="001856ED"/>
    <w:rsid w:val="001941E5"/>
    <w:rsid w:val="0019700D"/>
    <w:rsid w:val="001A3EC2"/>
    <w:rsid w:val="001A6B9A"/>
    <w:rsid w:val="001A74C1"/>
    <w:rsid w:val="001B57C8"/>
    <w:rsid w:val="001B68A6"/>
    <w:rsid w:val="001C210F"/>
    <w:rsid w:val="001C2A54"/>
    <w:rsid w:val="001C40A3"/>
    <w:rsid w:val="001C7D8E"/>
    <w:rsid w:val="001D3BAF"/>
    <w:rsid w:val="001D661E"/>
    <w:rsid w:val="001E30F2"/>
    <w:rsid w:val="001E3819"/>
    <w:rsid w:val="001E6853"/>
    <w:rsid w:val="001F0BC2"/>
    <w:rsid w:val="001F7F6E"/>
    <w:rsid w:val="002026F5"/>
    <w:rsid w:val="002045D4"/>
    <w:rsid w:val="00204B3E"/>
    <w:rsid w:val="002056A0"/>
    <w:rsid w:val="00210ABF"/>
    <w:rsid w:val="00220479"/>
    <w:rsid w:val="00223CAB"/>
    <w:rsid w:val="00226CB4"/>
    <w:rsid w:val="00227631"/>
    <w:rsid w:val="002302EC"/>
    <w:rsid w:val="00230494"/>
    <w:rsid w:val="00232024"/>
    <w:rsid w:val="00237F5B"/>
    <w:rsid w:val="0024014F"/>
    <w:rsid w:val="002439E9"/>
    <w:rsid w:val="00247489"/>
    <w:rsid w:val="00251360"/>
    <w:rsid w:val="00253119"/>
    <w:rsid w:val="00256A85"/>
    <w:rsid w:val="002630F2"/>
    <w:rsid w:val="0027151E"/>
    <w:rsid w:val="00282AD4"/>
    <w:rsid w:val="002A2A51"/>
    <w:rsid w:val="002A48DC"/>
    <w:rsid w:val="002A5F25"/>
    <w:rsid w:val="002B3EA6"/>
    <w:rsid w:val="002C008A"/>
    <w:rsid w:val="002C17C8"/>
    <w:rsid w:val="002C28D8"/>
    <w:rsid w:val="002C37A1"/>
    <w:rsid w:val="002D364B"/>
    <w:rsid w:val="002E3222"/>
    <w:rsid w:val="002F7139"/>
    <w:rsid w:val="00302516"/>
    <w:rsid w:val="00306ACD"/>
    <w:rsid w:val="00310BC7"/>
    <w:rsid w:val="00311DE5"/>
    <w:rsid w:val="00320297"/>
    <w:rsid w:val="00320F75"/>
    <w:rsid w:val="00324CD5"/>
    <w:rsid w:val="003305EA"/>
    <w:rsid w:val="0033637B"/>
    <w:rsid w:val="00337CF7"/>
    <w:rsid w:val="00337E2E"/>
    <w:rsid w:val="00340D77"/>
    <w:rsid w:val="00343DFC"/>
    <w:rsid w:val="0034423E"/>
    <w:rsid w:val="00345338"/>
    <w:rsid w:val="00352EF8"/>
    <w:rsid w:val="00353746"/>
    <w:rsid w:val="0036227D"/>
    <w:rsid w:val="00371ABB"/>
    <w:rsid w:val="00373B7C"/>
    <w:rsid w:val="00374999"/>
    <w:rsid w:val="00374AD3"/>
    <w:rsid w:val="00375A0E"/>
    <w:rsid w:val="00380FD0"/>
    <w:rsid w:val="0038110A"/>
    <w:rsid w:val="00384414"/>
    <w:rsid w:val="00390CCE"/>
    <w:rsid w:val="00391B6F"/>
    <w:rsid w:val="003931F1"/>
    <w:rsid w:val="00393493"/>
    <w:rsid w:val="0039762B"/>
    <w:rsid w:val="00397DB2"/>
    <w:rsid w:val="00397E9A"/>
    <w:rsid w:val="003B0544"/>
    <w:rsid w:val="003B5D88"/>
    <w:rsid w:val="003C5779"/>
    <w:rsid w:val="003C67DE"/>
    <w:rsid w:val="003D13AE"/>
    <w:rsid w:val="003D49CE"/>
    <w:rsid w:val="003E4611"/>
    <w:rsid w:val="003E6DE1"/>
    <w:rsid w:val="003F2E15"/>
    <w:rsid w:val="0040053A"/>
    <w:rsid w:val="00401A00"/>
    <w:rsid w:val="00404DD9"/>
    <w:rsid w:val="004057B1"/>
    <w:rsid w:val="004137E6"/>
    <w:rsid w:val="0041547F"/>
    <w:rsid w:val="00416412"/>
    <w:rsid w:val="00431A4A"/>
    <w:rsid w:val="0043364B"/>
    <w:rsid w:val="004347DE"/>
    <w:rsid w:val="0043648A"/>
    <w:rsid w:val="004378DA"/>
    <w:rsid w:val="0044008E"/>
    <w:rsid w:val="004407C0"/>
    <w:rsid w:val="004535C5"/>
    <w:rsid w:val="00454D37"/>
    <w:rsid w:val="0045646A"/>
    <w:rsid w:val="0046535F"/>
    <w:rsid w:val="00466506"/>
    <w:rsid w:val="00473012"/>
    <w:rsid w:val="004740EA"/>
    <w:rsid w:val="004775B2"/>
    <w:rsid w:val="00483119"/>
    <w:rsid w:val="00484CB3"/>
    <w:rsid w:val="00490FEB"/>
    <w:rsid w:val="00497500"/>
    <w:rsid w:val="004978C1"/>
    <w:rsid w:val="00497AF6"/>
    <w:rsid w:val="004A1BB4"/>
    <w:rsid w:val="004A3E24"/>
    <w:rsid w:val="004B1E86"/>
    <w:rsid w:val="004B3310"/>
    <w:rsid w:val="004C1B5F"/>
    <w:rsid w:val="004C4D57"/>
    <w:rsid w:val="004D3347"/>
    <w:rsid w:val="004D4C5F"/>
    <w:rsid w:val="004D68B4"/>
    <w:rsid w:val="004E503C"/>
    <w:rsid w:val="004F07EA"/>
    <w:rsid w:val="004F23B4"/>
    <w:rsid w:val="00504E59"/>
    <w:rsid w:val="005124E5"/>
    <w:rsid w:val="005133B2"/>
    <w:rsid w:val="005211E9"/>
    <w:rsid w:val="00524A9C"/>
    <w:rsid w:val="0053738B"/>
    <w:rsid w:val="00537DDF"/>
    <w:rsid w:val="0054624F"/>
    <w:rsid w:val="00551610"/>
    <w:rsid w:val="00553882"/>
    <w:rsid w:val="005538E5"/>
    <w:rsid w:val="00553DD2"/>
    <w:rsid w:val="00554B6B"/>
    <w:rsid w:val="0055615F"/>
    <w:rsid w:val="0055664A"/>
    <w:rsid w:val="00563367"/>
    <w:rsid w:val="00565053"/>
    <w:rsid w:val="00566233"/>
    <w:rsid w:val="00583D06"/>
    <w:rsid w:val="00585524"/>
    <w:rsid w:val="00587395"/>
    <w:rsid w:val="0059018F"/>
    <w:rsid w:val="00595577"/>
    <w:rsid w:val="0059693F"/>
    <w:rsid w:val="005A1619"/>
    <w:rsid w:val="005A5976"/>
    <w:rsid w:val="005B0C87"/>
    <w:rsid w:val="005B6BE1"/>
    <w:rsid w:val="005C5742"/>
    <w:rsid w:val="005C70C9"/>
    <w:rsid w:val="005D02DB"/>
    <w:rsid w:val="005D6E9E"/>
    <w:rsid w:val="005E3607"/>
    <w:rsid w:val="005E6060"/>
    <w:rsid w:val="005F26F8"/>
    <w:rsid w:val="005F3E30"/>
    <w:rsid w:val="005F4E39"/>
    <w:rsid w:val="006011EF"/>
    <w:rsid w:val="00601CA4"/>
    <w:rsid w:val="006055A8"/>
    <w:rsid w:val="00614818"/>
    <w:rsid w:val="00614F59"/>
    <w:rsid w:val="00617AF0"/>
    <w:rsid w:val="006219F1"/>
    <w:rsid w:val="00622B79"/>
    <w:rsid w:val="006241FE"/>
    <w:rsid w:val="00625727"/>
    <w:rsid w:val="00625A94"/>
    <w:rsid w:val="00627A2A"/>
    <w:rsid w:val="006303A3"/>
    <w:rsid w:val="006314B7"/>
    <w:rsid w:val="006325AE"/>
    <w:rsid w:val="00650B74"/>
    <w:rsid w:val="0065412E"/>
    <w:rsid w:val="00655C6C"/>
    <w:rsid w:val="00661856"/>
    <w:rsid w:val="00666951"/>
    <w:rsid w:val="00677DD4"/>
    <w:rsid w:val="0069263A"/>
    <w:rsid w:val="00693D75"/>
    <w:rsid w:val="00696199"/>
    <w:rsid w:val="00696808"/>
    <w:rsid w:val="00696D79"/>
    <w:rsid w:val="006A1E54"/>
    <w:rsid w:val="006A4E24"/>
    <w:rsid w:val="006B2346"/>
    <w:rsid w:val="006B63E7"/>
    <w:rsid w:val="006C226B"/>
    <w:rsid w:val="006C663A"/>
    <w:rsid w:val="006D7642"/>
    <w:rsid w:val="006D786A"/>
    <w:rsid w:val="006D7CB3"/>
    <w:rsid w:val="006E4C58"/>
    <w:rsid w:val="006E6950"/>
    <w:rsid w:val="006F0A12"/>
    <w:rsid w:val="006F1A07"/>
    <w:rsid w:val="006F385E"/>
    <w:rsid w:val="006F7E4E"/>
    <w:rsid w:val="00703E51"/>
    <w:rsid w:val="007110B3"/>
    <w:rsid w:val="00713F44"/>
    <w:rsid w:val="00716865"/>
    <w:rsid w:val="00717E81"/>
    <w:rsid w:val="00722962"/>
    <w:rsid w:val="007243F8"/>
    <w:rsid w:val="00726358"/>
    <w:rsid w:val="007279E6"/>
    <w:rsid w:val="0073380B"/>
    <w:rsid w:val="0073745A"/>
    <w:rsid w:val="00746170"/>
    <w:rsid w:val="00751B2E"/>
    <w:rsid w:val="007536E1"/>
    <w:rsid w:val="007674A6"/>
    <w:rsid w:val="007715F1"/>
    <w:rsid w:val="00772EE8"/>
    <w:rsid w:val="00777453"/>
    <w:rsid w:val="00777543"/>
    <w:rsid w:val="00790467"/>
    <w:rsid w:val="00792B8A"/>
    <w:rsid w:val="00792F61"/>
    <w:rsid w:val="007935DE"/>
    <w:rsid w:val="007A2BD6"/>
    <w:rsid w:val="007A3598"/>
    <w:rsid w:val="007A43D0"/>
    <w:rsid w:val="007B46E1"/>
    <w:rsid w:val="007B4901"/>
    <w:rsid w:val="007B70A2"/>
    <w:rsid w:val="007C1220"/>
    <w:rsid w:val="007C7902"/>
    <w:rsid w:val="007F211C"/>
    <w:rsid w:val="007F4A3D"/>
    <w:rsid w:val="007F6022"/>
    <w:rsid w:val="0080034D"/>
    <w:rsid w:val="008014E0"/>
    <w:rsid w:val="008026C3"/>
    <w:rsid w:val="0080276A"/>
    <w:rsid w:val="008029B6"/>
    <w:rsid w:val="008141F5"/>
    <w:rsid w:val="008201C4"/>
    <w:rsid w:val="00824A54"/>
    <w:rsid w:val="0082642E"/>
    <w:rsid w:val="0082666F"/>
    <w:rsid w:val="008279EC"/>
    <w:rsid w:val="0083649B"/>
    <w:rsid w:val="00842968"/>
    <w:rsid w:val="00852376"/>
    <w:rsid w:val="0085298D"/>
    <w:rsid w:val="00854026"/>
    <w:rsid w:val="00856BD7"/>
    <w:rsid w:val="008608A9"/>
    <w:rsid w:val="00867C88"/>
    <w:rsid w:val="00871656"/>
    <w:rsid w:val="00871F29"/>
    <w:rsid w:val="008757C1"/>
    <w:rsid w:val="00875835"/>
    <w:rsid w:val="0088390C"/>
    <w:rsid w:val="008850D1"/>
    <w:rsid w:val="0089092A"/>
    <w:rsid w:val="00894E41"/>
    <w:rsid w:val="008963F0"/>
    <w:rsid w:val="008A3805"/>
    <w:rsid w:val="008A5094"/>
    <w:rsid w:val="008C10D5"/>
    <w:rsid w:val="008C658A"/>
    <w:rsid w:val="008C738B"/>
    <w:rsid w:val="008D1362"/>
    <w:rsid w:val="008D2018"/>
    <w:rsid w:val="008D2D7D"/>
    <w:rsid w:val="008D4A49"/>
    <w:rsid w:val="008E09B7"/>
    <w:rsid w:val="008E0B32"/>
    <w:rsid w:val="008E1659"/>
    <w:rsid w:val="008E19DA"/>
    <w:rsid w:val="008E27BC"/>
    <w:rsid w:val="008E3678"/>
    <w:rsid w:val="008E4952"/>
    <w:rsid w:val="008E5A8D"/>
    <w:rsid w:val="008E6462"/>
    <w:rsid w:val="008F0982"/>
    <w:rsid w:val="008F7C3A"/>
    <w:rsid w:val="0090062F"/>
    <w:rsid w:val="0090171C"/>
    <w:rsid w:val="00902B2B"/>
    <w:rsid w:val="009106B1"/>
    <w:rsid w:val="009117E0"/>
    <w:rsid w:val="00920309"/>
    <w:rsid w:val="00924645"/>
    <w:rsid w:val="0092626C"/>
    <w:rsid w:val="00926ED7"/>
    <w:rsid w:val="00931B0D"/>
    <w:rsid w:val="00932F50"/>
    <w:rsid w:val="00934778"/>
    <w:rsid w:val="00934E5F"/>
    <w:rsid w:val="00945941"/>
    <w:rsid w:val="0094656C"/>
    <w:rsid w:val="009530C6"/>
    <w:rsid w:val="009605C5"/>
    <w:rsid w:val="00963595"/>
    <w:rsid w:val="00965759"/>
    <w:rsid w:val="00970BD1"/>
    <w:rsid w:val="00972692"/>
    <w:rsid w:val="00983223"/>
    <w:rsid w:val="0098784B"/>
    <w:rsid w:val="0099114D"/>
    <w:rsid w:val="009B1E2F"/>
    <w:rsid w:val="009C0A3A"/>
    <w:rsid w:val="009C1243"/>
    <w:rsid w:val="009C2980"/>
    <w:rsid w:val="009C6232"/>
    <w:rsid w:val="009E5F9D"/>
    <w:rsid w:val="009E6EB2"/>
    <w:rsid w:val="009F1362"/>
    <w:rsid w:val="009F6DBF"/>
    <w:rsid w:val="009F6EE1"/>
    <w:rsid w:val="00A01FC8"/>
    <w:rsid w:val="00A02F78"/>
    <w:rsid w:val="00A20941"/>
    <w:rsid w:val="00A228FA"/>
    <w:rsid w:val="00A24D1C"/>
    <w:rsid w:val="00A30BBF"/>
    <w:rsid w:val="00A32DA1"/>
    <w:rsid w:val="00A3507B"/>
    <w:rsid w:val="00A50ECB"/>
    <w:rsid w:val="00A52219"/>
    <w:rsid w:val="00A53342"/>
    <w:rsid w:val="00A54BAE"/>
    <w:rsid w:val="00A555E7"/>
    <w:rsid w:val="00A6498C"/>
    <w:rsid w:val="00A73902"/>
    <w:rsid w:val="00A8025E"/>
    <w:rsid w:val="00A80D1A"/>
    <w:rsid w:val="00A81260"/>
    <w:rsid w:val="00A83BDC"/>
    <w:rsid w:val="00A84A65"/>
    <w:rsid w:val="00A86AC0"/>
    <w:rsid w:val="00A87EEB"/>
    <w:rsid w:val="00A92872"/>
    <w:rsid w:val="00A9489D"/>
    <w:rsid w:val="00A96113"/>
    <w:rsid w:val="00A970E2"/>
    <w:rsid w:val="00AA01F1"/>
    <w:rsid w:val="00AA03DB"/>
    <w:rsid w:val="00AA06CE"/>
    <w:rsid w:val="00AA5038"/>
    <w:rsid w:val="00AA6F75"/>
    <w:rsid w:val="00AA758F"/>
    <w:rsid w:val="00AB0C9E"/>
    <w:rsid w:val="00AB157F"/>
    <w:rsid w:val="00AC19E7"/>
    <w:rsid w:val="00AC3F9A"/>
    <w:rsid w:val="00AD5687"/>
    <w:rsid w:val="00AD5D10"/>
    <w:rsid w:val="00AD6879"/>
    <w:rsid w:val="00AD72EF"/>
    <w:rsid w:val="00AD74A9"/>
    <w:rsid w:val="00AE45FC"/>
    <w:rsid w:val="00AE5547"/>
    <w:rsid w:val="00AE6760"/>
    <w:rsid w:val="00AF3A4A"/>
    <w:rsid w:val="00AF7D84"/>
    <w:rsid w:val="00B07057"/>
    <w:rsid w:val="00B15E6E"/>
    <w:rsid w:val="00B1756A"/>
    <w:rsid w:val="00B22F2D"/>
    <w:rsid w:val="00B30F3C"/>
    <w:rsid w:val="00B332E8"/>
    <w:rsid w:val="00B37C85"/>
    <w:rsid w:val="00B51686"/>
    <w:rsid w:val="00B54D83"/>
    <w:rsid w:val="00B6300A"/>
    <w:rsid w:val="00B634FE"/>
    <w:rsid w:val="00B669F1"/>
    <w:rsid w:val="00B726B9"/>
    <w:rsid w:val="00B839B2"/>
    <w:rsid w:val="00B927A3"/>
    <w:rsid w:val="00BA123E"/>
    <w:rsid w:val="00BA1F07"/>
    <w:rsid w:val="00BA39E3"/>
    <w:rsid w:val="00BA4FFA"/>
    <w:rsid w:val="00BA7ED3"/>
    <w:rsid w:val="00BB23E9"/>
    <w:rsid w:val="00BB3DCF"/>
    <w:rsid w:val="00BB4385"/>
    <w:rsid w:val="00BB62D5"/>
    <w:rsid w:val="00BB6823"/>
    <w:rsid w:val="00BC2413"/>
    <w:rsid w:val="00BC3950"/>
    <w:rsid w:val="00BC4ACC"/>
    <w:rsid w:val="00BC7E80"/>
    <w:rsid w:val="00BD13E5"/>
    <w:rsid w:val="00BD3343"/>
    <w:rsid w:val="00BD64C5"/>
    <w:rsid w:val="00BD67B0"/>
    <w:rsid w:val="00BD7E54"/>
    <w:rsid w:val="00BE4E2F"/>
    <w:rsid w:val="00BF1AD2"/>
    <w:rsid w:val="00BF60EF"/>
    <w:rsid w:val="00BF7256"/>
    <w:rsid w:val="00C006E9"/>
    <w:rsid w:val="00C04747"/>
    <w:rsid w:val="00C11EB3"/>
    <w:rsid w:val="00C1232F"/>
    <w:rsid w:val="00C21229"/>
    <w:rsid w:val="00C22539"/>
    <w:rsid w:val="00C27AC8"/>
    <w:rsid w:val="00C305E8"/>
    <w:rsid w:val="00C3437D"/>
    <w:rsid w:val="00C357FE"/>
    <w:rsid w:val="00C40D05"/>
    <w:rsid w:val="00C5011D"/>
    <w:rsid w:val="00C5174E"/>
    <w:rsid w:val="00C53E0E"/>
    <w:rsid w:val="00C56F46"/>
    <w:rsid w:val="00C5744E"/>
    <w:rsid w:val="00C74F67"/>
    <w:rsid w:val="00C83752"/>
    <w:rsid w:val="00C956FA"/>
    <w:rsid w:val="00CA0F7B"/>
    <w:rsid w:val="00CA5766"/>
    <w:rsid w:val="00CB12EE"/>
    <w:rsid w:val="00CB2EFB"/>
    <w:rsid w:val="00CB6C55"/>
    <w:rsid w:val="00CC00F7"/>
    <w:rsid w:val="00CC0F85"/>
    <w:rsid w:val="00CC1448"/>
    <w:rsid w:val="00CC1D42"/>
    <w:rsid w:val="00CC2A7F"/>
    <w:rsid w:val="00CC404D"/>
    <w:rsid w:val="00CD07AE"/>
    <w:rsid w:val="00CE6764"/>
    <w:rsid w:val="00CE6886"/>
    <w:rsid w:val="00D031ED"/>
    <w:rsid w:val="00D033FF"/>
    <w:rsid w:val="00D064A5"/>
    <w:rsid w:val="00D11B80"/>
    <w:rsid w:val="00D1718A"/>
    <w:rsid w:val="00D22ABF"/>
    <w:rsid w:val="00D32B11"/>
    <w:rsid w:val="00D3362A"/>
    <w:rsid w:val="00D37AF7"/>
    <w:rsid w:val="00D468C6"/>
    <w:rsid w:val="00D5493B"/>
    <w:rsid w:val="00D5663F"/>
    <w:rsid w:val="00D665B4"/>
    <w:rsid w:val="00D73235"/>
    <w:rsid w:val="00D90E07"/>
    <w:rsid w:val="00D96842"/>
    <w:rsid w:val="00DA3424"/>
    <w:rsid w:val="00DA487F"/>
    <w:rsid w:val="00DA6DBA"/>
    <w:rsid w:val="00DB307C"/>
    <w:rsid w:val="00DB4505"/>
    <w:rsid w:val="00DB6BE4"/>
    <w:rsid w:val="00DC0573"/>
    <w:rsid w:val="00DC3C30"/>
    <w:rsid w:val="00DC7715"/>
    <w:rsid w:val="00DE07B0"/>
    <w:rsid w:val="00DE0D2A"/>
    <w:rsid w:val="00DE4FCB"/>
    <w:rsid w:val="00DF1B5C"/>
    <w:rsid w:val="00E009E5"/>
    <w:rsid w:val="00E040D9"/>
    <w:rsid w:val="00E04798"/>
    <w:rsid w:val="00E06A49"/>
    <w:rsid w:val="00E11BCA"/>
    <w:rsid w:val="00E137E9"/>
    <w:rsid w:val="00E156E0"/>
    <w:rsid w:val="00E26D2B"/>
    <w:rsid w:val="00E30C89"/>
    <w:rsid w:val="00E342F8"/>
    <w:rsid w:val="00E357E4"/>
    <w:rsid w:val="00E412F5"/>
    <w:rsid w:val="00E44782"/>
    <w:rsid w:val="00E44C40"/>
    <w:rsid w:val="00E47C88"/>
    <w:rsid w:val="00E51A0A"/>
    <w:rsid w:val="00E73156"/>
    <w:rsid w:val="00E80993"/>
    <w:rsid w:val="00E83E86"/>
    <w:rsid w:val="00E91C7F"/>
    <w:rsid w:val="00E92121"/>
    <w:rsid w:val="00E93358"/>
    <w:rsid w:val="00EA1856"/>
    <w:rsid w:val="00EA3DF2"/>
    <w:rsid w:val="00EB5146"/>
    <w:rsid w:val="00EC5BB3"/>
    <w:rsid w:val="00EC624E"/>
    <w:rsid w:val="00ED284C"/>
    <w:rsid w:val="00ED2C51"/>
    <w:rsid w:val="00ED7F59"/>
    <w:rsid w:val="00EE1128"/>
    <w:rsid w:val="00EE51DE"/>
    <w:rsid w:val="00EE5249"/>
    <w:rsid w:val="00EE5281"/>
    <w:rsid w:val="00EE7BB0"/>
    <w:rsid w:val="00EF2124"/>
    <w:rsid w:val="00F04F30"/>
    <w:rsid w:val="00F2259A"/>
    <w:rsid w:val="00F22AD3"/>
    <w:rsid w:val="00F22D04"/>
    <w:rsid w:val="00F23CD4"/>
    <w:rsid w:val="00F2433E"/>
    <w:rsid w:val="00F25CA4"/>
    <w:rsid w:val="00F26535"/>
    <w:rsid w:val="00F300A0"/>
    <w:rsid w:val="00F308DA"/>
    <w:rsid w:val="00F33803"/>
    <w:rsid w:val="00F34603"/>
    <w:rsid w:val="00F4255F"/>
    <w:rsid w:val="00F50A82"/>
    <w:rsid w:val="00F523A0"/>
    <w:rsid w:val="00F53084"/>
    <w:rsid w:val="00F57251"/>
    <w:rsid w:val="00F6396A"/>
    <w:rsid w:val="00F66C9E"/>
    <w:rsid w:val="00F6719B"/>
    <w:rsid w:val="00F72F90"/>
    <w:rsid w:val="00F82B0B"/>
    <w:rsid w:val="00F83696"/>
    <w:rsid w:val="00F85467"/>
    <w:rsid w:val="00F86104"/>
    <w:rsid w:val="00F86ABE"/>
    <w:rsid w:val="00F90C0A"/>
    <w:rsid w:val="00F930D6"/>
    <w:rsid w:val="00F96C51"/>
    <w:rsid w:val="00F979FA"/>
    <w:rsid w:val="00FA25AD"/>
    <w:rsid w:val="00FA4B21"/>
    <w:rsid w:val="00FB06CB"/>
    <w:rsid w:val="00FB08C9"/>
    <w:rsid w:val="00FB10C5"/>
    <w:rsid w:val="00FB1DC7"/>
    <w:rsid w:val="00FB2A5D"/>
    <w:rsid w:val="00FB3ED9"/>
    <w:rsid w:val="00FB4E47"/>
    <w:rsid w:val="00FB544B"/>
    <w:rsid w:val="00FB6FEE"/>
    <w:rsid w:val="00FC0985"/>
    <w:rsid w:val="00FC2153"/>
    <w:rsid w:val="00FD16C3"/>
    <w:rsid w:val="00FE4684"/>
    <w:rsid w:val="00FF02CB"/>
    <w:rsid w:val="00FF1AB3"/>
    <w:rsid w:val="00FF3A31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2E1"/>
  <w15:docId w15:val="{CEC63C04-A9CE-4B24-9E42-0E29316D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6950"/>
  </w:style>
  <w:style w:type="paragraph" w:styleId="Nadpis1">
    <w:name w:val="heading 1"/>
    <w:basedOn w:val="Normlny"/>
    <w:next w:val="Normlny"/>
    <w:link w:val="Nadpis1Char"/>
    <w:uiPriority w:val="9"/>
    <w:qFormat/>
    <w:rsid w:val="004C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Char24 Char Char,Char24 Char Char Char"/>
    <w:basedOn w:val="Nadpis1"/>
    <w:next w:val="Normlny"/>
    <w:link w:val="Nadpis2Char"/>
    <w:uiPriority w:val="99"/>
    <w:qFormat/>
    <w:rsid w:val="004C4D57"/>
    <w:pPr>
      <w:keepLines w:val="0"/>
      <w:spacing w:before="120" w:after="120" w:line="240" w:lineRule="auto"/>
      <w:jc w:val="both"/>
      <w:outlineLvl w:val="1"/>
    </w:pPr>
    <w:rPr>
      <w:rFonts w:ascii="Arial Narrow" w:eastAsia="Times New Roman" w:hAnsi="Arial Narrow" w:cs="Book Antiqua"/>
      <w:b w:val="0"/>
      <w:bCs w:val="0"/>
      <w:color w:val="auto"/>
      <w:sz w:val="24"/>
      <w:szCs w:val="22"/>
      <w:lang w:eastAsia="sk-SK"/>
    </w:rPr>
  </w:style>
  <w:style w:type="paragraph" w:styleId="Nadpis3">
    <w:name w:val="heading 3"/>
    <w:aliases w:val="Tab"/>
    <w:basedOn w:val="Normlny"/>
    <w:next w:val="Normlny"/>
    <w:link w:val="Nadpis3Char"/>
    <w:uiPriority w:val="99"/>
    <w:qFormat/>
    <w:rsid w:val="004C4D57"/>
    <w:pPr>
      <w:keepNext/>
      <w:spacing w:after="0" w:line="240" w:lineRule="auto"/>
      <w:outlineLvl w:val="2"/>
    </w:pPr>
    <w:rPr>
      <w:rFonts w:eastAsia="Times New Roman" w:cs="Arial"/>
      <w:b/>
      <w:bCs/>
      <w:sz w:val="20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Char24 Char Char Char1,Char24 Char Char Char Char"/>
    <w:basedOn w:val="Predvolenpsmoodseku"/>
    <w:link w:val="Nadpis2"/>
    <w:uiPriority w:val="99"/>
    <w:rsid w:val="004C4D57"/>
    <w:rPr>
      <w:rFonts w:eastAsia="Times New Roman" w:cs="Book Antiqua"/>
      <w:sz w:val="24"/>
      <w:szCs w:val="22"/>
      <w:lang w:eastAsia="sk-SK"/>
    </w:rPr>
  </w:style>
  <w:style w:type="character" w:customStyle="1" w:styleId="Nadpis3Char">
    <w:name w:val="Nadpis 3 Char"/>
    <w:aliases w:val="Tab Char"/>
    <w:basedOn w:val="Predvolenpsmoodseku"/>
    <w:link w:val="Nadpis3"/>
    <w:uiPriority w:val="99"/>
    <w:rsid w:val="004C4D57"/>
    <w:rPr>
      <w:rFonts w:eastAsia="Times New Roman" w:cs="Arial"/>
      <w:b/>
      <w:bCs/>
      <w:sz w:val="20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C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D5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FF3A31"/>
    <w:pPr>
      <w:spacing w:after="0" w:line="240" w:lineRule="auto"/>
      <w:ind w:left="720"/>
      <w:contextualSpacing/>
    </w:pPr>
    <w:rPr>
      <w:rFonts w:eastAsia="Times New Roman" w:cs="Book Antiqua"/>
      <w:szCs w:val="2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25AD"/>
  </w:style>
  <w:style w:type="paragraph" w:styleId="Pta">
    <w:name w:val="footer"/>
    <w:basedOn w:val="Normlny"/>
    <w:link w:val="PtaChar"/>
    <w:uiPriority w:val="99"/>
    <w:unhideWhenUsed/>
    <w:rsid w:val="00FA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25A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461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461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46170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AC3F9A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10A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0A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0AB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0A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0ABF"/>
    <w:rPr>
      <w:b/>
      <w:bCs/>
      <w:sz w:val="20"/>
      <w:szCs w:val="20"/>
    </w:rPr>
  </w:style>
  <w:style w:type="paragraph" w:customStyle="1" w:styleId="Default">
    <w:name w:val="Default"/>
    <w:rsid w:val="00E04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A3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614F59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282AD4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62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vjs.sk/dokumenty/GRZVJS-aktualizacia_studie_usk_.pdf" TargetMode="External"/><Relationship Id="rId2" Type="http://schemas.openxmlformats.org/officeDocument/2006/relationships/hyperlink" Target="https://ec.europa.eu/info/sites/info/files/economy-finance/ip079_en.pdf" TargetMode="External"/><Relationship Id="rId1" Type="http://schemas.openxmlformats.org/officeDocument/2006/relationships/hyperlink" Target="http://mfsr.sk/Components/CategoryDocuments/s_LoadDocument.aspx?categoryId=9696&amp;documentId=11954" TargetMode="External"/><Relationship Id="rId5" Type="http://schemas.openxmlformats.org/officeDocument/2006/relationships/hyperlink" Target="http://www.rokovania.sk/File.aspx/ViewDocumentHtml/Uznesenie-14985?prefixFile=u_" TargetMode="External"/><Relationship Id="rId4" Type="http://schemas.openxmlformats.org/officeDocument/2006/relationships/hyperlink" Target="http://www.rokovania.sk/Rokovanie.aspx/BodRokovaniaDetail?idMaterial=24798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F841-F116-43A3-ADFE-AA1A7A2AF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F8CA46-0BE1-419D-9459-CCBD5C64B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ABF31-BAD0-48AD-AE5F-8417FC0E6F5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B840BE-BB83-43FE-AF04-A3ECE915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1743</Words>
  <Characters>9939</Characters>
  <Application>Microsoft Office Word</Application>
  <DocSecurity>0</DocSecurity>
  <Lines>82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financií</Company>
  <LinksUpToDate>false</LinksUpToDate>
  <CharactersWithSpaces>11659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Havlat Michal</dc:creator>
  <cp:lastModifiedBy>Vrankova Miroslava</cp:lastModifiedBy>
  <cp:revision>50</cp:revision>
  <cp:lastPrinted>2018-09-27T15:54:00Z</cp:lastPrinted>
  <dcterms:created xsi:type="dcterms:W3CDTF">2019-10-09T06:45:00Z</dcterms:created>
  <dcterms:modified xsi:type="dcterms:W3CDTF">2019-10-09T13:05:00Z</dcterms:modified>
</cp:coreProperties>
</file>