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D0" w:rsidRPr="0024687B" w:rsidRDefault="003C00D0" w:rsidP="00B32E22">
      <w:pPr>
        <w:spacing w:line="240" w:lineRule="auto"/>
        <w:rPr>
          <w:rFonts w:ascii="Times New Roman" w:hAnsi="Times New Roman"/>
          <w:b/>
          <w:sz w:val="24"/>
          <w:szCs w:val="24"/>
        </w:rPr>
      </w:pPr>
    </w:p>
    <w:p w:rsidR="003C00D0" w:rsidRPr="0024687B" w:rsidRDefault="003C00D0" w:rsidP="003C00D0">
      <w:pPr>
        <w:jc w:val="center"/>
        <w:rPr>
          <w:rFonts w:ascii="Times New Roman" w:hAnsi="Times New Roman"/>
          <w:b/>
          <w:sz w:val="24"/>
          <w:szCs w:val="24"/>
        </w:rPr>
      </w:pPr>
    </w:p>
    <w:p w:rsidR="003C00D0" w:rsidRPr="0024687B" w:rsidRDefault="003C00D0" w:rsidP="003C00D0">
      <w:pPr>
        <w:jc w:val="center"/>
        <w:rPr>
          <w:rFonts w:ascii="Times New Roman" w:hAnsi="Times New Roman"/>
          <w:b/>
          <w:sz w:val="24"/>
          <w:szCs w:val="24"/>
        </w:rPr>
      </w:pPr>
    </w:p>
    <w:p w:rsidR="003C00D0" w:rsidRDefault="003C00D0" w:rsidP="003C00D0">
      <w:pPr>
        <w:jc w:val="center"/>
        <w:rPr>
          <w:rFonts w:ascii="Times New Roman" w:hAnsi="Times New Roman"/>
          <w:b/>
          <w:sz w:val="24"/>
          <w:szCs w:val="24"/>
        </w:rPr>
      </w:pPr>
    </w:p>
    <w:p w:rsidR="005F47A0" w:rsidRDefault="005F47A0" w:rsidP="003C00D0">
      <w:pPr>
        <w:jc w:val="center"/>
        <w:rPr>
          <w:rFonts w:ascii="Times New Roman" w:hAnsi="Times New Roman"/>
          <w:b/>
          <w:sz w:val="24"/>
          <w:szCs w:val="24"/>
        </w:rPr>
      </w:pPr>
    </w:p>
    <w:p w:rsidR="005F47A0" w:rsidRDefault="005F47A0" w:rsidP="003C00D0">
      <w:pPr>
        <w:jc w:val="center"/>
        <w:rPr>
          <w:rFonts w:ascii="Times New Roman" w:hAnsi="Times New Roman"/>
          <w:b/>
          <w:sz w:val="24"/>
          <w:szCs w:val="24"/>
        </w:rPr>
      </w:pPr>
    </w:p>
    <w:p w:rsidR="005F47A0" w:rsidRPr="0024687B" w:rsidRDefault="005F47A0" w:rsidP="003C00D0">
      <w:pPr>
        <w:jc w:val="center"/>
        <w:rPr>
          <w:rFonts w:ascii="Times New Roman" w:hAnsi="Times New Roman"/>
          <w:b/>
          <w:sz w:val="24"/>
          <w:szCs w:val="24"/>
        </w:rPr>
      </w:pPr>
    </w:p>
    <w:p w:rsidR="003C00D0" w:rsidRPr="0024687B" w:rsidRDefault="003C00D0" w:rsidP="003C00D0">
      <w:pPr>
        <w:jc w:val="center"/>
        <w:rPr>
          <w:rFonts w:ascii="Times New Roman" w:hAnsi="Times New Roman"/>
          <w:b/>
          <w:sz w:val="24"/>
          <w:szCs w:val="24"/>
        </w:rPr>
      </w:pPr>
    </w:p>
    <w:p w:rsidR="003C00D0" w:rsidRPr="0024687B" w:rsidRDefault="003C00D0" w:rsidP="003C00D0">
      <w:pPr>
        <w:jc w:val="center"/>
        <w:rPr>
          <w:rFonts w:ascii="Times New Roman" w:hAnsi="Times New Roman"/>
          <w:b/>
          <w:sz w:val="24"/>
          <w:szCs w:val="24"/>
        </w:rPr>
      </w:pPr>
    </w:p>
    <w:p w:rsidR="003C00D0" w:rsidRPr="0024687B" w:rsidRDefault="003C00D0" w:rsidP="003C00D0">
      <w:pPr>
        <w:jc w:val="center"/>
        <w:rPr>
          <w:rFonts w:ascii="Times New Roman" w:hAnsi="Times New Roman"/>
          <w:b/>
          <w:sz w:val="44"/>
          <w:szCs w:val="44"/>
        </w:rPr>
      </w:pPr>
      <w:r w:rsidRPr="0024687B">
        <w:rPr>
          <w:rFonts w:ascii="Times New Roman" w:hAnsi="Times New Roman"/>
          <w:b/>
          <w:sz w:val="44"/>
          <w:szCs w:val="44"/>
        </w:rPr>
        <w:t>Príloha č. 4</w:t>
      </w:r>
    </w:p>
    <w:p w:rsidR="003C00D0" w:rsidRPr="0024687B" w:rsidRDefault="003C00D0" w:rsidP="003C00D0">
      <w:pPr>
        <w:jc w:val="center"/>
        <w:rPr>
          <w:rFonts w:ascii="Times New Roman" w:hAnsi="Times New Roman"/>
          <w:b/>
          <w:sz w:val="44"/>
          <w:szCs w:val="44"/>
        </w:rPr>
      </w:pPr>
    </w:p>
    <w:p w:rsidR="001708DA" w:rsidRPr="0024687B" w:rsidRDefault="003F0457" w:rsidP="003C00D0">
      <w:pPr>
        <w:jc w:val="center"/>
        <w:rPr>
          <w:rFonts w:ascii="Times New Roman" w:hAnsi="Times New Roman"/>
          <w:b/>
          <w:sz w:val="44"/>
          <w:szCs w:val="44"/>
        </w:rPr>
      </w:pPr>
      <w:r>
        <w:rPr>
          <w:rFonts w:ascii="Times New Roman" w:hAnsi="Times New Roman"/>
          <w:b/>
          <w:sz w:val="44"/>
          <w:szCs w:val="44"/>
        </w:rPr>
        <w:t>P</w:t>
      </w:r>
      <w:r w:rsidR="003C00D0" w:rsidRPr="0024687B">
        <w:rPr>
          <w:rFonts w:ascii="Times New Roman" w:hAnsi="Times New Roman"/>
          <w:b/>
          <w:sz w:val="44"/>
          <w:szCs w:val="44"/>
        </w:rPr>
        <w:t>odmienen</w:t>
      </w:r>
      <w:r>
        <w:rPr>
          <w:rFonts w:ascii="Times New Roman" w:hAnsi="Times New Roman"/>
          <w:b/>
          <w:sz w:val="44"/>
          <w:szCs w:val="44"/>
        </w:rPr>
        <w:t>é</w:t>
      </w:r>
      <w:r w:rsidR="003C00D0" w:rsidRPr="0024687B">
        <w:rPr>
          <w:rFonts w:ascii="Times New Roman" w:hAnsi="Times New Roman"/>
          <w:b/>
          <w:sz w:val="44"/>
          <w:szCs w:val="44"/>
        </w:rPr>
        <w:t xml:space="preserve"> záväzk</w:t>
      </w:r>
      <w:r>
        <w:rPr>
          <w:rFonts w:ascii="Times New Roman" w:hAnsi="Times New Roman"/>
          <w:b/>
          <w:sz w:val="44"/>
          <w:szCs w:val="44"/>
        </w:rPr>
        <w:t>y</w:t>
      </w:r>
      <w:r w:rsidR="003C00D0" w:rsidRPr="0024687B">
        <w:rPr>
          <w:rFonts w:ascii="Times New Roman" w:hAnsi="Times New Roman"/>
          <w:b/>
          <w:sz w:val="44"/>
          <w:szCs w:val="44"/>
        </w:rPr>
        <w:t xml:space="preserve"> </w:t>
      </w:r>
    </w:p>
    <w:p w:rsidR="000E1727" w:rsidRDefault="001708DA" w:rsidP="005E6DBB">
      <w:pPr>
        <w:spacing w:after="0" w:line="240" w:lineRule="auto"/>
        <w:ind w:firstLine="708"/>
        <w:jc w:val="both"/>
        <w:rPr>
          <w:rFonts w:ascii="Times New Roman" w:hAnsi="Times New Roman"/>
          <w:sz w:val="24"/>
          <w:szCs w:val="24"/>
        </w:rPr>
      </w:pPr>
      <w:r w:rsidRPr="0024687B">
        <w:rPr>
          <w:rFonts w:ascii="Times New Roman" w:hAnsi="Times New Roman"/>
          <w:b/>
          <w:sz w:val="44"/>
          <w:szCs w:val="44"/>
        </w:rPr>
        <w:br w:type="page"/>
      </w:r>
      <w:r w:rsidR="000E1727" w:rsidRPr="00F21058">
        <w:rPr>
          <w:rFonts w:ascii="Times New Roman" w:hAnsi="Times New Roman"/>
          <w:sz w:val="24"/>
          <w:szCs w:val="24"/>
        </w:rPr>
        <w:lastRenderedPageBreak/>
        <w:t>V </w:t>
      </w:r>
      <w:r w:rsidR="000E1727" w:rsidRPr="00F21058">
        <w:rPr>
          <w:rFonts w:ascii="Times New Roman" w:hAnsi="Times New Roman"/>
          <w:sz w:val="24"/>
          <w:szCs w:val="24"/>
          <w:lang w:eastAsia="cs-CZ"/>
        </w:rPr>
        <w:t>zmysle článku 9 ods. 4 ústavného zákona č. 493/2011 Z. z. o rozpočtovej zodpovednosti návrh rozpočtu verejnej správy obsahuje aj informácie o podmienených záväzkoch. Tie vstupujú aj do výpočtu čistého bohatstva, ktorého výpočet sa prezentuje v Súhrnnej výročnej</w:t>
      </w:r>
      <w:r w:rsidR="000E1727" w:rsidRPr="00F21058">
        <w:rPr>
          <w:rFonts w:ascii="Times New Roman" w:hAnsi="Times New Roman"/>
          <w:sz w:val="24"/>
          <w:szCs w:val="24"/>
        </w:rPr>
        <w:t xml:space="preserve"> správe SR.</w:t>
      </w:r>
    </w:p>
    <w:p w:rsidR="00647EE8" w:rsidRPr="00F21058" w:rsidRDefault="00647EE8" w:rsidP="00647EE8">
      <w:pPr>
        <w:spacing w:after="0" w:line="240" w:lineRule="auto"/>
        <w:ind w:firstLine="425"/>
        <w:jc w:val="both"/>
        <w:rPr>
          <w:rFonts w:ascii="Times New Roman" w:hAnsi="Times New Roman"/>
          <w:sz w:val="24"/>
          <w:szCs w:val="24"/>
        </w:rPr>
      </w:pPr>
    </w:p>
    <w:p w:rsidR="000E1727" w:rsidRDefault="000E1727" w:rsidP="005E6DBB">
      <w:pPr>
        <w:pStyle w:val="Zarkazkladnhotextu1"/>
        <w:spacing w:after="0"/>
        <w:ind w:left="0" w:firstLine="708"/>
        <w:jc w:val="both"/>
        <w:rPr>
          <w:rFonts w:ascii="Times New Roman" w:hAnsi="Times New Roman" w:cs="Times New Roman"/>
        </w:rPr>
      </w:pPr>
      <w:r w:rsidRPr="0024687B">
        <w:rPr>
          <w:rFonts w:ascii="Times New Roman" w:hAnsi="Times New Roman" w:cs="Times New Roman"/>
        </w:rPr>
        <w:t xml:space="preserve">Podmienené záväzky sú definované </w:t>
      </w:r>
      <w:r>
        <w:rPr>
          <w:rFonts w:ascii="Times New Roman" w:hAnsi="Times New Roman" w:cs="Times New Roman"/>
        </w:rPr>
        <w:t>prostredníctvom</w:t>
      </w:r>
      <w:r w:rsidRPr="0024687B">
        <w:rPr>
          <w:rFonts w:ascii="Times New Roman" w:hAnsi="Times New Roman" w:cs="Times New Roman"/>
        </w:rPr>
        <w:t> </w:t>
      </w:r>
      <w:r>
        <w:rPr>
          <w:rFonts w:ascii="Times New Roman" w:hAnsi="Times New Roman" w:cs="Times New Roman"/>
        </w:rPr>
        <w:t xml:space="preserve">účtovnej </w:t>
      </w:r>
      <w:r w:rsidRPr="0024687B">
        <w:rPr>
          <w:rFonts w:ascii="Times New Roman" w:hAnsi="Times New Roman" w:cs="Times New Roman"/>
        </w:rPr>
        <w:t>legislatív</w:t>
      </w:r>
      <w:r>
        <w:rPr>
          <w:rFonts w:ascii="Times New Roman" w:hAnsi="Times New Roman" w:cs="Times New Roman"/>
        </w:rPr>
        <w:t>y</w:t>
      </w:r>
      <w:r w:rsidRPr="0024687B">
        <w:rPr>
          <w:rFonts w:ascii="Times New Roman" w:hAnsi="Times New Roman" w:cs="Times New Roman"/>
          <w:vertAlign w:val="superscript"/>
        </w:rPr>
        <w:footnoteReference w:id="1"/>
      </w:r>
      <w:r w:rsidRPr="0024687B">
        <w:rPr>
          <w:rFonts w:ascii="Times New Roman" w:hAnsi="Times New Roman" w:cs="Times New Roman"/>
        </w:rPr>
        <w:t xml:space="preserve"> </w:t>
      </w:r>
      <w:r>
        <w:rPr>
          <w:rFonts w:ascii="Times New Roman" w:hAnsi="Times New Roman" w:cs="Times New Roman"/>
        </w:rPr>
        <w:t xml:space="preserve">a predstavujú určitý druh </w:t>
      </w:r>
      <w:r w:rsidRPr="0024687B">
        <w:rPr>
          <w:rFonts w:ascii="Times New Roman" w:hAnsi="Times New Roman" w:cs="Times New Roman"/>
        </w:rPr>
        <w:t>in</w:t>
      </w:r>
      <w:r>
        <w:rPr>
          <w:rFonts w:ascii="Times New Roman" w:hAnsi="Times New Roman" w:cs="Times New Roman"/>
        </w:rPr>
        <w:t>ých</w:t>
      </w:r>
      <w:r w:rsidRPr="0024687B">
        <w:rPr>
          <w:rFonts w:ascii="Times New Roman" w:hAnsi="Times New Roman" w:cs="Times New Roman"/>
        </w:rPr>
        <w:t xml:space="preserve"> pasív účtovnej jednotky, ktorá ich vykazuje v poznámkach individuálnej</w:t>
      </w:r>
      <w:r>
        <w:rPr>
          <w:rFonts w:ascii="Times New Roman" w:hAnsi="Times New Roman" w:cs="Times New Roman"/>
        </w:rPr>
        <w:t xml:space="preserve"> alebo</w:t>
      </w:r>
      <w:r w:rsidRPr="0024687B">
        <w:rPr>
          <w:rFonts w:ascii="Times New Roman" w:hAnsi="Times New Roman" w:cs="Times New Roman"/>
        </w:rPr>
        <w:t xml:space="preserve"> </w:t>
      </w:r>
      <w:r>
        <w:rPr>
          <w:rFonts w:ascii="Times New Roman" w:hAnsi="Times New Roman" w:cs="Times New Roman"/>
        </w:rPr>
        <w:t xml:space="preserve">konsolidovanej </w:t>
      </w:r>
      <w:r w:rsidRPr="0024687B">
        <w:rPr>
          <w:rFonts w:ascii="Times New Roman" w:hAnsi="Times New Roman" w:cs="Times New Roman"/>
        </w:rPr>
        <w:t xml:space="preserve">účtovnej závierky. </w:t>
      </w:r>
      <w:r>
        <w:rPr>
          <w:rFonts w:ascii="Times New Roman" w:hAnsi="Times New Roman" w:cs="Times New Roman"/>
        </w:rPr>
        <w:t>Nejde</w:t>
      </w:r>
      <w:r w:rsidRPr="0024687B">
        <w:rPr>
          <w:rFonts w:ascii="Times New Roman" w:hAnsi="Times New Roman" w:cs="Times New Roman"/>
        </w:rPr>
        <w:t xml:space="preserve"> o záväzk</w:t>
      </w:r>
      <w:r>
        <w:rPr>
          <w:rFonts w:ascii="Times New Roman" w:hAnsi="Times New Roman" w:cs="Times New Roman"/>
        </w:rPr>
        <w:t>y</w:t>
      </w:r>
      <w:r w:rsidRPr="0024687B">
        <w:rPr>
          <w:rFonts w:ascii="Times New Roman" w:hAnsi="Times New Roman" w:cs="Times New Roman"/>
        </w:rPr>
        <w:t>, ktor</w:t>
      </w:r>
      <w:r>
        <w:rPr>
          <w:rFonts w:ascii="Times New Roman" w:hAnsi="Times New Roman" w:cs="Times New Roman"/>
        </w:rPr>
        <w:t>é</w:t>
      </w:r>
      <w:r w:rsidRPr="0024687B">
        <w:rPr>
          <w:rFonts w:ascii="Times New Roman" w:hAnsi="Times New Roman" w:cs="Times New Roman"/>
        </w:rPr>
        <w:t xml:space="preserve"> </w:t>
      </w:r>
      <w:r>
        <w:rPr>
          <w:rFonts w:ascii="Times New Roman" w:hAnsi="Times New Roman" w:cs="Times New Roman"/>
        </w:rPr>
        <w:t>sú</w:t>
      </w:r>
      <w:r w:rsidRPr="0024687B">
        <w:rPr>
          <w:rFonts w:ascii="Times New Roman" w:hAnsi="Times New Roman" w:cs="Times New Roman"/>
        </w:rPr>
        <w:t xml:space="preserve"> vyk</w:t>
      </w:r>
      <w:r>
        <w:rPr>
          <w:rFonts w:ascii="Times New Roman" w:hAnsi="Times New Roman" w:cs="Times New Roman"/>
        </w:rPr>
        <w:t>azované</w:t>
      </w:r>
      <w:r w:rsidRPr="0024687B">
        <w:rPr>
          <w:rFonts w:ascii="Times New Roman" w:hAnsi="Times New Roman" w:cs="Times New Roman"/>
        </w:rPr>
        <w:t xml:space="preserve"> na súvahových položkách pasív, pretože ni</w:t>
      </w:r>
      <w:r>
        <w:rPr>
          <w:rFonts w:ascii="Times New Roman" w:hAnsi="Times New Roman" w:cs="Times New Roman"/>
        </w:rPr>
        <w:t>e</w:t>
      </w:r>
      <w:r w:rsidRPr="0024687B">
        <w:rPr>
          <w:rFonts w:ascii="Times New Roman" w:hAnsi="Times New Roman" w:cs="Times New Roman"/>
        </w:rPr>
        <w:t xml:space="preserve"> </w:t>
      </w:r>
      <w:r>
        <w:rPr>
          <w:rFonts w:ascii="Times New Roman" w:hAnsi="Times New Roman" w:cs="Times New Roman"/>
        </w:rPr>
        <w:t>sú</w:t>
      </w:r>
      <w:r w:rsidRPr="0024687B">
        <w:rPr>
          <w:rFonts w:ascii="Times New Roman" w:hAnsi="Times New Roman" w:cs="Times New Roman"/>
        </w:rPr>
        <w:t xml:space="preserve"> </w:t>
      </w:r>
      <w:r>
        <w:rPr>
          <w:rFonts w:ascii="Times New Roman" w:hAnsi="Times New Roman" w:cs="Times New Roman"/>
        </w:rPr>
        <w:t xml:space="preserve">na to </w:t>
      </w:r>
      <w:r w:rsidRPr="0024687B">
        <w:rPr>
          <w:rFonts w:ascii="Times New Roman" w:hAnsi="Times New Roman" w:cs="Times New Roman"/>
        </w:rPr>
        <w:t>splnen</w:t>
      </w:r>
      <w:r>
        <w:rPr>
          <w:rFonts w:ascii="Times New Roman" w:hAnsi="Times New Roman" w:cs="Times New Roman"/>
        </w:rPr>
        <w:t>é</w:t>
      </w:r>
      <w:r w:rsidRPr="0024687B">
        <w:rPr>
          <w:rFonts w:ascii="Times New Roman" w:hAnsi="Times New Roman" w:cs="Times New Roman"/>
        </w:rPr>
        <w:t xml:space="preserve"> podmienk</w:t>
      </w:r>
      <w:r>
        <w:rPr>
          <w:rFonts w:ascii="Times New Roman" w:hAnsi="Times New Roman" w:cs="Times New Roman"/>
        </w:rPr>
        <w:t>y</w:t>
      </w:r>
      <w:r w:rsidRPr="0024687B">
        <w:rPr>
          <w:rFonts w:ascii="Times New Roman" w:hAnsi="Times New Roman" w:cs="Times New Roman"/>
        </w:rPr>
        <w:t xml:space="preserve"> - výška záväzku sa nedá spoľahlivo oceniť, obdobie, ku ktorému sa povinnosť viaže</w:t>
      </w:r>
      <w:r w:rsidR="005803B3">
        <w:rPr>
          <w:rFonts w:ascii="Times New Roman" w:hAnsi="Times New Roman" w:cs="Times New Roman"/>
        </w:rPr>
        <w:t>,</w:t>
      </w:r>
      <w:r w:rsidRPr="0024687B">
        <w:rPr>
          <w:rFonts w:ascii="Times New Roman" w:hAnsi="Times New Roman" w:cs="Times New Roman"/>
        </w:rPr>
        <w:t xml:space="preserve"> nie je určené</w:t>
      </w:r>
      <w:r>
        <w:rPr>
          <w:rFonts w:ascii="Times New Roman" w:hAnsi="Times New Roman" w:cs="Times New Roman"/>
        </w:rPr>
        <w:t xml:space="preserve"> a</w:t>
      </w:r>
      <w:r w:rsidRPr="0024687B">
        <w:rPr>
          <w:rFonts w:ascii="Times New Roman" w:hAnsi="Times New Roman" w:cs="Times New Roman"/>
        </w:rPr>
        <w:t xml:space="preserve"> úbytok ekonomických úžitkov v budúcnosti nie je istý.</w:t>
      </w:r>
      <w:r>
        <w:rPr>
          <w:rFonts w:ascii="Times New Roman" w:hAnsi="Times New Roman" w:cs="Times New Roman"/>
        </w:rPr>
        <w:t xml:space="preserve"> Pod pojmom ekonomické úžitky je možné chápať najčastejšie peňažné prostriedky a ich ekvivalenty.</w:t>
      </w:r>
    </w:p>
    <w:p w:rsidR="00647EE8" w:rsidRDefault="00647EE8" w:rsidP="00647EE8">
      <w:pPr>
        <w:pStyle w:val="Zarkazkladnhotextu1"/>
        <w:spacing w:after="0"/>
        <w:ind w:left="0" w:firstLine="425"/>
        <w:jc w:val="both"/>
        <w:rPr>
          <w:rFonts w:ascii="Times New Roman" w:hAnsi="Times New Roman" w:cs="Times New Roman"/>
        </w:rPr>
      </w:pPr>
    </w:p>
    <w:p w:rsidR="000E1727" w:rsidRDefault="000E1727" w:rsidP="005E6DBB">
      <w:pPr>
        <w:pStyle w:val="Zarkazkladnhotextu1"/>
        <w:spacing w:after="0"/>
        <w:ind w:left="0" w:firstLine="709"/>
        <w:jc w:val="both"/>
        <w:rPr>
          <w:rFonts w:ascii="Times New Roman" w:hAnsi="Times New Roman" w:cs="Times New Roman"/>
        </w:rPr>
      </w:pPr>
      <w:r w:rsidRPr="0024687B">
        <w:rPr>
          <w:rFonts w:ascii="Times New Roman" w:hAnsi="Times New Roman" w:cs="Times New Roman"/>
        </w:rPr>
        <w:t>Ako iné pasíva sa vykazuje:</w:t>
      </w:r>
    </w:p>
    <w:p w:rsidR="005E6DBB" w:rsidRPr="0024687B" w:rsidRDefault="005E6DBB" w:rsidP="005E6DBB">
      <w:pPr>
        <w:pStyle w:val="Zarkazkladnhotextu1"/>
        <w:spacing w:after="0"/>
        <w:ind w:left="0" w:firstLine="709"/>
        <w:jc w:val="both"/>
        <w:rPr>
          <w:rFonts w:ascii="Times New Roman" w:hAnsi="Times New Roman" w:cs="Times New Roman"/>
        </w:rPr>
      </w:pPr>
    </w:p>
    <w:p w:rsidR="000E1727" w:rsidRPr="0024687B" w:rsidRDefault="000E1727" w:rsidP="005E6DBB">
      <w:pPr>
        <w:pStyle w:val="Zarkazkladnhotextu1"/>
        <w:numPr>
          <w:ilvl w:val="0"/>
          <w:numId w:val="4"/>
        </w:numPr>
        <w:spacing w:after="0"/>
        <w:ind w:left="993" w:hanging="284"/>
        <w:jc w:val="both"/>
        <w:rPr>
          <w:rFonts w:ascii="Times New Roman" w:hAnsi="Times New Roman" w:cs="Times New Roman"/>
        </w:rPr>
      </w:pPr>
      <w:bookmarkStart w:id="0" w:name="_Ref331681245"/>
      <w:r w:rsidRPr="0024687B">
        <w:rPr>
          <w:rFonts w:ascii="Times New Roman" w:hAnsi="Times New Roman" w:cs="Times New Roman"/>
        </w:rPr>
        <w:t>možná povinnosť, ktorá vznikla ako dôsledok minulej udalosti a ktorej existencia závisí od toho, či nastane</w:t>
      </w:r>
      <w:r w:rsidR="00FC3591">
        <w:rPr>
          <w:rFonts w:ascii="Times New Roman" w:hAnsi="Times New Roman" w:cs="Times New Roman"/>
        </w:rPr>
        <w:t>,</w:t>
      </w:r>
      <w:r w:rsidRPr="0024687B">
        <w:rPr>
          <w:rFonts w:ascii="Times New Roman" w:hAnsi="Times New Roman" w:cs="Times New Roman"/>
        </w:rPr>
        <w:t xml:space="preserve"> alebo nenastane jedna alebo viac neistých udalostí v budúcnosti, ktorých vznik nezávisí od účtovnej jednotky,</w:t>
      </w:r>
      <w:bookmarkEnd w:id="0"/>
      <w:r w:rsidRPr="0024687B">
        <w:rPr>
          <w:rFonts w:ascii="Times New Roman" w:hAnsi="Times New Roman" w:cs="Times New Roman"/>
        </w:rPr>
        <w:t xml:space="preserve"> alebo</w:t>
      </w:r>
    </w:p>
    <w:p w:rsidR="000E1727" w:rsidRDefault="000E1727" w:rsidP="005E6DBB">
      <w:pPr>
        <w:pStyle w:val="Zarkazkladnhotextu1"/>
        <w:numPr>
          <w:ilvl w:val="0"/>
          <w:numId w:val="4"/>
        </w:numPr>
        <w:spacing w:after="0"/>
        <w:ind w:left="993" w:hanging="284"/>
        <w:jc w:val="both"/>
        <w:rPr>
          <w:rFonts w:ascii="Times New Roman" w:hAnsi="Times New Roman" w:cs="Times New Roman"/>
        </w:rPr>
      </w:pPr>
      <w:r w:rsidRPr="0024687B">
        <w:rPr>
          <w:rFonts w:ascii="Times New Roman" w:hAnsi="Times New Roman" w:cs="Times New Roman"/>
        </w:rPr>
        <w:t>povinnosť, ktorá vznikla ako dôsledok minulej udalosti, ale ktorá sa nevykazuje v súvahe, pretože nie je pravdepodobné, že na splnenie tejto povinnosti bude potrebný úbytok ekonomických úžitkov, alebo výška tejto povinnosti sa nedá spoľahlivo oceniť.</w:t>
      </w:r>
    </w:p>
    <w:p w:rsidR="00647EE8" w:rsidRPr="0024687B" w:rsidRDefault="00647EE8" w:rsidP="00647EE8">
      <w:pPr>
        <w:pStyle w:val="Zarkazkladnhotextu1"/>
        <w:spacing w:after="0"/>
        <w:ind w:left="284"/>
        <w:jc w:val="both"/>
        <w:rPr>
          <w:rFonts w:ascii="Times New Roman" w:hAnsi="Times New Roman" w:cs="Times New Roman"/>
        </w:rPr>
      </w:pPr>
    </w:p>
    <w:p w:rsidR="000E1727" w:rsidRDefault="000E1727" w:rsidP="005E6DBB">
      <w:pPr>
        <w:pStyle w:val="Zarkazkladnhotextu1"/>
        <w:spacing w:after="0"/>
        <w:ind w:left="0" w:firstLine="708"/>
        <w:jc w:val="both"/>
        <w:rPr>
          <w:rFonts w:ascii="Times New Roman" w:hAnsi="Times New Roman" w:cs="Times New Roman"/>
        </w:rPr>
      </w:pPr>
      <w:r w:rsidRPr="0024687B">
        <w:rPr>
          <w:rFonts w:ascii="Times New Roman" w:hAnsi="Times New Roman" w:cs="Times New Roman"/>
        </w:rPr>
        <w:t xml:space="preserve">Vzhľadom na uvedené sa ako podmienené záväzky vykazujú napríklad poskytnuté záruky, </w:t>
      </w:r>
      <w:r>
        <w:rPr>
          <w:rFonts w:ascii="Times New Roman" w:hAnsi="Times New Roman" w:cs="Times New Roman"/>
        </w:rPr>
        <w:t xml:space="preserve">hroziace záväzky z prebiehajúcich </w:t>
      </w:r>
      <w:r w:rsidRPr="0024687B">
        <w:rPr>
          <w:rFonts w:ascii="Times New Roman" w:hAnsi="Times New Roman" w:cs="Times New Roman"/>
        </w:rPr>
        <w:t>právn</w:t>
      </w:r>
      <w:r>
        <w:rPr>
          <w:rFonts w:ascii="Times New Roman" w:hAnsi="Times New Roman" w:cs="Times New Roman"/>
        </w:rPr>
        <w:t>ych</w:t>
      </w:r>
      <w:r w:rsidRPr="0024687B">
        <w:rPr>
          <w:rFonts w:ascii="Times New Roman" w:hAnsi="Times New Roman" w:cs="Times New Roman"/>
        </w:rPr>
        <w:t xml:space="preserve"> spor</w:t>
      </w:r>
      <w:r>
        <w:rPr>
          <w:rFonts w:ascii="Times New Roman" w:hAnsi="Times New Roman" w:cs="Times New Roman"/>
        </w:rPr>
        <w:t>ov</w:t>
      </w:r>
      <w:r w:rsidRPr="0024687B">
        <w:rPr>
          <w:rFonts w:ascii="Times New Roman" w:hAnsi="Times New Roman" w:cs="Times New Roman"/>
        </w:rPr>
        <w:t xml:space="preserve">, </w:t>
      </w:r>
      <w:r>
        <w:rPr>
          <w:rFonts w:ascii="Times New Roman" w:hAnsi="Times New Roman" w:cs="Times New Roman"/>
        </w:rPr>
        <w:t xml:space="preserve">budúce </w:t>
      </w:r>
      <w:r w:rsidRPr="0024687B">
        <w:rPr>
          <w:rFonts w:ascii="Times New Roman" w:hAnsi="Times New Roman" w:cs="Times New Roman"/>
        </w:rPr>
        <w:t>záväzky zo všeobecne platných právnych predpisov</w:t>
      </w:r>
      <w:r>
        <w:rPr>
          <w:rFonts w:ascii="Times New Roman" w:hAnsi="Times New Roman" w:cs="Times New Roman"/>
        </w:rPr>
        <w:t xml:space="preserve"> </w:t>
      </w:r>
      <w:r w:rsidRPr="00556EB4">
        <w:rPr>
          <w:rFonts w:ascii="Times New Roman" w:hAnsi="Times New Roman" w:cs="Times New Roman"/>
        </w:rPr>
        <w:t>z</w:t>
      </w:r>
      <w:r w:rsidR="008C1333">
        <w:rPr>
          <w:rFonts w:ascii="Times New Roman" w:hAnsi="Times New Roman" w:cs="Times New Roman"/>
        </w:rPr>
        <w:t> </w:t>
      </w:r>
      <w:r w:rsidRPr="00556EB4">
        <w:rPr>
          <w:rFonts w:ascii="Times New Roman" w:hAnsi="Times New Roman" w:cs="Times New Roman"/>
        </w:rPr>
        <w:t>ručenia</w:t>
      </w:r>
      <w:r w:rsidR="008C1333">
        <w:rPr>
          <w:rFonts w:ascii="Times New Roman" w:hAnsi="Times New Roman" w:cs="Times New Roman"/>
        </w:rPr>
        <w:t>,</w:t>
      </w:r>
      <w:r w:rsidRPr="00556EB4">
        <w:rPr>
          <w:rFonts w:ascii="Times New Roman" w:hAnsi="Times New Roman" w:cs="Times New Roman"/>
        </w:rPr>
        <w:t xml:space="preserve"> alebo sú to iné finančné povinnosti ako napríklad z devízových termínovaných obchodov, z opčných obchodov, zákonná alebo zmluvná povinnosť odobrať určité produkty, napríklad z dodávateľských zmlúv a odberateľských zmlú</w:t>
      </w:r>
      <w:r w:rsidR="00AC5181">
        <w:rPr>
          <w:rFonts w:ascii="Times New Roman" w:hAnsi="Times New Roman" w:cs="Times New Roman"/>
        </w:rPr>
        <w:t>v, povinnosti z nájomných zmlúv</w:t>
      </w:r>
      <w:r w:rsidRPr="00556EB4">
        <w:rPr>
          <w:rFonts w:ascii="Times New Roman" w:hAnsi="Times New Roman" w:cs="Times New Roman"/>
        </w:rPr>
        <w:t xml:space="preserve"> </w:t>
      </w:r>
      <w:r w:rsidRPr="0024687B">
        <w:rPr>
          <w:rFonts w:ascii="Times New Roman" w:hAnsi="Times New Roman" w:cs="Times New Roman"/>
        </w:rPr>
        <w:t>a podobn</w:t>
      </w:r>
      <w:r w:rsidRPr="004720C4">
        <w:rPr>
          <w:rFonts w:ascii="Times New Roman" w:hAnsi="Times New Roman" w:cs="Times New Roman"/>
        </w:rPr>
        <w:t xml:space="preserve">e. </w:t>
      </w:r>
    </w:p>
    <w:p w:rsidR="00647EE8" w:rsidRDefault="00647EE8" w:rsidP="00647EE8">
      <w:pPr>
        <w:pStyle w:val="Zarkazkladnhotextu1"/>
        <w:spacing w:after="0"/>
        <w:ind w:left="0" w:firstLine="425"/>
        <w:jc w:val="both"/>
        <w:rPr>
          <w:rFonts w:ascii="Times New Roman" w:hAnsi="Times New Roman" w:cs="Times New Roman"/>
        </w:rPr>
      </w:pPr>
    </w:p>
    <w:p w:rsidR="000E1727" w:rsidRDefault="000E1727" w:rsidP="005E6DBB">
      <w:pPr>
        <w:pStyle w:val="Zarkazkladnhotextu1"/>
        <w:spacing w:after="0"/>
        <w:ind w:left="0" w:firstLine="708"/>
        <w:jc w:val="both"/>
        <w:rPr>
          <w:rFonts w:ascii="Times New Roman" w:hAnsi="Times New Roman" w:cs="Times New Roman"/>
        </w:rPr>
      </w:pPr>
      <w:r>
        <w:rPr>
          <w:rFonts w:ascii="Times New Roman" w:hAnsi="Times New Roman" w:cs="Times New Roman"/>
        </w:rPr>
        <w:t>Reálny</w:t>
      </w:r>
      <w:r w:rsidRPr="00563325">
        <w:rPr>
          <w:rFonts w:ascii="Times New Roman" w:hAnsi="Times New Roman" w:cs="Times New Roman"/>
        </w:rPr>
        <w:t xml:space="preserve"> vplyv podmienených záväzkov na </w:t>
      </w:r>
      <w:r>
        <w:rPr>
          <w:rFonts w:ascii="Times New Roman" w:hAnsi="Times New Roman" w:cs="Times New Roman"/>
        </w:rPr>
        <w:t xml:space="preserve">výdavky </w:t>
      </w:r>
      <w:r w:rsidRPr="00563325">
        <w:rPr>
          <w:rFonts w:ascii="Times New Roman" w:hAnsi="Times New Roman" w:cs="Times New Roman"/>
        </w:rPr>
        <w:t>rozpočt</w:t>
      </w:r>
      <w:r>
        <w:rPr>
          <w:rFonts w:ascii="Times New Roman" w:hAnsi="Times New Roman" w:cs="Times New Roman"/>
        </w:rPr>
        <w:t>u</w:t>
      </w:r>
      <w:r w:rsidR="00644209">
        <w:rPr>
          <w:rFonts w:ascii="Times New Roman" w:hAnsi="Times New Roman" w:cs="Times New Roman"/>
        </w:rPr>
        <w:t xml:space="preserve"> verejnej správy</w:t>
      </w:r>
      <w:r w:rsidRPr="00563325">
        <w:rPr>
          <w:rFonts w:ascii="Times New Roman" w:hAnsi="Times New Roman" w:cs="Times New Roman"/>
        </w:rPr>
        <w:t xml:space="preserve"> </w:t>
      </w:r>
      <w:r>
        <w:rPr>
          <w:rFonts w:ascii="Times New Roman" w:hAnsi="Times New Roman" w:cs="Times New Roman"/>
        </w:rPr>
        <w:t xml:space="preserve">v konkrétnom rozpočtovom roku </w:t>
      </w:r>
      <w:r w:rsidRPr="00563325">
        <w:rPr>
          <w:rFonts w:ascii="Times New Roman" w:hAnsi="Times New Roman" w:cs="Times New Roman"/>
        </w:rPr>
        <w:t>závisí od skutočností, ktoré nie sú predmetom vyk</w:t>
      </w:r>
      <w:r>
        <w:rPr>
          <w:rFonts w:ascii="Times New Roman" w:hAnsi="Times New Roman" w:cs="Times New Roman"/>
        </w:rPr>
        <w:t xml:space="preserve">azovania v účtovných závierkach </w:t>
      </w:r>
      <w:r w:rsidRPr="00563325">
        <w:rPr>
          <w:rFonts w:ascii="Times New Roman" w:hAnsi="Times New Roman" w:cs="Times New Roman"/>
        </w:rPr>
        <w:t>(napr. priebeh súdnych sporov a ich aktuálny stav, zhodnotenie merita sporov a čas ich ukončenia). Preto uvedenú hodnotu nie je možné stotožňovať s roz</w:t>
      </w:r>
      <w:r>
        <w:rPr>
          <w:rFonts w:ascii="Times New Roman" w:hAnsi="Times New Roman" w:cs="Times New Roman"/>
        </w:rPr>
        <w:t>počtovými potrebami na príslušné</w:t>
      </w:r>
      <w:r w:rsidRPr="00563325">
        <w:rPr>
          <w:rFonts w:ascii="Times New Roman" w:hAnsi="Times New Roman" w:cs="Times New Roman"/>
        </w:rPr>
        <w:t xml:space="preserve"> rozpočtov</w:t>
      </w:r>
      <w:r>
        <w:rPr>
          <w:rFonts w:ascii="Times New Roman" w:hAnsi="Times New Roman" w:cs="Times New Roman"/>
        </w:rPr>
        <w:t>é obdobie</w:t>
      </w:r>
      <w:r w:rsidRPr="00563325">
        <w:rPr>
          <w:rFonts w:ascii="Times New Roman" w:hAnsi="Times New Roman" w:cs="Times New Roman"/>
        </w:rPr>
        <w:t>.</w:t>
      </w:r>
      <w:r>
        <w:rPr>
          <w:rFonts w:ascii="Times New Roman" w:hAnsi="Times New Roman" w:cs="Times New Roman"/>
        </w:rPr>
        <w:t xml:space="preserve"> Cieľom vyčísľovania podmienených záväzkov je prezentácia mimobilančných položiek, ktoré môžu mať </w:t>
      </w:r>
      <w:r w:rsidR="00644209">
        <w:rPr>
          <w:rFonts w:ascii="Times New Roman" w:hAnsi="Times New Roman" w:cs="Times New Roman"/>
        </w:rPr>
        <w:t>potenciálny vplyv na rozpočet verejnej správy</w:t>
      </w:r>
      <w:r>
        <w:rPr>
          <w:rFonts w:ascii="Times New Roman" w:hAnsi="Times New Roman" w:cs="Times New Roman"/>
        </w:rPr>
        <w:t>.</w:t>
      </w:r>
    </w:p>
    <w:p w:rsidR="00647EE8" w:rsidRDefault="00647EE8" w:rsidP="00647EE8">
      <w:pPr>
        <w:pStyle w:val="Zarkazkladnhotextu1"/>
        <w:spacing w:after="0"/>
        <w:ind w:left="0" w:firstLine="425"/>
        <w:jc w:val="both"/>
        <w:rPr>
          <w:rFonts w:ascii="Times New Roman" w:hAnsi="Times New Roman" w:cs="Times New Roman"/>
        </w:rPr>
      </w:pPr>
    </w:p>
    <w:p w:rsidR="000E1727" w:rsidRDefault="000E1727" w:rsidP="005E6DBB">
      <w:pPr>
        <w:pStyle w:val="Zarkazkladnhotextu1"/>
        <w:ind w:left="0" w:firstLine="708"/>
        <w:jc w:val="both"/>
        <w:rPr>
          <w:rFonts w:ascii="Times New Roman" w:hAnsi="Times New Roman"/>
        </w:rPr>
      </w:pPr>
      <w:r>
        <w:rPr>
          <w:rFonts w:ascii="Times New Roman" w:hAnsi="Times New Roman" w:cs="Times New Roman"/>
        </w:rPr>
        <w:t>Hodnota</w:t>
      </w:r>
      <w:r w:rsidRPr="001079EB">
        <w:rPr>
          <w:rFonts w:ascii="Times New Roman" w:hAnsi="Times New Roman" w:cs="Times New Roman"/>
          <w:vertAlign w:val="superscript"/>
        </w:rPr>
        <w:footnoteReference w:id="2"/>
      </w:r>
      <w:r>
        <w:rPr>
          <w:rFonts w:ascii="Times New Roman" w:hAnsi="Times New Roman" w:cs="Times New Roman"/>
        </w:rPr>
        <w:t xml:space="preserve"> podmienených záväzkov k 31.</w:t>
      </w:r>
      <w:r w:rsidR="00F366FC">
        <w:rPr>
          <w:rFonts w:ascii="Times New Roman" w:hAnsi="Times New Roman" w:cs="Times New Roman"/>
        </w:rPr>
        <w:t xml:space="preserve"> </w:t>
      </w:r>
      <w:r>
        <w:rPr>
          <w:rFonts w:ascii="Times New Roman" w:hAnsi="Times New Roman" w:cs="Times New Roman"/>
        </w:rPr>
        <w:t>12.</w:t>
      </w:r>
      <w:r w:rsidR="00F366FC">
        <w:rPr>
          <w:rFonts w:ascii="Times New Roman" w:hAnsi="Times New Roman" w:cs="Times New Roman"/>
        </w:rPr>
        <w:t xml:space="preserve"> </w:t>
      </w:r>
      <w:r>
        <w:rPr>
          <w:rFonts w:ascii="Times New Roman" w:hAnsi="Times New Roman" w:cs="Times New Roman"/>
        </w:rPr>
        <w:t>2018 dosi</w:t>
      </w:r>
      <w:r w:rsidR="00F366FC">
        <w:rPr>
          <w:rFonts w:ascii="Times New Roman" w:hAnsi="Times New Roman" w:cs="Times New Roman"/>
        </w:rPr>
        <w:t>ahla úhrnom 17 257 719 tis. eur</w:t>
      </w:r>
      <w:r>
        <w:rPr>
          <w:rFonts w:ascii="Times New Roman" w:hAnsi="Times New Roman"/>
        </w:rPr>
        <w:t xml:space="preserve"> a ich členenie </w:t>
      </w:r>
      <w:r w:rsidRPr="0024687B">
        <w:rPr>
          <w:rFonts w:ascii="Times New Roman" w:hAnsi="Times New Roman"/>
        </w:rPr>
        <w:t xml:space="preserve">podľa jednotlivých </w:t>
      </w:r>
      <w:r>
        <w:rPr>
          <w:rFonts w:ascii="Times New Roman" w:hAnsi="Times New Roman"/>
        </w:rPr>
        <w:t>skupín subjektov</w:t>
      </w:r>
      <w:r w:rsidRPr="0024687B">
        <w:rPr>
          <w:rFonts w:ascii="Times New Roman" w:hAnsi="Times New Roman"/>
        </w:rPr>
        <w:t xml:space="preserve"> </w:t>
      </w:r>
      <w:r>
        <w:rPr>
          <w:rFonts w:ascii="Times New Roman" w:hAnsi="Times New Roman"/>
        </w:rPr>
        <w:t>je nasledovné</w:t>
      </w:r>
      <w:r w:rsidRPr="0024687B">
        <w:rPr>
          <w:rFonts w:ascii="Times New Roman" w:hAnsi="Times New Roman"/>
        </w:rPr>
        <w:t xml:space="preserve">: </w:t>
      </w:r>
    </w:p>
    <w:p w:rsidR="005E6DBB" w:rsidRDefault="005E6DBB" w:rsidP="005E6DBB">
      <w:pPr>
        <w:pStyle w:val="Zarkazkladnhotextu1"/>
        <w:ind w:left="0" w:firstLine="708"/>
        <w:jc w:val="both"/>
        <w:rPr>
          <w:rFonts w:ascii="Times New Roman" w:hAnsi="Times New Roman"/>
        </w:rPr>
      </w:pPr>
    </w:p>
    <w:p w:rsidR="005E6DBB" w:rsidRDefault="005E6DBB" w:rsidP="005E6DBB">
      <w:pPr>
        <w:pStyle w:val="Zarkazkladnhotextu1"/>
        <w:ind w:left="0" w:firstLine="708"/>
        <w:jc w:val="both"/>
        <w:rPr>
          <w:rFonts w:ascii="Times New Roman" w:hAnsi="Times New Roman"/>
        </w:rPr>
      </w:pPr>
    </w:p>
    <w:p w:rsidR="005E6DBB" w:rsidRDefault="005E6DBB" w:rsidP="005E6DBB">
      <w:pPr>
        <w:pStyle w:val="Zarkazkladnhotextu1"/>
        <w:ind w:left="0" w:firstLine="708"/>
        <w:jc w:val="both"/>
        <w:rPr>
          <w:rFonts w:ascii="Times New Roman" w:hAnsi="Times New Roman"/>
        </w:rPr>
      </w:pPr>
    </w:p>
    <w:p w:rsidR="005E6DBB" w:rsidRPr="00D004AC" w:rsidRDefault="005E6DBB" w:rsidP="005E6DBB">
      <w:pPr>
        <w:pStyle w:val="Zarkazkladnhotextu1"/>
        <w:ind w:left="0" w:firstLine="708"/>
        <w:jc w:val="both"/>
        <w:rPr>
          <w:rFonts w:ascii="Times New Roman" w:hAnsi="Times New Roman" w:cs="Times New Roman"/>
        </w:rPr>
      </w:pPr>
    </w:p>
    <w:p w:rsidR="000E1727" w:rsidRPr="0036540C" w:rsidRDefault="006144C3" w:rsidP="000E1727">
      <w:pPr>
        <w:spacing w:after="0" w:line="240" w:lineRule="auto"/>
        <w:jc w:val="both"/>
        <w:rPr>
          <w:rFonts w:ascii="Times New Roman" w:hAnsi="Times New Roman"/>
          <w:sz w:val="16"/>
          <w:szCs w:val="16"/>
        </w:rPr>
      </w:pPr>
      <w:r>
        <w:rPr>
          <w:rFonts w:ascii="Times New Roman" w:hAnsi="Times New Roman"/>
          <w:sz w:val="16"/>
          <w:szCs w:val="16"/>
        </w:rPr>
        <w:lastRenderedPageBreak/>
        <w:t xml:space="preserve">     </w:t>
      </w:r>
      <w:r w:rsidR="000E1727" w:rsidRPr="0036540C">
        <w:rPr>
          <w:rFonts w:ascii="Times New Roman" w:hAnsi="Times New Roman"/>
          <w:sz w:val="16"/>
          <w:szCs w:val="16"/>
        </w:rPr>
        <w:t>Tab. 1</w:t>
      </w:r>
      <w:r w:rsidR="000E1727" w:rsidRPr="0036540C">
        <w:rPr>
          <w:rFonts w:ascii="Times New Roman" w:hAnsi="Times New Roman"/>
          <w:sz w:val="16"/>
          <w:szCs w:val="16"/>
        </w:rPr>
        <w:tab/>
      </w:r>
      <w:r w:rsidR="000E1727" w:rsidRPr="0036540C">
        <w:rPr>
          <w:rFonts w:ascii="Times New Roman" w:hAnsi="Times New Roman"/>
          <w:sz w:val="16"/>
          <w:szCs w:val="16"/>
        </w:rPr>
        <w:tab/>
        <w:t xml:space="preserve"> </w:t>
      </w:r>
      <w:r w:rsidR="000E1727" w:rsidRPr="0036540C">
        <w:rPr>
          <w:rFonts w:ascii="Times New Roman" w:hAnsi="Times New Roman"/>
          <w:sz w:val="16"/>
          <w:szCs w:val="16"/>
        </w:rPr>
        <w:tab/>
        <w:t xml:space="preserve">         </w:t>
      </w:r>
      <w:r w:rsidR="000E1727" w:rsidRPr="0036540C">
        <w:rPr>
          <w:rFonts w:ascii="Times New Roman" w:hAnsi="Times New Roman"/>
          <w:sz w:val="16"/>
          <w:szCs w:val="16"/>
        </w:rPr>
        <w:tab/>
        <w:t xml:space="preserve">                                                          </w:t>
      </w:r>
      <w:r w:rsidR="000E1727" w:rsidRPr="0036540C">
        <w:rPr>
          <w:rFonts w:ascii="Times New Roman" w:hAnsi="Times New Roman"/>
          <w:sz w:val="16"/>
          <w:szCs w:val="16"/>
        </w:rPr>
        <w:tab/>
      </w:r>
      <w:r w:rsidR="000E1727" w:rsidRPr="0036540C">
        <w:rPr>
          <w:rFonts w:ascii="Times New Roman" w:hAnsi="Times New Roman"/>
          <w:sz w:val="16"/>
          <w:szCs w:val="16"/>
        </w:rPr>
        <w:tab/>
        <w:t xml:space="preserve">                </w:t>
      </w:r>
      <w:r>
        <w:rPr>
          <w:rFonts w:ascii="Times New Roman" w:hAnsi="Times New Roman"/>
          <w:sz w:val="16"/>
          <w:szCs w:val="16"/>
        </w:rPr>
        <w:t xml:space="preserve">                           </w:t>
      </w:r>
      <w:r w:rsidR="000E1727" w:rsidRPr="0036540C">
        <w:rPr>
          <w:rFonts w:ascii="Times New Roman" w:hAnsi="Times New Roman"/>
          <w:sz w:val="16"/>
          <w:szCs w:val="16"/>
        </w:rPr>
        <w:t xml:space="preserve">  (v tis. eur)</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1686"/>
        <w:gridCol w:w="1686"/>
        <w:gridCol w:w="1561"/>
      </w:tblGrid>
      <w:tr w:rsidR="000E1727" w:rsidRPr="0036540C" w:rsidTr="00C944CF">
        <w:trPr>
          <w:trHeight w:val="345"/>
          <w:jc w:val="center"/>
        </w:trPr>
        <w:tc>
          <w:tcPr>
            <w:tcW w:w="2165" w:type="pct"/>
            <w:shd w:val="clear" w:color="auto" w:fill="A6A6A6" w:themeFill="background1" w:themeFillShade="A6"/>
            <w:vAlign w:val="center"/>
            <w:hideMark/>
          </w:tcPr>
          <w:p w:rsidR="000E1727" w:rsidRPr="0036540C" w:rsidRDefault="000E1727" w:rsidP="00C944CF">
            <w:pPr>
              <w:spacing w:after="0" w:line="240" w:lineRule="auto"/>
              <w:jc w:val="center"/>
              <w:rPr>
                <w:rFonts w:ascii="Times New Roman" w:hAnsi="Times New Roman"/>
                <w:b/>
                <w:sz w:val="16"/>
                <w:szCs w:val="16"/>
                <w:lang w:eastAsia="sk-SK"/>
              </w:rPr>
            </w:pPr>
            <w:r w:rsidRPr="0036540C">
              <w:rPr>
                <w:rFonts w:ascii="Times New Roman" w:hAnsi="Times New Roman"/>
                <w:b/>
                <w:sz w:val="16"/>
                <w:szCs w:val="16"/>
                <w:lang w:eastAsia="sk-SK"/>
              </w:rPr>
              <w:t>Subjekty</w:t>
            </w:r>
          </w:p>
        </w:tc>
        <w:tc>
          <w:tcPr>
            <w:tcW w:w="969" w:type="pct"/>
            <w:shd w:val="clear" w:color="auto" w:fill="A6A6A6" w:themeFill="background1" w:themeFillShade="A6"/>
            <w:vAlign w:val="center"/>
          </w:tcPr>
          <w:p w:rsidR="000E1727" w:rsidRPr="0036540C" w:rsidRDefault="000E1727" w:rsidP="00C944CF">
            <w:pPr>
              <w:spacing w:after="0" w:line="240" w:lineRule="auto"/>
              <w:jc w:val="center"/>
              <w:rPr>
                <w:rFonts w:ascii="Times New Roman" w:hAnsi="Times New Roman"/>
                <w:b/>
                <w:sz w:val="16"/>
                <w:szCs w:val="16"/>
                <w:lang w:eastAsia="sk-SK"/>
              </w:rPr>
            </w:pPr>
            <w:r>
              <w:rPr>
                <w:rFonts w:ascii="Times New Roman" w:hAnsi="Times New Roman"/>
                <w:b/>
                <w:sz w:val="16"/>
                <w:szCs w:val="16"/>
                <w:lang w:eastAsia="sk-SK"/>
              </w:rPr>
              <w:t>2016</w:t>
            </w:r>
          </w:p>
        </w:tc>
        <w:tc>
          <w:tcPr>
            <w:tcW w:w="969" w:type="pct"/>
            <w:shd w:val="clear" w:color="auto" w:fill="A6A6A6" w:themeFill="background1" w:themeFillShade="A6"/>
            <w:vAlign w:val="center"/>
          </w:tcPr>
          <w:p w:rsidR="000E1727" w:rsidRPr="0036540C" w:rsidRDefault="000E1727" w:rsidP="00C944CF">
            <w:pPr>
              <w:spacing w:after="0" w:line="240" w:lineRule="auto"/>
              <w:jc w:val="center"/>
              <w:rPr>
                <w:rFonts w:ascii="Times New Roman" w:hAnsi="Times New Roman"/>
                <w:b/>
                <w:sz w:val="16"/>
                <w:szCs w:val="16"/>
                <w:lang w:eastAsia="sk-SK"/>
              </w:rPr>
            </w:pPr>
            <w:r>
              <w:rPr>
                <w:rFonts w:ascii="Times New Roman" w:hAnsi="Times New Roman"/>
                <w:b/>
                <w:sz w:val="16"/>
                <w:szCs w:val="16"/>
                <w:lang w:eastAsia="sk-SK"/>
              </w:rPr>
              <w:t>2017</w:t>
            </w:r>
          </w:p>
        </w:tc>
        <w:tc>
          <w:tcPr>
            <w:tcW w:w="897" w:type="pct"/>
            <w:shd w:val="clear" w:color="auto" w:fill="A6A6A6" w:themeFill="background1" w:themeFillShade="A6"/>
            <w:vAlign w:val="center"/>
          </w:tcPr>
          <w:p w:rsidR="000E1727" w:rsidRPr="0036540C" w:rsidRDefault="000E1727" w:rsidP="00C944CF">
            <w:pPr>
              <w:spacing w:after="0" w:line="240" w:lineRule="auto"/>
              <w:jc w:val="center"/>
              <w:rPr>
                <w:rFonts w:ascii="Times New Roman" w:hAnsi="Times New Roman"/>
                <w:b/>
                <w:sz w:val="16"/>
                <w:szCs w:val="16"/>
                <w:lang w:eastAsia="sk-SK"/>
              </w:rPr>
            </w:pPr>
            <w:r>
              <w:rPr>
                <w:rFonts w:ascii="Times New Roman" w:hAnsi="Times New Roman"/>
                <w:b/>
                <w:sz w:val="16"/>
                <w:szCs w:val="16"/>
                <w:lang w:eastAsia="sk-SK"/>
              </w:rPr>
              <w:t>2018</w:t>
            </w:r>
          </w:p>
        </w:tc>
      </w:tr>
      <w:tr w:rsidR="000E1727" w:rsidRPr="0036540C" w:rsidTr="00C944CF">
        <w:trPr>
          <w:trHeight w:val="330"/>
          <w:jc w:val="center"/>
        </w:trPr>
        <w:tc>
          <w:tcPr>
            <w:tcW w:w="2165" w:type="pct"/>
            <w:vAlign w:val="bottom"/>
          </w:tcPr>
          <w:p w:rsidR="000E1727" w:rsidRPr="0036540C" w:rsidRDefault="000E1727" w:rsidP="00C944CF">
            <w:pPr>
              <w:spacing w:after="0" w:line="240" w:lineRule="auto"/>
              <w:rPr>
                <w:rFonts w:ascii="Times New Roman" w:hAnsi="Times New Roman"/>
                <w:sz w:val="16"/>
                <w:szCs w:val="16"/>
                <w:lang w:eastAsia="sk-SK"/>
              </w:rPr>
            </w:pPr>
            <w:r w:rsidRPr="0036540C">
              <w:rPr>
                <w:rFonts w:ascii="Times New Roman" w:hAnsi="Times New Roman"/>
                <w:sz w:val="16"/>
                <w:szCs w:val="16"/>
                <w:lang w:eastAsia="sk-SK"/>
              </w:rPr>
              <w:t>Ústredná správa a podniky štátnej správy</w:t>
            </w:r>
          </w:p>
        </w:tc>
        <w:tc>
          <w:tcPr>
            <w:tcW w:w="969" w:type="pct"/>
            <w:vAlign w:val="bottom"/>
          </w:tcPr>
          <w:p w:rsidR="000E1727" w:rsidRPr="0036540C" w:rsidRDefault="000E1727" w:rsidP="00C944CF">
            <w:pPr>
              <w:spacing w:after="0" w:line="240" w:lineRule="auto"/>
              <w:jc w:val="right"/>
              <w:rPr>
                <w:rFonts w:ascii="Times New Roman" w:hAnsi="Times New Roman"/>
                <w:sz w:val="16"/>
                <w:szCs w:val="16"/>
                <w:lang w:eastAsia="sk-SK"/>
              </w:rPr>
            </w:pPr>
            <w:r w:rsidRPr="0036540C">
              <w:rPr>
                <w:rFonts w:ascii="Times New Roman" w:hAnsi="Times New Roman"/>
                <w:sz w:val="16"/>
                <w:szCs w:val="16"/>
                <w:lang w:eastAsia="sk-SK"/>
              </w:rPr>
              <w:t>12 925 751</w:t>
            </w:r>
          </w:p>
        </w:tc>
        <w:tc>
          <w:tcPr>
            <w:tcW w:w="969" w:type="pct"/>
            <w:vAlign w:val="bottom"/>
          </w:tcPr>
          <w:p w:rsidR="000E1727" w:rsidRPr="0036540C" w:rsidRDefault="000E1727" w:rsidP="00C944CF">
            <w:pPr>
              <w:spacing w:after="0" w:line="240" w:lineRule="auto"/>
              <w:jc w:val="right"/>
              <w:rPr>
                <w:rFonts w:ascii="Times New Roman" w:hAnsi="Times New Roman"/>
                <w:sz w:val="16"/>
                <w:szCs w:val="16"/>
                <w:lang w:eastAsia="sk-SK"/>
              </w:rPr>
            </w:pPr>
            <w:r w:rsidRPr="0036540C">
              <w:rPr>
                <w:rFonts w:ascii="Times New Roman" w:hAnsi="Times New Roman"/>
                <w:sz w:val="16"/>
                <w:szCs w:val="16"/>
                <w:lang w:eastAsia="sk-SK"/>
              </w:rPr>
              <w:t>13 778 276</w:t>
            </w:r>
          </w:p>
        </w:tc>
        <w:tc>
          <w:tcPr>
            <w:tcW w:w="897" w:type="pct"/>
            <w:vAlign w:val="bottom"/>
          </w:tcPr>
          <w:p w:rsidR="000E1727" w:rsidRPr="0036540C" w:rsidRDefault="000E1727" w:rsidP="00C944CF">
            <w:pPr>
              <w:spacing w:after="0" w:line="240" w:lineRule="auto"/>
              <w:jc w:val="right"/>
              <w:rPr>
                <w:rFonts w:ascii="Times New Roman" w:hAnsi="Times New Roman"/>
                <w:sz w:val="16"/>
                <w:szCs w:val="16"/>
                <w:lang w:eastAsia="sk-SK"/>
              </w:rPr>
            </w:pPr>
            <w:r w:rsidRPr="0036540C">
              <w:rPr>
                <w:rFonts w:ascii="Times New Roman" w:hAnsi="Times New Roman"/>
                <w:sz w:val="16"/>
                <w:szCs w:val="16"/>
                <w:lang w:eastAsia="sk-SK"/>
              </w:rPr>
              <w:t>17 203 830</w:t>
            </w:r>
          </w:p>
        </w:tc>
      </w:tr>
      <w:tr w:rsidR="000E1727" w:rsidRPr="0036540C" w:rsidTr="00C944CF">
        <w:trPr>
          <w:trHeight w:val="330"/>
          <w:jc w:val="center"/>
        </w:trPr>
        <w:tc>
          <w:tcPr>
            <w:tcW w:w="2165" w:type="pct"/>
            <w:vAlign w:val="bottom"/>
          </w:tcPr>
          <w:p w:rsidR="000E1727" w:rsidRPr="0036540C" w:rsidRDefault="000E1727" w:rsidP="00C944CF">
            <w:pPr>
              <w:spacing w:after="0" w:line="240" w:lineRule="auto"/>
              <w:rPr>
                <w:rFonts w:ascii="Times New Roman" w:hAnsi="Times New Roman"/>
                <w:sz w:val="16"/>
                <w:szCs w:val="16"/>
                <w:lang w:eastAsia="sk-SK"/>
              </w:rPr>
            </w:pPr>
            <w:r w:rsidRPr="0036540C">
              <w:rPr>
                <w:rFonts w:ascii="Times New Roman" w:hAnsi="Times New Roman"/>
                <w:sz w:val="16"/>
                <w:szCs w:val="16"/>
                <w:lang w:eastAsia="sk-SK"/>
              </w:rPr>
              <w:t>Obce a ich rozpočtové a príspevkové organizácie a podniky územnej samosprávy</w:t>
            </w:r>
          </w:p>
        </w:tc>
        <w:tc>
          <w:tcPr>
            <w:tcW w:w="969" w:type="pct"/>
            <w:vAlign w:val="bottom"/>
          </w:tcPr>
          <w:p w:rsidR="000E1727" w:rsidRPr="0036540C" w:rsidRDefault="000E1727" w:rsidP="00C944CF">
            <w:pPr>
              <w:spacing w:after="0" w:line="240" w:lineRule="auto"/>
              <w:jc w:val="right"/>
              <w:rPr>
                <w:rFonts w:ascii="Times New Roman" w:hAnsi="Times New Roman"/>
                <w:sz w:val="16"/>
                <w:szCs w:val="16"/>
                <w:lang w:eastAsia="sk-SK"/>
              </w:rPr>
            </w:pPr>
            <w:r w:rsidRPr="0036540C">
              <w:rPr>
                <w:rFonts w:ascii="Times New Roman" w:hAnsi="Times New Roman"/>
                <w:sz w:val="16"/>
                <w:szCs w:val="16"/>
                <w:lang w:eastAsia="sk-SK"/>
              </w:rPr>
              <w:t>21 477</w:t>
            </w:r>
          </w:p>
        </w:tc>
        <w:tc>
          <w:tcPr>
            <w:tcW w:w="969" w:type="pct"/>
            <w:vAlign w:val="bottom"/>
          </w:tcPr>
          <w:p w:rsidR="000E1727" w:rsidRPr="0036540C" w:rsidRDefault="000E1727" w:rsidP="00C944CF">
            <w:pPr>
              <w:spacing w:after="0" w:line="240" w:lineRule="auto"/>
              <w:jc w:val="right"/>
              <w:rPr>
                <w:rFonts w:ascii="Times New Roman" w:hAnsi="Times New Roman"/>
                <w:sz w:val="16"/>
                <w:szCs w:val="16"/>
                <w:lang w:eastAsia="sk-SK"/>
              </w:rPr>
            </w:pPr>
            <w:r w:rsidRPr="0036540C">
              <w:rPr>
                <w:rFonts w:ascii="Times New Roman" w:hAnsi="Times New Roman"/>
                <w:sz w:val="16"/>
                <w:szCs w:val="16"/>
                <w:lang w:eastAsia="sk-SK"/>
              </w:rPr>
              <w:t>48 522</w:t>
            </w:r>
          </w:p>
        </w:tc>
        <w:tc>
          <w:tcPr>
            <w:tcW w:w="897" w:type="pct"/>
            <w:vAlign w:val="bottom"/>
          </w:tcPr>
          <w:p w:rsidR="000E1727" w:rsidRPr="0036540C" w:rsidRDefault="000E1727" w:rsidP="00C944CF">
            <w:pPr>
              <w:spacing w:after="0" w:line="240" w:lineRule="auto"/>
              <w:jc w:val="right"/>
              <w:rPr>
                <w:rFonts w:ascii="Times New Roman" w:hAnsi="Times New Roman"/>
                <w:sz w:val="16"/>
                <w:szCs w:val="16"/>
                <w:lang w:eastAsia="sk-SK"/>
              </w:rPr>
            </w:pPr>
            <w:r w:rsidRPr="0036540C">
              <w:rPr>
                <w:rFonts w:ascii="Times New Roman" w:hAnsi="Times New Roman"/>
                <w:sz w:val="16"/>
                <w:szCs w:val="16"/>
                <w:lang w:eastAsia="sk-SK"/>
              </w:rPr>
              <w:t>53 212</w:t>
            </w:r>
          </w:p>
        </w:tc>
      </w:tr>
      <w:tr w:rsidR="000E1727" w:rsidRPr="0036540C" w:rsidTr="00C944CF">
        <w:trPr>
          <w:trHeight w:val="330"/>
          <w:jc w:val="center"/>
        </w:trPr>
        <w:tc>
          <w:tcPr>
            <w:tcW w:w="2165" w:type="pct"/>
            <w:vAlign w:val="bottom"/>
          </w:tcPr>
          <w:p w:rsidR="000E1727" w:rsidRPr="0036540C" w:rsidRDefault="000E1727" w:rsidP="00C944CF">
            <w:pPr>
              <w:spacing w:after="0" w:line="240" w:lineRule="auto"/>
              <w:rPr>
                <w:rFonts w:ascii="Times New Roman" w:hAnsi="Times New Roman"/>
                <w:sz w:val="16"/>
                <w:szCs w:val="16"/>
                <w:lang w:eastAsia="sk-SK"/>
              </w:rPr>
            </w:pPr>
            <w:r w:rsidRPr="0036540C">
              <w:rPr>
                <w:rFonts w:ascii="Times New Roman" w:hAnsi="Times New Roman"/>
                <w:sz w:val="16"/>
                <w:szCs w:val="16"/>
                <w:lang w:eastAsia="sk-SK"/>
              </w:rPr>
              <w:t>Vyššie územné celky a ich rozpočtové a príspevkové organizácie a podniky územnej samosprávy</w:t>
            </w:r>
          </w:p>
        </w:tc>
        <w:tc>
          <w:tcPr>
            <w:tcW w:w="969" w:type="pct"/>
            <w:vAlign w:val="bottom"/>
          </w:tcPr>
          <w:p w:rsidR="000E1727" w:rsidRPr="0036540C" w:rsidRDefault="000E1727" w:rsidP="00C944CF">
            <w:pPr>
              <w:spacing w:after="0" w:line="240" w:lineRule="auto"/>
              <w:jc w:val="right"/>
              <w:rPr>
                <w:rFonts w:ascii="Times New Roman" w:hAnsi="Times New Roman"/>
                <w:sz w:val="16"/>
                <w:szCs w:val="16"/>
                <w:lang w:eastAsia="sk-SK"/>
              </w:rPr>
            </w:pPr>
            <w:r w:rsidRPr="0036540C">
              <w:rPr>
                <w:rFonts w:ascii="Times New Roman" w:hAnsi="Times New Roman"/>
                <w:sz w:val="16"/>
                <w:szCs w:val="16"/>
                <w:lang w:eastAsia="sk-SK"/>
              </w:rPr>
              <w:t>1 247</w:t>
            </w:r>
          </w:p>
        </w:tc>
        <w:tc>
          <w:tcPr>
            <w:tcW w:w="969" w:type="pct"/>
            <w:vAlign w:val="bottom"/>
          </w:tcPr>
          <w:p w:rsidR="000E1727" w:rsidRPr="0036540C" w:rsidRDefault="000E1727" w:rsidP="00C944CF">
            <w:pPr>
              <w:spacing w:after="0" w:line="240" w:lineRule="auto"/>
              <w:jc w:val="right"/>
              <w:rPr>
                <w:rFonts w:ascii="Times New Roman" w:hAnsi="Times New Roman"/>
                <w:sz w:val="16"/>
                <w:szCs w:val="16"/>
                <w:lang w:eastAsia="sk-SK"/>
              </w:rPr>
            </w:pPr>
            <w:r w:rsidRPr="0036540C">
              <w:rPr>
                <w:rFonts w:ascii="Times New Roman" w:hAnsi="Times New Roman"/>
                <w:sz w:val="16"/>
                <w:szCs w:val="16"/>
                <w:lang w:eastAsia="sk-SK"/>
              </w:rPr>
              <w:t>510</w:t>
            </w:r>
          </w:p>
        </w:tc>
        <w:tc>
          <w:tcPr>
            <w:tcW w:w="897" w:type="pct"/>
            <w:vAlign w:val="bottom"/>
          </w:tcPr>
          <w:p w:rsidR="000E1727" w:rsidRPr="0036540C" w:rsidRDefault="000E1727" w:rsidP="00C944CF">
            <w:pPr>
              <w:spacing w:after="0" w:line="240" w:lineRule="auto"/>
              <w:jc w:val="right"/>
              <w:rPr>
                <w:rFonts w:ascii="Times New Roman" w:hAnsi="Times New Roman"/>
                <w:sz w:val="16"/>
                <w:szCs w:val="16"/>
                <w:lang w:eastAsia="sk-SK"/>
              </w:rPr>
            </w:pPr>
            <w:r w:rsidRPr="0036540C">
              <w:rPr>
                <w:rFonts w:ascii="Times New Roman" w:hAnsi="Times New Roman"/>
                <w:sz w:val="16"/>
                <w:szCs w:val="16"/>
                <w:lang w:eastAsia="sk-SK"/>
              </w:rPr>
              <w:t>677</w:t>
            </w:r>
          </w:p>
        </w:tc>
      </w:tr>
      <w:tr w:rsidR="000E1727" w:rsidRPr="0036540C" w:rsidTr="00C944CF">
        <w:trPr>
          <w:trHeight w:val="346"/>
          <w:jc w:val="center"/>
        </w:trPr>
        <w:tc>
          <w:tcPr>
            <w:tcW w:w="2165" w:type="pct"/>
            <w:shd w:val="clear" w:color="auto" w:fill="BFBFBF" w:themeFill="background1" w:themeFillShade="BF"/>
            <w:noWrap/>
            <w:vAlign w:val="bottom"/>
            <w:hideMark/>
          </w:tcPr>
          <w:p w:rsidR="000E1727" w:rsidRPr="0036540C" w:rsidRDefault="000E1727" w:rsidP="00C944CF">
            <w:pPr>
              <w:spacing w:after="0" w:line="240" w:lineRule="auto"/>
              <w:rPr>
                <w:rFonts w:ascii="Times New Roman" w:hAnsi="Times New Roman"/>
                <w:b/>
                <w:bCs/>
                <w:sz w:val="16"/>
                <w:szCs w:val="16"/>
                <w:lang w:eastAsia="sk-SK"/>
              </w:rPr>
            </w:pPr>
            <w:r w:rsidRPr="0036540C">
              <w:rPr>
                <w:rFonts w:ascii="Times New Roman" w:hAnsi="Times New Roman"/>
                <w:b/>
                <w:bCs/>
                <w:sz w:val="16"/>
                <w:szCs w:val="16"/>
                <w:lang w:eastAsia="sk-SK"/>
              </w:rPr>
              <w:t xml:space="preserve">Spolu  </w:t>
            </w:r>
          </w:p>
        </w:tc>
        <w:tc>
          <w:tcPr>
            <w:tcW w:w="969" w:type="pct"/>
            <w:shd w:val="clear" w:color="auto" w:fill="BFBFBF" w:themeFill="background1" w:themeFillShade="BF"/>
            <w:vAlign w:val="bottom"/>
          </w:tcPr>
          <w:p w:rsidR="000E1727" w:rsidRPr="0036540C" w:rsidRDefault="000E1727" w:rsidP="00C944CF">
            <w:pPr>
              <w:spacing w:after="0" w:line="240" w:lineRule="auto"/>
              <w:jc w:val="right"/>
              <w:rPr>
                <w:rFonts w:ascii="Times New Roman" w:hAnsi="Times New Roman"/>
                <w:b/>
                <w:bCs/>
                <w:sz w:val="16"/>
                <w:szCs w:val="16"/>
                <w:lang w:eastAsia="sk-SK"/>
              </w:rPr>
            </w:pPr>
            <w:r w:rsidRPr="0036540C">
              <w:rPr>
                <w:rFonts w:ascii="Times New Roman" w:hAnsi="Times New Roman"/>
                <w:b/>
                <w:bCs/>
                <w:sz w:val="16"/>
                <w:szCs w:val="16"/>
                <w:lang w:eastAsia="sk-SK"/>
              </w:rPr>
              <w:t>12 948 475</w:t>
            </w:r>
          </w:p>
        </w:tc>
        <w:tc>
          <w:tcPr>
            <w:tcW w:w="969" w:type="pct"/>
            <w:shd w:val="clear" w:color="auto" w:fill="BFBFBF" w:themeFill="background1" w:themeFillShade="BF"/>
            <w:vAlign w:val="bottom"/>
          </w:tcPr>
          <w:p w:rsidR="000E1727" w:rsidRPr="0036540C" w:rsidRDefault="000E1727" w:rsidP="00C944CF">
            <w:pPr>
              <w:spacing w:after="0" w:line="240" w:lineRule="auto"/>
              <w:jc w:val="right"/>
              <w:rPr>
                <w:rFonts w:ascii="Times New Roman" w:hAnsi="Times New Roman"/>
                <w:b/>
                <w:bCs/>
                <w:sz w:val="16"/>
                <w:szCs w:val="16"/>
                <w:lang w:eastAsia="sk-SK"/>
              </w:rPr>
            </w:pPr>
            <w:r w:rsidRPr="0036540C">
              <w:rPr>
                <w:rFonts w:ascii="Times New Roman" w:hAnsi="Times New Roman"/>
                <w:b/>
                <w:bCs/>
                <w:sz w:val="16"/>
                <w:szCs w:val="16"/>
                <w:lang w:eastAsia="sk-SK"/>
              </w:rPr>
              <w:t>13 827 308</w:t>
            </w:r>
          </w:p>
        </w:tc>
        <w:tc>
          <w:tcPr>
            <w:tcW w:w="897" w:type="pct"/>
            <w:shd w:val="clear" w:color="auto" w:fill="BFBFBF" w:themeFill="background1" w:themeFillShade="BF"/>
            <w:vAlign w:val="bottom"/>
          </w:tcPr>
          <w:p w:rsidR="000E1727" w:rsidRPr="0036540C" w:rsidRDefault="000E1727" w:rsidP="00C944CF">
            <w:pPr>
              <w:spacing w:after="0" w:line="240" w:lineRule="auto"/>
              <w:jc w:val="right"/>
              <w:rPr>
                <w:rFonts w:ascii="Times New Roman" w:hAnsi="Times New Roman"/>
                <w:b/>
                <w:bCs/>
                <w:sz w:val="16"/>
                <w:szCs w:val="16"/>
                <w:lang w:eastAsia="sk-SK"/>
              </w:rPr>
            </w:pPr>
            <w:r w:rsidRPr="0036540C">
              <w:rPr>
                <w:rFonts w:ascii="Times New Roman" w:hAnsi="Times New Roman"/>
                <w:b/>
                <w:bCs/>
                <w:sz w:val="16"/>
                <w:szCs w:val="16"/>
                <w:lang w:eastAsia="sk-SK"/>
              </w:rPr>
              <w:t>17 257 719</w:t>
            </w:r>
          </w:p>
        </w:tc>
      </w:tr>
    </w:tbl>
    <w:p w:rsidR="000E1727" w:rsidRPr="00512914" w:rsidRDefault="000E1727" w:rsidP="000E1727">
      <w:pPr>
        <w:spacing w:after="0"/>
        <w:ind w:left="567" w:hanging="567"/>
        <w:jc w:val="both"/>
        <w:rPr>
          <w:rFonts w:ascii="Times New Roman" w:hAnsi="Times New Roman"/>
          <w:sz w:val="16"/>
          <w:szCs w:val="20"/>
        </w:rPr>
      </w:pPr>
      <w:r>
        <w:rPr>
          <w:rFonts w:ascii="Times New Roman" w:hAnsi="Times New Roman"/>
          <w:sz w:val="16"/>
          <w:szCs w:val="20"/>
        </w:rPr>
        <w:t xml:space="preserve"> </w:t>
      </w:r>
      <w:r w:rsidR="006144C3">
        <w:rPr>
          <w:rFonts w:ascii="Times New Roman" w:hAnsi="Times New Roman"/>
          <w:sz w:val="16"/>
          <w:szCs w:val="20"/>
        </w:rPr>
        <w:t xml:space="preserve">   </w:t>
      </w:r>
      <w:r>
        <w:rPr>
          <w:rFonts w:ascii="Times New Roman" w:hAnsi="Times New Roman"/>
          <w:sz w:val="16"/>
          <w:szCs w:val="20"/>
        </w:rPr>
        <w:t xml:space="preserve"> </w:t>
      </w:r>
      <w:r w:rsidRPr="00512914">
        <w:rPr>
          <w:rFonts w:ascii="Times New Roman" w:hAnsi="Times New Roman"/>
          <w:sz w:val="16"/>
          <w:szCs w:val="20"/>
        </w:rPr>
        <w:t>Zdroj: MF</w:t>
      </w:r>
      <w:r>
        <w:rPr>
          <w:rFonts w:ascii="Times New Roman" w:hAnsi="Times New Roman"/>
          <w:sz w:val="16"/>
          <w:szCs w:val="20"/>
        </w:rPr>
        <w:t xml:space="preserve"> </w:t>
      </w:r>
      <w:r w:rsidRPr="00512914">
        <w:rPr>
          <w:rFonts w:ascii="Times New Roman" w:hAnsi="Times New Roman"/>
          <w:sz w:val="16"/>
          <w:szCs w:val="20"/>
        </w:rPr>
        <w:t>SR</w:t>
      </w:r>
    </w:p>
    <w:p w:rsidR="005E6DBB" w:rsidRDefault="005E6DBB" w:rsidP="005E6DBB">
      <w:pPr>
        <w:pStyle w:val="Zarkazkladnhotextu1"/>
        <w:tabs>
          <w:tab w:val="left" w:pos="2685"/>
        </w:tabs>
        <w:spacing w:after="0"/>
        <w:ind w:left="0"/>
        <w:jc w:val="both"/>
      </w:pPr>
    </w:p>
    <w:p w:rsidR="000E1727" w:rsidRPr="00514E92" w:rsidRDefault="000E1727" w:rsidP="005E6DBB">
      <w:pPr>
        <w:pStyle w:val="Zarkazkladnhotextu1"/>
        <w:spacing w:after="0"/>
        <w:ind w:left="0" w:firstLine="708"/>
        <w:jc w:val="both"/>
        <w:rPr>
          <w:rFonts w:ascii="Times New Roman" w:hAnsi="Times New Roman" w:cs="Times New Roman"/>
        </w:rPr>
      </w:pPr>
      <w:r w:rsidRPr="00514E92">
        <w:rPr>
          <w:rFonts w:ascii="Times New Roman" w:hAnsi="Times New Roman" w:cs="Times New Roman"/>
        </w:rPr>
        <w:t>Podľa údajov dostupných z účtovných závierok hodnotených subjektov dosiahli podmienené záväzky medziročne nárast 3 430 411 tis.</w:t>
      </w:r>
      <w:r w:rsidRPr="00514E92">
        <w:t> </w:t>
      </w:r>
      <w:r w:rsidRPr="00514E92">
        <w:rPr>
          <w:rFonts w:ascii="Times New Roman" w:hAnsi="Times New Roman" w:cs="Times New Roman"/>
        </w:rPr>
        <w:t xml:space="preserve">eur, pričom tento bol spôsobený </w:t>
      </w:r>
      <w:r w:rsidR="00514E92">
        <w:rPr>
          <w:rFonts w:ascii="Times New Roman" w:hAnsi="Times New Roman" w:cs="Times New Roman"/>
        </w:rPr>
        <w:br/>
      </w:r>
      <w:r w:rsidRPr="00514E92">
        <w:rPr>
          <w:rFonts w:ascii="Times New Roman" w:hAnsi="Times New Roman" w:cs="Times New Roman"/>
        </w:rPr>
        <w:t>najmä prírastkom hodnoty súdnych sporov v rozpočtových organizáciách a zahrnutím údajov od ďalších obchodných spoločností ústrednej správy</w:t>
      </w:r>
      <w:r w:rsidRPr="00514E92">
        <w:rPr>
          <w:rStyle w:val="Odkaznapoznmkupodiarou"/>
          <w:rFonts w:ascii="Times New Roman" w:hAnsi="Times New Roman"/>
        </w:rPr>
        <w:footnoteReference w:id="3"/>
      </w:r>
      <w:r w:rsidRPr="00514E92">
        <w:rPr>
          <w:rFonts w:ascii="Times New Roman" w:hAnsi="Times New Roman" w:cs="Times New Roman"/>
        </w:rPr>
        <w:t xml:space="preserve"> (ide o podniky v správe MH Manažment, a.</w:t>
      </w:r>
      <w:r w:rsidR="0018516D" w:rsidRPr="00514E92">
        <w:rPr>
          <w:rFonts w:ascii="Times New Roman" w:hAnsi="Times New Roman" w:cs="Times New Roman"/>
        </w:rPr>
        <w:t xml:space="preserve"> </w:t>
      </w:r>
      <w:r w:rsidRPr="00514E92">
        <w:rPr>
          <w:rFonts w:ascii="Times New Roman" w:hAnsi="Times New Roman" w:cs="Times New Roman"/>
        </w:rPr>
        <w:t>s. a podniky, v ktorých ústredné orgány štátnej správy majú menšinový podiel). Na medziročnom prírastku sa podieľalo najmä Ministerstvo financií SR (prírastok súdnych sporov o takmer 1 mld. eur), Slovenské elektrárne, a.</w:t>
      </w:r>
      <w:r w:rsidR="0018516D" w:rsidRPr="00514E92">
        <w:rPr>
          <w:rFonts w:ascii="Times New Roman" w:hAnsi="Times New Roman" w:cs="Times New Roman"/>
        </w:rPr>
        <w:t xml:space="preserve"> </w:t>
      </w:r>
      <w:r w:rsidRPr="00514E92">
        <w:rPr>
          <w:rFonts w:ascii="Times New Roman" w:hAnsi="Times New Roman" w:cs="Times New Roman"/>
        </w:rPr>
        <w:t>s. (záložné právo veriteľov na majetok v hodnote</w:t>
      </w:r>
      <w:r w:rsidR="00043F09" w:rsidRPr="00514E92">
        <w:rPr>
          <w:rFonts w:ascii="Times New Roman" w:hAnsi="Times New Roman" w:cs="Times New Roman"/>
        </w:rPr>
        <w:t xml:space="preserve"> 2,7 mld. eur pripadajúci na 34</w:t>
      </w:r>
      <w:r w:rsidRPr="00514E92">
        <w:rPr>
          <w:rFonts w:ascii="Times New Roman" w:hAnsi="Times New Roman" w:cs="Times New Roman"/>
        </w:rPr>
        <w:t>% vlastnícky podiel štátu) a podmienené pasíva ostatných podnikov, ktor</w:t>
      </w:r>
      <w:r w:rsidR="00187FCC" w:rsidRPr="00514E92">
        <w:rPr>
          <w:rFonts w:ascii="Times New Roman" w:hAnsi="Times New Roman" w:cs="Times New Roman"/>
        </w:rPr>
        <w:t>é boli zahrnuté do výpočtu prvý</w:t>
      </w:r>
      <w:r w:rsidRPr="00514E92">
        <w:rPr>
          <w:rFonts w:ascii="Times New Roman" w:hAnsi="Times New Roman" w:cs="Times New Roman"/>
        </w:rPr>
        <w:t xml:space="preserve">krát. </w:t>
      </w:r>
    </w:p>
    <w:p w:rsidR="00647EE8" w:rsidRDefault="00647EE8" w:rsidP="00647EE8">
      <w:pPr>
        <w:pStyle w:val="Zarkazkladnhotextu1"/>
        <w:spacing w:after="0"/>
        <w:ind w:left="0" w:firstLine="567"/>
        <w:jc w:val="both"/>
        <w:rPr>
          <w:rFonts w:ascii="Times New Roman" w:hAnsi="Times New Roman" w:cs="Times New Roman"/>
        </w:rPr>
      </w:pPr>
    </w:p>
    <w:p w:rsidR="000E1727" w:rsidRDefault="000E1727" w:rsidP="005E6DBB">
      <w:pPr>
        <w:pStyle w:val="Zarkazkladnhotextu1"/>
        <w:spacing w:after="0"/>
        <w:ind w:left="0" w:firstLine="708"/>
        <w:jc w:val="both"/>
        <w:rPr>
          <w:rFonts w:ascii="Times New Roman" w:hAnsi="Times New Roman" w:cs="Times New Roman"/>
        </w:rPr>
      </w:pPr>
      <w:r w:rsidRPr="004C6AA0">
        <w:rPr>
          <w:rFonts w:ascii="Times New Roman" w:hAnsi="Times New Roman" w:cs="Times New Roman"/>
        </w:rPr>
        <w:t xml:space="preserve">Hodnotovo najvýznamnejšiu skupinu tvoria podmienené </w:t>
      </w:r>
      <w:r w:rsidRPr="0036540C">
        <w:rPr>
          <w:rFonts w:ascii="Times New Roman" w:hAnsi="Times New Roman" w:cs="Times New Roman"/>
          <w:u w:val="single"/>
        </w:rPr>
        <w:t>záväzky vyplývajúce z poskytnutých záruk vyplývajúcich zo stabilizačných mechanizmov a kapitálu splatného na požiadanie v medzinárodných finančných inštitúciách</w:t>
      </w:r>
      <w:r w:rsidRPr="00255C8D">
        <w:rPr>
          <w:rFonts w:ascii="Times New Roman" w:hAnsi="Times New Roman" w:cs="Times New Roman"/>
        </w:rPr>
        <w:t>.</w:t>
      </w:r>
      <w:r>
        <w:rPr>
          <w:rFonts w:ascii="Times New Roman" w:hAnsi="Times New Roman" w:cs="Times New Roman"/>
        </w:rPr>
        <w:t xml:space="preserve"> </w:t>
      </w:r>
      <w:r w:rsidRPr="00255C8D">
        <w:rPr>
          <w:rFonts w:ascii="Times New Roman" w:hAnsi="Times New Roman" w:cs="Times New Roman"/>
        </w:rPr>
        <w:t xml:space="preserve">Najväčší podmienený záväzok </w:t>
      </w:r>
      <w:r w:rsidR="00D47D0E">
        <w:rPr>
          <w:rFonts w:ascii="Times New Roman" w:hAnsi="Times New Roman" w:cs="Times New Roman"/>
        </w:rPr>
        <w:t>z</w:t>
      </w:r>
      <w:r w:rsidRPr="00255C8D">
        <w:rPr>
          <w:rFonts w:ascii="Times New Roman" w:hAnsi="Times New Roman" w:cs="Times New Roman"/>
        </w:rPr>
        <w:t xml:space="preserve">ostáva vykázaný </w:t>
      </w:r>
      <w:r>
        <w:rPr>
          <w:rFonts w:ascii="Times New Roman" w:hAnsi="Times New Roman" w:cs="Times New Roman"/>
        </w:rPr>
        <w:t>z účasti na</w:t>
      </w:r>
      <w:r w:rsidRPr="00255C8D">
        <w:rPr>
          <w:rFonts w:ascii="Times New Roman" w:hAnsi="Times New Roman" w:cs="Times New Roman"/>
        </w:rPr>
        <w:t xml:space="preserve"> Európskom stabilizačnom mechanizme</w:t>
      </w:r>
      <w:r w:rsidRPr="00255C8D">
        <w:rPr>
          <w:rFonts w:ascii="Times New Roman" w:hAnsi="Times New Roman"/>
          <w:vertAlign w:val="superscript"/>
        </w:rPr>
        <w:footnoteReference w:id="4"/>
      </w:r>
      <w:r w:rsidRPr="00255C8D">
        <w:rPr>
          <w:rFonts w:ascii="Times New Roman" w:hAnsi="Times New Roman" w:cs="Times New Roman"/>
        </w:rPr>
        <w:t xml:space="preserve"> (ESM) vo výške 5 108 800 tis. eur.</w:t>
      </w:r>
      <w:r>
        <w:rPr>
          <w:rFonts w:ascii="Times New Roman" w:hAnsi="Times New Roman" w:cs="Times New Roman"/>
        </w:rPr>
        <w:t xml:space="preserve"> </w:t>
      </w:r>
      <w:r w:rsidRPr="00255C8D">
        <w:rPr>
          <w:rFonts w:ascii="Times New Roman" w:hAnsi="Times New Roman" w:cs="Times New Roman"/>
        </w:rPr>
        <w:t xml:space="preserve">Európsky nástroj finančnej stability (EFSF) je predchodca ESM (tzv. </w:t>
      </w:r>
      <w:r w:rsidR="00647EE8">
        <w:rPr>
          <w:rFonts w:ascii="Times New Roman" w:hAnsi="Times New Roman" w:cs="Times New Roman"/>
        </w:rPr>
        <w:t>„</w:t>
      </w:r>
      <w:r w:rsidRPr="00255C8D">
        <w:rPr>
          <w:rFonts w:ascii="Times New Roman" w:hAnsi="Times New Roman" w:cs="Times New Roman"/>
        </w:rPr>
        <w:t>euroval 1</w:t>
      </w:r>
      <w:r w:rsidR="00647EE8">
        <w:rPr>
          <w:rFonts w:ascii="Times New Roman" w:hAnsi="Times New Roman" w:cs="Times New Roman"/>
        </w:rPr>
        <w:t>“</w:t>
      </w:r>
      <w:r w:rsidRPr="00255C8D">
        <w:rPr>
          <w:rFonts w:ascii="Times New Roman" w:hAnsi="Times New Roman" w:cs="Times New Roman"/>
        </w:rPr>
        <w:t>). Slovenská republika sa ako členský štát EFSF zaviazala poskytovať záruky za dlhové finančné inštrumenty vydávané EFSF v prípade žiadosti členského štátu eurozóny o finančnú stabilizačnú pomoc. V zmysle zákona o špecifických štátnych zárukách sa Slovensko musí podieľať na celkovej výške záruk do sumy, ktorá nepresiahne 7 727 570 tis. eur. Zároveň sa musí podieľať na ďalších záručných mechanizmoch potrebných na získanie AAA ratingu pre EFSF, napríklad poskytnutím dodatočných záruk EFSF do výšky 165 % svojho podielu na zárukách pre každú emisiu. Stav záruk vystavených Slovenskou republikou bol k 31.</w:t>
      </w:r>
      <w:r w:rsidR="00D47D0E">
        <w:rPr>
          <w:rFonts w:ascii="Times New Roman" w:hAnsi="Times New Roman" w:cs="Times New Roman"/>
        </w:rPr>
        <w:t xml:space="preserve"> </w:t>
      </w:r>
      <w:r w:rsidRPr="00255C8D">
        <w:rPr>
          <w:rFonts w:ascii="Times New Roman" w:hAnsi="Times New Roman" w:cs="Times New Roman"/>
        </w:rPr>
        <w:t>12.</w:t>
      </w:r>
      <w:r w:rsidR="00D47D0E">
        <w:rPr>
          <w:rFonts w:ascii="Times New Roman" w:hAnsi="Times New Roman" w:cs="Times New Roman"/>
        </w:rPr>
        <w:t xml:space="preserve"> </w:t>
      </w:r>
      <w:r w:rsidRPr="00255C8D">
        <w:rPr>
          <w:rFonts w:ascii="Times New Roman" w:hAnsi="Times New Roman" w:cs="Times New Roman"/>
        </w:rPr>
        <w:t>201</w:t>
      </w:r>
      <w:r>
        <w:rPr>
          <w:rFonts w:ascii="Times New Roman" w:hAnsi="Times New Roman" w:cs="Times New Roman"/>
        </w:rPr>
        <w:t xml:space="preserve">8 vo výške </w:t>
      </w:r>
      <w:r w:rsidRPr="00255C8D">
        <w:rPr>
          <w:rFonts w:ascii="Times New Roman" w:hAnsi="Times New Roman" w:cs="Times New Roman"/>
        </w:rPr>
        <w:t>2</w:t>
      </w:r>
      <w:r>
        <w:rPr>
          <w:rFonts w:ascii="Times New Roman" w:hAnsi="Times New Roman" w:cs="Times New Roman"/>
        </w:rPr>
        <w:t> </w:t>
      </w:r>
      <w:r w:rsidRPr="00255C8D">
        <w:rPr>
          <w:rFonts w:ascii="Times New Roman" w:hAnsi="Times New Roman" w:cs="Times New Roman"/>
        </w:rPr>
        <w:t>4</w:t>
      </w:r>
      <w:r>
        <w:rPr>
          <w:rFonts w:ascii="Times New Roman" w:hAnsi="Times New Roman" w:cs="Times New Roman"/>
        </w:rPr>
        <w:t xml:space="preserve">40 759 </w:t>
      </w:r>
      <w:r w:rsidRPr="00255C8D">
        <w:rPr>
          <w:rFonts w:ascii="Times New Roman" w:hAnsi="Times New Roman" w:cs="Times New Roman"/>
        </w:rPr>
        <w:t xml:space="preserve">tis. </w:t>
      </w:r>
      <w:r w:rsidR="00D47D0E">
        <w:rPr>
          <w:rFonts w:ascii="Times New Roman" w:hAnsi="Times New Roman" w:cs="Times New Roman"/>
        </w:rPr>
        <w:t>eur a medziročne sa zvýšil</w:t>
      </w:r>
      <w:r w:rsidRPr="00255C8D">
        <w:rPr>
          <w:rFonts w:ascii="Times New Roman" w:hAnsi="Times New Roman" w:cs="Times New Roman"/>
        </w:rPr>
        <w:t xml:space="preserve"> </w:t>
      </w:r>
      <w:r>
        <w:rPr>
          <w:rFonts w:ascii="Times New Roman" w:hAnsi="Times New Roman" w:cs="Times New Roman"/>
        </w:rPr>
        <w:t>o 12 245</w:t>
      </w:r>
      <w:r w:rsidRPr="00255C8D">
        <w:rPr>
          <w:rFonts w:ascii="Times New Roman" w:hAnsi="Times New Roman" w:cs="Times New Roman"/>
        </w:rPr>
        <w:t xml:space="preserve"> tis. eur.</w:t>
      </w:r>
    </w:p>
    <w:p w:rsidR="00647EE8" w:rsidRDefault="00647EE8" w:rsidP="00647EE8">
      <w:pPr>
        <w:pStyle w:val="Zarkazkladnhotextu1"/>
        <w:spacing w:after="0"/>
        <w:ind w:left="0" w:firstLine="567"/>
        <w:jc w:val="both"/>
        <w:rPr>
          <w:rFonts w:ascii="Times New Roman" w:hAnsi="Times New Roman" w:cs="Times New Roman"/>
        </w:rPr>
      </w:pPr>
    </w:p>
    <w:p w:rsidR="000E1727" w:rsidRDefault="000E1727" w:rsidP="005E6DBB">
      <w:pPr>
        <w:pStyle w:val="Zarkazkladnhotextu1"/>
        <w:spacing w:after="0"/>
        <w:ind w:left="0" w:firstLine="708"/>
        <w:jc w:val="both"/>
        <w:rPr>
          <w:rFonts w:ascii="Times New Roman" w:hAnsi="Times New Roman" w:cs="Times New Roman"/>
        </w:rPr>
      </w:pPr>
      <w:r w:rsidRPr="0036540C">
        <w:rPr>
          <w:rFonts w:ascii="Times New Roman" w:hAnsi="Times New Roman" w:cs="Times New Roman"/>
          <w:u w:val="single"/>
        </w:rPr>
        <w:t>Kapitál splatný na vyzvanie</w:t>
      </w:r>
      <w:r w:rsidRPr="004C6AA0">
        <w:rPr>
          <w:rFonts w:ascii="Times New Roman" w:hAnsi="Times New Roman" w:cs="Times New Roman"/>
        </w:rPr>
        <w:t xml:space="preserve"> (tzv. ,,call capital“) v medzinárodných finančných inštitúciách je</w:t>
      </w:r>
      <w:r w:rsidRPr="00250CB2">
        <w:rPr>
          <w:rFonts w:ascii="Times New Roman" w:hAnsi="Times New Roman" w:cs="Times New Roman"/>
        </w:rPr>
        <w:t xml:space="preserve"> takisto v správe Ministerstva financií SR. Ide o nesplatenú časť podielov na základnom imaní konkrétnych finančných inštitúcií, k splateniu ktorej je nutná výzva pre akcionárov (</w:t>
      </w:r>
      <w:r w:rsidR="0074009D">
        <w:rPr>
          <w:rFonts w:ascii="Times New Roman" w:hAnsi="Times New Roman" w:cs="Times New Roman"/>
        </w:rPr>
        <w:t xml:space="preserve">tzv. </w:t>
      </w:r>
      <w:r w:rsidRPr="00250CB2">
        <w:rPr>
          <w:rFonts w:ascii="Times New Roman" w:hAnsi="Times New Roman" w:cs="Times New Roman"/>
        </w:rPr>
        <w:t>„call“). Keďže nie je isté</w:t>
      </w:r>
      <w:r w:rsidR="003D63B3">
        <w:rPr>
          <w:rFonts w:ascii="Times New Roman" w:hAnsi="Times New Roman" w:cs="Times New Roman"/>
        </w:rPr>
        <w:t>,</w:t>
      </w:r>
      <w:r w:rsidRPr="00250CB2">
        <w:rPr>
          <w:rFonts w:ascii="Times New Roman" w:hAnsi="Times New Roman" w:cs="Times New Roman"/>
        </w:rPr>
        <w:t xml:space="preserve"> v akom čase a v akom objeme bude nutné doplniť základné imanie týchto inštitúcií, rozvrhnutý podiel pripadajúci na Slovenskú republiku ako člena v medzinárodných finančných inštitúciách sa vykazuje na podsúvahe ako podmienené pasívum. Primárnym cieľom členstva v medzinárodných bankách je vzájomná pomoc v oblasti hospodárskeho rozvoja prostredníctvom koncentrácie kapitálu z národných zdrojov.</w:t>
      </w:r>
    </w:p>
    <w:p w:rsidR="00ED35F6" w:rsidRDefault="00ED35F6" w:rsidP="00ED35F6">
      <w:pPr>
        <w:pStyle w:val="Zarkazkladnhotextu1"/>
        <w:spacing w:after="0"/>
        <w:ind w:left="0"/>
        <w:jc w:val="both"/>
        <w:rPr>
          <w:rFonts w:ascii="Times New Roman" w:hAnsi="Times New Roman" w:cs="Times New Roman"/>
        </w:rPr>
      </w:pPr>
    </w:p>
    <w:p w:rsidR="000E1727" w:rsidRDefault="000E1727" w:rsidP="005E6DBB">
      <w:pPr>
        <w:pStyle w:val="Zarkazkladnhotextu1"/>
        <w:ind w:left="0" w:firstLine="708"/>
        <w:jc w:val="both"/>
        <w:rPr>
          <w:rFonts w:ascii="Times New Roman" w:hAnsi="Times New Roman" w:cs="Times New Roman"/>
        </w:rPr>
      </w:pPr>
      <w:r>
        <w:rPr>
          <w:rFonts w:ascii="Times New Roman" w:hAnsi="Times New Roman" w:cs="Times New Roman"/>
        </w:rPr>
        <w:t>Vybrané podmienené záväzky podľa subjektov uvádzame v nasledovnom prehľade:</w:t>
      </w:r>
    </w:p>
    <w:p w:rsidR="00D93066" w:rsidRDefault="00D93066" w:rsidP="000E1727">
      <w:pPr>
        <w:pStyle w:val="Zarkazkladnhotextu1"/>
        <w:ind w:left="0"/>
        <w:jc w:val="both"/>
        <w:rPr>
          <w:rFonts w:ascii="Times New Roman" w:hAnsi="Times New Roman" w:cs="Times New Roman"/>
        </w:rPr>
      </w:pPr>
    </w:p>
    <w:tbl>
      <w:tblPr>
        <w:tblpPr w:leftFromText="141" w:rightFromText="141" w:vertAnchor="text" w:horzAnchor="margin" w:tblpY="189"/>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5"/>
        <w:gridCol w:w="1160"/>
        <w:gridCol w:w="1160"/>
        <w:gridCol w:w="1160"/>
        <w:gridCol w:w="1220"/>
      </w:tblGrid>
      <w:tr w:rsidR="00CE4170" w:rsidRPr="00A56792" w:rsidTr="00CE4170">
        <w:trPr>
          <w:trHeight w:val="276"/>
        </w:trPr>
        <w:tc>
          <w:tcPr>
            <w:tcW w:w="9025" w:type="dxa"/>
            <w:gridSpan w:val="5"/>
            <w:shd w:val="clear" w:color="auto" w:fill="A6A6A6" w:themeFill="background1" w:themeFillShade="A6"/>
            <w:noWrap/>
            <w:vAlign w:val="center"/>
            <w:hideMark/>
          </w:tcPr>
          <w:p w:rsidR="00CE4170" w:rsidRPr="00030CE3" w:rsidRDefault="00CE4170" w:rsidP="00CE4170">
            <w:pPr>
              <w:spacing w:after="0" w:line="240" w:lineRule="auto"/>
              <w:rPr>
                <w:rFonts w:ascii="Times New Roman" w:hAnsi="Times New Roman"/>
                <w:b/>
                <w:bCs/>
                <w:sz w:val="16"/>
                <w:szCs w:val="16"/>
                <w:lang w:eastAsia="sk-SK"/>
              </w:rPr>
            </w:pPr>
            <w:r w:rsidRPr="00030CE3">
              <w:rPr>
                <w:rFonts w:ascii="Times New Roman" w:hAnsi="Times New Roman"/>
                <w:b/>
                <w:bCs/>
                <w:sz w:val="16"/>
                <w:szCs w:val="16"/>
                <w:lang w:eastAsia="sk-SK"/>
              </w:rPr>
              <w:lastRenderedPageBreak/>
              <w:t xml:space="preserve">Prehľad </w:t>
            </w:r>
            <w:r w:rsidRPr="00EE0C8C">
              <w:rPr>
                <w:rFonts w:ascii="Times New Roman" w:hAnsi="Times New Roman"/>
                <w:b/>
                <w:bCs/>
                <w:sz w:val="16"/>
                <w:szCs w:val="16"/>
                <w:lang w:eastAsia="sk-SK"/>
              </w:rPr>
              <w:t xml:space="preserve">najväčších podmienených záväzkov </w:t>
            </w:r>
            <w:r>
              <w:rPr>
                <w:rFonts w:ascii="Times New Roman" w:hAnsi="Times New Roman"/>
                <w:b/>
                <w:bCs/>
                <w:sz w:val="16"/>
                <w:szCs w:val="16"/>
                <w:lang w:eastAsia="sk-SK"/>
              </w:rPr>
              <w:t xml:space="preserve">                                                                                                                              </w:t>
            </w:r>
            <w:r w:rsidRPr="00EE0C8C">
              <w:rPr>
                <w:rFonts w:ascii="Times New Roman" w:hAnsi="Times New Roman"/>
                <w:b/>
                <w:bCs/>
                <w:sz w:val="16"/>
                <w:szCs w:val="16"/>
                <w:lang w:eastAsia="sk-SK"/>
              </w:rPr>
              <w:t>(</w:t>
            </w:r>
            <w:r>
              <w:rPr>
                <w:rFonts w:ascii="Times New Roman" w:hAnsi="Times New Roman"/>
                <w:b/>
                <w:bCs/>
                <w:sz w:val="16"/>
                <w:szCs w:val="16"/>
                <w:lang w:eastAsia="sk-SK"/>
              </w:rPr>
              <w:t xml:space="preserve">v </w:t>
            </w:r>
            <w:r w:rsidRPr="00EE0C8C">
              <w:rPr>
                <w:rFonts w:ascii="Times New Roman" w:hAnsi="Times New Roman"/>
                <w:b/>
                <w:bCs/>
                <w:sz w:val="16"/>
                <w:szCs w:val="16"/>
                <w:lang w:eastAsia="sk-SK"/>
              </w:rPr>
              <w:t>tis. eur)</w:t>
            </w:r>
            <w:r w:rsidRPr="00030CE3">
              <w:rPr>
                <w:rFonts w:ascii="Times New Roman" w:hAnsi="Times New Roman"/>
                <w:b/>
                <w:bCs/>
                <w:sz w:val="16"/>
                <w:szCs w:val="16"/>
                <w:lang w:eastAsia="sk-SK"/>
              </w:rPr>
              <w:t> </w:t>
            </w:r>
          </w:p>
        </w:tc>
      </w:tr>
      <w:tr w:rsidR="00CE4170" w:rsidRPr="00A56792" w:rsidTr="00CE4170">
        <w:trPr>
          <w:trHeight w:val="276"/>
        </w:trPr>
        <w:tc>
          <w:tcPr>
            <w:tcW w:w="4325" w:type="dxa"/>
            <w:shd w:val="clear" w:color="auto" w:fill="BFBFBF" w:themeFill="background1" w:themeFillShade="BF"/>
            <w:vAlign w:val="center"/>
            <w:hideMark/>
          </w:tcPr>
          <w:p w:rsidR="00CE4170" w:rsidRPr="00A56792" w:rsidRDefault="00CE4170" w:rsidP="00CE4170">
            <w:pPr>
              <w:spacing w:after="0" w:line="240" w:lineRule="auto"/>
              <w:rPr>
                <w:rFonts w:ascii="Times New Roman" w:hAnsi="Times New Roman"/>
                <w:color w:val="000000"/>
                <w:sz w:val="16"/>
                <w:szCs w:val="16"/>
                <w:lang w:eastAsia="sk-SK"/>
              </w:rPr>
            </w:pPr>
            <w:r w:rsidRPr="00A56792">
              <w:rPr>
                <w:rFonts w:ascii="Times New Roman" w:hAnsi="Times New Roman"/>
                <w:color w:val="000000"/>
                <w:sz w:val="16"/>
                <w:szCs w:val="16"/>
                <w:lang w:eastAsia="sk-SK"/>
              </w:rPr>
              <w:t> </w:t>
            </w:r>
          </w:p>
        </w:tc>
        <w:tc>
          <w:tcPr>
            <w:tcW w:w="1160" w:type="dxa"/>
            <w:shd w:val="clear" w:color="auto" w:fill="BFBFBF" w:themeFill="background1" w:themeFillShade="BF"/>
            <w:vAlign w:val="center"/>
          </w:tcPr>
          <w:p w:rsidR="00CE4170" w:rsidRPr="00A56792" w:rsidRDefault="00CE4170" w:rsidP="00CE4170">
            <w:pPr>
              <w:spacing w:after="0" w:line="240" w:lineRule="auto"/>
              <w:jc w:val="center"/>
              <w:rPr>
                <w:rFonts w:ascii="Times New Roman" w:hAnsi="Times New Roman"/>
                <w:b/>
                <w:bCs/>
                <w:sz w:val="16"/>
                <w:szCs w:val="16"/>
                <w:lang w:eastAsia="sk-SK"/>
              </w:rPr>
            </w:pPr>
            <w:r>
              <w:rPr>
                <w:rFonts w:ascii="Times New Roman" w:hAnsi="Times New Roman"/>
                <w:b/>
                <w:bCs/>
                <w:sz w:val="16"/>
                <w:szCs w:val="16"/>
                <w:lang w:eastAsia="sk-SK"/>
              </w:rPr>
              <w:t>2016</w:t>
            </w:r>
          </w:p>
        </w:tc>
        <w:tc>
          <w:tcPr>
            <w:tcW w:w="1160" w:type="dxa"/>
            <w:shd w:val="clear" w:color="auto" w:fill="BFBFBF" w:themeFill="background1" w:themeFillShade="BF"/>
            <w:vAlign w:val="center"/>
          </w:tcPr>
          <w:p w:rsidR="00CE4170" w:rsidRPr="00A56792" w:rsidRDefault="00CE4170" w:rsidP="00CE4170">
            <w:pPr>
              <w:spacing w:after="0" w:line="240" w:lineRule="auto"/>
              <w:jc w:val="center"/>
              <w:rPr>
                <w:rFonts w:ascii="Times New Roman" w:hAnsi="Times New Roman"/>
                <w:b/>
                <w:bCs/>
                <w:sz w:val="16"/>
                <w:szCs w:val="16"/>
                <w:lang w:eastAsia="sk-SK"/>
              </w:rPr>
            </w:pPr>
            <w:r>
              <w:rPr>
                <w:rFonts w:ascii="Times New Roman" w:hAnsi="Times New Roman"/>
                <w:b/>
                <w:bCs/>
                <w:sz w:val="16"/>
                <w:szCs w:val="16"/>
                <w:lang w:eastAsia="sk-SK"/>
              </w:rPr>
              <w:t>2017</w:t>
            </w:r>
          </w:p>
        </w:tc>
        <w:tc>
          <w:tcPr>
            <w:tcW w:w="1160" w:type="dxa"/>
            <w:shd w:val="clear" w:color="auto" w:fill="BFBFBF" w:themeFill="background1" w:themeFillShade="BF"/>
            <w:vAlign w:val="center"/>
          </w:tcPr>
          <w:p w:rsidR="00CE4170" w:rsidRPr="00A56792" w:rsidRDefault="00CE4170" w:rsidP="00CE4170">
            <w:pPr>
              <w:spacing w:after="0" w:line="240" w:lineRule="auto"/>
              <w:jc w:val="center"/>
              <w:rPr>
                <w:rFonts w:ascii="Times New Roman" w:hAnsi="Times New Roman"/>
                <w:b/>
                <w:bCs/>
                <w:sz w:val="16"/>
                <w:szCs w:val="16"/>
                <w:lang w:eastAsia="sk-SK"/>
              </w:rPr>
            </w:pPr>
            <w:r>
              <w:rPr>
                <w:rFonts w:ascii="Times New Roman" w:hAnsi="Times New Roman"/>
                <w:b/>
                <w:bCs/>
                <w:sz w:val="16"/>
                <w:szCs w:val="16"/>
                <w:lang w:eastAsia="sk-SK"/>
              </w:rPr>
              <w:t>2018</w:t>
            </w:r>
          </w:p>
        </w:tc>
        <w:tc>
          <w:tcPr>
            <w:tcW w:w="1220" w:type="dxa"/>
            <w:shd w:val="clear" w:color="auto" w:fill="BFBFBF" w:themeFill="background1" w:themeFillShade="BF"/>
            <w:vAlign w:val="center"/>
            <w:hideMark/>
          </w:tcPr>
          <w:p w:rsidR="00CE4170" w:rsidRPr="00A56792" w:rsidRDefault="00CE4170" w:rsidP="00CE4170">
            <w:pPr>
              <w:spacing w:after="0" w:line="240" w:lineRule="auto"/>
              <w:jc w:val="center"/>
              <w:rPr>
                <w:rFonts w:ascii="Times New Roman" w:hAnsi="Times New Roman"/>
                <w:b/>
                <w:bCs/>
                <w:sz w:val="16"/>
                <w:szCs w:val="16"/>
                <w:lang w:eastAsia="sk-SK"/>
              </w:rPr>
            </w:pPr>
            <w:r w:rsidRPr="00A56792">
              <w:rPr>
                <w:rFonts w:ascii="Times New Roman" w:hAnsi="Times New Roman"/>
                <w:b/>
                <w:bCs/>
                <w:sz w:val="16"/>
                <w:szCs w:val="16"/>
                <w:lang w:eastAsia="sk-SK"/>
              </w:rPr>
              <w:t>Δ201</w:t>
            </w:r>
            <w:r>
              <w:rPr>
                <w:rFonts w:ascii="Times New Roman" w:hAnsi="Times New Roman"/>
                <w:b/>
                <w:bCs/>
                <w:sz w:val="16"/>
                <w:szCs w:val="16"/>
                <w:lang w:eastAsia="sk-SK"/>
              </w:rPr>
              <w:t>8</w:t>
            </w:r>
            <w:r w:rsidRPr="00A56792">
              <w:rPr>
                <w:rFonts w:ascii="Times New Roman" w:hAnsi="Times New Roman"/>
                <w:b/>
                <w:bCs/>
                <w:sz w:val="16"/>
                <w:szCs w:val="16"/>
                <w:lang w:eastAsia="sk-SK"/>
              </w:rPr>
              <w:t>-201</w:t>
            </w:r>
            <w:r>
              <w:rPr>
                <w:rFonts w:ascii="Times New Roman" w:hAnsi="Times New Roman"/>
                <w:b/>
                <w:bCs/>
                <w:sz w:val="16"/>
                <w:szCs w:val="16"/>
                <w:lang w:eastAsia="sk-SK"/>
              </w:rPr>
              <w:t>7</w:t>
            </w:r>
          </w:p>
        </w:tc>
      </w:tr>
      <w:tr w:rsidR="00CE4170" w:rsidRPr="00C420FA" w:rsidTr="00CE4170">
        <w:trPr>
          <w:trHeight w:val="276"/>
        </w:trPr>
        <w:tc>
          <w:tcPr>
            <w:tcW w:w="4325" w:type="dxa"/>
            <w:noWrap/>
            <w:vAlign w:val="center"/>
            <w:hideMark/>
          </w:tcPr>
          <w:p w:rsidR="00CE4170" w:rsidRPr="00A56792" w:rsidRDefault="00CE4170" w:rsidP="00CE4170">
            <w:pPr>
              <w:spacing w:after="0" w:line="240" w:lineRule="auto"/>
              <w:rPr>
                <w:rFonts w:ascii="Times New Roman" w:hAnsi="Times New Roman"/>
                <w:b/>
                <w:bCs/>
                <w:color w:val="000000"/>
                <w:sz w:val="16"/>
                <w:szCs w:val="16"/>
                <w:lang w:eastAsia="sk-SK"/>
              </w:rPr>
            </w:pPr>
            <w:r>
              <w:rPr>
                <w:rFonts w:ascii="Times New Roman" w:hAnsi="Times New Roman"/>
                <w:b/>
                <w:bCs/>
                <w:color w:val="000000"/>
                <w:sz w:val="16"/>
                <w:szCs w:val="16"/>
                <w:lang w:eastAsia="sk-SK"/>
              </w:rPr>
              <w:t>Z</w:t>
            </w:r>
            <w:r w:rsidRPr="00A56792">
              <w:rPr>
                <w:rFonts w:ascii="Times New Roman" w:hAnsi="Times New Roman"/>
                <w:b/>
                <w:bCs/>
                <w:color w:val="000000"/>
                <w:sz w:val="16"/>
                <w:szCs w:val="16"/>
                <w:lang w:eastAsia="sk-SK"/>
              </w:rPr>
              <w:t>áruky v medzinárodných finančných inštitúciách</w:t>
            </w:r>
            <w:r>
              <w:rPr>
                <w:rFonts w:ascii="Times New Roman" w:hAnsi="Times New Roman"/>
                <w:b/>
                <w:bCs/>
                <w:color w:val="000000"/>
                <w:sz w:val="16"/>
                <w:szCs w:val="16"/>
                <w:lang w:eastAsia="sk-SK"/>
              </w:rPr>
              <w:t xml:space="preserve"> a k</w:t>
            </w:r>
            <w:r w:rsidRPr="00A56792">
              <w:rPr>
                <w:rFonts w:ascii="Times New Roman" w:hAnsi="Times New Roman"/>
                <w:b/>
                <w:bCs/>
                <w:color w:val="000000"/>
                <w:sz w:val="16"/>
                <w:szCs w:val="16"/>
                <w:lang w:eastAsia="sk-SK"/>
              </w:rPr>
              <w:t xml:space="preserve">apitál </w:t>
            </w:r>
            <w:r>
              <w:rPr>
                <w:rFonts w:ascii="Times New Roman" w:hAnsi="Times New Roman"/>
                <w:b/>
                <w:bCs/>
                <w:color w:val="000000"/>
                <w:sz w:val="16"/>
                <w:szCs w:val="16"/>
                <w:lang w:eastAsia="sk-SK"/>
              </w:rPr>
              <w:t xml:space="preserve">splatný </w:t>
            </w:r>
            <w:r w:rsidRPr="00A56792">
              <w:rPr>
                <w:rFonts w:ascii="Times New Roman" w:hAnsi="Times New Roman"/>
                <w:b/>
                <w:bCs/>
                <w:color w:val="000000"/>
                <w:sz w:val="16"/>
                <w:szCs w:val="16"/>
                <w:lang w:eastAsia="sk-SK"/>
              </w:rPr>
              <w:t xml:space="preserve">na </w:t>
            </w:r>
            <w:r>
              <w:rPr>
                <w:rFonts w:ascii="Times New Roman" w:hAnsi="Times New Roman"/>
                <w:b/>
                <w:bCs/>
                <w:color w:val="000000"/>
                <w:sz w:val="16"/>
                <w:szCs w:val="16"/>
                <w:lang w:eastAsia="sk-SK"/>
              </w:rPr>
              <w:t>vyzvanie</w:t>
            </w:r>
          </w:p>
        </w:tc>
        <w:tc>
          <w:tcPr>
            <w:tcW w:w="1160" w:type="dxa"/>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8 473 154</w:t>
            </w:r>
          </w:p>
        </w:tc>
        <w:tc>
          <w:tcPr>
            <w:tcW w:w="1160" w:type="dxa"/>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8 669 919</w:t>
            </w:r>
          </w:p>
        </w:tc>
        <w:tc>
          <w:tcPr>
            <w:tcW w:w="1160" w:type="dxa"/>
            <w:vAlign w:val="center"/>
          </w:tcPr>
          <w:p w:rsidR="00CE4170" w:rsidRPr="001E2D4D" w:rsidRDefault="00CE4170" w:rsidP="00CE4170">
            <w:pPr>
              <w:spacing w:after="0" w:line="240" w:lineRule="auto"/>
              <w:jc w:val="right"/>
              <w:rPr>
                <w:rFonts w:ascii="Times New Roman" w:hAnsi="Times New Roman"/>
                <w:b/>
                <w:bCs/>
                <w:color w:val="000000"/>
                <w:sz w:val="16"/>
                <w:szCs w:val="16"/>
                <w:lang w:eastAsia="sk-SK"/>
              </w:rPr>
            </w:pPr>
            <w:r w:rsidRPr="001E2D4D">
              <w:rPr>
                <w:rFonts w:ascii="Times New Roman" w:hAnsi="Times New Roman"/>
                <w:b/>
                <w:bCs/>
                <w:color w:val="000000"/>
                <w:sz w:val="16"/>
                <w:szCs w:val="16"/>
                <w:lang w:eastAsia="sk-SK"/>
              </w:rPr>
              <w:t>8 700</w:t>
            </w:r>
            <w:r>
              <w:rPr>
                <w:rFonts w:ascii="Times New Roman" w:hAnsi="Times New Roman"/>
                <w:b/>
                <w:bCs/>
                <w:color w:val="000000"/>
                <w:sz w:val="16"/>
                <w:szCs w:val="16"/>
                <w:lang w:eastAsia="sk-SK"/>
              </w:rPr>
              <w:t> </w:t>
            </w:r>
            <w:r w:rsidRPr="001E2D4D">
              <w:rPr>
                <w:rFonts w:ascii="Times New Roman" w:hAnsi="Times New Roman"/>
                <w:b/>
                <w:bCs/>
                <w:color w:val="000000"/>
                <w:sz w:val="16"/>
                <w:szCs w:val="16"/>
                <w:lang w:eastAsia="sk-SK"/>
              </w:rPr>
              <w:t>585</w:t>
            </w:r>
          </w:p>
        </w:tc>
        <w:tc>
          <w:tcPr>
            <w:tcW w:w="1220" w:type="dxa"/>
            <w:vAlign w:val="center"/>
          </w:tcPr>
          <w:p w:rsidR="00CE4170" w:rsidRPr="00C420FA" w:rsidRDefault="00CE4170" w:rsidP="00CE4170">
            <w:pPr>
              <w:spacing w:after="0" w:line="240" w:lineRule="auto"/>
              <w:jc w:val="right"/>
              <w:rPr>
                <w:rFonts w:ascii="Times New Roman" w:hAnsi="Times New Roman"/>
                <w:b/>
                <w:color w:val="000000"/>
                <w:sz w:val="16"/>
                <w:szCs w:val="16"/>
                <w:lang w:eastAsia="sk-SK"/>
              </w:rPr>
            </w:pPr>
            <w:r w:rsidRPr="00C420FA">
              <w:rPr>
                <w:rFonts w:ascii="Times New Roman" w:hAnsi="Times New Roman"/>
                <w:b/>
                <w:color w:val="000000"/>
                <w:sz w:val="16"/>
                <w:szCs w:val="16"/>
                <w:lang w:eastAsia="sk-SK"/>
              </w:rPr>
              <w:t>30 666</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Európsky stabilizačný mechanizmus (ESM)</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5 108 800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5 108 800</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5 108 800</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0</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Európsky nástroj finančnej stability (EFSF)</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2 178 243</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2 428 514</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2 440 759</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12 245</w:t>
            </w:r>
          </w:p>
        </w:tc>
      </w:tr>
      <w:tr w:rsidR="00CE4170" w:rsidRPr="00A56792" w:rsidTr="00CE4170">
        <w:trPr>
          <w:trHeight w:val="276"/>
        </w:trPr>
        <w:tc>
          <w:tcPr>
            <w:tcW w:w="4325" w:type="dxa"/>
            <w:noWrap/>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Európska investičná banka </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573 996</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573 996</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573 996</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0</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Medzinárodná banka pre obnovu a rozvoj </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438 673</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385 562</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403 847</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18 285</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Európska banka pre obnovu a rozvoj</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101 359</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101 359</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101 359</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0</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Rozvojová banka rady Európy</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16 854</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16 854</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16 854</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0</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left="497" w:hanging="497"/>
              <w:rPr>
                <w:rFonts w:ascii="Times New Roman" w:hAnsi="Times New Roman"/>
                <w:color w:val="000000"/>
                <w:sz w:val="16"/>
                <w:szCs w:val="16"/>
                <w:lang w:eastAsia="sk-SK"/>
              </w:rPr>
            </w:pP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Medzinárodná banka pre hospodársku   spoluprácu</w:t>
            </w:r>
          </w:p>
        </w:tc>
        <w:tc>
          <w:tcPr>
            <w:tcW w:w="1160" w:type="dxa"/>
            <w:noWrap/>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10 658</w:t>
            </w:r>
          </w:p>
        </w:tc>
        <w:tc>
          <w:tcPr>
            <w:tcW w:w="1160" w:type="dxa"/>
            <w:noWrap/>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10 658</w:t>
            </w:r>
          </w:p>
        </w:tc>
        <w:tc>
          <w:tcPr>
            <w:tcW w:w="1160" w:type="dxa"/>
            <w:noWrap/>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10 658</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0</w:t>
            </w:r>
          </w:p>
        </w:tc>
      </w:tr>
      <w:tr w:rsidR="00CE4170" w:rsidRPr="00A56792" w:rsidTr="00CE4170">
        <w:trPr>
          <w:trHeight w:val="276"/>
        </w:trPr>
        <w:tc>
          <w:tcPr>
            <w:tcW w:w="4325" w:type="dxa"/>
            <w:noWrap/>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Mnohostranná agentúra pre investičné záruky </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3 252</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2 857</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2 993</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136</w:t>
            </w:r>
          </w:p>
        </w:tc>
      </w:tr>
      <w:tr w:rsidR="00CE4170" w:rsidRPr="00A56792" w:rsidTr="00CE4170">
        <w:trPr>
          <w:trHeight w:val="276"/>
        </w:trPr>
        <w:tc>
          <w:tcPr>
            <w:tcW w:w="4325" w:type="dxa"/>
            <w:noWrap/>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Medzinárodná investičná banka </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41 319</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41 319</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41 319</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0</w:t>
            </w:r>
          </w:p>
        </w:tc>
      </w:tr>
      <w:tr w:rsidR="00CE4170" w:rsidRPr="00C420FA" w:rsidTr="00CE4170">
        <w:trPr>
          <w:trHeight w:val="276"/>
        </w:trPr>
        <w:tc>
          <w:tcPr>
            <w:tcW w:w="4325" w:type="dxa"/>
            <w:vAlign w:val="center"/>
            <w:hideMark/>
          </w:tcPr>
          <w:p w:rsidR="00CE4170" w:rsidRPr="00A56792" w:rsidRDefault="00CE4170" w:rsidP="00CE4170">
            <w:pPr>
              <w:spacing w:after="0" w:line="240" w:lineRule="auto"/>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Medzinárodné investičné arbitráže</w:t>
            </w:r>
          </w:p>
        </w:tc>
        <w:tc>
          <w:tcPr>
            <w:tcW w:w="1160" w:type="dxa"/>
            <w:noWrap/>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343 852</w:t>
            </w:r>
          </w:p>
        </w:tc>
        <w:tc>
          <w:tcPr>
            <w:tcW w:w="1160" w:type="dxa"/>
            <w:noWrap/>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471 182</w:t>
            </w:r>
          </w:p>
        </w:tc>
        <w:tc>
          <w:tcPr>
            <w:tcW w:w="1160" w:type="dxa"/>
            <w:noWrap/>
            <w:vAlign w:val="center"/>
          </w:tcPr>
          <w:p w:rsidR="00CE4170" w:rsidRPr="001E2D4D" w:rsidRDefault="00CE4170" w:rsidP="00CE4170">
            <w:pPr>
              <w:spacing w:after="0" w:line="240" w:lineRule="auto"/>
              <w:jc w:val="right"/>
              <w:rPr>
                <w:rFonts w:ascii="Times New Roman" w:hAnsi="Times New Roman"/>
                <w:b/>
                <w:bCs/>
                <w:color w:val="000000"/>
                <w:sz w:val="16"/>
                <w:szCs w:val="16"/>
                <w:lang w:eastAsia="sk-SK"/>
              </w:rPr>
            </w:pPr>
            <w:r w:rsidRPr="001E2D4D">
              <w:rPr>
                <w:rFonts w:ascii="Times New Roman" w:hAnsi="Times New Roman"/>
                <w:b/>
                <w:bCs/>
                <w:color w:val="000000"/>
                <w:sz w:val="16"/>
                <w:szCs w:val="16"/>
                <w:lang w:eastAsia="sk-SK"/>
              </w:rPr>
              <w:t>378 997</w:t>
            </w:r>
          </w:p>
        </w:tc>
        <w:tc>
          <w:tcPr>
            <w:tcW w:w="1220" w:type="dxa"/>
            <w:vAlign w:val="center"/>
          </w:tcPr>
          <w:p w:rsidR="00CE4170" w:rsidRPr="00C420FA" w:rsidRDefault="00CE4170" w:rsidP="00CE4170">
            <w:pPr>
              <w:spacing w:after="0" w:line="240" w:lineRule="auto"/>
              <w:jc w:val="right"/>
              <w:rPr>
                <w:rFonts w:ascii="Times New Roman" w:hAnsi="Times New Roman"/>
                <w:b/>
                <w:color w:val="000000"/>
                <w:sz w:val="16"/>
                <w:szCs w:val="16"/>
                <w:lang w:eastAsia="sk-SK"/>
              </w:rPr>
            </w:pPr>
            <w:r w:rsidRPr="00C420FA">
              <w:rPr>
                <w:rFonts w:ascii="Times New Roman" w:hAnsi="Times New Roman"/>
                <w:b/>
                <w:color w:val="000000"/>
                <w:sz w:val="16"/>
                <w:szCs w:val="16"/>
                <w:lang w:eastAsia="sk-SK"/>
              </w:rPr>
              <w:t>-92 185</w:t>
            </w:r>
          </w:p>
        </w:tc>
      </w:tr>
      <w:tr w:rsidR="00CE4170" w:rsidRPr="00C420FA"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Eurogas Inc. a Belmont Resources Inc.</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239 705</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239 700</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239 705</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5</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Zdravotná poisťovňa Union, a.s. </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28 187</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28 692</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28 692</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0</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Pr>
                <w:rFonts w:ascii="Times New Roman" w:hAnsi="Times New Roman"/>
                <w:color w:val="000000"/>
                <w:sz w:val="16"/>
                <w:szCs w:val="16"/>
                <w:lang w:eastAsia="sk-SK"/>
              </w:rPr>
              <w:t>Spó</w:t>
            </w:r>
            <w:r w:rsidRPr="00A56792">
              <w:rPr>
                <w:rFonts w:ascii="Times New Roman" w:hAnsi="Times New Roman"/>
                <w:color w:val="000000"/>
                <w:sz w:val="16"/>
                <w:szCs w:val="16"/>
                <w:lang w:eastAsia="sk-SK"/>
              </w:rPr>
              <w:t>ldzielnica Pracy Muszynianka</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75 960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202 790</w:t>
            </w:r>
          </w:p>
        </w:tc>
        <w:tc>
          <w:tcPr>
            <w:tcW w:w="1160" w:type="dxa"/>
            <w:vAlign w:val="center"/>
          </w:tcPr>
          <w:p w:rsidR="00CE4170" w:rsidRPr="001E2D4D" w:rsidRDefault="00CE4170" w:rsidP="00CE4170">
            <w:pPr>
              <w:spacing w:after="0" w:line="240" w:lineRule="auto"/>
              <w:jc w:val="right"/>
              <w:rPr>
                <w:rFonts w:ascii="Times New Roman" w:hAnsi="Times New Roman"/>
                <w:color w:val="000000"/>
                <w:sz w:val="16"/>
                <w:szCs w:val="16"/>
                <w:lang w:eastAsia="sk-SK"/>
              </w:rPr>
            </w:pPr>
            <w:r w:rsidRPr="001E2D4D">
              <w:rPr>
                <w:rFonts w:ascii="Times New Roman" w:hAnsi="Times New Roman"/>
                <w:color w:val="000000"/>
                <w:sz w:val="16"/>
                <w:szCs w:val="16"/>
                <w:lang w:eastAsia="sk-SK"/>
              </w:rPr>
              <w:t>110 600</w:t>
            </w:r>
          </w:p>
        </w:tc>
        <w:tc>
          <w:tcPr>
            <w:tcW w:w="1220" w:type="dxa"/>
            <w:vAlign w:val="center"/>
          </w:tcPr>
          <w:p w:rsidR="00CE4170" w:rsidRPr="00C420FA" w:rsidRDefault="00CE4170" w:rsidP="00CE4170">
            <w:pPr>
              <w:spacing w:after="0" w:line="240" w:lineRule="auto"/>
              <w:jc w:val="right"/>
              <w:rPr>
                <w:rFonts w:ascii="Times New Roman" w:hAnsi="Times New Roman"/>
                <w:color w:val="000000"/>
                <w:sz w:val="16"/>
                <w:szCs w:val="16"/>
                <w:lang w:eastAsia="sk-SK"/>
              </w:rPr>
            </w:pPr>
            <w:r w:rsidRPr="00C420FA">
              <w:rPr>
                <w:rFonts w:ascii="Times New Roman" w:hAnsi="Times New Roman"/>
                <w:color w:val="000000"/>
                <w:sz w:val="16"/>
                <w:szCs w:val="16"/>
                <w:lang w:eastAsia="sk-SK"/>
              </w:rPr>
              <w:t>-92 190</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Ostatné súdne spory</w:t>
            </w:r>
          </w:p>
        </w:tc>
        <w:tc>
          <w:tcPr>
            <w:tcW w:w="1160" w:type="dxa"/>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1 590 061</w:t>
            </w:r>
          </w:p>
        </w:tc>
        <w:tc>
          <w:tcPr>
            <w:tcW w:w="1160" w:type="dxa"/>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2 028 078</w:t>
            </w:r>
          </w:p>
        </w:tc>
        <w:tc>
          <w:tcPr>
            <w:tcW w:w="1160" w:type="dxa"/>
            <w:vAlign w:val="center"/>
          </w:tcPr>
          <w:p w:rsidR="00CE4170" w:rsidRPr="005A3D32" w:rsidRDefault="00CE4170" w:rsidP="00CE4170">
            <w:pPr>
              <w:spacing w:after="0" w:line="240" w:lineRule="auto"/>
              <w:jc w:val="right"/>
              <w:rPr>
                <w:rFonts w:ascii="Times New Roman" w:hAnsi="Times New Roman"/>
                <w:b/>
                <w:color w:val="000000"/>
                <w:sz w:val="16"/>
                <w:szCs w:val="16"/>
                <w:lang w:eastAsia="sk-SK"/>
              </w:rPr>
            </w:pPr>
            <w:r>
              <w:rPr>
                <w:rFonts w:ascii="Times New Roman" w:hAnsi="Times New Roman"/>
                <w:b/>
                <w:color w:val="000000"/>
                <w:sz w:val="16"/>
                <w:szCs w:val="16"/>
                <w:lang w:eastAsia="sk-SK"/>
              </w:rPr>
              <w:t>3 009 504</w:t>
            </w:r>
          </w:p>
        </w:tc>
        <w:tc>
          <w:tcPr>
            <w:tcW w:w="1220" w:type="dxa"/>
            <w:vAlign w:val="center"/>
          </w:tcPr>
          <w:p w:rsidR="00CE4170" w:rsidRPr="005A3D32" w:rsidRDefault="00CE4170" w:rsidP="00CE4170">
            <w:pPr>
              <w:spacing w:after="0" w:line="240" w:lineRule="auto"/>
              <w:jc w:val="right"/>
              <w:rPr>
                <w:rFonts w:ascii="Times New Roman" w:hAnsi="Times New Roman"/>
                <w:b/>
                <w:color w:val="000000"/>
                <w:sz w:val="16"/>
                <w:szCs w:val="16"/>
                <w:lang w:eastAsia="sk-SK"/>
              </w:rPr>
            </w:pPr>
            <w:r w:rsidRPr="005A3D32">
              <w:rPr>
                <w:rFonts w:ascii="Times New Roman" w:hAnsi="Times New Roman"/>
                <w:b/>
                <w:color w:val="000000"/>
                <w:sz w:val="16"/>
                <w:szCs w:val="16"/>
                <w:lang w:eastAsia="sk-SK"/>
              </w:rPr>
              <w:t>963 673</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Ministerstvo financií SR</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554 530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575 360</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1 568 121</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992 761</w:t>
            </w:r>
          </w:p>
        </w:tc>
      </w:tr>
      <w:tr w:rsidR="00CE4170" w:rsidRPr="00A56792" w:rsidTr="00CE4170">
        <w:trPr>
          <w:trHeight w:val="276"/>
        </w:trPr>
        <w:tc>
          <w:tcPr>
            <w:tcW w:w="4325" w:type="dxa"/>
            <w:vAlign w:val="center"/>
            <w:hideMark/>
          </w:tcPr>
          <w:p w:rsidR="00CE4170" w:rsidRPr="00A56792" w:rsidRDefault="00815D4F" w:rsidP="00CE4170">
            <w:pPr>
              <w:spacing w:after="0" w:line="240" w:lineRule="auto"/>
              <w:ind w:firstLineChars="300" w:firstLine="480"/>
              <w:rPr>
                <w:rFonts w:ascii="Times New Roman" w:hAnsi="Times New Roman"/>
                <w:color w:val="000000"/>
                <w:sz w:val="16"/>
                <w:szCs w:val="16"/>
                <w:lang w:eastAsia="sk-SK"/>
              </w:rPr>
            </w:pPr>
            <w:r>
              <w:rPr>
                <w:rFonts w:ascii="Times New Roman" w:hAnsi="Times New Roman"/>
                <w:color w:val="000000"/>
                <w:sz w:val="16"/>
                <w:szCs w:val="16"/>
                <w:lang w:eastAsia="sk-SK"/>
              </w:rPr>
              <w:t>Kancelária N</w:t>
            </w:r>
            <w:bookmarkStart w:id="1" w:name="_GoBack"/>
            <w:bookmarkEnd w:id="1"/>
            <w:r w:rsidR="00CE4170" w:rsidRPr="00A56792">
              <w:rPr>
                <w:rFonts w:ascii="Times New Roman" w:hAnsi="Times New Roman"/>
                <w:color w:val="000000"/>
                <w:sz w:val="16"/>
                <w:szCs w:val="16"/>
                <w:lang w:eastAsia="sk-SK"/>
              </w:rPr>
              <w:t>árodnej rady SR</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596 148</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594 601</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582 573</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-12 028</w:t>
            </w:r>
          </w:p>
        </w:tc>
      </w:tr>
      <w:tr w:rsidR="00CE4170" w:rsidRPr="00A56792" w:rsidTr="00CE4170">
        <w:trPr>
          <w:trHeight w:val="276"/>
        </w:trPr>
        <w:tc>
          <w:tcPr>
            <w:tcW w:w="4325" w:type="dxa"/>
            <w:vAlign w:val="center"/>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Ministerstvo práce, soc. vecí a rodiny SR</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114 896</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473 699</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453 228</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-20 471</w:t>
            </w:r>
          </w:p>
        </w:tc>
      </w:tr>
      <w:tr w:rsidR="00CE4170" w:rsidRPr="00A56792" w:rsidTr="00CE4170">
        <w:trPr>
          <w:trHeight w:val="276"/>
        </w:trPr>
        <w:tc>
          <w:tcPr>
            <w:tcW w:w="4325" w:type="dxa"/>
            <w:vAlign w:val="center"/>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Slovenský pozemkový fond</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115 686</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101 900</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101 900</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0</w:t>
            </w:r>
          </w:p>
        </w:tc>
      </w:tr>
      <w:tr w:rsidR="00CE4170" w:rsidRPr="00A56792" w:rsidTr="00CE4170">
        <w:trPr>
          <w:trHeight w:val="276"/>
        </w:trPr>
        <w:tc>
          <w:tcPr>
            <w:tcW w:w="4325" w:type="dxa"/>
            <w:vAlign w:val="center"/>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Ministerstvo vnútra SR</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79 270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82 055</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89 463</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7 408</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Ministerstvo hospodárstva SR</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71 964</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84 858</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12 894</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Vodohospodárska výstavba, š.</w:t>
            </w: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p.</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77 780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76 748</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77 609</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-16 892</w:t>
            </w:r>
          </w:p>
        </w:tc>
      </w:tr>
      <w:tr w:rsidR="00CE4170" w:rsidRPr="00A56792" w:rsidTr="00CE4170">
        <w:trPr>
          <w:trHeight w:val="276"/>
        </w:trPr>
        <w:tc>
          <w:tcPr>
            <w:tcW w:w="4325" w:type="dxa"/>
            <w:vAlign w:val="center"/>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Železničná spoločnosť Slovensko, a.</w:t>
            </w: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s.</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51 751</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51 751</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51 752</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 xml:space="preserve">Iné (podniky štátnej správy, MF SR) </w:t>
            </w:r>
          </w:p>
        </w:tc>
        <w:tc>
          <w:tcPr>
            <w:tcW w:w="1160" w:type="dxa"/>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2 355 099</w:t>
            </w:r>
          </w:p>
        </w:tc>
        <w:tc>
          <w:tcPr>
            <w:tcW w:w="1160" w:type="dxa"/>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2 426 423</w:t>
            </w:r>
          </w:p>
        </w:tc>
        <w:tc>
          <w:tcPr>
            <w:tcW w:w="1160" w:type="dxa"/>
            <w:vAlign w:val="center"/>
          </w:tcPr>
          <w:p w:rsidR="00CE4170" w:rsidRPr="005A3D32" w:rsidRDefault="00CE4170" w:rsidP="00CE4170">
            <w:pPr>
              <w:spacing w:after="0" w:line="240" w:lineRule="auto"/>
              <w:jc w:val="right"/>
              <w:rPr>
                <w:rFonts w:ascii="Times New Roman" w:hAnsi="Times New Roman"/>
                <w:b/>
                <w:color w:val="000000"/>
                <w:sz w:val="16"/>
                <w:szCs w:val="16"/>
                <w:lang w:eastAsia="sk-SK"/>
              </w:rPr>
            </w:pPr>
            <w:r>
              <w:rPr>
                <w:rFonts w:ascii="Times New Roman" w:hAnsi="Times New Roman"/>
                <w:b/>
                <w:color w:val="000000"/>
                <w:sz w:val="16"/>
                <w:szCs w:val="16"/>
                <w:lang w:eastAsia="sk-SK"/>
              </w:rPr>
              <w:t>4 661 417</w:t>
            </w:r>
          </w:p>
        </w:tc>
        <w:tc>
          <w:tcPr>
            <w:tcW w:w="1220" w:type="dxa"/>
            <w:vAlign w:val="center"/>
          </w:tcPr>
          <w:p w:rsidR="00CE4170" w:rsidRPr="005A3D32" w:rsidRDefault="00CE4170" w:rsidP="00CE4170">
            <w:pPr>
              <w:spacing w:after="0" w:line="240" w:lineRule="auto"/>
              <w:jc w:val="right"/>
              <w:rPr>
                <w:rFonts w:ascii="Times New Roman" w:hAnsi="Times New Roman"/>
                <w:b/>
                <w:color w:val="000000"/>
                <w:sz w:val="16"/>
                <w:szCs w:val="16"/>
                <w:lang w:eastAsia="sk-SK"/>
              </w:rPr>
            </w:pPr>
            <w:r>
              <w:rPr>
                <w:rFonts w:ascii="Times New Roman" w:hAnsi="Times New Roman"/>
                <w:b/>
                <w:color w:val="000000"/>
                <w:sz w:val="16"/>
                <w:szCs w:val="16"/>
                <w:lang w:eastAsia="sk-SK"/>
              </w:rPr>
              <w:t>2 235 004</w:t>
            </w:r>
          </w:p>
        </w:tc>
      </w:tr>
      <w:tr w:rsidR="00CE4170" w:rsidRPr="00A56792" w:rsidTr="00CE4170">
        <w:trPr>
          <w:trHeight w:val="276"/>
        </w:trPr>
        <w:tc>
          <w:tcPr>
            <w:tcW w:w="4325" w:type="dxa"/>
            <w:vAlign w:val="center"/>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Pr>
                <w:rFonts w:ascii="Times New Roman" w:hAnsi="Times New Roman"/>
                <w:color w:val="000000"/>
                <w:sz w:val="16"/>
                <w:szCs w:val="16"/>
                <w:lang w:eastAsia="sk-SK"/>
              </w:rPr>
              <w:t>Slovenské elektrárne, a. s.</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2 758 668</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2 758 668</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MH Manažment, a.</w:t>
            </w:r>
            <w:r>
              <w:rPr>
                <w:rFonts w:ascii="Times New Roman" w:hAnsi="Times New Roman"/>
                <w:color w:val="000000"/>
                <w:sz w:val="16"/>
                <w:szCs w:val="16"/>
                <w:lang w:eastAsia="sk-SK"/>
              </w:rPr>
              <w:t xml:space="preserve"> s. - P</w:t>
            </w:r>
            <w:r w:rsidRPr="00A56792">
              <w:rPr>
                <w:rFonts w:ascii="Times New Roman" w:hAnsi="Times New Roman"/>
                <w:color w:val="000000"/>
                <w:sz w:val="16"/>
                <w:szCs w:val="16"/>
                <w:lang w:eastAsia="sk-SK"/>
              </w:rPr>
              <w:t>rivatizačné zmluvy</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976 822</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976 822</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976 822</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0</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Slovenský plynárenský priemysel, a.</w:t>
            </w: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s.</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242 820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232 622</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544 250</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311 628</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Exportno-importná banka Slovenska</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108 889</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196 143</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131 790</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-64 353</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Slovenská záručná a rozvojová banka, a.</w:t>
            </w: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s.</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125 405</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140 697</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110 525</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-30 172</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Slovenská elektrizačná a prenos. sústava, a.</w:t>
            </w: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s.</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41 600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214 174</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50 193</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-163 981</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Lesy SR, š.</w:t>
            </w: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p.</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47 596</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58 590</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49 227</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-9 363</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MH Invest, s.</w:t>
            </w: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r.</w:t>
            </w: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o</w:t>
            </w:r>
            <w:r>
              <w:rPr>
                <w:rFonts w:ascii="Times New Roman" w:hAnsi="Times New Roman"/>
                <w:color w:val="000000"/>
                <w:sz w:val="16"/>
                <w:szCs w:val="16"/>
                <w:lang w:eastAsia="sk-SK"/>
              </w:rPr>
              <w:t>.</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290 639</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544</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18 458</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17 914</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Záruky MF SR</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13 328</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17 738</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12 184</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-5 554</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Národná diaľničná spoločnosť, a.</w:t>
            </w:r>
            <w:r>
              <w:rPr>
                <w:rFonts w:ascii="Times New Roman" w:hAnsi="Times New Roman"/>
                <w:color w:val="000000"/>
                <w:sz w:val="16"/>
                <w:szCs w:val="16"/>
                <w:lang w:eastAsia="sk-SK"/>
              </w:rPr>
              <w:t xml:space="preserve"> </w:t>
            </w:r>
            <w:r w:rsidRPr="00A56792">
              <w:rPr>
                <w:rFonts w:ascii="Times New Roman" w:hAnsi="Times New Roman"/>
                <w:color w:val="000000"/>
                <w:sz w:val="16"/>
                <w:szCs w:val="16"/>
                <w:lang w:eastAsia="sk-SK"/>
              </w:rPr>
              <w:t>s.</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508 000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366 083</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9 300</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-356 783</w:t>
            </w:r>
          </w:p>
        </w:tc>
      </w:tr>
      <w:tr w:rsidR="00CE4170" w:rsidRPr="00A56792" w:rsidTr="00CE4170">
        <w:trPr>
          <w:trHeight w:val="276"/>
        </w:trPr>
        <w:tc>
          <w:tcPr>
            <w:tcW w:w="4325" w:type="dxa"/>
            <w:vAlign w:val="center"/>
            <w:hideMark/>
          </w:tcPr>
          <w:p w:rsidR="00CE4170" w:rsidRPr="00A56792" w:rsidRDefault="00CE4170" w:rsidP="00CE4170">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Slovenská správa ciest</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c>
          <w:tcPr>
            <w:tcW w:w="1160" w:type="dxa"/>
            <w:vAlign w:val="center"/>
          </w:tcPr>
          <w:p w:rsidR="00CE4170" w:rsidRPr="00A56792" w:rsidRDefault="00CE4170" w:rsidP="00CE4170">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223 000</w:t>
            </w:r>
          </w:p>
        </w:tc>
        <w:tc>
          <w:tcPr>
            <w:tcW w:w="116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0</w:t>
            </w:r>
          </w:p>
        </w:tc>
        <w:tc>
          <w:tcPr>
            <w:tcW w:w="1220" w:type="dxa"/>
            <w:vAlign w:val="center"/>
          </w:tcPr>
          <w:p w:rsidR="00CE4170" w:rsidRPr="005A3D32" w:rsidRDefault="00CE4170" w:rsidP="00CE4170">
            <w:pPr>
              <w:spacing w:after="0" w:line="240" w:lineRule="auto"/>
              <w:jc w:val="right"/>
              <w:rPr>
                <w:rFonts w:ascii="Times New Roman" w:hAnsi="Times New Roman"/>
                <w:color w:val="000000"/>
                <w:sz w:val="16"/>
                <w:szCs w:val="16"/>
                <w:lang w:eastAsia="sk-SK"/>
              </w:rPr>
            </w:pPr>
            <w:r w:rsidRPr="005A3D32">
              <w:rPr>
                <w:rFonts w:ascii="Times New Roman" w:hAnsi="Times New Roman"/>
                <w:color w:val="000000"/>
                <w:sz w:val="16"/>
                <w:szCs w:val="16"/>
                <w:lang w:eastAsia="sk-SK"/>
              </w:rPr>
              <w:t>-223 000</w:t>
            </w:r>
          </w:p>
        </w:tc>
      </w:tr>
      <w:tr w:rsidR="00CE4170" w:rsidRPr="00A56792" w:rsidTr="00CE4170">
        <w:trPr>
          <w:trHeight w:val="276"/>
        </w:trPr>
        <w:tc>
          <w:tcPr>
            <w:tcW w:w="4325" w:type="dxa"/>
            <w:shd w:val="clear" w:color="auto" w:fill="BFBFBF" w:themeFill="background1" w:themeFillShade="BF"/>
            <w:noWrap/>
            <w:vAlign w:val="center"/>
            <w:hideMark/>
          </w:tcPr>
          <w:p w:rsidR="00CE4170" w:rsidRPr="00A56792" w:rsidRDefault="00CE4170" w:rsidP="00CE4170">
            <w:pPr>
              <w:spacing w:after="0" w:line="240" w:lineRule="auto"/>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 xml:space="preserve">Spolu  </w:t>
            </w:r>
          </w:p>
        </w:tc>
        <w:tc>
          <w:tcPr>
            <w:tcW w:w="1160" w:type="dxa"/>
            <w:shd w:val="clear" w:color="auto" w:fill="BFBFBF" w:themeFill="background1" w:themeFillShade="BF"/>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12 762 166</w:t>
            </w:r>
          </w:p>
        </w:tc>
        <w:tc>
          <w:tcPr>
            <w:tcW w:w="1160" w:type="dxa"/>
            <w:shd w:val="clear" w:color="auto" w:fill="BFBFBF" w:themeFill="background1" w:themeFillShade="BF"/>
            <w:vAlign w:val="center"/>
          </w:tcPr>
          <w:p w:rsidR="00CE4170" w:rsidRPr="00A56792" w:rsidRDefault="00CE4170" w:rsidP="00CE4170">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13 595 592</w:t>
            </w:r>
          </w:p>
        </w:tc>
        <w:tc>
          <w:tcPr>
            <w:tcW w:w="1160" w:type="dxa"/>
            <w:shd w:val="clear" w:color="auto" w:fill="BFBFBF" w:themeFill="background1" w:themeFillShade="BF"/>
            <w:vAlign w:val="center"/>
          </w:tcPr>
          <w:p w:rsidR="00CE4170" w:rsidRPr="005A3D32" w:rsidRDefault="00CE4170" w:rsidP="00CE4170">
            <w:pPr>
              <w:spacing w:after="0" w:line="240" w:lineRule="auto"/>
              <w:jc w:val="right"/>
              <w:rPr>
                <w:rFonts w:ascii="Times New Roman" w:hAnsi="Times New Roman"/>
                <w:b/>
                <w:color w:val="000000"/>
                <w:sz w:val="16"/>
                <w:szCs w:val="16"/>
                <w:lang w:eastAsia="sk-SK"/>
              </w:rPr>
            </w:pPr>
            <w:r>
              <w:rPr>
                <w:rFonts w:ascii="Times New Roman" w:hAnsi="Times New Roman"/>
                <w:b/>
                <w:color w:val="000000"/>
                <w:sz w:val="16"/>
                <w:szCs w:val="16"/>
                <w:lang w:eastAsia="sk-SK"/>
              </w:rPr>
              <w:t>16 750 503</w:t>
            </w:r>
          </w:p>
        </w:tc>
        <w:tc>
          <w:tcPr>
            <w:tcW w:w="1220" w:type="dxa"/>
            <w:shd w:val="clear" w:color="auto" w:fill="BFBFBF" w:themeFill="background1" w:themeFillShade="BF"/>
            <w:vAlign w:val="center"/>
          </w:tcPr>
          <w:p w:rsidR="00CE4170" w:rsidRPr="005A3D32" w:rsidRDefault="00CE4170" w:rsidP="00CE4170">
            <w:pPr>
              <w:spacing w:after="0" w:line="240" w:lineRule="auto"/>
              <w:jc w:val="right"/>
              <w:rPr>
                <w:rFonts w:ascii="Times New Roman" w:hAnsi="Times New Roman"/>
                <w:b/>
                <w:color w:val="000000"/>
                <w:sz w:val="16"/>
                <w:szCs w:val="16"/>
                <w:lang w:eastAsia="sk-SK"/>
              </w:rPr>
            </w:pPr>
            <w:r>
              <w:rPr>
                <w:rFonts w:ascii="Times New Roman" w:hAnsi="Times New Roman"/>
                <w:b/>
                <w:color w:val="000000"/>
                <w:sz w:val="16"/>
                <w:szCs w:val="16"/>
                <w:lang w:eastAsia="sk-SK"/>
              </w:rPr>
              <w:t>3 730 271</w:t>
            </w:r>
          </w:p>
        </w:tc>
      </w:tr>
    </w:tbl>
    <w:p w:rsidR="000E1727" w:rsidRDefault="000E1727" w:rsidP="00CE4170">
      <w:pPr>
        <w:spacing w:after="0"/>
        <w:jc w:val="both"/>
        <w:rPr>
          <w:rFonts w:ascii="Times New Roman" w:hAnsi="Times New Roman"/>
          <w:sz w:val="16"/>
          <w:szCs w:val="20"/>
        </w:rPr>
      </w:pPr>
      <w:r w:rsidRPr="00512914">
        <w:rPr>
          <w:rFonts w:ascii="Times New Roman" w:hAnsi="Times New Roman"/>
          <w:sz w:val="16"/>
          <w:szCs w:val="20"/>
        </w:rPr>
        <w:t>Tab. 2</w:t>
      </w:r>
    </w:p>
    <w:p w:rsidR="000E1727" w:rsidRPr="00512914" w:rsidRDefault="00923FA0" w:rsidP="000E1727">
      <w:pPr>
        <w:spacing w:after="0"/>
        <w:ind w:left="709" w:hanging="709"/>
        <w:jc w:val="both"/>
        <w:rPr>
          <w:rFonts w:ascii="Times New Roman" w:hAnsi="Times New Roman"/>
          <w:sz w:val="16"/>
          <w:szCs w:val="20"/>
        </w:rPr>
      </w:pPr>
      <w:r>
        <w:rPr>
          <w:rFonts w:ascii="Times New Roman" w:hAnsi="Times New Roman"/>
          <w:sz w:val="16"/>
          <w:szCs w:val="20"/>
        </w:rPr>
        <w:t xml:space="preserve">  </w:t>
      </w:r>
      <w:r w:rsidR="000E1727" w:rsidRPr="00512914">
        <w:rPr>
          <w:rFonts w:ascii="Times New Roman" w:hAnsi="Times New Roman"/>
          <w:sz w:val="16"/>
          <w:szCs w:val="20"/>
        </w:rPr>
        <w:t xml:space="preserve">Zdroj: </w:t>
      </w:r>
      <w:r w:rsidR="000E1727">
        <w:rPr>
          <w:rFonts w:ascii="Times New Roman" w:hAnsi="Times New Roman"/>
          <w:sz w:val="16"/>
          <w:szCs w:val="20"/>
        </w:rPr>
        <w:t>Účtovné závierky subjektov k 31.</w:t>
      </w:r>
      <w:r w:rsidR="00E30484">
        <w:rPr>
          <w:rFonts w:ascii="Times New Roman" w:hAnsi="Times New Roman"/>
          <w:sz w:val="16"/>
          <w:szCs w:val="20"/>
        </w:rPr>
        <w:t xml:space="preserve"> </w:t>
      </w:r>
      <w:r w:rsidR="000E1727">
        <w:rPr>
          <w:rFonts w:ascii="Times New Roman" w:hAnsi="Times New Roman"/>
          <w:sz w:val="16"/>
          <w:szCs w:val="20"/>
        </w:rPr>
        <w:t>12.</w:t>
      </w:r>
      <w:r w:rsidR="00E30484">
        <w:rPr>
          <w:rFonts w:ascii="Times New Roman" w:hAnsi="Times New Roman"/>
          <w:sz w:val="16"/>
          <w:szCs w:val="20"/>
        </w:rPr>
        <w:t xml:space="preserve"> </w:t>
      </w:r>
      <w:r w:rsidR="000E1727">
        <w:rPr>
          <w:rFonts w:ascii="Times New Roman" w:hAnsi="Times New Roman"/>
          <w:sz w:val="16"/>
          <w:szCs w:val="20"/>
        </w:rPr>
        <w:t xml:space="preserve">2018 zverejnené v registri </w:t>
      </w:r>
      <w:hyperlink r:id="rId8" w:history="1">
        <w:r w:rsidR="000E1727" w:rsidRPr="00BA4615">
          <w:rPr>
            <w:rStyle w:val="Hypertextovprepojenie"/>
            <w:rFonts w:ascii="Times New Roman" w:hAnsi="Times New Roman"/>
            <w:color w:val="365F91" w:themeColor="accent1" w:themeShade="BF"/>
            <w:sz w:val="16"/>
            <w:szCs w:val="20"/>
          </w:rPr>
          <w:t>www.registeruz.sk</w:t>
        </w:r>
      </w:hyperlink>
      <w:r w:rsidR="000E1727">
        <w:rPr>
          <w:rFonts w:ascii="Times New Roman" w:hAnsi="Times New Roman"/>
          <w:sz w:val="16"/>
          <w:szCs w:val="20"/>
        </w:rPr>
        <w:t xml:space="preserve"> a databáza MF SR</w:t>
      </w:r>
    </w:p>
    <w:p w:rsidR="000E1727" w:rsidRPr="0024687B" w:rsidRDefault="000E1727" w:rsidP="000E1727">
      <w:pPr>
        <w:spacing w:after="0" w:line="240" w:lineRule="auto"/>
        <w:rPr>
          <w:rFonts w:ascii="Times New Roman" w:hAnsi="Times New Roman"/>
          <w:sz w:val="24"/>
          <w:szCs w:val="24"/>
        </w:rPr>
      </w:pPr>
    </w:p>
    <w:p w:rsidR="000E1727" w:rsidRPr="000153B5" w:rsidRDefault="000E1727" w:rsidP="00CE4170">
      <w:pPr>
        <w:spacing w:after="0" w:line="240" w:lineRule="auto"/>
        <w:ind w:firstLine="708"/>
        <w:jc w:val="both"/>
        <w:rPr>
          <w:rFonts w:ascii="Times New Roman" w:hAnsi="Times New Roman"/>
          <w:sz w:val="24"/>
          <w:szCs w:val="24"/>
        </w:rPr>
      </w:pPr>
      <w:r w:rsidRPr="00CE177B">
        <w:rPr>
          <w:rFonts w:ascii="Times New Roman" w:hAnsi="Times New Roman"/>
          <w:sz w:val="24"/>
          <w:szCs w:val="24"/>
          <w:u w:val="single"/>
        </w:rPr>
        <w:t>Arbitrážne konania</w:t>
      </w:r>
      <w:r w:rsidRPr="004C6AA0">
        <w:rPr>
          <w:rFonts w:ascii="Times New Roman" w:hAnsi="Times New Roman"/>
          <w:sz w:val="24"/>
          <w:szCs w:val="24"/>
        </w:rPr>
        <w:t xml:space="preserve"> Ministerstva financií SR, ktoré neboli ukončené v roku 2018 a pokračujú</w:t>
      </w:r>
      <w:r w:rsidRPr="000153B5">
        <w:rPr>
          <w:rFonts w:ascii="Times New Roman" w:hAnsi="Times New Roman"/>
          <w:sz w:val="24"/>
          <w:szCs w:val="24"/>
        </w:rPr>
        <w:t xml:space="preserve"> aj v roku 201</w:t>
      </w:r>
      <w:r>
        <w:rPr>
          <w:rFonts w:ascii="Times New Roman" w:hAnsi="Times New Roman"/>
          <w:sz w:val="24"/>
          <w:szCs w:val="24"/>
        </w:rPr>
        <w:t>9</w:t>
      </w:r>
      <w:r w:rsidRPr="000153B5">
        <w:rPr>
          <w:rFonts w:ascii="Times New Roman" w:hAnsi="Times New Roman"/>
          <w:sz w:val="24"/>
          <w:szCs w:val="24"/>
        </w:rPr>
        <w:t>:</w:t>
      </w:r>
    </w:p>
    <w:p w:rsidR="000E1727" w:rsidRPr="000153B5" w:rsidRDefault="000E1727" w:rsidP="00CE4170">
      <w:pPr>
        <w:pStyle w:val="Odsekzoznamu"/>
        <w:numPr>
          <w:ilvl w:val="0"/>
          <w:numId w:val="7"/>
        </w:numPr>
        <w:spacing w:before="120"/>
        <w:ind w:left="851" w:hanging="142"/>
        <w:contextualSpacing/>
        <w:jc w:val="both"/>
      </w:pPr>
      <w:r w:rsidRPr="000153B5">
        <w:t xml:space="preserve">Arbitráž s EuroGas Inc. a Belmont Resources Inc. z dôvodu údajného protiprávneho odobratia povolenia na ťažbu mastenca. Arbitráž je vedená podľa bilaterálnej investičnej dohody medzi SR a USA a bilaterálnej investičnej dohody medzi SR a Kanadou. V roku 2017 bol vydaný arbitrážny rozsudok, ktorým bola zamietnutá </w:t>
      </w:r>
      <w:r w:rsidRPr="000153B5">
        <w:lastRenderedPageBreak/>
        <w:t xml:space="preserve">žaloba v plnom rozsahu. Žalobcovia však podali návrh na zrušenie tohto rozsudku, o ktorom sa </w:t>
      </w:r>
      <w:r>
        <w:t>malo</w:t>
      </w:r>
      <w:r w:rsidRPr="000153B5">
        <w:t xml:space="preserve"> rozhodovať v osobitnom zrušovacom konaní.</w:t>
      </w:r>
      <w:r>
        <w:t xml:space="preserve"> Z dôvodu, že žalobca neuhradil ani v predĺženej lehote do decembra 2018 požadovaný preddavok na trovy konania</w:t>
      </w:r>
      <w:r w:rsidR="0015217A">
        <w:t xml:space="preserve">, </w:t>
      </w:r>
      <w:r>
        <w:t>očakáva</w:t>
      </w:r>
      <w:r w:rsidR="0015217A">
        <w:t xml:space="preserve"> sa</w:t>
      </w:r>
      <w:r>
        <w:t>, že dôjde k zastaveniu zrušovacieho konania.</w:t>
      </w:r>
    </w:p>
    <w:p w:rsidR="000E1727" w:rsidRPr="000153B5" w:rsidRDefault="000E1727" w:rsidP="00CE4170">
      <w:pPr>
        <w:pStyle w:val="Odsekzoznamu"/>
        <w:spacing w:before="120"/>
        <w:ind w:left="851" w:hanging="142"/>
        <w:contextualSpacing/>
        <w:jc w:val="both"/>
      </w:pPr>
    </w:p>
    <w:p w:rsidR="000E1727" w:rsidRPr="004C6AA0" w:rsidRDefault="000E1727" w:rsidP="00CE4170">
      <w:pPr>
        <w:pStyle w:val="Odsekzoznamu"/>
        <w:numPr>
          <w:ilvl w:val="0"/>
          <w:numId w:val="9"/>
        </w:numPr>
        <w:spacing w:after="120"/>
        <w:ind w:left="851" w:hanging="142"/>
        <w:contextualSpacing/>
        <w:jc w:val="both"/>
        <w:rPr>
          <w:rFonts w:ascii="Calibri" w:hAnsi="Calibri"/>
          <w:sz w:val="20"/>
          <w:szCs w:val="20"/>
        </w:rPr>
      </w:pPr>
      <w:r w:rsidRPr="000153B5">
        <w:t>Arbitráž so spoločnosťou Achmea B.V. z dôvodu zákazu zisku zdravotných poisťovní v roku 2007. V tejto arbitráži, vedenej podľa bilaterálnej investičnej dohody medzi SR a Holandským kráľovstvom, bol v decembri 2012 vydaný rozsudok, ktorým arbitrážny tribunál nariadil SR zaplatiť žalobcovi  odškodnenie vo výške cca 25 200 tis. eur plus úroky vo výške 2 900 tis. eur. Konanie o zrušení tohto rozsudku ako aj jurisdikčného rozhodnutia v tomto spore na Nemeckom spolkovom súde, pred ktorým SR napadla tieto rozhodnutia, je v súčasnosti prerušené do rozhodnutia Súdneho dvora EÚ o pred</w:t>
      </w:r>
      <w:r w:rsidRPr="004C6AA0">
        <w:t>bežnej otázke. Súdny dvor EÚ rozhodol dňa 6.</w:t>
      </w:r>
      <w:r w:rsidR="00B258ED">
        <w:t xml:space="preserve"> </w:t>
      </w:r>
      <w:r w:rsidRPr="004C6AA0">
        <w:t>3.</w:t>
      </w:r>
      <w:r w:rsidR="00B258ED">
        <w:t xml:space="preserve"> </w:t>
      </w:r>
      <w:r w:rsidRPr="004C6AA0">
        <w:t>2018 o predbežnej otázke vo veci neaplikovateľnosti arbitrážnej doložky v bilaterálnej investičnej zmluve medzi SR a Holandskom. Konanie o zrušení tohto rozsudku ako aj jurisdikčného rozhodnutia v tomto spore bolo právoplatne ukončené rozhodnutím Najvyšši</w:t>
      </w:r>
      <w:r w:rsidR="00B258ED">
        <w:t>eho spolkového súdu v Nemecku dň</w:t>
      </w:r>
      <w:r w:rsidRPr="004C6AA0">
        <w:t>a 31.</w:t>
      </w:r>
      <w:r w:rsidR="00B258ED">
        <w:t xml:space="preserve"> </w:t>
      </w:r>
      <w:r w:rsidRPr="004C6AA0">
        <w:t>10.</w:t>
      </w:r>
      <w:r w:rsidR="00B258ED">
        <w:t xml:space="preserve"> </w:t>
      </w:r>
      <w:r w:rsidRPr="004C6AA0">
        <w:t>2018, čím bol arbitrážny rozsudok ako taký zrušený.</w:t>
      </w:r>
    </w:p>
    <w:p w:rsidR="000E1727" w:rsidRPr="004C6AA0" w:rsidRDefault="000E1727" w:rsidP="00CE4170">
      <w:pPr>
        <w:pStyle w:val="Odsekzoznamu"/>
        <w:spacing w:after="120"/>
        <w:ind w:left="851" w:hanging="142"/>
        <w:contextualSpacing/>
        <w:jc w:val="both"/>
        <w:rPr>
          <w:rFonts w:ascii="Calibri" w:hAnsi="Calibri"/>
          <w:sz w:val="20"/>
          <w:szCs w:val="20"/>
        </w:rPr>
      </w:pPr>
    </w:p>
    <w:p w:rsidR="000E1727" w:rsidRPr="004C6AA0" w:rsidRDefault="000E1727" w:rsidP="00CE4170">
      <w:pPr>
        <w:pStyle w:val="Odsekzoznamu"/>
        <w:numPr>
          <w:ilvl w:val="0"/>
          <w:numId w:val="9"/>
        </w:numPr>
        <w:spacing w:after="120"/>
        <w:ind w:left="851" w:hanging="142"/>
        <w:contextualSpacing/>
        <w:jc w:val="both"/>
        <w:rPr>
          <w:rFonts w:ascii="Calibri" w:hAnsi="Calibri"/>
          <w:sz w:val="20"/>
          <w:szCs w:val="20"/>
        </w:rPr>
      </w:pPr>
      <w:r w:rsidRPr="004C6AA0">
        <w:t>Arbitráž so spoločnosťou Spóldzielnia Pracy Muszynianka z dôvodu ústavného zákazu vývozu vody z územia SR. Poľská spoločnosť v auguste 2016 iniciovala proti SR medzinárodnú investičnú arbitráž z údajného porušenia bilaterálnej investičnej dohody medzi Poľskom a SR, čím mala byť tejto spoločnosti spôsobená škoda. V roku 2017 na základe expertného posudku, ktorý žalobca predložil pri podaní žaloby pred arbitrážnym tribunálom, došlo k zvýšeniu požadovanej čiastky zo 75 900 tis. eur na čiastku 202 790 tis. eur. Počas roka 2018 boli zo strany Ministerstva financií SR predložené podania v rámci obhajoby, potenciálna škoda spoločnosti bola viackrát znížená až na 110 600 tis. eur zo strany samotnej spoločnosti. Vydanie konečného rozhodnutia arbitrážnym tribunálom sa očakáva najskôr koncom roka 2019.</w:t>
      </w:r>
      <w:r w:rsidRPr="004C6AA0">
        <w:rPr>
          <w:rFonts w:ascii="Calibri" w:hAnsi="Calibri"/>
          <w:sz w:val="20"/>
          <w:szCs w:val="20"/>
        </w:rPr>
        <w:t xml:space="preserve"> </w:t>
      </w:r>
    </w:p>
    <w:p w:rsidR="000E1727" w:rsidRPr="004C6AA0" w:rsidRDefault="000E1727" w:rsidP="000E1727">
      <w:pPr>
        <w:pStyle w:val="Odsekzoznamu"/>
        <w:spacing w:after="120"/>
        <w:ind w:left="0"/>
        <w:contextualSpacing/>
        <w:jc w:val="both"/>
        <w:rPr>
          <w:rFonts w:ascii="Calibri" w:hAnsi="Calibri"/>
          <w:sz w:val="20"/>
          <w:szCs w:val="20"/>
        </w:rPr>
      </w:pPr>
    </w:p>
    <w:p w:rsidR="000E1727" w:rsidRPr="004C6AA0" w:rsidRDefault="000E1727" w:rsidP="00CE4170">
      <w:pPr>
        <w:spacing w:after="0" w:line="240" w:lineRule="auto"/>
        <w:ind w:firstLine="708"/>
        <w:jc w:val="both"/>
        <w:rPr>
          <w:rFonts w:ascii="Times New Roman" w:hAnsi="Times New Roman"/>
          <w:bCs/>
          <w:sz w:val="24"/>
          <w:szCs w:val="24"/>
        </w:rPr>
      </w:pPr>
      <w:r w:rsidRPr="004C6AA0">
        <w:rPr>
          <w:rFonts w:ascii="Times New Roman" w:hAnsi="Times New Roman"/>
          <w:bCs/>
          <w:sz w:val="24"/>
          <w:szCs w:val="24"/>
        </w:rPr>
        <w:t>Slovenskej republike hrozí ďalšia arbitráž, to znamená, že žaloba formálne ešte nebola podaná, no bola oznámená predžalobná výzva v prípade Quick Power Plant SE, Holandsko (QPP). Predmet sporu sa týka údajného nároku na akcie/práva k akciám spoločnosti TRANSPETROL, a.</w:t>
      </w:r>
      <w:r w:rsidR="004326AE">
        <w:rPr>
          <w:rFonts w:ascii="Times New Roman" w:hAnsi="Times New Roman"/>
          <w:bCs/>
          <w:sz w:val="24"/>
          <w:szCs w:val="24"/>
        </w:rPr>
        <w:t xml:space="preserve"> </w:t>
      </w:r>
      <w:r w:rsidRPr="004C6AA0">
        <w:rPr>
          <w:rFonts w:ascii="Times New Roman" w:hAnsi="Times New Roman"/>
          <w:bCs/>
          <w:sz w:val="24"/>
          <w:szCs w:val="24"/>
        </w:rPr>
        <w:t xml:space="preserve">s., ktoré sa QPP pokúsila nadobudnúť. V súčasnosti prebieha objasňovanie skutkového stavu a nároku QPP pre prípad, ak by bola podaná </w:t>
      </w:r>
      <w:r w:rsidR="004326AE">
        <w:rPr>
          <w:rFonts w:ascii="Times New Roman" w:hAnsi="Times New Roman"/>
          <w:bCs/>
          <w:sz w:val="24"/>
          <w:szCs w:val="24"/>
        </w:rPr>
        <w:t>žaloba proti SR</w:t>
      </w:r>
      <w:r w:rsidRPr="004C6AA0">
        <w:rPr>
          <w:rFonts w:ascii="Times New Roman" w:hAnsi="Times New Roman"/>
          <w:bCs/>
          <w:sz w:val="24"/>
          <w:szCs w:val="24"/>
        </w:rPr>
        <w:t>.</w:t>
      </w:r>
    </w:p>
    <w:p w:rsidR="000E1727" w:rsidRPr="004C6AA0" w:rsidRDefault="000E1727" w:rsidP="000E1727">
      <w:pPr>
        <w:spacing w:after="0" w:line="240" w:lineRule="auto"/>
        <w:jc w:val="both"/>
        <w:rPr>
          <w:rFonts w:ascii="Times New Roman" w:hAnsi="Times New Roman"/>
          <w:bCs/>
          <w:sz w:val="24"/>
          <w:szCs w:val="24"/>
        </w:rPr>
      </w:pPr>
    </w:p>
    <w:p w:rsidR="000E1727" w:rsidRPr="004C6AA0" w:rsidRDefault="000E1727" w:rsidP="00CE4170">
      <w:pPr>
        <w:spacing w:after="0" w:line="240" w:lineRule="auto"/>
        <w:ind w:firstLine="708"/>
        <w:jc w:val="both"/>
        <w:rPr>
          <w:rFonts w:ascii="Times New Roman" w:hAnsi="Times New Roman"/>
          <w:bCs/>
          <w:sz w:val="24"/>
          <w:szCs w:val="24"/>
        </w:rPr>
      </w:pPr>
      <w:r w:rsidRPr="004C6AA0">
        <w:rPr>
          <w:rFonts w:ascii="Times New Roman" w:hAnsi="Times New Roman"/>
          <w:bCs/>
          <w:sz w:val="24"/>
          <w:szCs w:val="24"/>
        </w:rPr>
        <w:t xml:space="preserve">Ministerstvo financií SR dostalo oznámenie o hrozbe vzniku škody od dánskej spoločnosti Marius Pedersen, a to za údajné možné porušenie bilaterálnej investičnej dohody s Dánskom, a to novelou zákona o odpadoch. </w:t>
      </w:r>
    </w:p>
    <w:p w:rsidR="000E1727" w:rsidRPr="004C6AA0" w:rsidRDefault="000E1727" w:rsidP="000E1727">
      <w:pPr>
        <w:spacing w:after="0" w:line="240" w:lineRule="auto"/>
        <w:jc w:val="both"/>
        <w:rPr>
          <w:rFonts w:ascii="Times New Roman" w:hAnsi="Times New Roman"/>
          <w:bCs/>
          <w:sz w:val="24"/>
          <w:szCs w:val="24"/>
        </w:rPr>
      </w:pPr>
    </w:p>
    <w:p w:rsidR="000E1727" w:rsidRPr="004C6AA0" w:rsidRDefault="000E1727" w:rsidP="00CE4170">
      <w:pPr>
        <w:spacing w:after="0" w:line="240" w:lineRule="auto"/>
        <w:ind w:firstLine="708"/>
        <w:jc w:val="both"/>
        <w:rPr>
          <w:rFonts w:ascii="Times New Roman" w:hAnsi="Times New Roman"/>
          <w:sz w:val="24"/>
          <w:szCs w:val="24"/>
        </w:rPr>
      </w:pPr>
      <w:r w:rsidRPr="004C6AA0">
        <w:rPr>
          <w:rFonts w:ascii="Times New Roman" w:hAnsi="Times New Roman"/>
          <w:bCs/>
          <w:sz w:val="24"/>
          <w:szCs w:val="24"/>
        </w:rPr>
        <w:t>Tieto hroziace žaloby považuje Ministerstvo financií</w:t>
      </w:r>
      <w:r w:rsidR="007115E6">
        <w:rPr>
          <w:rFonts w:ascii="Times New Roman" w:hAnsi="Times New Roman"/>
          <w:bCs/>
          <w:sz w:val="24"/>
          <w:szCs w:val="24"/>
        </w:rPr>
        <w:t xml:space="preserve"> SR</w:t>
      </w:r>
      <w:r w:rsidRPr="004C6AA0">
        <w:rPr>
          <w:rFonts w:ascii="Times New Roman" w:hAnsi="Times New Roman"/>
          <w:bCs/>
          <w:sz w:val="24"/>
          <w:szCs w:val="24"/>
        </w:rPr>
        <w:t xml:space="preserve"> za bezpredmetné, nakoľko boli podané na základe bilaterálnych investičných dohôd medzi štátmi EÚ, ktorých arbitrážna doložka je v zmysle rozhodnutia Súdneho dvora EÚ v prípade Achmea neaplikovateľná</w:t>
      </w:r>
      <w:r w:rsidR="00F01533">
        <w:rPr>
          <w:rFonts w:ascii="Times New Roman" w:hAnsi="Times New Roman"/>
          <w:bCs/>
          <w:sz w:val="24"/>
          <w:szCs w:val="24"/>
        </w:rPr>
        <w:t>,</w:t>
      </w:r>
      <w:r w:rsidRPr="004C6AA0">
        <w:rPr>
          <w:rFonts w:ascii="Times New Roman" w:hAnsi="Times New Roman"/>
          <w:bCs/>
          <w:sz w:val="24"/>
          <w:szCs w:val="24"/>
        </w:rPr>
        <w:t xml:space="preserve"> a na základe postupu Európskej komisie má dôjsť k ukončeniu všetkých takýchto bilaterálnych investičných dohôd v rámci EÚ.</w:t>
      </w:r>
    </w:p>
    <w:p w:rsidR="000E1727" w:rsidRPr="004C6AA0" w:rsidRDefault="000E1727" w:rsidP="000E1727">
      <w:pPr>
        <w:autoSpaceDE w:val="0"/>
        <w:autoSpaceDN w:val="0"/>
        <w:adjustRightInd w:val="0"/>
        <w:spacing w:after="0" w:line="240" w:lineRule="auto"/>
        <w:jc w:val="both"/>
        <w:rPr>
          <w:rFonts w:ascii="Times New Roman" w:hAnsi="Times New Roman"/>
          <w:sz w:val="24"/>
          <w:szCs w:val="24"/>
        </w:rPr>
      </w:pPr>
    </w:p>
    <w:p w:rsidR="000E1727" w:rsidRPr="004C6AA0" w:rsidRDefault="000E1727" w:rsidP="00CE4170">
      <w:pPr>
        <w:pStyle w:val="Odsekzoznamu"/>
        <w:ind w:left="0" w:firstLine="708"/>
        <w:contextualSpacing/>
        <w:jc w:val="both"/>
      </w:pPr>
      <w:r w:rsidRPr="004C6AA0">
        <w:t xml:space="preserve">Žaloby, ktoré rieši </w:t>
      </w:r>
      <w:r w:rsidRPr="004C6AA0">
        <w:rPr>
          <w:b/>
        </w:rPr>
        <w:t>Ministerstvo financií SR</w:t>
      </w:r>
      <w:r w:rsidRPr="004C6AA0">
        <w:t xml:space="preserve"> v úhrnnej hodnote 1 568 121 tis. eur, sú najmä o náhradu škody uplatňovanej podľa zákona č. 514/2003 Z. z. o zodpovednosti za škodu spôsobenú pri výkone verejnej moci a o zmene niektorých zákonov, v ktorých Ministerstvo financií SR zastupuje pred súdom aj iné orgány verejnej moci. Medziročný nárast bol </w:t>
      </w:r>
      <w:r w:rsidRPr="004C6AA0">
        <w:lastRenderedPageBreak/>
        <w:t>spôsobený novým sporom, v ktorom si žalobca uplatňuje nárok na náhradu škody v úhrnnej výške 1 mld. eur.</w:t>
      </w:r>
    </w:p>
    <w:p w:rsidR="000E1727" w:rsidRPr="004C6AA0" w:rsidRDefault="000E1727" w:rsidP="000E1727">
      <w:pPr>
        <w:spacing w:after="0" w:line="240" w:lineRule="auto"/>
        <w:ind w:firstLine="360"/>
        <w:jc w:val="both"/>
        <w:rPr>
          <w:rFonts w:ascii="Times New Roman" w:hAnsi="Times New Roman"/>
          <w:b/>
          <w:bCs/>
          <w:sz w:val="24"/>
          <w:szCs w:val="24"/>
        </w:rPr>
      </w:pPr>
    </w:p>
    <w:p w:rsidR="000E1727" w:rsidRPr="004C6AA0" w:rsidRDefault="000E1727" w:rsidP="00CE4170">
      <w:pPr>
        <w:spacing w:after="0" w:line="240" w:lineRule="auto"/>
        <w:ind w:firstLine="708"/>
        <w:jc w:val="both"/>
        <w:rPr>
          <w:rFonts w:ascii="Times New Roman" w:hAnsi="Times New Roman"/>
          <w:bCs/>
          <w:sz w:val="24"/>
          <w:szCs w:val="24"/>
        </w:rPr>
      </w:pPr>
      <w:r w:rsidRPr="004C6AA0">
        <w:rPr>
          <w:rFonts w:ascii="Times New Roman" w:hAnsi="Times New Roman"/>
          <w:b/>
          <w:bCs/>
          <w:sz w:val="24"/>
          <w:szCs w:val="24"/>
        </w:rPr>
        <w:t>Kancelária Národnej rady SR</w:t>
      </w:r>
      <w:r w:rsidRPr="004C6AA0">
        <w:rPr>
          <w:rFonts w:ascii="Times New Roman" w:hAnsi="Times New Roman"/>
          <w:bCs/>
          <w:sz w:val="24"/>
          <w:szCs w:val="24"/>
        </w:rPr>
        <w:t xml:space="preserve"> eviduje podmienené záväzky z existujúcich alebo hroziacich súdnych sporov, z čoho</w:t>
      </w:r>
      <w:r w:rsidR="00A84FA2">
        <w:rPr>
          <w:rFonts w:ascii="Times New Roman" w:hAnsi="Times New Roman"/>
          <w:bCs/>
          <w:sz w:val="24"/>
          <w:szCs w:val="24"/>
        </w:rPr>
        <w:t xml:space="preserve"> podstatnú časť tvoria žaloby o</w:t>
      </w:r>
      <w:r w:rsidRPr="004C6AA0">
        <w:rPr>
          <w:rFonts w:ascii="Times New Roman" w:hAnsi="Times New Roman"/>
          <w:bCs/>
          <w:sz w:val="24"/>
          <w:szCs w:val="24"/>
        </w:rPr>
        <w:t xml:space="preserve"> náhradu škody spôs</w:t>
      </w:r>
      <w:r w:rsidR="00CE4170">
        <w:rPr>
          <w:rFonts w:ascii="Times New Roman" w:hAnsi="Times New Roman"/>
          <w:bCs/>
          <w:sz w:val="24"/>
          <w:szCs w:val="24"/>
        </w:rPr>
        <w:t>obenú legislatívnou činnosťou Národnej rady</w:t>
      </w:r>
      <w:r w:rsidRPr="004C6AA0">
        <w:rPr>
          <w:rFonts w:ascii="Times New Roman" w:hAnsi="Times New Roman"/>
          <w:bCs/>
          <w:sz w:val="24"/>
          <w:szCs w:val="24"/>
        </w:rPr>
        <w:t xml:space="preserve"> SR</w:t>
      </w:r>
      <w:r w:rsidR="00CE4170">
        <w:rPr>
          <w:rFonts w:ascii="Times New Roman" w:hAnsi="Times New Roman"/>
          <w:bCs/>
          <w:sz w:val="24"/>
          <w:szCs w:val="24"/>
        </w:rPr>
        <w:t>,</w:t>
      </w:r>
      <w:r w:rsidRPr="004C6AA0">
        <w:rPr>
          <w:rFonts w:ascii="Times New Roman" w:hAnsi="Times New Roman"/>
          <w:bCs/>
          <w:sz w:val="24"/>
          <w:szCs w:val="24"/>
        </w:rPr>
        <w:t xml:space="preserve"> vrátane dvoch súdnych sporov o ,,zákaz zisku“ zdravotných poisťovní (spolu 580 014 tis. eur). Medziročne došlo k zníženiu hodnoty z dôvodu zastavenia jedného súdneho konania. </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pPr>
      <w:r w:rsidRPr="004C6AA0">
        <w:rPr>
          <w:b/>
        </w:rPr>
        <w:t>Ministerstvo práce, sociálnych vecí a rodiny SR</w:t>
      </w:r>
      <w:r w:rsidRPr="004C6AA0">
        <w:t xml:space="preserve"> zaznamenalo úbytok hodnoty súdnych sporov o 20 471 tis. eur. Najvýznamnejší je spor s fyzickou osobou o náhradu škody vo výške 450 000 tis. eur, ktorá mala byť spôsobená údajnou nečinnosťou a nesprávnym úradným postupom. Naopak, z dôvodu prehodnotenia rizika in</w:t>
      </w:r>
      <w:r w:rsidR="00D03451">
        <w:t>ých súdnych sporov</w:t>
      </w:r>
      <w:r w:rsidRPr="004C6AA0">
        <w:t xml:space="preserve"> bola znížená hodnota podmienených pasív samotného Ministerstva práce, sociálnych vecí a rodiny SR o 20 470 tis. eur.</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pPr>
      <w:r w:rsidRPr="004C6AA0">
        <w:rPr>
          <w:b/>
        </w:rPr>
        <w:t>Slovenský pozemkový fond</w:t>
      </w:r>
      <w:r w:rsidRPr="004C6AA0">
        <w:t xml:space="preserve"> vykazuje podmienené záväzky z titulu 4 právnych sporov v úhrnnej výške 101 900 tis. eur, pričom ide o žaloby súkromných spoločností</w:t>
      </w:r>
      <w:r w:rsidR="001240B0">
        <w:t>,</w:t>
      </w:r>
      <w:r w:rsidRPr="004C6AA0">
        <w:t xml:space="preserve"> v ktorých si uplatňujú náhradu škody titulom údajne zmarenej investície z dôvodu, že fond vydal pozemky, na ktorých sa mali realizovať investičné projekty.</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pPr>
      <w:r w:rsidRPr="004C6AA0">
        <w:rPr>
          <w:b/>
        </w:rPr>
        <w:t xml:space="preserve">Ministerstvo vnútra SR </w:t>
      </w:r>
      <w:r w:rsidRPr="004C6AA0">
        <w:t>vykazuje podmienené pasíva zo súdny</w:t>
      </w:r>
      <w:r w:rsidR="009F652E">
        <w:t>ch</w:t>
      </w:r>
      <w:r w:rsidRPr="004C6AA0">
        <w:t xml:space="preserve"> sporov najmä z titulu náhrady škody spôsobenej pri výkone verejnej moci.</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pPr>
      <w:r w:rsidRPr="004C6AA0">
        <w:rPr>
          <w:b/>
        </w:rPr>
        <w:t>Ministerstvo hospodárstva SR</w:t>
      </w:r>
      <w:r w:rsidRPr="004C6AA0">
        <w:t xml:space="preserve"> eviduje podmienené záväzky zo súdnych sporov vo výške 84 858 tis. eur, pričom medziročné zvýšenie bolo spôsobené prehodnotením vytvorených rezerv na súdne spory. Tie naopak poklesli o 16 438 tis. eur. Najvyššiu čiastku (64 385 tis. eur) predstavuje žaloba o náhradu škody z titul</w:t>
      </w:r>
      <w:r w:rsidR="00042560">
        <w:t>u nesprávneho úradného postupu Ú</w:t>
      </w:r>
      <w:r w:rsidR="00CE4170">
        <w:t>radu pre reguláciu sieťových odvetví</w:t>
      </w:r>
      <w:r w:rsidRPr="004C6AA0">
        <w:t xml:space="preserve"> za roky 2004</w:t>
      </w:r>
      <w:r w:rsidR="00264F88">
        <w:t xml:space="preserve"> až </w:t>
      </w:r>
      <w:r w:rsidRPr="004C6AA0">
        <w:t xml:space="preserve">2006 pri vydávaní cenových rozhodnutí. </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rPr>
          <w:b/>
        </w:rPr>
      </w:pPr>
      <w:r w:rsidRPr="004C6AA0">
        <w:rPr>
          <w:b/>
        </w:rPr>
        <w:t>Vodohospodárska výstavba, š. p.</w:t>
      </w:r>
      <w:r w:rsidRPr="004C6AA0">
        <w:t xml:space="preserve"> eviduje viaceré súdne spory, pričom väčšinu  z uvedenej sumy tvorí spor o náhradu škody za 33 000 tis. eur z dôvodu údajného porušenia nájomnej zmluvy a spory so Slovenskými elektrárňami</w:t>
      </w:r>
      <w:r w:rsidR="000E2534">
        <w:t>, a. s.</w:t>
      </w:r>
      <w:r w:rsidRPr="004C6AA0">
        <w:t xml:space="preserve"> vo výške 28 781 tis. eur o úhradu platieb podľa zmluvy o prevádzke Vodnej elektrárne Gabčíkovo. Vodohospodárska výstavba, š.</w:t>
      </w:r>
      <w:r w:rsidR="000E2534">
        <w:t xml:space="preserve"> </w:t>
      </w:r>
      <w:r w:rsidRPr="004C6AA0">
        <w:t>p. vykazuje voči Slovenským elektrárňam</w:t>
      </w:r>
      <w:r w:rsidR="000E2534">
        <w:t>, a. s.</w:t>
      </w:r>
      <w:r w:rsidR="008B270B">
        <w:t xml:space="preserve"> aj podmienené aktíva</w:t>
      </w:r>
      <w:r w:rsidRPr="004C6AA0">
        <w:t xml:space="preserve"> z titulu bezdôvodného obohatenia, ktoré malo vzniknúť úhradou platieb Slovenským elektrárňam, a.</w:t>
      </w:r>
      <w:r w:rsidR="000E2534">
        <w:t xml:space="preserve"> </w:t>
      </w:r>
      <w:r w:rsidRPr="004C6AA0">
        <w:t>s. podľa neplatnej zmluvy o prevádzke Vodnej elektrárne Gabčíkovo. V súdnych sporoch sa naďalej pokračuje.</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pPr>
      <w:r w:rsidRPr="004C6AA0">
        <w:rPr>
          <w:b/>
        </w:rPr>
        <w:t>Železničná spoločnosť Slovensko, a.</w:t>
      </w:r>
      <w:r w:rsidR="00E00258">
        <w:rPr>
          <w:b/>
        </w:rPr>
        <w:t xml:space="preserve"> </w:t>
      </w:r>
      <w:r w:rsidRPr="004C6AA0">
        <w:rPr>
          <w:b/>
        </w:rPr>
        <w:t>s.</w:t>
      </w:r>
      <w:r w:rsidRPr="004C6AA0">
        <w:t xml:space="preserve"> vedie dlhodobý súdny spor vo výške 51 752 tis. eur o náhradu škody, ktorá mala vzniknúť dodávateľovi železničnej spoločnosti zo zmlúv o stavbe, skúškach a zmluvách o dielo k prototypu rušňa</w:t>
      </w:r>
      <w:r w:rsidR="005C618C">
        <w:t xml:space="preserve"> radu 755. Rozsudkom zo dňa </w:t>
      </w:r>
      <w:r w:rsidR="00066FBB">
        <w:br/>
      </w:r>
      <w:r w:rsidR="005C618C">
        <w:t>16.</w:t>
      </w:r>
      <w:r w:rsidR="00066FBB">
        <w:t xml:space="preserve"> </w:t>
      </w:r>
      <w:r w:rsidRPr="004C6AA0">
        <w:t>4.</w:t>
      </w:r>
      <w:r w:rsidR="00066FBB">
        <w:t xml:space="preserve"> </w:t>
      </w:r>
      <w:r w:rsidRPr="004C6AA0">
        <w:t>2018 Okresný súd Bratislava III žalobu zamietol v celom rozsahu. Rozsudok nie je právoplatný.</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pPr>
      <w:r w:rsidRPr="004C6AA0">
        <w:rPr>
          <w:b/>
        </w:rPr>
        <w:t>MH Manažment, a.</w:t>
      </w:r>
      <w:r w:rsidR="00E00258">
        <w:rPr>
          <w:b/>
        </w:rPr>
        <w:t xml:space="preserve"> </w:t>
      </w:r>
      <w:r w:rsidRPr="004C6AA0">
        <w:rPr>
          <w:b/>
        </w:rPr>
        <w:t xml:space="preserve">s. </w:t>
      </w:r>
      <w:r w:rsidRPr="004C6AA0">
        <w:t>eviduje najväčší objem podmienených záväzkov z ručenia za splnenie záväzkov vyplývajúcich z niektorých privatizačných zmlúv uzavretých bývalým  Fondom národného majetku</w:t>
      </w:r>
      <w:r w:rsidR="00EB4456">
        <w:t xml:space="preserve"> SR</w:t>
      </w:r>
      <w:r w:rsidR="00CE4170">
        <w:t>. Fond národného majetku</w:t>
      </w:r>
      <w:r w:rsidR="00EB4456">
        <w:t xml:space="preserve"> SR</w:t>
      </w:r>
      <w:r w:rsidRPr="004C6AA0">
        <w:t xml:space="preserve"> sa </w:t>
      </w:r>
      <w:r w:rsidRPr="004C6AA0">
        <w:rPr>
          <w:sz w:val="23"/>
          <w:szCs w:val="23"/>
        </w:rPr>
        <w:t xml:space="preserve">zaviazal uhradiť nadobúdateľom privatizovaných spoločností určité straty na majetku, ktoré im môžu v budúcnosti vzniknúť v dôsledku </w:t>
      </w:r>
      <w:r w:rsidRPr="004C6AA0">
        <w:rPr>
          <w:bCs/>
          <w:iCs/>
          <w:sz w:val="23"/>
          <w:szCs w:val="23"/>
        </w:rPr>
        <w:t>určitých rizík definovaných v privatizačných zmluvách</w:t>
      </w:r>
      <w:r w:rsidRPr="004C6AA0">
        <w:rPr>
          <w:sz w:val="23"/>
          <w:szCs w:val="23"/>
        </w:rPr>
        <w:t>.</w:t>
      </w:r>
    </w:p>
    <w:p w:rsidR="000E1727" w:rsidRPr="004C6AA0" w:rsidRDefault="000E1727" w:rsidP="000E1727">
      <w:pPr>
        <w:spacing w:after="0" w:line="240" w:lineRule="auto"/>
        <w:ind w:firstLine="708"/>
        <w:jc w:val="both"/>
        <w:rPr>
          <w:rFonts w:ascii="Times New Roman" w:hAnsi="Times New Roman"/>
          <w:sz w:val="24"/>
          <w:szCs w:val="24"/>
        </w:rPr>
      </w:pPr>
      <w:r w:rsidRPr="004C6AA0">
        <w:rPr>
          <w:rFonts w:ascii="Times New Roman" w:hAnsi="Times New Roman"/>
          <w:sz w:val="24"/>
          <w:szCs w:val="24"/>
        </w:rPr>
        <w:lastRenderedPageBreak/>
        <w:t xml:space="preserve">      </w:t>
      </w:r>
    </w:p>
    <w:p w:rsidR="000E1727" w:rsidRPr="004C6AA0" w:rsidRDefault="000E1727" w:rsidP="00CE4170">
      <w:pPr>
        <w:pStyle w:val="Odsekzoznamu"/>
        <w:ind w:left="0" w:firstLine="708"/>
        <w:contextualSpacing/>
        <w:jc w:val="both"/>
      </w:pPr>
      <w:r w:rsidRPr="004C6AA0">
        <w:rPr>
          <w:b/>
        </w:rPr>
        <w:t>Slovenský plynárenský priemysel, a.</w:t>
      </w:r>
      <w:r w:rsidR="00E00258">
        <w:rPr>
          <w:b/>
        </w:rPr>
        <w:t xml:space="preserve"> </w:t>
      </w:r>
      <w:r w:rsidRPr="004C6AA0">
        <w:rPr>
          <w:b/>
        </w:rPr>
        <w:t xml:space="preserve">s. </w:t>
      </w:r>
      <w:r w:rsidRPr="004C6AA0">
        <w:t>vykazuje podmienené pasíva v podobe fin</w:t>
      </w:r>
      <w:r w:rsidR="00056BD9">
        <w:t>ančných derivátov, používaných</w:t>
      </w:r>
      <w:r w:rsidRPr="004C6AA0">
        <w:t xml:space="preserve"> pri kontrahovaní zemného plynu na komoditných burzách.</w:t>
      </w:r>
    </w:p>
    <w:p w:rsidR="000E1727" w:rsidRPr="004C6AA0" w:rsidRDefault="000E1727" w:rsidP="000E1727">
      <w:pPr>
        <w:pStyle w:val="Odsekzoznamu"/>
        <w:ind w:left="0" w:firstLine="360"/>
        <w:contextualSpacing/>
        <w:jc w:val="both"/>
        <w:rPr>
          <w:b/>
        </w:rPr>
      </w:pPr>
    </w:p>
    <w:p w:rsidR="000E1727" w:rsidRPr="004C6AA0" w:rsidRDefault="000E1727" w:rsidP="00CE4170">
      <w:pPr>
        <w:pStyle w:val="Odsekzoznamu"/>
        <w:ind w:left="0" w:firstLine="708"/>
        <w:contextualSpacing/>
        <w:jc w:val="both"/>
      </w:pPr>
      <w:r w:rsidRPr="004C6AA0">
        <w:rPr>
          <w:b/>
        </w:rPr>
        <w:t>Slovenská záručná a rozvojová banka Slovenska, a.</w:t>
      </w:r>
      <w:r w:rsidR="00E00258">
        <w:rPr>
          <w:b/>
        </w:rPr>
        <w:t xml:space="preserve"> </w:t>
      </w:r>
      <w:r w:rsidRPr="004C6AA0">
        <w:rPr>
          <w:b/>
        </w:rPr>
        <w:t>s.</w:t>
      </w:r>
      <w:r w:rsidRPr="004C6AA0">
        <w:t xml:space="preserve"> vykazuje podmienené záväzky v hodnote 140 697 tis. eur z titulu poskytnutých záruk v hodnote 87 706 tis. eur a úverových prísľubov vo výške 52 991 tis. eur.</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pPr>
      <w:r w:rsidRPr="004C6AA0">
        <w:t>Obdobne aj</w:t>
      </w:r>
      <w:r w:rsidRPr="004C6AA0">
        <w:rPr>
          <w:b/>
        </w:rPr>
        <w:t xml:space="preserve"> Exportno-importná banka Slovenska</w:t>
      </w:r>
      <w:r w:rsidRPr="004C6AA0">
        <w:t xml:space="preserve"> vykazuje v iných pasív</w:t>
      </w:r>
      <w:r w:rsidR="00AA65A2">
        <w:t xml:space="preserve">ach hodnotu poskytnutých záruk 48 507 tis. eur, potvrdených budúcich záruk </w:t>
      </w:r>
      <w:r w:rsidRPr="004C6AA0">
        <w:t>12 076 t</w:t>
      </w:r>
      <w:r w:rsidR="00AA65A2">
        <w:t xml:space="preserve">is. eur a neodvolateľných úverových prísľubov </w:t>
      </w:r>
      <w:r w:rsidRPr="004C6AA0">
        <w:t>71 20</w:t>
      </w:r>
      <w:r w:rsidR="00AA65A2">
        <w:t>8 tis. eur</w:t>
      </w:r>
      <w:r w:rsidRPr="004C6AA0">
        <w:t>.</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pPr>
      <w:r w:rsidRPr="004C6AA0">
        <w:rPr>
          <w:b/>
        </w:rPr>
        <w:t>Slovenská elektrizačná a prenosová sústava, a.</w:t>
      </w:r>
      <w:r w:rsidR="00E00258">
        <w:rPr>
          <w:b/>
        </w:rPr>
        <w:t xml:space="preserve"> </w:t>
      </w:r>
      <w:r w:rsidRPr="004C6AA0">
        <w:rPr>
          <w:b/>
        </w:rPr>
        <w:t>s</w:t>
      </w:r>
      <w:r w:rsidRPr="004C6AA0">
        <w:t>. vykazuje za svoju skupinu záväzky zo zmlúv, ktoré majú plnenie až po 31.</w:t>
      </w:r>
      <w:r w:rsidR="005C1EC1">
        <w:t xml:space="preserve"> </w:t>
      </w:r>
      <w:r w:rsidRPr="004C6AA0">
        <w:t>12.</w:t>
      </w:r>
      <w:r w:rsidR="005C1EC1">
        <w:t xml:space="preserve"> </w:t>
      </w:r>
      <w:r w:rsidRPr="004C6AA0">
        <w:t>2018 na nákup dlhodobého majetku.</w:t>
      </w:r>
    </w:p>
    <w:p w:rsidR="000E1727" w:rsidRPr="004C6AA0" w:rsidRDefault="000E1727" w:rsidP="000E1727">
      <w:pPr>
        <w:pStyle w:val="Odsekzoznamu"/>
        <w:ind w:left="0" w:firstLine="360"/>
        <w:contextualSpacing/>
        <w:jc w:val="both"/>
      </w:pPr>
    </w:p>
    <w:p w:rsidR="000E1727" w:rsidRPr="004C6AA0" w:rsidRDefault="000E1727" w:rsidP="00CE4170">
      <w:pPr>
        <w:pStyle w:val="Odsekzoznamu"/>
        <w:ind w:left="0" w:firstLine="708"/>
        <w:contextualSpacing/>
        <w:jc w:val="both"/>
      </w:pPr>
      <w:r w:rsidRPr="004C6AA0">
        <w:rPr>
          <w:b/>
        </w:rPr>
        <w:t>Lesy Slovenskej republiky, š. p.</w:t>
      </w:r>
      <w:r w:rsidR="005C1EC1">
        <w:t xml:space="preserve"> dlhodobo vykazujú </w:t>
      </w:r>
      <w:r w:rsidRPr="004C6AA0">
        <w:t>majet</w:t>
      </w:r>
      <w:r w:rsidR="005C1EC1">
        <w:t>ok, ktorý je právne neusporiadaný</w:t>
      </w:r>
      <w:r w:rsidRPr="004C6AA0">
        <w:t xml:space="preserve"> (</w:t>
      </w:r>
      <w:r w:rsidR="005C1EC1">
        <w:t>napr. pozemky a stavby), a ktorý môže</w:t>
      </w:r>
      <w:r w:rsidRPr="004C6AA0">
        <w:t xml:space="preserve"> byť predmetom vrátenia pôvodným vlastníkom. Odhadovaná hodnota je 49 227 tis. eur.</w:t>
      </w:r>
    </w:p>
    <w:p w:rsidR="000E1727" w:rsidRPr="004C6AA0" w:rsidRDefault="000E1727" w:rsidP="000E1727">
      <w:pPr>
        <w:pStyle w:val="Odsekzoznamu"/>
        <w:ind w:left="0" w:firstLine="360"/>
        <w:contextualSpacing/>
        <w:jc w:val="both"/>
      </w:pPr>
    </w:p>
    <w:p w:rsidR="000E1727" w:rsidRDefault="000E1727" w:rsidP="00CE4170">
      <w:pPr>
        <w:pStyle w:val="Odsekzoznamu"/>
        <w:ind w:left="0" w:firstLine="708"/>
        <w:contextualSpacing/>
        <w:jc w:val="both"/>
      </w:pPr>
      <w:r w:rsidRPr="004C6AA0">
        <w:rPr>
          <w:b/>
        </w:rPr>
        <w:t>Slovenské elektrárne, a. s.</w:t>
      </w:r>
      <w:r w:rsidRPr="004C6AA0">
        <w:t xml:space="preserve"> vykázali</w:t>
      </w:r>
      <w:r>
        <w:t xml:space="preserve"> vo svojej účtovnej závierke podmienené pasíva (okrem iných)</w:t>
      </w:r>
      <w:r w:rsidRPr="00105CCE">
        <w:t xml:space="preserve"> </w:t>
      </w:r>
      <w:r>
        <w:t xml:space="preserve">v podobe záložného práva na dlhodobý hmotný majetok a zásoby. Hodnota záložného práva medziročne vzrástla o 7 180 533 tis. eur z dôvodu prehodnotenia úverových zmlúv, na základe čoho bolo možné v roku 2018 zvýšiť hodnotu záložného práva v nových záložných zmluvách na majetok spoločnosti. Hodnota podmienených pasív potenciálne prislúchajúca štátu bola prenásobená podielom 34 %. </w:t>
      </w:r>
    </w:p>
    <w:p w:rsidR="000E1727" w:rsidRDefault="000E1727" w:rsidP="000E1727">
      <w:pPr>
        <w:pStyle w:val="Odsekzoznamu"/>
        <w:ind w:left="0" w:firstLine="360"/>
        <w:contextualSpacing/>
        <w:jc w:val="both"/>
      </w:pPr>
    </w:p>
    <w:p w:rsidR="00BB450B" w:rsidRPr="000E1727" w:rsidRDefault="000E1727" w:rsidP="00CE4170">
      <w:pPr>
        <w:spacing w:line="240" w:lineRule="auto"/>
        <w:ind w:firstLine="708"/>
        <w:jc w:val="both"/>
        <w:rPr>
          <w:rFonts w:ascii="Times New Roman" w:hAnsi="Times New Roman"/>
          <w:sz w:val="24"/>
          <w:szCs w:val="24"/>
        </w:rPr>
      </w:pPr>
      <w:r w:rsidRPr="000E1727">
        <w:rPr>
          <w:rFonts w:ascii="Times New Roman" w:hAnsi="Times New Roman"/>
          <w:sz w:val="24"/>
          <w:szCs w:val="24"/>
        </w:rPr>
        <w:t xml:space="preserve">Pokles hodnoty pri </w:t>
      </w:r>
      <w:r w:rsidRPr="0047006E">
        <w:rPr>
          <w:rFonts w:ascii="Times New Roman" w:hAnsi="Times New Roman"/>
          <w:b/>
          <w:sz w:val="24"/>
          <w:szCs w:val="24"/>
        </w:rPr>
        <w:t>Národnej diaľničnej spoločnosti, a.</w:t>
      </w:r>
      <w:r w:rsidR="00432CB9" w:rsidRPr="0047006E">
        <w:rPr>
          <w:rFonts w:ascii="Times New Roman" w:hAnsi="Times New Roman"/>
          <w:b/>
          <w:sz w:val="24"/>
          <w:szCs w:val="24"/>
        </w:rPr>
        <w:t xml:space="preserve"> </w:t>
      </w:r>
      <w:r w:rsidRPr="0047006E">
        <w:rPr>
          <w:rFonts w:ascii="Times New Roman" w:hAnsi="Times New Roman"/>
          <w:b/>
          <w:sz w:val="24"/>
          <w:szCs w:val="24"/>
        </w:rPr>
        <w:t>s.</w:t>
      </w:r>
      <w:r w:rsidRPr="000E1727">
        <w:rPr>
          <w:rFonts w:ascii="Times New Roman" w:hAnsi="Times New Roman"/>
          <w:sz w:val="24"/>
          <w:szCs w:val="24"/>
        </w:rPr>
        <w:t xml:space="preserve"> bol spôsobený nižším objemom zmluvných záväzkov s plnen</w:t>
      </w:r>
      <w:r w:rsidR="001503E1">
        <w:rPr>
          <w:rFonts w:ascii="Times New Roman" w:hAnsi="Times New Roman"/>
          <w:sz w:val="24"/>
          <w:szCs w:val="24"/>
        </w:rPr>
        <w:t>ím v nasledujúcich obdobiach a pri</w:t>
      </w:r>
      <w:r w:rsidRPr="000E1727">
        <w:rPr>
          <w:rFonts w:ascii="Times New Roman" w:hAnsi="Times New Roman"/>
          <w:sz w:val="24"/>
          <w:szCs w:val="24"/>
        </w:rPr>
        <w:t xml:space="preserve"> </w:t>
      </w:r>
      <w:r w:rsidR="001503E1">
        <w:rPr>
          <w:rFonts w:ascii="Times New Roman" w:hAnsi="Times New Roman"/>
          <w:b/>
          <w:sz w:val="24"/>
          <w:szCs w:val="24"/>
        </w:rPr>
        <w:t>Slovenskej správe</w:t>
      </w:r>
      <w:r w:rsidRPr="000E058E">
        <w:rPr>
          <w:rFonts w:ascii="Times New Roman" w:hAnsi="Times New Roman"/>
          <w:b/>
          <w:sz w:val="24"/>
          <w:szCs w:val="24"/>
        </w:rPr>
        <w:t xml:space="preserve"> ciest</w:t>
      </w:r>
      <w:r w:rsidRPr="000E1727">
        <w:rPr>
          <w:rFonts w:ascii="Times New Roman" w:hAnsi="Times New Roman"/>
          <w:sz w:val="24"/>
          <w:szCs w:val="24"/>
        </w:rPr>
        <w:t xml:space="preserve"> nevykázaním podmienených pasív z minulosti.</w:t>
      </w:r>
    </w:p>
    <w:sectPr w:rsidR="00BB450B" w:rsidRPr="000E1727" w:rsidSect="001708DA">
      <w:footerReference w:type="defaul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D19" w:rsidRDefault="00180D19" w:rsidP="00391DED">
      <w:pPr>
        <w:spacing w:after="0" w:line="240" w:lineRule="auto"/>
      </w:pPr>
      <w:r>
        <w:separator/>
      </w:r>
    </w:p>
  </w:endnote>
  <w:endnote w:type="continuationSeparator" w:id="0">
    <w:p w:rsidR="00180D19" w:rsidRDefault="00180D19" w:rsidP="0039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C1" w:rsidRPr="00880AC1" w:rsidRDefault="00880AC1">
    <w:pPr>
      <w:pStyle w:val="Pta"/>
      <w:jc w:val="center"/>
      <w:rPr>
        <w:rFonts w:ascii="Times New Roman" w:hAnsi="Times New Roman"/>
        <w:sz w:val="24"/>
      </w:rPr>
    </w:pPr>
    <w:r w:rsidRPr="00880AC1">
      <w:rPr>
        <w:rFonts w:ascii="Times New Roman" w:hAnsi="Times New Roman"/>
        <w:sz w:val="24"/>
      </w:rPr>
      <w:fldChar w:fldCharType="begin"/>
    </w:r>
    <w:r w:rsidRPr="00880AC1">
      <w:rPr>
        <w:rFonts w:ascii="Times New Roman" w:hAnsi="Times New Roman"/>
        <w:sz w:val="24"/>
      </w:rPr>
      <w:instrText>PAGE   \* MERGEFORMAT</w:instrText>
    </w:r>
    <w:r w:rsidRPr="00880AC1">
      <w:rPr>
        <w:rFonts w:ascii="Times New Roman" w:hAnsi="Times New Roman"/>
        <w:sz w:val="24"/>
      </w:rPr>
      <w:fldChar w:fldCharType="separate"/>
    </w:r>
    <w:r w:rsidR="00815D4F">
      <w:rPr>
        <w:rFonts w:ascii="Times New Roman" w:hAnsi="Times New Roman"/>
        <w:noProof/>
        <w:sz w:val="24"/>
      </w:rPr>
      <w:t>6</w:t>
    </w:r>
    <w:r w:rsidRPr="00880AC1">
      <w:rPr>
        <w:rFonts w:ascii="Times New Roman" w:hAnsi="Times New Roman"/>
        <w:sz w:val="24"/>
      </w:rPr>
      <w:fldChar w:fldCharType="end"/>
    </w:r>
  </w:p>
  <w:p w:rsidR="00880AC1" w:rsidRDefault="00880AC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D19" w:rsidRDefault="00180D19" w:rsidP="00391DED">
      <w:pPr>
        <w:spacing w:after="0" w:line="240" w:lineRule="auto"/>
      </w:pPr>
      <w:r>
        <w:separator/>
      </w:r>
    </w:p>
  </w:footnote>
  <w:footnote w:type="continuationSeparator" w:id="0">
    <w:p w:rsidR="00180D19" w:rsidRDefault="00180D19" w:rsidP="00391DED">
      <w:pPr>
        <w:spacing w:after="0" w:line="240" w:lineRule="auto"/>
      </w:pPr>
      <w:r>
        <w:continuationSeparator/>
      </w:r>
    </w:p>
  </w:footnote>
  <w:footnote w:id="1">
    <w:p w:rsidR="000E1727" w:rsidRDefault="000E1727" w:rsidP="000E1727">
      <w:pPr>
        <w:pStyle w:val="Textpoznmkypodiarou"/>
        <w:spacing w:after="0" w:line="240" w:lineRule="auto"/>
        <w:jc w:val="both"/>
      </w:pPr>
      <w:r w:rsidRPr="00722133">
        <w:rPr>
          <w:rStyle w:val="Odkaznapoznmkupodiarou"/>
          <w:rFonts w:ascii="Times New Roman" w:hAnsi="Times New Roman"/>
          <w:sz w:val="18"/>
          <w:szCs w:val="18"/>
        </w:rPr>
        <w:footnoteRef/>
      </w:r>
      <w:r w:rsidRPr="00722133">
        <w:rPr>
          <w:rFonts w:ascii="Times New Roman" w:hAnsi="Times New Roman"/>
          <w:sz w:val="18"/>
          <w:szCs w:val="18"/>
        </w:rPr>
        <w:t xml:space="preserve"> Zákon č. 431/2002 Z. z. o účtovníctve v znení neskorších predpisov. </w:t>
      </w:r>
    </w:p>
  </w:footnote>
  <w:footnote w:id="2">
    <w:p w:rsidR="000E1727" w:rsidRDefault="000E1727" w:rsidP="000E1727">
      <w:pPr>
        <w:pStyle w:val="Textpoznmkypodiarou"/>
        <w:spacing w:after="0" w:line="240" w:lineRule="auto"/>
        <w:jc w:val="both"/>
      </w:pPr>
      <w:r w:rsidRPr="007D678A">
        <w:rPr>
          <w:rFonts w:ascii="Times New Roman" w:hAnsi="Times New Roman"/>
          <w:sz w:val="18"/>
          <w:szCs w:val="18"/>
          <w:vertAlign w:val="superscript"/>
        </w:rPr>
        <w:footnoteRef/>
      </w:r>
      <w:r w:rsidRPr="00722133">
        <w:rPr>
          <w:rFonts w:ascii="Times New Roman" w:hAnsi="Times New Roman"/>
          <w:sz w:val="18"/>
          <w:szCs w:val="18"/>
        </w:rPr>
        <w:t xml:space="preserve"> Informácie o podmienených záväzkoch sa čerpajú z účtovných závierok za príslušné ú</w:t>
      </w:r>
      <w:r w:rsidR="00877746">
        <w:rPr>
          <w:rFonts w:ascii="Times New Roman" w:hAnsi="Times New Roman"/>
          <w:sz w:val="18"/>
          <w:szCs w:val="18"/>
        </w:rPr>
        <w:t>čtovné obdobie. D</w:t>
      </w:r>
      <w:r w:rsidRPr="00722133">
        <w:rPr>
          <w:rFonts w:ascii="Times New Roman" w:hAnsi="Times New Roman"/>
          <w:sz w:val="18"/>
          <w:szCs w:val="18"/>
        </w:rPr>
        <w:t xml:space="preserve">efinitívne údaje </w:t>
      </w:r>
      <w:r w:rsidR="007D678A">
        <w:rPr>
          <w:rFonts w:ascii="Times New Roman" w:hAnsi="Times New Roman"/>
          <w:sz w:val="18"/>
          <w:szCs w:val="18"/>
        </w:rPr>
        <w:t xml:space="preserve"> </w:t>
      </w:r>
      <w:r w:rsidR="007D678A">
        <w:rPr>
          <w:rFonts w:ascii="Times New Roman" w:hAnsi="Times New Roman"/>
          <w:sz w:val="18"/>
          <w:szCs w:val="18"/>
        </w:rPr>
        <w:br/>
        <w:t xml:space="preserve">   </w:t>
      </w:r>
      <w:r w:rsidRPr="00722133">
        <w:rPr>
          <w:rFonts w:ascii="Times New Roman" w:hAnsi="Times New Roman"/>
          <w:sz w:val="18"/>
          <w:szCs w:val="18"/>
        </w:rPr>
        <w:t>o podmienených pasívach za predchádzajúci rok sa vykazujú na jeseň bežného roka v rámci Súhrnnej výročnej správy.</w:t>
      </w:r>
    </w:p>
  </w:footnote>
  <w:footnote w:id="3">
    <w:p w:rsidR="000E1727" w:rsidRDefault="000E1727" w:rsidP="000E1727">
      <w:pPr>
        <w:pStyle w:val="Textpoznmkypodiarou"/>
        <w:spacing w:after="0" w:line="240" w:lineRule="auto"/>
        <w:jc w:val="both"/>
      </w:pPr>
      <w:r w:rsidRPr="00756E7A">
        <w:rPr>
          <w:rFonts w:ascii="Times New Roman" w:hAnsi="Times New Roman"/>
          <w:sz w:val="18"/>
          <w:szCs w:val="18"/>
          <w:vertAlign w:val="superscript"/>
        </w:rPr>
        <w:footnoteRef/>
      </w:r>
      <w:r w:rsidRPr="00120A50">
        <w:rPr>
          <w:rFonts w:ascii="Times New Roman" w:hAnsi="Times New Roman"/>
          <w:sz w:val="18"/>
          <w:szCs w:val="18"/>
        </w:rPr>
        <w:t xml:space="preserve"> V</w:t>
      </w:r>
      <w:r w:rsidRPr="006D1655">
        <w:rPr>
          <w:rFonts w:ascii="Times New Roman" w:hAnsi="Times New Roman"/>
          <w:sz w:val="18"/>
          <w:szCs w:val="18"/>
        </w:rPr>
        <w:t>ychádzajúc z definície podniku</w:t>
      </w:r>
      <w:r>
        <w:rPr>
          <w:rFonts w:ascii="Times New Roman" w:hAnsi="Times New Roman"/>
          <w:sz w:val="18"/>
          <w:szCs w:val="18"/>
        </w:rPr>
        <w:t xml:space="preserve"> štátnej správy v zákone č. 493/2011 Z.</w:t>
      </w:r>
      <w:r w:rsidR="009374E9">
        <w:rPr>
          <w:rFonts w:ascii="Times New Roman" w:hAnsi="Times New Roman"/>
          <w:sz w:val="18"/>
          <w:szCs w:val="18"/>
        </w:rPr>
        <w:t xml:space="preserve"> z. o rozpočtovej zodpovednosti</w:t>
      </w:r>
      <w:r>
        <w:rPr>
          <w:rFonts w:ascii="Times New Roman" w:hAnsi="Times New Roman"/>
          <w:sz w:val="18"/>
          <w:szCs w:val="18"/>
        </w:rPr>
        <w:t xml:space="preserve"> boli do sledovanej </w:t>
      </w:r>
      <w:r w:rsidR="00756E7A">
        <w:rPr>
          <w:rFonts w:ascii="Times New Roman" w:hAnsi="Times New Roman"/>
          <w:sz w:val="18"/>
          <w:szCs w:val="18"/>
        </w:rPr>
        <w:br/>
        <w:t xml:space="preserve">   </w:t>
      </w:r>
      <w:r>
        <w:rPr>
          <w:rFonts w:ascii="Times New Roman" w:hAnsi="Times New Roman"/>
          <w:sz w:val="18"/>
          <w:szCs w:val="18"/>
        </w:rPr>
        <w:t xml:space="preserve">skupiny subjektov zaradené aj obchodné spoločnosti s majetkovou účasťou štátu v minimálnej výške 20 % ich základného </w:t>
      </w:r>
      <w:r w:rsidR="00756E7A">
        <w:rPr>
          <w:rFonts w:ascii="Times New Roman" w:hAnsi="Times New Roman"/>
          <w:sz w:val="18"/>
          <w:szCs w:val="18"/>
        </w:rPr>
        <w:br/>
        <w:t xml:space="preserve">   </w:t>
      </w:r>
      <w:r>
        <w:rPr>
          <w:rFonts w:ascii="Times New Roman" w:hAnsi="Times New Roman"/>
          <w:sz w:val="18"/>
          <w:szCs w:val="18"/>
        </w:rPr>
        <w:t>imania</w:t>
      </w:r>
      <w:r w:rsidR="009374E9">
        <w:rPr>
          <w:rFonts w:ascii="Times New Roman" w:hAnsi="Times New Roman"/>
          <w:sz w:val="18"/>
          <w:szCs w:val="18"/>
        </w:rPr>
        <w:t>.</w:t>
      </w:r>
    </w:p>
  </w:footnote>
  <w:footnote w:id="4">
    <w:p w:rsidR="000E1727" w:rsidRDefault="000E1727" w:rsidP="000E1727">
      <w:pPr>
        <w:pStyle w:val="Textpoznmkypodiarou"/>
        <w:spacing w:after="0" w:line="240" w:lineRule="auto"/>
        <w:jc w:val="both"/>
      </w:pPr>
      <w:r w:rsidRPr="00D45CEF">
        <w:rPr>
          <w:rStyle w:val="Odkaznapoznmkupodiarou"/>
          <w:rFonts w:ascii="Times New Roman" w:hAnsi="Times New Roman"/>
          <w:sz w:val="18"/>
          <w:szCs w:val="18"/>
        </w:rPr>
        <w:footnoteRef/>
      </w:r>
      <w:r w:rsidRPr="00D45CEF">
        <w:rPr>
          <w:rFonts w:ascii="Times New Roman" w:hAnsi="Times New Roman"/>
          <w:sz w:val="18"/>
          <w:szCs w:val="18"/>
        </w:rPr>
        <w:t xml:space="preserve"> Bližšie informácie sú dostupné na oficiálne</w:t>
      </w:r>
      <w:r w:rsidR="0074009D">
        <w:rPr>
          <w:rFonts w:ascii="Times New Roman" w:hAnsi="Times New Roman"/>
          <w:sz w:val="18"/>
          <w:szCs w:val="18"/>
        </w:rPr>
        <w:t>j</w:t>
      </w:r>
      <w:r w:rsidRPr="00D45CEF">
        <w:rPr>
          <w:rFonts w:ascii="Times New Roman" w:hAnsi="Times New Roman"/>
          <w:sz w:val="18"/>
          <w:szCs w:val="18"/>
        </w:rPr>
        <w:t xml:space="preserve"> stránke </w:t>
      </w:r>
      <w:hyperlink r:id="rId1" w:history="1">
        <w:r w:rsidRPr="00B913EE">
          <w:rPr>
            <w:rStyle w:val="Hypertextovprepojenie"/>
            <w:rFonts w:ascii="Times New Roman" w:hAnsi="Times New Roman"/>
            <w:color w:val="365F91" w:themeColor="accent1" w:themeShade="BF"/>
            <w:sz w:val="18"/>
            <w:szCs w:val="18"/>
          </w:rPr>
          <w:t>www.esm.europa.eu</w:t>
        </w:r>
      </w:hyperlink>
      <w:r w:rsidRPr="00D45CEF">
        <w:rPr>
          <w:rFonts w:ascii="Times New Roman" w:hAnsi="Times New Roman"/>
          <w:sz w:val="18"/>
          <w:szCs w:val="18"/>
        </w:rPr>
        <w:t xml:space="preserve">, ktorá je spoločná aj pre popis nástroja EFSF.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F4749"/>
    <w:multiLevelType w:val="hybridMultilevel"/>
    <w:tmpl w:val="633EC3D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1BC8745A"/>
    <w:multiLevelType w:val="hybridMultilevel"/>
    <w:tmpl w:val="C242192E"/>
    <w:lvl w:ilvl="0" w:tplc="041B0005">
      <w:start w:val="1"/>
      <w:numFmt w:val="bullet"/>
      <w:lvlText w:val=""/>
      <w:lvlJc w:val="left"/>
      <w:pPr>
        <w:ind w:left="1426" w:hanging="360"/>
      </w:pPr>
      <w:rPr>
        <w:rFonts w:ascii="Wingdings" w:hAnsi="Wingdings" w:hint="default"/>
      </w:rPr>
    </w:lvl>
    <w:lvl w:ilvl="1" w:tplc="041B0003" w:tentative="1">
      <w:start w:val="1"/>
      <w:numFmt w:val="bullet"/>
      <w:lvlText w:val="o"/>
      <w:lvlJc w:val="left"/>
      <w:pPr>
        <w:ind w:left="2146" w:hanging="360"/>
      </w:pPr>
      <w:rPr>
        <w:rFonts w:ascii="Courier New" w:hAnsi="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2" w15:restartNumberingAfterBreak="0">
    <w:nsid w:val="2D363C92"/>
    <w:multiLevelType w:val="hybridMultilevel"/>
    <w:tmpl w:val="D76E42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9070F5E"/>
    <w:multiLevelType w:val="hybridMultilevel"/>
    <w:tmpl w:val="67E8AB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40F11DFE"/>
    <w:multiLevelType w:val="hybridMultilevel"/>
    <w:tmpl w:val="9E86E3DA"/>
    <w:lvl w:ilvl="0" w:tplc="A3F433CA">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5A855740"/>
    <w:multiLevelType w:val="hybridMultilevel"/>
    <w:tmpl w:val="56AC5B2A"/>
    <w:lvl w:ilvl="0" w:tplc="92A0AD50">
      <w:start w:val="1"/>
      <w:numFmt w:val="decimal"/>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6" w15:restartNumberingAfterBreak="0">
    <w:nsid w:val="6D8A0709"/>
    <w:multiLevelType w:val="hybridMultilevel"/>
    <w:tmpl w:val="06A690D0"/>
    <w:lvl w:ilvl="0" w:tplc="041B000F">
      <w:start w:val="1"/>
      <w:numFmt w:val="decimal"/>
      <w:lvlText w:val="%1."/>
      <w:lvlJc w:val="left"/>
      <w:pPr>
        <w:ind w:left="3552" w:hanging="360"/>
      </w:pPr>
      <w:rPr>
        <w:rFonts w:cs="Times New Roman" w:hint="default"/>
      </w:rPr>
    </w:lvl>
    <w:lvl w:ilvl="1" w:tplc="041B0019" w:tentative="1">
      <w:start w:val="1"/>
      <w:numFmt w:val="lowerLetter"/>
      <w:lvlText w:val="%2."/>
      <w:lvlJc w:val="left"/>
      <w:pPr>
        <w:ind w:left="4272" w:hanging="360"/>
      </w:pPr>
      <w:rPr>
        <w:rFonts w:cs="Times New Roman"/>
      </w:rPr>
    </w:lvl>
    <w:lvl w:ilvl="2" w:tplc="041B001B" w:tentative="1">
      <w:start w:val="1"/>
      <w:numFmt w:val="lowerRoman"/>
      <w:lvlText w:val="%3."/>
      <w:lvlJc w:val="right"/>
      <w:pPr>
        <w:ind w:left="4992" w:hanging="180"/>
      </w:pPr>
      <w:rPr>
        <w:rFonts w:cs="Times New Roman"/>
      </w:rPr>
    </w:lvl>
    <w:lvl w:ilvl="3" w:tplc="041B000F" w:tentative="1">
      <w:start w:val="1"/>
      <w:numFmt w:val="decimal"/>
      <w:lvlText w:val="%4."/>
      <w:lvlJc w:val="left"/>
      <w:pPr>
        <w:ind w:left="5712" w:hanging="360"/>
      </w:pPr>
      <w:rPr>
        <w:rFonts w:cs="Times New Roman"/>
      </w:rPr>
    </w:lvl>
    <w:lvl w:ilvl="4" w:tplc="041B0019" w:tentative="1">
      <w:start w:val="1"/>
      <w:numFmt w:val="lowerLetter"/>
      <w:lvlText w:val="%5."/>
      <w:lvlJc w:val="left"/>
      <w:pPr>
        <w:ind w:left="6432" w:hanging="360"/>
      </w:pPr>
      <w:rPr>
        <w:rFonts w:cs="Times New Roman"/>
      </w:rPr>
    </w:lvl>
    <w:lvl w:ilvl="5" w:tplc="041B001B" w:tentative="1">
      <w:start w:val="1"/>
      <w:numFmt w:val="lowerRoman"/>
      <w:lvlText w:val="%6."/>
      <w:lvlJc w:val="right"/>
      <w:pPr>
        <w:ind w:left="7152" w:hanging="180"/>
      </w:pPr>
      <w:rPr>
        <w:rFonts w:cs="Times New Roman"/>
      </w:rPr>
    </w:lvl>
    <w:lvl w:ilvl="6" w:tplc="041B000F" w:tentative="1">
      <w:start w:val="1"/>
      <w:numFmt w:val="decimal"/>
      <w:lvlText w:val="%7."/>
      <w:lvlJc w:val="left"/>
      <w:pPr>
        <w:ind w:left="7872" w:hanging="360"/>
      </w:pPr>
      <w:rPr>
        <w:rFonts w:cs="Times New Roman"/>
      </w:rPr>
    </w:lvl>
    <w:lvl w:ilvl="7" w:tplc="041B0019" w:tentative="1">
      <w:start w:val="1"/>
      <w:numFmt w:val="lowerLetter"/>
      <w:lvlText w:val="%8."/>
      <w:lvlJc w:val="left"/>
      <w:pPr>
        <w:ind w:left="8592" w:hanging="360"/>
      </w:pPr>
      <w:rPr>
        <w:rFonts w:cs="Times New Roman"/>
      </w:rPr>
    </w:lvl>
    <w:lvl w:ilvl="8" w:tplc="041B001B" w:tentative="1">
      <w:start w:val="1"/>
      <w:numFmt w:val="lowerRoman"/>
      <w:lvlText w:val="%9."/>
      <w:lvlJc w:val="right"/>
      <w:pPr>
        <w:ind w:left="9312" w:hanging="180"/>
      </w:pPr>
      <w:rPr>
        <w:rFonts w:cs="Times New Roman"/>
      </w:rPr>
    </w:lvl>
  </w:abstractNum>
  <w:abstractNum w:abstractNumId="7" w15:restartNumberingAfterBreak="0">
    <w:nsid w:val="7F6F17C4"/>
    <w:multiLevelType w:val="hybridMultilevel"/>
    <w:tmpl w:val="A656DFC6"/>
    <w:lvl w:ilvl="0" w:tplc="C87852FA">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6"/>
  </w:num>
  <w:num w:numId="2">
    <w:abstractNumId w:val="1"/>
  </w:num>
  <w:num w:numId="3">
    <w:abstractNumId w:val="5"/>
  </w:num>
  <w:num w:numId="4">
    <w:abstractNumId w:val="7"/>
  </w:num>
  <w:num w:numId="5">
    <w:abstractNumId w:val="0"/>
  </w:num>
  <w:num w:numId="6">
    <w:abstractNumId w:val="3"/>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39"/>
    <w:rsid w:val="00002AD5"/>
    <w:rsid w:val="00002E66"/>
    <w:rsid w:val="00010733"/>
    <w:rsid w:val="000153B5"/>
    <w:rsid w:val="00022B75"/>
    <w:rsid w:val="00027694"/>
    <w:rsid w:val="00027C9A"/>
    <w:rsid w:val="000309B2"/>
    <w:rsid w:val="00030CE3"/>
    <w:rsid w:val="00042560"/>
    <w:rsid w:val="000436B6"/>
    <w:rsid w:val="00043703"/>
    <w:rsid w:val="00043F09"/>
    <w:rsid w:val="000466FB"/>
    <w:rsid w:val="000518B3"/>
    <w:rsid w:val="0005625D"/>
    <w:rsid w:val="00056BD9"/>
    <w:rsid w:val="00056E18"/>
    <w:rsid w:val="00057082"/>
    <w:rsid w:val="000575ED"/>
    <w:rsid w:val="00063064"/>
    <w:rsid w:val="00066FBB"/>
    <w:rsid w:val="000679DD"/>
    <w:rsid w:val="00071F13"/>
    <w:rsid w:val="000732A6"/>
    <w:rsid w:val="00075643"/>
    <w:rsid w:val="00077314"/>
    <w:rsid w:val="00077C09"/>
    <w:rsid w:val="00084183"/>
    <w:rsid w:val="00085A32"/>
    <w:rsid w:val="00085E2B"/>
    <w:rsid w:val="00097A8D"/>
    <w:rsid w:val="000A1F16"/>
    <w:rsid w:val="000A5BF8"/>
    <w:rsid w:val="000A69A1"/>
    <w:rsid w:val="000A70C4"/>
    <w:rsid w:val="000B142E"/>
    <w:rsid w:val="000B525E"/>
    <w:rsid w:val="000C7F47"/>
    <w:rsid w:val="000E058E"/>
    <w:rsid w:val="000E1727"/>
    <w:rsid w:val="000E2534"/>
    <w:rsid w:val="000F0FBD"/>
    <w:rsid w:val="001049B5"/>
    <w:rsid w:val="0010500D"/>
    <w:rsid w:val="001079EB"/>
    <w:rsid w:val="0011036F"/>
    <w:rsid w:val="001224BC"/>
    <w:rsid w:val="001240B0"/>
    <w:rsid w:val="001267CD"/>
    <w:rsid w:val="001320F7"/>
    <w:rsid w:val="0013256F"/>
    <w:rsid w:val="00140DE3"/>
    <w:rsid w:val="00141987"/>
    <w:rsid w:val="001503E1"/>
    <w:rsid w:val="0015217A"/>
    <w:rsid w:val="00157638"/>
    <w:rsid w:val="00162C57"/>
    <w:rsid w:val="00163AC3"/>
    <w:rsid w:val="00163D94"/>
    <w:rsid w:val="001702F5"/>
    <w:rsid w:val="001708DA"/>
    <w:rsid w:val="0017178F"/>
    <w:rsid w:val="00171C5C"/>
    <w:rsid w:val="00172A5F"/>
    <w:rsid w:val="00180D19"/>
    <w:rsid w:val="00182F73"/>
    <w:rsid w:val="00184B00"/>
    <w:rsid w:val="0018516D"/>
    <w:rsid w:val="00187702"/>
    <w:rsid w:val="00187FCC"/>
    <w:rsid w:val="001A294F"/>
    <w:rsid w:val="001A52FE"/>
    <w:rsid w:val="001A7534"/>
    <w:rsid w:val="001C6405"/>
    <w:rsid w:val="001C6D90"/>
    <w:rsid w:val="001E1139"/>
    <w:rsid w:val="001E7008"/>
    <w:rsid w:val="002019CC"/>
    <w:rsid w:val="00207980"/>
    <w:rsid w:val="002126E0"/>
    <w:rsid w:val="002200D3"/>
    <w:rsid w:val="0022368E"/>
    <w:rsid w:val="00224083"/>
    <w:rsid w:val="0022441E"/>
    <w:rsid w:val="002256C9"/>
    <w:rsid w:val="002323B5"/>
    <w:rsid w:val="00241BD1"/>
    <w:rsid w:val="00244B39"/>
    <w:rsid w:val="002450CB"/>
    <w:rsid w:val="0024687B"/>
    <w:rsid w:val="00250CB2"/>
    <w:rsid w:val="002541B8"/>
    <w:rsid w:val="0025541B"/>
    <w:rsid w:val="00255AB6"/>
    <w:rsid w:val="00255C8D"/>
    <w:rsid w:val="00255FE8"/>
    <w:rsid w:val="00264F88"/>
    <w:rsid w:val="00273391"/>
    <w:rsid w:val="002748B4"/>
    <w:rsid w:val="002755B7"/>
    <w:rsid w:val="00283B86"/>
    <w:rsid w:val="00295EF5"/>
    <w:rsid w:val="00296B34"/>
    <w:rsid w:val="002A2754"/>
    <w:rsid w:val="002A41C9"/>
    <w:rsid w:val="002A5CE9"/>
    <w:rsid w:val="002B086B"/>
    <w:rsid w:val="002B09AE"/>
    <w:rsid w:val="002B2A69"/>
    <w:rsid w:val="002B7B99"/>
    <w:rsid w:val="002C4DA2"/>
    <w:rsid w:val="002C5746"/>
    <w:rsid w:val="002C68E7"/>
    <w:rsid w:val="002D0172"/>
    <w:rsid w:val="002D04D1"/>
    <w:rsid w:val="002D46EA"/>
    <w:rsid w:val="002D66C3"/>
    <w:rsid w:val="002D6F94"/>
    <w:rsid w:val="0030294D"/>
    <w:rsid w:val="003044C2"/>
    <w:rsid w:val="00307118"/>
    <w:rsid w:val="00315347"/>
    <w:rsid w:val="003220EA"/>
    <w:rsid w:val="003228B9"/>
    <w:rsid w:val="00323E9F"/>
    <w:rsid w:val="003266D8"/>
    <w:rsid w:val="003267E1"/>
    <w:rsid w:val="003270B7"/>
    <w:rsid w:val="003331A8"/>
    <w:rsid w:val="00335690"/>
    <w:rsid w:val="00336D0E"/>
    <w:rsid w:val="00351D47"/>
    <w:rsid w:val="003529C8"/>
    <w:rsid w:val="00357403"/>
    <w:rsid w:val="00367073"/>
    <w:rsid w:val="00376E48"/>
    <w:rsid w:val="003863AC"/>
    <w:rsid w:val="00386B51"/>
    <w:rsid w:val="00391DED"/>
    <w:rsid w:val="003969A7"/>
    <w:rsid w:val="003A5F88"/>
    <w:rsid w:val="003A6D63"/>
    <w:rsid w:val="003C00D0"/>
    <w:rsid w:val="003C070F"/>
    <w:rsid w:val="003D63B3"/>
    <w:rsid w:val="003E031B"/>
    <w:rsid w:val="003E2D20"/>
    <w:rsid w:val="003E61A0"/>
    <w:rsid w:val="003F0457"/>
    <w:rsid w:val="003F17B2"/>
    <w:rsid w:val="003F24F0"/>
    <w:rsid w:val="003F3F4F"/>
    <w:rsid w:val="003F5038"/>
    <w:rsid w:val="00402AB7"/>
    <w:rsid w:val="00403EEE"/>
    <w:rsid w:val="0040407B"/>
    <w:rsid w:val="00406285"/>
    <w:rsid w:val="004162C5"/>
    <w:rsid w:val="00420176"/>
    <w:rsid w:val="004308F7"/>
    <w:rsid w:val="004326AE"/>
    <w:rsid w:val="00432AE1"/>
    <w:rsid w:val="00432CB9"/>
    <w:rsid w:val="00436449"/>
    <w:rsid w:val="00440D50"/>
    <w:rsid w:val="0044476B"/>
    <w:rsid w:val="00447B52"/>
    <w:rsid w:val="00447EE9"/>
    <w:rsid w:val="0045134F"/>
    <w:rsid w:val="00454F20"/>
    <w:rsid w:val="00463061"/>
    <w:rsid w:val="00464824"/>
    <w:rsid w:val="00465A3C"/>
    <w:rsid w:val="0047006E"/>
    <w:rsid w:val="004720C4"/>
    <w:rsid w:val="004733CE"/>
    <w:rsid w:val="00475930"/>
    <w:rsid w:val="00476102"/>
    <w:rsid w:val="0048764B"/>
    <w:rsid w:val="004939B4"/>
    <w:rsid w:val="004A1E26"/>
    <w:rsid w:val="004A1FF5"/>
    <w:rsid w:val="004A45CB"/>
    <w:rsid w:val="004A4B46"/>
    <w:rsid w:val="004B1C8E"/>
    <w:rsid w:val="004B1FD8"/>
    <w:rsid w:val="004B32B8"/>
    <w:rsid w:val="004B372C"/>
    <w:rsid w:val="004B5487"/>
    <w:rsid w:val="004C3836"/>
    <w:rsid w:val="004C46FC"/>
    <w:rsid w:val="004C6B0E"/>
    <w:rsid w:val="004D2AFD"/>
    <w:rsid w:val="004D52F7"/>
    <w:rsid w:val="004D7915"/>
    <w:rsid w:val="004E61DC"/>
    <w:rsid w:val="004F1924"/>
    <w:rsid w:val="004F1B96"/>
    <w:rsid w:val="00511B8C"/>
    <w:rsid w:val="00512914"/>
    <w:rsid w:val="00514E92"/>
    <w:rsid w:val="00515E73"/>
    <w:rsid w:val="00525C68"/>
    <w:rsid w:val="005358D7"/>
    <w:rsid w:val="00535EBA"/>
    <w:rsid w:val="00540981"/>
    <w:rsid w:val="005426A2"/>
    <w:rsid w:val="005434F7"/>
    <w:rsid w:val="00546326"/>
    <w:rsid w:val="00556733"/>
    <w:rsid w:val="00556EB4"/>
    <w:rsid w:val="00557413"/>
    <w:rsid w:val="0056234A"/>
    <w:rsid w:val="00562CDA"/>
    <w:rsid w:val="005737A4"/>
    <w:rsid w:val="00574453"/>
    <w:rsid w:val="005752E3"/>
    <w:rsid w:val="005754AA"/>
    <w:rsid w:val="005803B3"/>
    <w:rsid w:val="00584C3C"/>
    <w:rsid w:val="0058719F"/>
    <w:rsid w:val="00593715"/>
    <w:rsid w:val="00597FA6"/>
    <w:rsid w:val="005A69CC"/>
    <w:rsid w:val="005B13D2"/>
    <w:rsid w:val="005C1EC1"/>
    <w:rsid w:val="005C618C"/>
    <w:rsid w:val="005D1651"/>
    <w:rsid w:val="005D38B5"/>
    <w:rsid w:val="005D45FC"/>
    <w:rsid w:val="005D62CA"/>
    <w:rsid w:val="005E109E"/>
    <w:rsid w:val="005E4DD1"/>
    <w:rsid w:val="005E6DBB"/>
    <w:rsid w:val="005F47A0"/>
    <w:rsid w:val="005F6328"/>
    <w:rsid w:val="005F64DE"/>
    <w:rsid w:val="00605477"/>
    <w:rsid w:val="00612970"/>
    <w:rsid w:val="006144C3"/>
    <w:rsid w:val="0061469D"/>
    <w:rsid w:val="00614703"/>
    <w:rsid w:val="00617CAA"/>
    <w:rsid w:val="006409FC"/>
    <w:rsid w:val="00641062"/>
    <w:rsid w:val="00644209"/>
    <w:rsid w:val="00647EE8"/>
    <w:rsid w:val="0065731F"/>
    <w:rsid w:val="006641C0"/>
    <w:rsid w:val="00675ACB"/>
    <w:rsid w:val="00676464"/>
    <w:rsid w:val="006B00D5"/>
    <w:rsid w:val="006B59C4"/>
    <w:rsid w:val="006C18B9"/>
    <w:rsid w:val="006C3A3E"/>
    <w:rsid w:val="006C6AA6"/>
    <w:rsid w:val="006D02BF"/>
    <w:rsid w:val="006D1279"/>
    <w:rsid w:val="006D7921"/>
    <w:rsid w:val="006E60A1"/>
    <w:rsid w:val="006E7710"/>
    <w:rsid w:val="006F05AB"/>
    <w:rsid w:val="006F5621"/>
    <w:rsid w:val="00703998"/>
    <w:rsid w:val="00703E74"/>
    <w:rsid w:val="007115E6"/>
    <w:rsid w:val="00711985"/>
    <w:rsid w:val="0072074B"/>
    <w:rsid w:val="007208EB"/>
    <w:rsid w:val="007233E1"/>
    <w:rsid w:val="00730C02"/>
    <w:rsid w:val="007334F3"/>
    <w:rsid w:val="00733B6E"/>
    <w:rsid w:val="00733F2B"/>
    <w:rsid w:val="0074009D"/>
    <w:rsid w:val="0074611D"/>
    <w:rsid w:val="00753544"/>
    <w:rsid w:val="00756E7A"/>
    <w:rsid w:val="00761CE5"/>
    <w:rsid w:val="00770653"/>
    <w:rsid w:val="00770983"/>
    <w:rsid w:val="0077179B"/>
    <w:rsid w:val="00773289"/>
    <w:rsid w:val="00773E03"/>
    <w:rsid w:val="00774976"/>
    <w:rsid w:val="00776674"/>
    <w:rsid w:val="007800D1"/>
    <w:rsid w:val="00785021"/>
    <w:rsid w:val="00787B04"/>
    <w:rsid w:val="00794F6B"/>
    <w:rsid w:val="007960CF"/>
    <w:rsid w:val="00796841"/>
    <w:rsid w:val="007A0905"/>
    <w:rsid w:val="007A2B8C"/>
    <w:rsid w:val="007A2B9F"/>
    <w:rsid w:val="007A49E8"/>
    <w:rsid w:val="007B36C2"/>
    <w:rsid w:val="007C0EBC"/>
    <w:rsid w:val="007C300D"/>
    <w:rsid w:val="007C481A"/>
    <w:rsid w:val="007C6D35"/>
    <w:rsid w:val="007C7AA0"/>
    <w:rsid w:val="007D2185"/>
    <w:rsid w:val="007D2918"/>
    <w:rsid w:val="007D3D75"/>
    <w:rsid w:val="007D678A"/>
    <w:rsid w:val="007D7677"/>
    <w:rsid w:val="007E10EC"/>
    <w:rsid w:val="007E3FAB"/>
    <w:rsid w:val="007E67D6"/>
    <w:rsid w:val="007E6A14"/>
    <w:rsid w:val="007F1D36"/>
    <w:rsid w:val="007F299C"/>
    <w:rsid w:val="00802114"/>
    <w:rsid w:val="008069D2"/>
    <w:rsid w:val="008108CA"/>
    <w:rsid w:val="008120E1"/>
    <w:rsid w:val="00814ADF"/>
    <w:rsid w:val="00815D4F"/>
    <w:rsid w:val="0082070C"/>
    <w:rsid w:val="00834ED5"/>
    <w:rsid w:val="00835A9F"/>
    <w:rsid w:val="008453F2"/>
    <w:rsid w:val="00860F8D"/>
    <w:rsid w:val="008610C9"/>
    <w:rsid w:val="008632ED"/>
    <w:rsid w:val="00863D60"/>
    <w:rsid w:val="00873F18"/>
    <w:rsid w:val="00875880"/>
    <w:rsid w:val="00876227"/>
    <w:rsid w:val="00877746"/>
    <w:rsid w:val="008777A8"/>
    <w:rsid w:val="00880950"/>
    <w:rsid w:val="00880AC1"/>
    <w:rsid w:val="00891922"/>
    <w:rsid w:val="00895AEB"/>
    <w:rsid w:val="00896F9C"/>
    <w:rsid w:val="0089742C"/>
    <w:rsid w:val="008A0C58"/>
    <w:rsid w:val="008A1B8F"/>
    <w:rsid w:val="008A5002"/>
    <w:rsid w:val="008B07B2"/>
    <w:rsid w:val="008B0F46"/>
    <w:rsid w:val="008B1B25"/>
    <w:rsid w:val="008B270B"/>
    <w:rsid w:val="008B3CD7"/>
    <w:rsid w:val="008C09C3"/>
    <w:rsid w:val="008C115C"/>
    <w:rsid w:val="008C1333"/>
    <w:rsid w:val="008C5773"/>
    <w:rsid w:val="008C67B1"/>
    <w:rsid w:val="008D46BC"/>
    <w:rsid w:val="008E33A5"/>
    <w:rsid w:val="008E4045"/>
    <w:rsid w:val="008F5D5B"/>
    <w:rsid w:val="008F7024"/>
    <w:rsid w:val="009056FB"/>
    <w:rsid w:val="00906CB1"/>
    <w:rsid w:val="00911147"/>
    <w:rsid w:val="00914778"/>
    <w:rsid w:val="009176E5"/>
    <w:rsid w:val="00923A0E"/>
    <w:rsid w:val="00923FA0"/>
    <w:rsid w:val="00925449"/>
    <w:rsid w:val="00930522"/>
    <w:rsid w:val="00933994"/>
    <w:rsid w:val="00933F1F"/>
    <w:rsid w:val="00936B7B"/>
    <w:rsid w:val="009374E9"/>
    <w:rsid w:val="009403D8"/>
    <w:rsid w:val="009406EC"/>
    <w:rsid w:val="00942C88"/>
    <w:rsid w:val="00943C61"/>
    <w:rsid w:val="00954D9E"/>
    <w:rsid w:val="00962270"/>
    <w:rsid w:val="0096586C"/>
    <w:rsid w:val="00966730"/>
    <w:rsid w:val="0096689A"/>
    <w:rsid w:val="00966D9E"/>
    <w:rsid w:val="00967FCE"/>
    <w:rsid w:val="0097288C"/>
    <w:rsid w:val="00975658"/>
    <w:rsid w:val="00976EF7"/>
    <w:rsid w:val="00983AE3"/>
    <w:rsid w:val="00984E0A"/>
    <w:rsid w:val="0099364A"/>
    <w:rsid w:val="009A431B"/>
    <w:rsid w:val="009B052B"/>
    <w:rsid w:val="009B3B25"/>
    <w:rsid w:val="009C1E11"/>
    <w:rsid w:val="009C2705"/>
    <w:rsid w:val="009C4F4C"/>
    <w:rsid w:val="009D13E3"/>
    <w:rsid w:val="009D4A81"/>
    <w:rsid w:val="009E28A8"/>
    <w:rsid w:val="009F1944"/>
    <w:rsid w:val="009F32EA"/>
    <w:rsid w:val="009F4A24"/>
    <w:rsid w:val="009F652E"/>
    <w:rsid w:val="009F7812"/>
    <w:rsid w:val="00A12F6F"/>
    <w:rsid w:val="00A13462"/>
    <w:rsid w:val="00A15E74"/>
    <w:rsid w:val="00A226D6"/>
    <w:rsid w:val="00A267E9"/>
    <w:rsid w:val="00A30DE7"/>
    <w:rsid w:val="00A341DA"/>
    <w:rsid w:val="00A442BA"/>
    <w:rsid w:val="00A457C1"/>
    <w:rsid w:val="00A545E9"/>
    <w:rsid w:val="00A56792"/>
    <w:rsid w:val="00A56F0E"/>
    <w:rsid w:val="00A62C4F"/>
    <w:rsid w:val="00A70865"/>
    <w:rsid w:val="00A7377C"/>
    <w:rsid w:val="00A757F3"/>
    <w:rsid w:val="00A8025E"/>
    <w:rsid w:val="00A84FA2"/>
    <w:rsid w:val="00A908AA"/>
    <w:rsid w:val="00A92A94"/>
    <w:rsid w:val="00A964A2"/>
    <w:rsid w:val="00AA19FF"/>
    <w:rsid w:val="00AA373B"/>
    <w:rsid w:val="00AA65A2"/>
    <w:rsid w:val="00AA70D9"/>
    <w:rsid w:val="00AB370C"/>
    <w:rsid w:val="00AB4358"/>
    <w:rsid w:val="00AB45EB"/>
    <w:rsid w:val="00AC5181"/>
    <w:rsid w:val="00AD304A"/>
    <w:rsid w:val="00AE40FD"/>
    <w:rsid w:val="00AE673B"/>
    <w:rsid w:val="00AE682E"/>
    <w:rsid w:val="00AF0FCD"/>
    <w:rsid w:val="00AF12A2"/>
    <w:rsid w:val="00AF76C8"/>
    <w:rsid w:val="00B02554"/>
    <w:rsid w:val="00B025DE"/>
    <w:rsid w:val="00B038FE"/>
    <w:rsid w:val="00B11F3D"/>
    <w:rsid w:val="00B20219"/>
    <w:rsid w:val="00B24D30"/>
    <w:rsid w:val="00B258ED"/>
    <w:rsid w:val="00B32E22"/>
    <w:rsid w:val="00B34ACE"/>
    <w:rsid w:val="00B34B52"/>
    <w:rsid w:val="00B35BAF"/>
    <w:rsid w:val="00B36F08"/>
    <w:rsid w:val="00B436AD"/>
    <w:rsid w:val="00B46507"/>
    <w:rsid w:val="00B51F10"/>
    <w:rsid w:val="00B52E31"/>
    <w:rsid w:val="00B63A00"/>
    <w:rsid w:val="00B6477B"/>
    <w:rsid w:val="00B67300"/>
    <w:rsid w:val="00B71ECF"/>
    <w:rsid w:val="00B826CB"/>
    <w:rsid w:val="00B90B01"/>
    <w:rsid w:val="00B913EE"/>
    <w:rsid w:val="00B9590F"/>
    <w:rsid w:val="00B973D1"/>
    <w:rsid w:val="00BA4615"/>
    <w:rsid w:val="00BB21CF"/>
    <w:rsid w:val="00BB450B"/>
    <w:rsid w:val="00BB4A12"/>
    <w:rsid w:val="00BB692D"/>
    <w:rsid w:val="00BC290F"/>
    <w:rsid w:val="00BE0E03"/>
    <w:rsid w:val="00BE14C1"/>
    <w:rsid w:val="00BF28DC"/>
    <w:rsid w:val="00BF2B38"/>
    <w:rsid w:val="00BF505C"/>
    <w:rsid w:val="00BF573B"/>
    <w:rsid w:val="00BF64FA"/>
    <w:rsid w:val="00C03544"/>
    <w:rsid w:val="00C04914"/>
    <w:rsid w:val="00C12F38"/>
    <w:rsid w:val="00C139B4"/>
    <w:rsid w:val="00C14D73"/>
    <w:rsid w:val="00C17B1C"/>
    <w:rsid w:val="00C215F6"/>
    <w:rsid w:val="00C2423D"/>
    <w:rsid w:val="00C26B48"/>
    <w:rsid w:val="00C316A0"/>
    <w:rsid w:val="00C402EA"/>
    <w:rsid w:val="00C45FE3"/>
    <w:rsid w:val="00C62FC6"/>
    <w:rsid w:val="00C632F3"/>
    <w:rsid w:val="00C70221"/>
    <w:rsid w:val="00C74671"/>
    <w:rsid w:val="00CA56A0"/>
    <w:rsid w:val="00CC76DF"/>
    <w:rsid w:val="00CD15C5"/>
    <w:rsid w:val="00CD55E6"/>
    <w:rsid w:val="00CD5773"/>
    <w:rsid w:val="00CE0825"/>
    <w:rsid w:val="00CE1448"/>
    <w:rsid w:val="00CE4170"/>
    <w:rsid w:val="00CF00B0"/>
    <w:rsid w:val="00D00440"/>
    <w:rsid w:val="00D004AC"/>
    <w:rsid w:val="00D027BD"/>
    <w:rsid w:val="00D03451"/>
    <w:rsid w:val="00D04E3A"/>
    <w:rsid w:val="00D12112"/>
    <w:rsid w:val="00D130CB"/>
    <w:rsid w:val="00D14BB3"/>
    <w:rsid w:val="00D2313C"/>
    <w:rsid w:val="00D24BA7"/>
    <w:rsid w:val="00D26566"/>
    <w:rsid w:val="00D3362A"/>
    <w:rsid w:val="00D42296"/>
    <w:rsid w:val="00D44240"/>
    <w:rsid w:val="00D45FF6"/>
    <w:rsid w:val="00D479CA"/>
    <w:rsid w:val="00D47D0E"/>
    <w:rsid w:val="00D61894"/>
    <w:rsid w:val="00D62962"/>
    <w:rsid w:val="00D63423"/>
    <w:rsid w:val="00D658B1"/>
    <w:rsid w:val="00D719E5"/>
    <w:rsid w:val="00D74A93"/>
    <w:rsid w:val="00D76FEB"/>
    <w:rsid w:val="00D8522D"/>
    <w:rsid w:val="00D86504"/>
    <w:rsid w:val="00D91157"/>
    <w:rsid w:val="00D91245"/>
    <w:rsid w:val="00D93066"/>
    <w:rsid w:val="00D97ED7"/>
    <w:rsid w:val="00DA0B8B"/>
    <w:rsid w:val="00DB309F"/>
    <w:rsid w:val="00DB3A7A"/>
    <w:rsid w:val="00DB418F"/>
    <w:rsid w:val="00DB43AA"/>
    <w:rsid w:val="00DB7B66"/>
    <w:rsid w:val="00DC4A1A"/>
    <w:rsid w:val="00DD788A"/>
    <w:rsid w:val="00DE1E29"/>
    <w:rsid w:val="00DE56F4"/>
    <w:rsid w:val="00E00258"/>
    <w:rsid w:val="00E01FFB"/>
    <w:rsid w:val="00E12EC9"/>
    <w:rsid w:val="00E141AC"/>
    <w:rsid w:val="00E258BD"/>
    <w:rsid w:val="00E30484"/>
    <w:rsid w:val="00E31F77"/>
    <w:rsid w:val="00E35713"/>
    <w:rsid w:val="00E42134"/>
    <w:rsid w:val="00E445AB"/>
    <w:rsid w:val="00E44E8A"/>
    <w:rsid w:val="00E470BA"/>
    <w:rsid w:val="00E5400E"/>
    <w:rsid w:val="00E65429"/>
    <w:rsid w:val="00E721D6"/>
    <w:rsid w:val="00E72FC7"/>
    <w:rsid w:val="00E746B2"/>
    <w:rsid w:val="00E74D43"/>
    <w:rsid w:val="00E77CB4"/>
    <w:rsid w:val="00E806A6"/>
    <w:rsid w:val="00E81CFA"/>
    <w:rsid w:val="00E82BB6"/>
    <w:rsid w:val="00E83FF9"/>
    <w:rsid w:val="00E851EC"/>
    <w:rsid w:val="00E85D4F"/>
    <w:rsid w:val="00E86D31"/>
    <w:rsid w:val="00EA183F"/>
    <w:rsid w:val="00EA2DD9"/>
    <w:rsid w:val="00EA591C"/>
    <w:rsid w:val="00EB1122"/>
    <w:rsid w:val="00EB3FA5"/>
    <w:rsid w:val="00EB4456"/>
    <w:rsid w:val="00EC62F7"/>
    <w:rsid w:val="00ED35F6"/>
    <w:rsid w:val="00EE2D15"/>
    <w:rsid w:val="00EE62F0"/>
    <w:rsid w:val="00EE6A2D"/>
    <w:rsid w:val="00EF5BD3"/>
    <w:rsid w:val="00EF71B3"/>
    <w:rsid w:val="00F01533"/>
    <w:rsid w:val="00F01DBA"/>
    <w:rsid w:val="00F0336E"/>
    <w:rsid w:val="00F05549"/>
    <w:rsid w:val="00F05B59"/>
    <w:rsid w:val="00F159B2"/>
    <w:rsid w:val="00F22E30"/>
    <w:rsid w:val="00F24AE8"/>
    <w:rsid w:val="00F26E79"/>
    <w:rsid w:val="00F27EE3"/>
    <w:rsid w:val="00F366FC"/>
    <w:rsid w:val="00F415DF"/>
    <w:rsid w:val="00F45E63"/>
    <w:rsid w:val="00F464DD"/>
    <w:rsid w:val="00F573B4"/>
    <w:rsid w:val="00F73493"/>
    <w:rsid w:val="00F75382"/>
    <w:rsid w:val="00F77630"/>
    <w:rsid w:val="00F8162A"/>
    <w:rsid w:val="00F81E1F"/>
    <w:rsid w:val="00F855B8"/>
    <w:rsid w:val="00F906D2"/>
    <w:rsid w:val="00F91D6E"/>
    <w:rsid w:val="00F92370"/>
    <w:rsid w:val="00F92B1C"/>
    <w:rsid w:val="00FA188D"/>
    <w:rsid w:val="00FA1FE3"/>
    <w:rsid w:val="00FA366C"/>
    <w:rsid w:val="00FA7F29"/>
    <w:rsid w:val="00FB7C56"/>
    <w:rsid w:val="00FC3591"/>
    <w:rsid w:val="00FC473D"/>
    <w:rsid w:val="00FC4F1B"/>
    <w:rsid w:val="00FC565B"/>
    <w:rsid w:val="00FC73F0"/>
    <w:rsid w:val="00FD40BC"/>
    <w:rsid w:val="00FD6DB8"/>
    <w:rsid w:val="00FE4B5F"/>
    <w:rsid w:val="00FE5A75"/>
    <w:rsid w:val="00FF42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50B42C-B953-43E6-B10F-83A5CECF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Arial Narrow"/>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75ED"/>
    <w:pPr>
      <w:spacing w:after="200" w:line="276" w:lineRule="auto"/>
    </w:pPr>
    <w:rPr>
      <w:rFonts w:cs="Times New Roman"/>
      <w:sz w:val="22"/>
      <w:szCs w:val="3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 Char Char Char Char Char,Plonk,f"/>
    <w:basedOn w:val="Normlny"/>
    <w:link w:val="TextpoznmkypodiarouChar"/>
    <w:uiPriority w:val="99"/>
    <w:unhideWhenUsed/>
    <w:rsid w:val="00391DED"/>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Plonk Char,f Char"/>
    <w:basedOn w:val="Predvolenpsmoodseku"/>
    <w:link w:val="Textpoznmkypodiarou"/>
    <w:uiPriority w:val="99"/>
    <w:locked/>
    <w:rsid w:val="00391DED"/>
    <w:rPr>
      <w:rFonts w:cs="Times New Roman"/>
      <w:lang w:val="x-none"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rsid w:val="00391DED"/>
    <w:rPr>
      <w:rFonts w:cs="Times New Roman"/>
      <w:vertAlign w:val="superscript"/>
    </w:rPr>
  </w:style>
  <w:style w:type="character" w:styleId="Odkaznakomentr">
    <w:name w:val="annotation reference"/>
    <w:basedOn w:val="Predvolenpsmoodseku"/>
    <w:uiPriority w:val="99"/>
    <w:semiHidden/>
    <w:unhideWhenUsed/>
    <w:rsid w:val="009F7812"/>
    <w:rPr>
      <w:rFonts w:cs="Times New Roman"/>
      <w:sz w:val="16"/>
    </w:rPr>
  </w:style>
  <w:style w:type="paragraph" w:styleId="Textkomentra">
    <w:name w:val="annotation text"/>
    <w:basedOn w:val="Normlny"/>
    <w:link w:val="TextkomentraChar"/>
    <w:uiPriority w:val="99"/>
    <w:semiHidden/>
    <w:unhideWhenUsed/>
    <w:rsid w:val="009F7812"/>
    <w:rPr>
      <w:sz w:val="20"/>
      <w:szCs w:val="20"/>
    </w:rPr>
  </w:style>
  <w:style w:type="character" w:customStyle="1" w:styleId="TextkomentraChar">
    <w:name w:val="Text komentára Char"/>
    <w:basedOn w:val="Predvolenpsmoodseku"/>
    <w:link w:val="Textkomentra"/>
    <w:uiPriority w:val="99"/>
    <w:semiHidden/>
    <w:locked/>
    <w:rsid w:val="009F7812"/>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9F7812"/>
    <w:rPr>
      <w:b/>
      <w:bCs/>
    </w:rPr>
  </w:style>
  <w:style w:type="character" w:customStyle="1" w:styleId="PredmetkomentraChar">
    <w:name w:val="Predmet komentára Char"/>
    <w:basedOn w:val="TextkomentraChar"/>
    <w:link w:val="Predmetkomentra"/>
    <w:uiPriority w:val="99"/>
    <w:semiHidden/>
    <w:locked/>
    <w:rsid w:val="009F7812"/>
    <w:rPr>
      <w:rFonts w:cs="Times New Roman"/>
      <w:b/>
      <w:lang w:val="x-none" w:eastAsia="en-US"/>
    </w:rPr>
  </w:style>
  <w:style w:type="paragraph" w:styleId="Textbubliny">
    <w:name w:val="Balloon Text"/>
    <w:basedOn w:val="Normlny"/>
    <w:link w:val="TextbublinyChar"/>
    <w:uiPriority w:val="99"/>
    <w:semiHidden/>
    <w:unhideWhenUsed/>
    <w:rsid w:val="009F781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F7812"/>
    <w:rPr>
      <w:rFonts w:ascii="Tahoma" w:hAnsi="Tahoma" w:cs="Times New Roman"/>
      <w:sz w:val="16"/>
      <w:lang w:val="x-none" w:eastAsia="en-US"/>
    </w:rPr>
  </w:style>
  <w:style w:type="paragraph" w:customStyle="1" w:styleId="Zarkazkladnhotextu1">
    <w:name w:val="Zarážka základného textu1"/>
    <w:basedOn w:val="Normlny"/>
    <w:link w:val="BodyTextIndentChar"/>
    <w:rsid w:val="00B32E22"/>
    <w:pPr>
      <w:spacing w:after="120" w:line="240" w:lineRule="auto"/>
      <w:ind w:left="283"/>
    </w:pPr>
    <w:rPr>
      <w:rFonts w:ascii="Courier" w:hAnsi="Courier" w:cs="Courier"/>
      <w:sz w:val="24"/>
      <w:szCs w:val="24"/>
      <w:lang w:eastAsia="cs-CZ"/>
    </w:rPr>
  </w:style>
  <w:style w:type="character" w:customStyle="1" w:styleId="BodyTextIndentChar">
    <w:name w:val="Body Text Indent Char"/>
    <w:link w:val="Zarkazkladnhotextu1"/>
    <w:locked/>
    <w:rsid w:val="00B32E22"/>
    <w:rPr>
      <w:rFonts w:ascii="Courier" w:hAnsi="Courier"/>
      <w:sz w:val="24"/>
      <w:lang w:val="x-none" w:eastAsia="cs-CZ"/>
    </w:rPr>
  </w:style>
  <w:style w:type="paragraph" w:styleId="Hlavika">
    <w:name w:val="header"/>
    <w:basedOn w:val="Normlny"/>
    <w:link w:val="HlavikaChar"/>
    <w:uiPriority w:val="99"/>
    <w:unhideWhenUsed/>
    <w:rsid w:val="00880AC1"/>
    <w:pPr>
      <w:tabs>
        <w:tab w:val="center" w:pos="4536"/>
        <w:tab w:val="right" w:pos="9072"/>
      </w:tabs>
    </w:pPr>
  </w:style>
  <w:style w:type="character" w:customStyle="1" w:styleId="HlavikaChar">
    <w:name w:val="Hlavička Char"/>
    <w:basedOn w:val="Predvolenpsmoodseku"/>
    <w:link w:val="Hlavika"/>
    <w:uiPriority w:val="99"/>
    <w:locked/>
    <w:rsid w:val="00880AC1"/>
    <w:rPr>
      <w:rFonts w:cs="Times New Roman"/>
      <w:sz w:val="36"/>
      <w:szCs w:val="36"/>
      <w:lang w:val="x-none" w:eastAsia="en-US"/>
    </w:rPr>
  </w:style>
  <w:style w:type="paragraph" w:styleId="Pta">
    <w:name w:val="footer"/>
    <w:basedOn w:val="Normlny"/>
    <w:link w:val="PtaChar"/>
    <w:uiPriority w:val="99"/>
    <w:unhideWhenUsed/>
    <w:rsid w:val="00880AC1"/>
    <w:pPr>
      <w:tabs>
        <w:tab w:val="center" w:pos="4536"/>
        <w:tab w:val="right" w:pos="9072"/>
      </w:tabs>
    </w:pPr>
  </w:style>
  <w:style w:type="character" w:customStyle="1" w:styleId="PtaChar">
    <w:name w:val="Päta Char"/>
    <w:basedOn w:val="Predvolenpsmoodseku"/>
    <w:link w:val="Pta"/>
    <w:uiPriority w:val="99"/>
    <w:locked/>
    <w:rsid w:val="00880AC1"/>
    <w:rPr>
      <w:rFonts w:cs="Times New Roman"/>
      <w:sz w:val="36"/>
      <w:szCs w:val="36"/>
      <w:lang w:val="x-none" w:eastAsia="en-US"/>
    </w:rPr>
  </w:style>
  <w:style w:type="paragraph" w:styleId="Odsekzoznamu">
    <w:name w:val="List Paragraph"/>
    <w:basedOn w:val="Normlny"/>
    <w:uiPriority w:val="34"/>
    <w:qFormat/>
    <w:rsid w:val="002A2754"/>
    <w:pPr>
      <w:spacing w:after="0" w:line="240" w:lineRule="auto"/>
      <w:ind w:left="720"/>
    </w:pPr>
    <w:rPr>
      <w:rFonts w:ascii="Times New Roman" w:hAnsi="Times New Roman"/>
      <w:sz w:val="24"/>
      <w:szCs w:val="24"/>
      <w:lang w:eastAsia="sk-SK"/>
    </w:rPr>
  </w:style>
  <w:style w:type="character" w:styleId="Hypertextovprepojenie">
    <w:name w:val="Hyperlink"/>
    <w:basedOn w:val="Predvolenpsmoodseku"/>
    <w:uiPriority w:val="99"/>
    <w:unhideWhenUsed/>
    <w:rsid w:val="00255C8D"/>
    <w:rPr>
      <w:rFonts w:cs="Times New Roman"/>
      <w:color w:val="9E150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495274">
      <w:marLeft w:val="0"/>
      <w:marRight w:val="0"/>
      <w:marTop w:val="0"/>
      <w:marBottom w:val="0"/>
      <w:divBdr>
        <w:top w:val="none" w:sz="0" w:space="0" w:color="auto"/>
        <w:left w:val="none" w:sz="0" w:space="0" w:color="auto"/>
        <w:bottom w:val="none" w:sz="0" w:space="0" w:color="auto"/>
        <w:right w:val="none" w:sz="0" w:space="0" w:color="auto"/>
      </w:divBdr>
    </w:div>
    <w:div w:id="1660495275">
      <w:marLeft w:val="0"/>
      <w:marRight w:val="0"/>
      <w:marTop w:val="0"/>
      <w:marBottom w:val="0"/>
      <w:divBdr>
        <w:top w:val="none" w:sz="0" w:space="0" w:color="auto"/>
        <w:left w:val="none" w:sz="0" w:space="0" w:color="auto"/>
        <w:bottom w:val="none" w:sz="0" w:space="0" w:color="auto"/>
        <w:right w:val="none" w:sz="0" w:space="0" w:color="auto"/>
      </w:divBdr>
    </w:div>
    <w:div w:id="1660495276">
      <w:marLeft w:val="0"/>
      <w:marRight w:val="0"/>
      <w:marTop w:val="0"/>
      <w:marBottom w:val="0"/>
      <w:divBdr>
        <w:top w:val="none" w:sz="0" w:space="0" w:color="auto"/>
        <w:left w:val="none" w:sz="0" w:space="0" w:color="auto"/>
        <w:bottom w:val="none" w:sz="0" w:space="0" w:color="auto"/>
        <w:right w:val="none" w:sz="0" w:space="0" w:color="auto"/>
      </w:divBdr>
    </w:div>
    <w:div w:id="1660495277">
      <w:marLeft w:val="0"/>
      <w:marRight w:val="0"/>
      <w:marTop w:val="0"/>
      <w:marBottom w:val="0"/>
      <w:divBdr>
        <w:top w:val="none" w:sz="0" w:space="0" w:color="auto"/>
        <w:left w:val="none" w:sz="0" w:space="0" w:color="auto"/>
        <w:bottom w:val="none" w:sz="0" w:space="0" w:color="auto"/>
        <w:right w:val="none" w:sz="0" w:space="0" w:color="auto"/>
      </w:divBdr>
    </w:div>
    <w:div w:id="1660495278">
      <w:marLeft w:val="0"/>
      <w:marRight w:val="0"/>
      <w:marTop w:val="0"/>
      <w:marBottom w:val="0"/>
      <w:divBdr>
        <w:top w:val="none" w:sz="0" w:space="0" w:color="auto"/>
        <w:left w:val="none" w:sz="0" w:space="0" w:color="auto"/>
        <w:bottom w:val="none" w:sz="0" w:space="0" w:color="auto"/>
        <w:right w:val="none" w:sz="0" w:space="0" w:color="auto"/>
      </w:divBdr>
    </w:div>
    <w:div w:id="1660495279">
      <w:marLeft w:val="0"/>
      <w:marRight w:val="0"/>
      <w:marTop w:val="0"/>
      <w:marBottom w:val="0"/>
      <w:divBdr>
        <w:top w:val="none" w:sz="0" w:space="0" w:color="auto"/>
        <w:left w:val="none" w:sz="0" w:space="0" w:color="auto"/>
        <w:bottom w:val="none" w:sz="0" w:space="0" w:color="auto"/>
        <w:right w:val="none" w:sz="0" w:space="0" w:color="auto"/>
      </w:divBdr>
    </w:div>
    <w:div w:id="1660495280">
      <w:marLeft w:val="0"/>
      <w:marRight w:val="0"/>
      <w:marTop w:val="0"/>
      <w:marBottom w:val="0"/>
      <w:divBdr>
        <w:top w:val="none" w:sz="0" w:space="0" w:color="auto"/>
        <w:left w:val="none" w:sz="0" w:space="0" w:color="auto"/>
        <w:bottom w:val="none" w:sz="0" w:space="0" w:color="auto"/>
        <w:right w:val="none" w:sz="0" w:space="0" w:color="auto"/>
      </w:divBdr>
    </w:div>
    <w:div w:id="1660495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sm.europa.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EC0ED-BF8B-4DA0-93BE-59C6BE68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2554</Words>
  <Characters>14563</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mfsr</Company>
  <LinksUpToDate>false</LinksUpToDate>
  <CharactersWithSpaces>17083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pivanek</dc:creator>
  <cp:keywords/>
  <dc:description/>
  <cp:lastModifiedBy>Vrankova Miroslava</cp:lastModifiedBy>
  <cp:revision>66</cp:revision>
  <cp:lastPrinted>2019-10-04T15:09:00Z</cp:lastPrinted>
  <dcterms:created xsi:type="dcterms:W3CDTF">2019-10-04T14:43:00Z</dcterms:created>
  <dcterms:modified xsi:type="dcterms:W3CDTF">2019-10-09T09:26:00Z</dcterms:modified>
</cp:coreProperties>
</file>