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233A93">
      <w:pPr>
        <w:pStyle w:val="Title"/>
      </w:pPr>
      <w:r>
        <w:t>NÁRODNÁ RADA SLOVENSKEJ REPUBLIKY</w:t>
      </w:r>
    </w:p>
    <w:p w:rsidR="00233A93">
      <w:pPr>
        <w:pStyle w:val="Subtitle"/>
      </w:pPr>
      <w:r w:rsidR="00AF1636">
        <w:t>V</w:t>
      </w:r>
      <w:r w:rsidR="00C23D38">
        <w:t>I</w:t>
      </w:r>
      <w:r w:rsidR="001B11BA">
        <w:t>I</w:t>
      </w:r>
      <w:r>
        <w:t>. volebné obdobie</w:t>
      </w:r>
    </w:p>
    <w:p w:rsidR="00233A93">
      <w:r>
        <w:t>___________________________________________________________________________</w:t>
      </w:r>
    </w:p>
    <w:p w:rsidR="00233A93">
      <w:r w:rsidR="008E794A">
        <w:t>K číslu</w:t>
      </w:r>
      <w:r>
        <w:t>:</w:t>
      </w:r>
      <w:r w:rsidR="00BF3C60">
        <w:t xml:space="preserve"> </w:t>
      </w:r>
      <w:r w:rsidR="00996C6F">
        <w:t>1740</w:t>
      </w:r>
      <w:r w:rsidR="003D6EDC">
        <w:t>/</w:t>
      </w:r>
      <w:r w:rsidR="009F1034">
        <w:t>20</w:t>
      </w:r>
      <w:r w:rsidR="00CD2A22">
        <w:t>1</w:t>
      </w:r>
      <w:r w:rsidR="00FE1C8D">
        <w:t>9</w:t>
      </w:r>
      <w:r>
        <w:tab/>
        <w:tab/>
        <w:tab/>
        <w:tab/>
      </w:r>
    </w:p>
    <w:p w:rsidR="00233A93"/>
    <w:p w:rsidR="008E794A"/>
    <w:p w:rsidR="00A46744"/>
    <w:p w:rsidR="00AB15C9"/>
    <w:p w:rsidR="00233A93" w:rsidP="0085353E">
      <w:pPr>
        <w:jc w:val="center"/>
        <w:rPr>
          <w:b/>
          <w:bCs/>
          <w:sz w:val="28"/>
        </w:rPr>
      </w:pPr>
      <w:r w:rsidR="004D053D">
        <w:rPr>
          <w:b/>
          <w:bCs/>
          <w:sz w:val="28"/>
        </w:rPr>
        <w:t>1</w:t>
      </w:r>
      <w:r w:rsidR="00996C6F">
        <w:rPr>
          <w:b/>
          <w:bCs/>
          <w:sz w:val="28"/>
        </w:rPr>
        <w:t>59</w:t>
      </w:r>
      <w:r w:rsidR="00401D7D">
        <w:rPr>
          <w:b/>
          <w:bCs/>
          <w:sz w:val="28"/>
        </w:rPr>
        <w:t>3</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FE1C8D" w:rsidP="00FE1C8D">
      <w:pPr>
        <w:jc w:val="both"/>
        <w:rPr>
          <w:b/>
        </w:rPr>
      </w:pPr>
      <w:r w:rsidRPr="00FE1C8D" w:rsidR="001856F2">
        <w:rPr>
          <w:b/>
        </w:rPr>
        <w:t>výborov</w:t>
      </w:r>
      <w:r w:rsidRPr="00FE1C8D">
        <w:rPr>
          <w:b/>
        </w:rPr>
        <w:t xml:space="preserve"> Národnej rady Sl</w:t>
      </w:r>
      <w:r w:rsidRPr="00FE1C8D" w:rsidR="00401761">
        <w:rPr>
          <w:b/>
        </w:rPr>
        <w:t xml:space="preserve">ovenskej republiky </w:t>
      </w:r>
      <w:r w:rsidRPr="00FE1C8D">
        <w:rPr>
          <w:b/>
        </w:rPr>
        <w:t>o výsledku prer</w:t>
      </w:r>
      <w:r w:rsidRPr="00FE1C8D">
        <w:rPr>
          <w:b/>
        </w:rPr>
        <w:t>okovania</w:t>
      </w:r>
      <w:r w:rsidRPr="00401D7D" w:rsidR="00401D7D">
        <w:t xml:space="preserve"> </w:t>
      </w:r>
      <w:r w:rsidRPr="001013D6" w:rsidR="00996C6F">
        <w:rPr>
          <w:b/>
        </w:rPr>
        <w:t>v</w:t>
      </w:r>
      <w:r w:rsidRPr="001013D6" w:rsidR="00996C6F">
        <w:rPr>
          <w:b/>
          <w:bCs/>
          <w:iCs/>
        </w:rPr>
        <w:t>ládneho</w:t>
      </w:r>
      <w:r w:rsidRPr="00067A9D" w:rsidR="00996C6F">
        <w:rPr>
          <w:b/>
          <w:bCs/>
          <w:iCs/>
        </w:rPr>
        <w:t xml:space="preserve"> návrh</w:t>
      </w:r>
      <w:r w:rsidR="00996C6F">
        <w:rPr>
          <w:b/>
          <w:bCs/>
          <w:iCs/>
        </w:rPr>
        <w:t>u</w:t>
      </w:r>
      <w:r w:rsidRPr="00067A9D" w:rsidR="00996C6F">
        <w:rPr>
          <w:b/>
          <w:bCs/>
          <w:iCs/>
        </w:rPr>
        <w:t xml:space="preserve"> zákona, ktorým sa mení a dopĺňa zákon č. 609/2007 Z. z. o spotrebnej dani z elektriny, uhlia a zemného plynu a o zmene a doplnení zákona č. 98/2004 Z. z. o spotrebnej dani z minerálneho oleja v znení neskorších predpisov a ktorým sa mení a dopĺňa zákon č. 98/2004 Z. z. o spotrebnej dani z minerálneho oleja v znení neskorších predpisov </w:t>
      </w:r>
      <w:r w:rsidRPr="007226BB" w:rsidR="00996C6F">
        <w:rPr>
          <w:b/>
          <w:bCs/>
          <w:iCs/>
        </w:rPr>
        <w:t>(tlač 1593)</w:t>
      </w:r>
      <w:r w:rsidR="00996C6F">
        <w:rPr>
          <w:b/>
          <w:bCs/>
          <w:iCs/>
        </w:rPr>
        <w:t xml:space="preserve"> </w:t>
      </w:r>
      <w:r w:rsidRPr="00FE1C8D">
        <w:rPr>
          <w:b/>
        </w:rPr>
        <w:t>v</w:t>
      </w:r>
      <w:r w:rsidRPr="00FE1C8D" w:rsidR="00D57D3E">
        <w:rPr>
          <w:b/>
        </w:rPr>
        <w:t xml:space="preserve">o výboroch Národnej rady Slovenskej republiky v </w:t>
      </w:r>
      <w:r w:rsidRPr="00FE1C8D">
        <w:rPr>
          <w:b/>
        </w:rPr>
        <w:t xml:space="preserve">druhom čítaní </w:t>
      </w:r>
    </w:p>
    <w:p w:rsidR="00233A93" w:rsidRPr="00846B8E" w:rsidP="00846B8E">
      <w:pPr>
        <w:jc w:val="both"/>
        <w:rPr>
          <w:b/>
        </w:rPr>
      </w:pPr>
      <w:r w:rsidRPr="00846B8E">
        <w:rPr>
          <w:b/>
        </w:rPr>
        <w:t>__________________________________________________________________________</w:t>
      </w:r>
      <w:r w:rsidRPr="00846B8E">
        <w:rPr>
          <w:b/>
        </w:rPr>
        <w:t>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FE1C8D">
        <w:t xml:space="preserve">vládneho </w:t>
      </w:r>
      <w:r>
        <w:t>návrhu zákona.</w:t>
      </w:r>
    </w:p>
    <w:p w:rsidR="00D35084">
      <w:pPr>
        <w:jc w:val="both"/>
      </w:pPr>
      <w:r w:rsidR="00233A93">
        <w:tab/>
        <w:tab/>
        <w:tab/>
        <w:tab/>
        <w:tab/>
      </w:r>
    </w:p>
    <w:p w:rsidR="00AB15C9">
      <w:pPr>
        <w:jc w:val="both"/>
      </w:pPr>
    </w:p>
    <w:p w:rsidR="00233A93">
      <w:pPr>
        <w:jc w:val="center"/>
        <w:rPr>
          <w:b/>
          <w:bCs/>
        </w:rPr>
      </w:pPr>
      <w:r>
        <w:rPr>
          <w:b/>
          <w:bCs/>
        </w:rPr>
        <w:t>I.</w:t>
      </w:r>
    </w:p>
    <w:p w:rsidR="00233A93">
      <w:pPr>
        <w:jc w:val="center"/>
        <w:rPr>
          <w:b/>
          <w:bCs/>
        </w:rPr>
      </w:pPr>
    </w:p>
    <w:p w:rsidR="00233A93" w:rsidRPr="004D053D" w:rsidP="004D053D">
      <w:pPr>
        <w:pStyle w:val="BodyText"/>
        <w:rPr>
          <w:b w:val="0"/>
        </w:rPr>
      </w:pPr>
      <w:r w:rsidRPr="004D053D">
        <w:rPr>
          <w:b w:val="0"/>
        </w:rPr>
        <w:t>Národná rada Sl</w:t>
      </w:r>
      <w:r w:rsidRPr="004D053D" w:rsidR="00680EDA">
        <w:rPr>
          <w:b w:val="0"/>
        </w:rPr>
        <w:t xml:space="preserve">ovenskej republiky </w:t>
      </w:r>
      <w:r w:rsidRPr="004D053D" w:rsidR="0018539F">
        <w:rPr>
          <w:b w:val="0"/>
        </w:rPr>
        <w:t>uznesením</w:t>
      </w:r>
      <w:r w:rsidRPr="004D053D" w:rsidR="00CE5AB9">
        <w:rPr>
          <w:b w:val="0"/>
        </w:rPr>
        <w:t xml:space="preserve"> </w:t>
      </w:r>
      <w:r w:rsidRPr="004D053D" w:rsidR="000965A1">
        <w:rPr>
          <w:b w:val="0"/>
        </w:rPr>
        <w:t>č.</w:t>
      </w:r>
      <w:r w:rsidRPr="004D053D" w:rsidR="006F2D15">
        <w:rPr>
          <w:b w:val="0"/>
        </w:rPr>
        <w:t xml:space="preserve"> </w:t>
      </w:r>
      <w:r w:rsidRPr="00D4559F" w:rsidR="00D4559F">
        <w:rPr>
          <w:b w:val="0"/>
        </w:rPr>
        <w:t>1996</w:t>
      </w:r>
      <w:r w:rsidRPr="00D4559F" w:rsidR="00C23D38">
        <w:rPr>
          <w:b w:val="0"/>
        </w:rPr>
        <w:t xml:space="preserve"> </w:t>
      </w:r>
      <w:r w:rsidRPr="00D4559F">
        <w:rPr>
          <w:b w:val="0"/>
        </w:rPr>
        <w:t>z</w:t>
      </w:r>
      <w:r w:rsidRPr="00D4559F" w:rsidR="00893F40">
        <w:rPr>
          <w:b w:val="0"/>
        </w:rPr>
        <w:t xml:space="preserve"> </w:t>
      </w:r>
      <w:r w:rsidRPr="00D4559F" w:rsidR="00D4559F">
        <w:rPr>
          <w:b w:val="0"/>
        </w:rPr>
        <w:t>11</w:t>
      </w:r>
      <w:r w:rsidRPr="00D4559F" w:rsidR="00996C6F">
        <w:rPr>
          <w:b w:val="0"/>
        </w:rPr>
        <w:t>.</w:t>
      </w:r>
      <w:r w:rsidRPr="00D4559F" w:rsidR="00D4559F">
        <w:rPr>
          <w:b w:val="0"/>
        </w:rPr>
        <w:t xml:space="preserve"> </w:t>
      </w:r>
      <w:r w:rsidRPr="00D4559F" w:rsidR="00996C6F">
        <w:rPr>
          <w:b w:val="0"/>
        </w:rPr>
        <w:t>septembra</w:t>
      </w:r>
      <w:r w:rsidRPr="00D4559F" w:rsidR="00CD2A22">
        <w:rPr>
          <w:b w:val="0"/>
        </w:rPr>
        <w:t xml:space="preserve"> </w:t>
      </w:r>
      <w:r w:rsidRPr="00D4559F">
        <w:rPr>
          <w:b w:val="0"/>
        </w:rPr>
        <w:t>20</w:t>
      </w:r>
      <w:r w:rsidRPr="00D4559F" w:rsidR="00CD2A22">
        <w:rPr>
          <w:b w:val="0"/>
        </w:rPr>
        <w:t>1</w:t>
      </w:r>
      <w:r w:rsidRPr="00D4559F" w:rsidR="004D053D">
        <w:rPr>
          <w:b w:val="0"/>
        </w:rPr>
        <w:t>9</w:t>
      </w:r>
      <w:r w:rsidRPr="004D053D" w:rsidR="009F77AE">
        <w:rPr>
          <w:b w:val="0"/>
        </w:rPr>
        <w:t xml:space="preserve"> </w:t>
      </w:r>
      <w:r w:rsidRPr="004D053D">
        <w:rPr>
          <w:b w:val="0"/>
        </w:rPr>
        <w:t>pridel</w:t>
      </w:r>
      <w:r w:rsidRPr="004D053D">
        <w:rPr>
          <w:b w:val="0"/>
        </w:rPr>
        <w:t>ila</w:t>
      </w:r>
      <w:r w:rsidRPr="004D053D" w:rsidR="00353558">
        <w:rPr>
          <w:b w:val="0"/>
        </w:rPr>
        <w:t xml:space="preserve"> </w:t>
      </w:r>
      <w:r w:rsidRPr="001013D6" w:rsidR="00996C6F">
        <w:rPr>
          <w:b w:val="0"/>
        </w:rPr>
        <w:t>v</w:t>
      </w:r>
      <w:r w:rsidRPr="001013D6" w:rsidR="00996C6F">
        <w:rPr>
          <w:b w:val="0"/>
          <w:bCs w:val="0"/>
          <w:iCs/>
        </w:rPr>
        <w:t>ládn</w:t>
      </w:r>
      <w:r w:rsidR="00996C6F">
        <w:rPr>
          <w:b w:val="0"/>
          <w:bCs w:val="0"/>
          <w:iCs/>
        </w:rPr>
        <w:t>y</w:t>
      </w:r>
      <w:r w:rsidRPr="00067A9D" w:rsidR="00996C6F">
        <w:rPr>
          <w:b w:val="0"/>
          <w:bCs w:val="0"/>
          <w:iCs/>
        </w:rPr>
        <w:t xml:space="preserve"> návrh zákona, ktorým sa mení a dopĺňa zákon č. 609/2007 Z. z. o spotrebnej dani z elektriny, uhlia a zemného plynu a o zmene a doplnení zákona č. 98/2004 Z. z. o spotrebnej dani z minerálneho oleja v znení neskorších predpisov a ktorým sa mení a dopĺňa zákon č. 98/2004 Z. z. o spotrebnej dani z minerálneho oleja v znení neskorších predpisov </w:t>
      </w:r>
      <w:r w:rsidRPr="007226BB" w:rsidR="00996C6F">
        <w:rPr>
          <w:b w:val="0"/>
          <w:bCs w:val="0"/>
          <w:iCs/>
        </w:rPr>
        <w:t>(tlač 1593)</w:t>
      </w:r>
      <w:r w:rsidR="00996C6F">
        <w:rPr>
          <w:b w:val="0"/>
          <w:bCs w:val="0"/>
          <w:iCs/>
        </w:rPr>
        <w:t xml:space="preserve"> </w:t>
      </w:r>
      <w:r w:rsidRPr="004D053D">
        <w:rPr>
          <w:b w:val="0"/>
        </w:rPr>
        <w:t>týmto výborom Národnej rady Slovenskej republiky</w:t>
      </w:r>
      <w:r w:rsidRPr="004D053D" w:rsidR="00184003">
        <w:rPr>
          <w:b w:val="0"/>
        </w:rPr>
        <w:t xml:space="preserve"> </w:t>
      </w:r>
      <w:r w:rsidRPr="004D053D">
        <w:rPr>
          <w:b w:val="0"/>
        </w:rPr>
        <w:t>:</w:t>
      </w:r>
    </w:p>
    <w:p w:rsidR="001B11BA">
      <w:pPr>
        <w:pStyle w:val="BodyText2"/>
        <w:jc w:val="left"/>
      </w:pPr>
    </w:p>
    <w:p w:rsidR="00233A93" w:rsidP="00227BF3">
      <w:pPr>
        <w:pStyle w:val="BodyText2"/>
        <w:numPr>
          <w:ilvl w:val="0"/>
          <w:numId w:val="1"/>
        </w:numPr>
      </w:pPr>
      <w:r>
        <w:t>Výboru Národnej rady Slovenskej republiky pre financie</w:t>
      </w:r>
      <w:r w:rsidR="00452CA8">
        <w:t xml:space="preserve"> a</w:t>
      </w:r>
      <w:r w:rsidR="002C3917">
        <w:t> </w:t>
      </w:r>
      <w:r>
        <w:t>rozpočet</w:t>
      </w:r>
      <w:r w:rsidR="002C3917">
        <w:t>,</w:t>
      </w:r>
      <w:r>
        <w:t xml:space="preserve"> </w:t>
      </w:r>
    </w:p>
    <w:p w:rsidR="00A46744" w:rsidP="000F719E">
      <w:pPr>
        <w:pStyle w:val="BodyText2"/>
        <w:numPr>
          <w:ilvl w:val="0"/>
          <w:numId w:val="1"/>
        </w:numPr>
      </w:pPr>
      <w:r w:rsidR="00233A93">
        <w:t>Ústavnoprávnemu výboru Nár</w:t>
      </w:r>
      <w:r w:rsidR="00233A93">
        <w:t>odnej rady Slovenskej republiky</w:t>
      </w:r>
      <w:r w:rsidR="00401D7D">
        <w:t>,</w:t>
      </w:r>
    </w:p>
    <w:p w:rsidR="00401D7D" w:rsidRPr="000F719E" w:rsidP="000F719E">
      <w:pPr>
        <w:pStyle w:val="BodyText2"/>
        <w:numPr>
          <w:ilvl w:val="0"/>
          <w:numId w:val="1"/>
        </w:numPr>
      </w:pPr>
      <w:r>
        <w:t>Výboru Národnej rady Slovenskej republiky pre hospodárske záležitosti.</w:t>
      </w:r>
    </w:p>
    <w:p w:rsidR="00FE1C8D" w:rsidP="00DE62F6">
      <w:pPr>
        <w:tabs>
          <w:tab w:val="left" w:pos="-1985"/>
          <w:tab w:val="left" w:pos="709"/>
        </w:tabs>
        <w:jc w:val="both"/>
        <w:rPr>
          <w:bCs/>
        </w:rPr>
      </w:pPr>
    </w:p>
    <w:p w:rsidR="000F719E" w:rsidP="00DE62F6">
      <w:pPr>
        <w:tabs>
          <w:tab w:val="left" w:pos="-1985"/>
          <w:tab w:val="left" w:pos="709"/>
        </w:tabs>
        <w:jc w:val="both"/>
        <w:rPr>
          <w:bCs/>
        </w:rPr>
      </w:pPr>
    </w:p>
    <w:p w:rsidR="00DE62F6" w:rsidRPr="00AB15C9" w:rsidP="00DE62F6">
      <w:pPr>
        <w:tabs>
          <w:tab w:val="left" w:pos="-1985"/>
          <w:tab w:val="left" w:pos="709"/>
        </w:tabs>
        <w:jc w:val="both"/>
        <w:rPr>
          <w:bCs/>
        </w:rPr>
      </w:pPr>
      <w:r w:rsidRPr="00AB15C9">
        <w:rPr>
          <w:bCs/>
        </w:rPr>
        <w:t>Určila zároveň Výbor Národnej rady Slovenskej republiky pre financie a rozpo</w:t>
      </w:r>
      <w:r w:rsidR="00AB15C9">
        <w:rPr>
          <w:bCs/>
        </w:rPr>
        <w:t>čet ako gestorský výbor a lehotu</w:t>
      </w:r>
      <w:r w:rsidRPr="00AB15C9">
        <w:rPr>
          <w:bCs/>
        </w:rPr>
        <w:t xml:space="preserve"> na prerokovanie predmetného </w:t>
      </w:r>
      <w:r w:rsidR="00FE1C8D">
        <w:rPr>
          <w:bCs/>
        </w:rPr>
        <w:t xml:space="preserve">vládneho </w:t>
      </w:r>
      <w:r w:rsidRPr="00AB15C9">
        <w:rPr>
          <w:bCs/>
        </w:rPr>
        <w:t>návrhu zákona v druhom čítaní vo výboroch.</w:t>
      </w:r>
    </w:p>
    <w:p w:rsidR="00A46744" w:rsidP="004F7FF6">
      <w:pPr>
        <w:pStyle w:val="BodyText2"/>
        <w:ind w:left="705"/>
      </w:pPr>
    </w:p>
    <w:p w:rsidR="00AB15C9" w:rsidP="004F7FF6">
      <w:pPr>
        <w:pStyle w:val="BodyText2"/>
        <w:ind w:left="705"/>
      </w:pPr>
    </w:p>
    <w:p w:rsidR="00233A93">
      <w:pPr>
        <w:pStyle w:val="BodyText2"/>
        <w:jc w:val="center"/>
        <w:rPr>
          <w:b/>
        </w:rPr>
      </w:pPr>
      <w:r>
        <w:rPr>
          <w:b/>
        </w:rPr>
        <w:t>II.</w:t>
      </w:r>
    </w:p>
    <w:p w:rsidR="00A46744">
      <w:pPr>
        <w:pStyle w:val="BodyText2"/>
        <w:jc w:val="center"/>
        <w:rPr>
          <w:b/>
        </w:rPr>
      </w:pPr>
    </w:p>
    <w:p w:rsidR="00A46744" w:rsidRPr="00A46744" w:rsidP="00A46744">
      <w:pPr>
        <w:tabs>
          <w:tab w:val="left" w:pos="-1985"/>
          <w:tab w:val="left" w:pos="709"/>
          <w:tab w:val="left" w:pos="1077"/>
        </w:tabs>
        <w:jc w:val="both"/>
      </w:pPr>
      <w:r w:rsidRPr="00A46744">
        <w:t xml:space="preserve">Poslanci Národnej rady Slovenskej republiky, ktorí nie sú členmi výborov, ktorým bol návrh zákona pridelený, </w:t>
      </w:r>
      <w:r w:rsidRPr="00A46744">
        <w:rPr>
          <w:bCs/>
        </w:rPr>
        <w:t>neoznámili v určenej lehote</w:t>
      </w:r>
      <w:r w:rsidRPr="00A46744">
        <w:t xml:space="preserve"> gestorskému výboru </w:t>
      </w:r>
      <w:r w:rsidRPr="00A46744">
        <w:rPr>
          <w:bCs/>
        </w:rPr>
        <w:t>žiadne stanovisko</w:t>
      </w:r>
      <w:r w:rsidRPr="00A46744">
        <w:t xml:space="preserve"> k predmetnému  </w:t>
      </w:r>
      <w:r w:rsidR="000F719E">
        <w:t xml:space="preserve">vládnemu </w:t>
      </w:r>
      <w:r w:rsidRPr="00A46744">
        <w:t>návrhu zákon</w:t>
      </w:r>
      <w:r w:rsidRPr="00A46744">
        <w:t>a (§ 75 ods. 2 zákona o rokovacom poriadku Národnej rady Slovenskej republiky).</w:t>
      </w:r>
    </w:p>
    <w:p w:rsidR="00A46744" w:rsidP="00324934">
      <w:pPr>
        <w:jc w:val="both"/>
      </w:pPr>
    </w:p>
    <w:p w:rsidR="00AB15C9" w:rsidP="00324934">
      <w:pPr>
        <w:jc w:val="both"/>
      </w:pPr>
    </w:p>
    <w:p w:rsidR="00FE1C8D" w:rsidP="00324934">
      <w:pPr>
        <w:jc w:val="both"/>
      </w:pPr>
    </w:p>
    <w:p w:rsidR="000F719E" w:rsidP="00324934">
      <w:pPr>
        <w:jc w:val="both"/>
      </w:pPr>
    </w:p>
    <w:p w:rsidR="00BD5DAB"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 xml:space="preserve">K predmetnému </w:t>
      </w:r>
      <w:r w:rsidR="00FE1C8D">
        <w:t xml:space="preserve">vládnemu </w:t>
      </w:r>
      <w:r>
        <w:t>návrhu zákona zaujali výbory Národnej rady Slovenskej republiky t</w:t>
      </w:r>
      <w:r w:rsidR="00222206">
        <w:t>oto stanovisko</w:t>
      </w:r>
      <w:r>
        <w:t>:</w:t>
      </w:r>
    </w:p>
    <w:p w:rsidR="00E24C65">
      <w:pPr>
        <w:pStyle w:val="BodyText2"/>
        <w:ind w:firstLine="720"/>
      </w:pPr>
    </w:p>
    <w:p w:rsidR="007A6C10" w:rsidP="00A87F9E">
      <w:pPr>
        <w:pStyle w:val="BodyText2"/>
        <w:numPr>
          <w:ilvl w:val="0"/>
          <w:numId w:val="38"/>
        </w:numPr>
        <w:ind w:left="720"/>
        <w:rPr>
          <w:b/>
          <w:bCs/>
        </w:rPr>
      </w:pPr>
      <w:r w:rsidR="00301D8C">
        <w:t xml:space="preserve">Odporúčanie pre Národnú radu Slovenskej republiky návrh </w:t>
      </w:r>
      <w:r w:rsidRPr="00BF4D55" w:rsidR="00301D8C">
        <w:rPr>
          <w:b/>
          <w:bCs/>
        </w:rPr>
        <w:t xml:space="preserve">schváliť </w:t>
      </w:r>
      <w:r w:rsidR="000F719E">
        <w:rPr>
          <w:b/>
          <w:bCs/>
        </w:rPr>
        <w:t xml:space="preserve">s pozmeňujúcimi a doplňujúcimi návrhmi </w:t>
      </w:r>
    </w:p>
    <w:p w:rsidR="00BF4D55" w:rsidRPr="00BF4D55" w:rsidP="00BF4D55">
      <w:pPr>
        <w:pStyle w:val="BodyText2"/>
        <w:ind w:left="720"/>
        <w:rPr>
          <w:b/>
          <w:bCs/>
        </w:rPr>
      </w:pPr>
    </w:p>
    <w:p w:rsidR="00FE1C8D" w:rsidRPr="00C2284D" w:rsidP="00C2284D">
      <w:pPr>
        <w:pStyle w:val="BodyText2"/>
        <w:numPr>
          <w:ilvl w:val="0"/>
          <w:numId w:val="1"/>
        </w:numPr>
      </w:pPr>
      <w:r w:rsidRPr="00C2284D" w:rsidR="004D053D">
        <w:rPr>
          <w:b/>
        </w:rPr>
        <w:t>Výbor</w:t>
      </w:r>
      <w:r w:rsidRPr="00C2284D" w:rsidR="004D053D">
        <w:t xml:space="preserve"> Národnej rady Slovenskej republiky </w:t>
      </w:r>
      <w:r w:rsidRPr="00C2284D" w:rsidR="004D053D">
        <w:rPr>
          <w:b/>
        </w:rPr>
        <w:t>pre financie a rozpočet</w:t>
      </w:r>
      <w:r w:rsidRPr="00C2284D" w:rsidR="005806D6">
        <w:t xml:space="preserve"> (uzn. č. </w:t>
      </w:r>
      <w:r w:rsidRPr="00C2284D" w:rsidR="00C2284D">
        <w:t>496</w:t>
      </w:r>
      <w:r w:rsidRPr="00C2284D">
        <w:t xml:space="preserve"> zo dňa </w:t>
      </w:r>
      <w:r w:rsidRPr="00C2284D" w:rsidR="00996C6F">
        <w:t>10</w:t>
      </w:r>
      <w:r w:rsidRPr="00C2284D" w:rsidR="000F719E">
        <w:t xml:space="preserve">. </w:t>
      </w:r>
      <w:r w:rsidRPr="00C2284D" w:rsidR="00996C6F">
        <w:t>októbra</w:t>
      </w:r>
      <w:r w:rsidRPr="00C2284D">
        <w:t xml:space="preserve"> 2019)</w:t>
      </w:r>
    </w:p>
    <w:p w:rsidR="004D053D" w:rsidRPr="00C2284D" w:rsidP="007A6C10">
      <w:pPr>
        <w:pStyle w:val="BodyText2"/>
        <w:ind w:left="720"/>
        <w:rPr>
          <w:b/>
          <w:bCs/>
        </w:rPr>
      </w:pPr>
    </w:p>
    <w:p w:rsidR="00FE1C8D" w:rsidRPr="00C2284D" w:rsidP="00FE1C8D">
      <w:pPr>
        <w:pStyle w:val="BodyText2"/>
        <w:numPr>
          <w:ilvl w:val="0"/>
          <w:numId w:val="1"/>
        </w:numPr>
      </w:pPr>
      <w:r w:rsidRPr="00C2284D" w:rsidR="0063094F">
        <w:rPr>
          <w:b/>
        </w:rPr>
        <w:t>Ústavnoprávny výbor</w:t>
      </w:r>
      <w:r w:rsidRPr="00C2284D" w:rsidR="0063094F">
        <w:t xml:space="preserve"> Národnej rady Slovenskej republiky </w:t>
      </w:r>
      <w:r w:rsidRPr="00C2284D" w:rsidR="0085353E">
        <w:t xml:space="preserve">(uzn. č. </w:t>
      </w:r>
      <w:r w:rsidRPr="00C2284D" w:rsidR="00D4559F">
        <w:t>733</w:t>
      </w:r>
      <w:r w:rsidRPr="00C2284D" w:rsidR="004D6C4A">
        <w:t xml:space="preserve"> </w:t>
      </w:r>
      <w:r w:rsidRPr="00C2284D">
        <w:t xml:space="preserve">zo dňa </w:t>
      </w:r>
      <w:r w:rsidRPr="00C2284D" w:rsidR="00D4559F">
        <w:t>8</w:t>
      </w:r>
      <w:r w:rsidRPr="00C2284D">
        <w:t xml:space="preserve">. </w:t>
      </w:r>
      <w:r w:rsidRPr="00C2284D" w:rsidR="00996C6F">
        <w:t>októbra</w:t>
      </w:r>
      <w:r w:rsidRPr="00C2284D">
        <w:t xml:space="preserve"> 2019)</w:t>
      </w:r>
    </w:p>
    <w:p w:rsidR="00401D7D" w:rsidRPr="00C2284D" w:rsidP="00401D7D">
      <w:pPr>
        <w:pStyle w:val="BodyText2"/>
      </w:pPr>
    </w:p>
    <w:p w:rsidR="00996C6F" w:rsidRPr="00C2284D" w:rsidP="00996C6F">
      <w:pPr>
        <w:pStyle w:val="BodyText2"/>
        <w:numPr>
          <w:ilvl w:val="0"/>
          <w:numId w:val="1"/>
        </w:numPr>
      </w:pPr>
      <w:r w:rsidRPr="00C2284D">
        <w:rPr>
          <w:b/>
        </w:rPr>
        <w:t>Výbor</w:t>
      </w:r>
      <w:r w:rsidRPr="00C2284D">
        <w:t xml:space="preserve"> Národne</w:t>
      </w:r>
      <w:r w:rsidRPr="00C2284D">
        <w:t xml:space="preserve">j rady Slovenskej republiky </w:t>
      </w:r>
      <w:r w:rsidRPr="00C2284D">
        <w:rPr>
          <w:b/>
        </w:rPr>
        <w:t xml:space="preserve">pre hospodárske záležitosti </w:t>
      </w:r>
      <w:r w:rsidRPr="00C2284D">
        <w:t xml:space="preserve">(uzn. č. </w:t>
      </w:r>
      <w:r w:rsidRPr="00C2284D" w:rsidR="00C2284D">
        <w:t>397 zo dňa 10</w:t>
      </w:r>
      <w:r w:rsidRPr="00C2284D">
        <w:t>. októbra 2019)</w:t>
      </w:r>
    </w:p>
    <w:p w:rsidR="00996C6F" w:rsidRPr="00996C6F" w:rsidP="00996C6F">
      <w:pPr>
        <w:ind w:left="851"/>
        <w:jc w:val="both"/>
        <w:rPr>
          <w:b/>
          <w:color w:val="FF0000"/>
        </w:rPr>
      </w:pPr>
    </w:p>
    <w:p w:rsidR="00996C6F" w:rsidP="001B56A9">
      <w:pPr>
        <w:spacing w:line="276" w:lineRule="auto"/>
        <w:jc w:val="both"/>
        <w:rPr>
          <w:bCs/>
        </w:rPr>
      </w:pPr>
    </w:p>
    <w:p w:rsidR="00233A93">
      <w:pPr>
        <w:pStyle w:val="BodyText2"/>
        <w:jc w:val="center"/>
        <w:rPr>
          <w:b/>
        </w:rPr>
      </w:pPr>
      <w:r>
        <w:rPr>
          <w:b/>
        </w:rPr>
        <w:t>IV.</w:t>
      </w:r>
    </w:p>
    <w:p w:rsidR="00233A93">
      <w:pPr>
        <w:pStyle w:val="BodyText2"/>
        <w:ind w:left="1065"/>
        <w:jc w:val="center"/>
        <w:rPr>
          <w:b/>
        </w:rPr>
      </w:pPr>
    </w:p>
    <w:p w:rsidR="00233A93" w:rsidRPr="00650AF6" w:rsidP="00FA3091">
      <w:pPr>
        <w:pStyle w:val="BodyText2"/>
        <w:ind w:firstLine="708"/>
      </w:pPr>
      <w:r w:rsidRPr="00AC16EF" w:rsidR="00EB7C0C">
        <w:t>Z uzn</w:t>
      </w:r>
      <w:r w:rsidR="00E37D6A">
        <w:t>esen</w:t>
      </w:r>
      <w:r w:rsidR="00BF4D55">
        <w:t>í</w:t>
      </w:r>
      <w:r w:rsidRPr="00AC16EF">
        <w:t xml:space="preserve"> výbor</w:t>
      </w:r>
      <w:r w:rsidR="00BF4D55">
        <w:t>ov</w:t>
      </w:r>
      <w:r>
        <w:t xml:space="preserve"> Národnej ra</w:t>
      </w:r>
      <w:r w:rsidR="008E1580">
        <w:t>dy Slovenskej republ</w:t>
      </w:r>
      <w:r w:rsidR="0085078D">
        <w:t xml:space="preserve">iky </w:t>
      </w:r>
      <w:r w:rsidR="00BF4D55">
        <w:t>uvedených</w:t>
      </w:r>
      <w:r w:rsidRPr="00AC16EF">
        <w:t xml:space="preserve"> pod bodom</w:t>
      </w:r>
      <w:r w:rsidR="00F2536F">
        <w:t xml:space="preserve"> III. tejto správy </w:t>
      </w:r>
      <w:r w:rsidR="000F719E">
        <w:t>vyplývajú</w:t>
      </w:r>
      <w:r w:rsidR="00BF4D55">
        <w:t xml:space="preserve"> </w:t>
      </w:r>
      <w:r w:rsidRPr="00650AF6" w:rsidR="00115AB5">
        <w:t>p</w:t>
      </w:r>
      <w:r w:rsidRPr="00650AF6" w:rsidR="00D3131A">
        <w:t>ozmeňujúc</w:t>
      </w:r>
      <w:r w:rsidR="00BF4D55">
        <w:t>e</w:t>
      </w:r>
      <w:r w:rsidRPr="00650AF6" w:rsidR="00D3131A">
        <w:t xml:space="preserve"> </w:t>
      </w:r>
      <w:r w:rsidRPr="00650AF6" w:rsidR="003D7154">
        <w:t>a doplňujúc</w:t>
      </w:r>
      <w:r w:rsidR="00BF4D55">
        <w:t>e</w:t>
      </w:r>
      <w:r w:rsidRPr="00650AF6" w:rsidR="003D7154">
        <w:t xml:space="preserve"> </w:t>
      </w:r>
      <w:r w:rsidRPr="00650AF6" w:rsidR="00D3131A">
        <w:t>návrh</w:t>
      </w:r>
      <w:r w:rsidR="00BF4D55">
        <w:t>y</w:t>
      </w:r>
      <w:r w:rsidRPr="00650AF6" w:rsidR="005B6CCD">
        <w:t xml:space="preserve">: </w:t>
      </w:r>
    </w:p>
    <w:p w:rsidR="005B6CCD" w:rsidP="002C3917">
      <w:pPr>
        <w:pStyle w:val="BodyText2"/>
        <w:ind w:firstLine="708"/>
      </w:pPr>
    </w:p>
    <w:p w:rsidR="00D741B8" w:rsidRPr="00FE388F" w:rsidP="00D741B8">
      <w:pPr>
        <w:pStyle w:val="ListParagraph"/>
        <w:numPr>
          <w:ilvl w:val="0"/>
          <w:numId w:val="42"/>
        </w:numPr>
        <w:spacing w:after="0" w:line="240" w:lineRule="auto"/>
        <w:ind w:left="567"/>
        <w:jc w:val="both"/>
        <w:rPr>
          <w:rFonts w:ascii="Times New Roman" w:hAnsi="Times New Roman"/>
          <w:b/>
          <w:color w:val="000000"/>
          <w:sz w:val="24"/>
          <w:szCs w:val="24"/>
        </w:rPr>
      </w:pPr>
      <w:r w:rsidRPr="00FE388F">
        <w:rPr>
          <w:rFonts w:ascii="Times New Roman" w:hAnsi="Times New Roman"/>
          <w:b/>
          <w:color w:val="000000"/>
          <w:sz w:val="24"/>
          <w:szCs w:val="24"/>
        </w:rPr>
        <w:t>K čl. I, názvu zák</w:t>
      </w:r>
      <w:r w:rsidRPr="00FE388F">
        <w:rPr>
          <w:rFonts w:ascii="Times New Roman" w:hAnsi="Times New Roman"/>
          <w:b/>
          <w:color w:val="000000"/>
          <w:sz w:val="24"/>
          <w:szCs w:val="24"/>
        </w:rPr>
        <w:t xml:space="preserve">ona </w:t>
      </w:r>
    </w:p>
    <w:p w:rsidR="00D741B8" w:rsidRPr="00FE388F" w:rsidP="00D741B8">
      <w:pPr>
        <w:pStyle w:val="ListParagraph"/>
        <w:spacing w:after="0" w:line="240" w:lineRule="auto"/>
        <w:ind w:left="567"/>
        <w:jc w:val="both"/>
        <w:rPr>
          <w:rFonts w:ascii="Times New Roman" w:hAnsi="Times New Roman"/>
          <w:color w:val="000000"/>
          <w:sz w:val="24"/>
          <w:szCs w:val="24"/>
        </w:rPr>
      </w:pPr>
      <w:r w:rsidRPr="00FE388F">
        <w:rPr>
          <w:rFonts w:ascii="Times New Roman" w:hAnsi="Times New Roman"/>
          <w:color w:val="000000"/>
          <w:sz w:val="24"/>
          <w:szCs w:val="24"/>
        </w:rPr>
        <w:t xml:space="preserve">V názve návrhu zákona sa za prvé slová „neskorších predpisov“ vkladajú slová „v znení neskorších predpisov“. </w:t>
      </w:r>
    </w:p>
    <w:p w:rsidR="00D741B8" w:rsidRPr="00FE388F" w:rsidP="00D741B8">
      <w:pPr>
        <w:pStyle w:val="ListParagraph"/>
        <w:spacing w:after="0" w:line="240" w:lineRule="auto"/>
        <w:ind w:left="567"/>
        <w:jc w:val="both"/>
        <w:rPr>
          <w:rFonts w:ascii="Times New Roman" w:hAnsi="Times New Roman"/>
          <w:color w:val="000000"/>
          <w:sz w:val="24"/>
          <w:szCs w:val="24"/>
        </w:rPr>
      </w:pPr>
    </w:p>
    <w:p w:rsidR="00D741B8" w:rsidRPr="00FE388F" w:rsidP="00D741B8">
      <w:pPr>
        <w:pStyle w:val="ListParagraph"/>
        <w:spacing w:after="0" w:line="240" w:lineRule="auto"/>
        <w:ind w:left="3119"/>
        <w:jc w:val="both"/>
        <w:rPr>
          <w:rFonts w:ascii="Times New Roman" w:hAnsi="Times New Roman"/>
          <w:color w:val="000000"/>
          <w:sz w:val="24"/>
          <w:szCs w:val="24"/>
        </w:rPr>
      </w:pPr>
      <w:r w:rsidRPr="00FE388F">
        <w:rPr>
          <w:rFonts w:ascii="Times New Roman" w:hAnsi="Times New Roman"/>
          <w:color w:val="000000"/>
          <w:sz w:val="24"/>
          <w:szCs w:val="24"/>
        </w:rPr>
        <w:t xml:space="preserve">Pozmeňujúci návrh legislatívno-technicky koriguje názov zákona. </w:t>
      </w:r>
    </w:p>
    <w:p w:rsidR="00D741B8" w:rsidP="00D741B8">
      <w:pPr>
        <w:pStyle w:val="ListParagraph"/>
        <w:spacing w:after="0" w:line="240" w:lineRule="auto"/>
        <w:ind w:left="3545" w:firstLine="424"/>
        <w:jc w:val="both"/>
        <w:rPr>
          <w:rFonts w:ascii="Times New Roman" w:hAnsi="Times New Roman"/>
          <w:b/>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P="00D741B8">
      <w:pPr>
        <w:pStyle w:val="ListParagraph"/>
        <w:spacing w:after="0" w:line="240" w:lineRule="auto"/>
        <w:ind w:left="3545" w:hanging="426"/>
        <w:jc w:val="both"/>
        <w:rPr>
          <w:rFonts w:ascii="Times New Roman" w:hAnsi="Times New Roman"/>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D741B8" w:rsidRPr="00D741B8" w:rsidP="00D741B8">
      <w:pPr>
        <w:pStyle w:val="ListParagraph"/>
        <w:spacing w:after="0" w:line="240" w:lineRule="auto"/>
        <w:ind w:left="3545" w:hanging="426"/>
        <w:jc w:val="both"/>
        <w:rPr>
          <w:rFonts w:ascii="Times New Roman" w:hAnsi="Times New Roman"/>
          <w:b/>
          <w:sz w:val="24"/>
          <w:szCs w:val="24"/>
        </w:rPr>
      </w:pPr>
      <w:r w:rsidRPr="00D741B8">
        <w:rPr>
          <w:rFonts w:ascii="Times New Roman" w:hAnsi="Times New Roman"/>
          <w:b/>
          <w:sz w:val="24"/>
          <w:szCs w:val="24"/>
        </w:rPr>
        <w:t>Výbor</w:t>
      </w:r>
      <w:r w:rsidRPr="00D741B8">
        <w:rPr>
          <w:rFonts w:ascii="Times New Roman" w:hAnsi="Times New Roman"/>
          <w:sz w:val="24"/>
          <w:szCs w:val="24"/>
        </w:rPr>
        <w:t xml:space="preserve"> </w:t>
      </w:r>
      <w:r w:rsidRPr="00D741B8">
        <w:rPr>
          <w:rFonts w:ascii="Times New Roman" w:hAnsi="Times New Roman"/>
          <w:b/>
          <w:sz w:val="24"/>
          <w:szCs w:val="24"/>
        </w:rPr>
        <w:t>NR SR</w:t>
      </w:r>
      <w:r w:rsidRPr="00D741B8">
        <w:rPr>
          <w:rFonts w:ascii="Times New Roman" w:hAnsi="Times New Roman"/>
          <w:sz w:val="24"/>
          <w:szCs w:val="24"/>
        </w:rPr>
        <w:t xml:space="preserve"> </w:t>
      </w:r>
      <w:r w:rsidRPr="00D741B8">
        <w:rPr>
          <w:rFonts w:ascii="Times New Roman" w:hAnsi="Times New Roman"/>
          <w:b/>
          <w:sz w:val="24"/>
          <w:szCs w:val="24"/>
        </w:rPr>
        <w:t>pre hospodárske záležitosti</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P="00D741B8">
      <w:pPr>
        <w:pStyle w:val="ListParagraph"/>
        <w:spacing w:after="0" w:line="240" w:lineRule="auto"/>
        <w:ind w:left="567"/>
        <w:jc w:val="both"/>
        <w:rPr>
          <w:rFonts w:ascii="Times New Roman" w:hAnsi="Times New Roman"/>
          <w:color w:val="000000"/>
          <w:sz w:val="24"/>
          <w:szCs w:val="24"/>
        </w:rPr>
      </w:pPr>
    </w:p>
    <w:p w:rsidR="00D741B8" w:rsidRPr="00FE388F" w:rsidP="00D741B8">
      <w:pPr>
        <w:pStyle w:val="ListParagraph"/>
        <w:numPr>
          <w:ilvl w:val="0"/>
          <w:numId w:val="42"/>
        </w:numPr>
        <w:autoSpaceDE w:val="0"/>
        <w:autoSpaceDN w:val="0"/>
        <w:adjustRightInd w:val="0"/>
        <w:spacing w:after="0" w:line="240" w:lineRule="auto"/>
        <w:ind w:left="567"/>
        <w:jc w:val="both"/>
        <w:rPr>
          <w:rFonts w:ascii="Times New Roman" w:hAnsi="Times New Roman"/>
          <w:b/>
          <w:sz w:val="24"/>
          <w:szCs w:val="24"/>
        </w:rPr>
      </w:pPr>
      <w:r w:rsidRPr="00FE388F">
        <w:rPr>
          <w:rFonts w:ascii="Times New Roman" w:hAnsi="Times New Roman"/>
          <w:b/>
          <w:bCs/>
          <w:sz w:val="24"/>
          <w:szCs w:val="24"/>
        </w:rPr>
        <w:t>V čl. I,  doterajší bod 1</w:t>
      </w:r>
      <w:r w:rsidRPr="00FE388F">
        <w:rPr>
          <w:rFonts w:ascii="Times New Roman" w:hAnsi="Times New Roman"/>
          <w:b/>
          <w:sz w:val="24"/>
          <w:szCs w:val="24"/>
        </w:rPr>
        <w:t xml:space="preserve"> znie:</w:t>
      </w:r>
    </w:p>
    <w:p w:rsidR="00D741B8" w:rsidRPr="00FE388F" w:rsidP="00D741B8">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          </w:t>
      </w:r>
      <w:r w:rsidRPr="00FE388F">
        <w:rPr>
          <w:rFonts w:ascii="Times New Roman" w:hAnsi="Times New Roman"/>
          <w:color w:val="000000"/>
          <w:sz w:val="24"/>
          <w:szCs w:val="24"/>
        </w:rPr>
        <w:t>„1. V § 2 ods. 1 písmeno b) znie:</w:t>
      </w:r>
    </w:p>
    <w:p w:rsidR="00D741B8" w:rsidRPr="00FE388F" w:rsidP="00D741B8">
      <w:pPr>
        <w:autoSpaceDE w:val="0"/>
        <w:autoSpaceDN w:val="0"/>
        <w:adjustRightInd w:val="0"/>
        <w:ind w:left="567"/>
        <w:jc w:val="both"/>
        <w:rPr>
          <w:color w:val="000000"/>
        </w:rPr>
      </w:pPr>
      <w:r w:rsidRPr="00FE388F">
        <w:rPr>
          <w:color w:val="000000"/>
        </w:rPr>
        <w:t>„b) územím Európskej únie územie členských štátov Európskej únie podľa osobitného predpisu</w:t>
      </w:r>
      <w:r w:rsidRPr="00FE388F">
        <w:fldChar w:fldCharType="begin"/>
      </w:r>
      <w:r w:rsidRPr="00FE388F">
        <w:instrText xml:space="preserve"> HYPERLINK "https://www</w:instrText>
      </w:r>
      <w:r w:rsidRPr="00FE388F">
        <w:instrText xml:space="preserve">.slov-lex.sk/pravne-predpisy/SK/ZZ/2007/609/20160601" \l "poznamky.poznamka-1" \o "Odkaz na predpis alebo ustanovenie" </w:instrText>
      </w:r>
      <w:r w:rsidRPr="00FE388F">
        <w:fldChar w:fldCharType="separate"/>
      </w:r>
      <w:r w:rsidRPr="00FE388F">
        <w:rPr>
          <w:color w:val="000000"/>
          <w:vertAlign w:val="superscript"/>
        </w:rPr>
        <w:t>1)</w:t>
      </w:r>
      <w:r w:rsidRPr="00FE388F">
        <w:rPr>
          <w:color w:val="000000"/>
        </w:rPr>
        <w:t xml:space="preserve"> </w:t>
      </w:r>
      <w:r w:rsidRPr="00FE388F">
        <w:rPr>
          <w:color w:val="000000"/>
        </w:rPr>
        <w:fldChar w:fldCharType="end"/>
      </w:r>
      <w:r w:rsidRPr="00FE388F">
        <w:rPr>
          <w:color w:val="000000"/>
        </w:rPr>
        <w:t>okrem územia ostrova Helgoland a územia Büsingen v Spolkovej republike Nemecko, územia Livigno v Talianskej republike, územia Ceuta,</w:t>
      </w:r>
      <w:r w:rsidRPr="00FE388F">
        <w:rPr>
          <w:color w:val="000000"/>
        </w:rPr>
        <w:t xml:space="preserve"> Melilla a Kanárske ostrovy v Španielskom kráľovstve, území Francúzskej republiky uvedených v osobitnom predpise</w:t>
      </w:r>
      <w:r w:rsidRPr="00FE388F">
        <w:fldChar w:fldCharType="begin"/>
      </w:r>
      <w:r w:rsidRPr="00FE388F">
        <w:instrText xml:space="preserve"> HYPERLINK "https://www.slov-lex.sk/pravne-predpisy/SK/ZZ/2007/609/20160601" \l "poznamky.poznamka-1b" \o "Odkaz na predpis alebo ustanovenie" </w:instrText>
      </w:r>
      <w:r w:rsidRPr="00FE388F">
        <w:fldChar w:fldCharType="separate"/>
      </w:r>
      <w:r w:rsidRPr="00FE388F">
        <w:rPr>
          <w:color w:val="000000"/>
          <w:vertAlign w:val="superscript"/>
        </w:rPr>
        <w:t>1a</w:t>
      </w:r>
      <w:r w:rsidRPr="00FE388F">
        <w:rPr>
          <w:color w:val="000000"/>
        </w:rPr>
        <w:t>)</w:t>
      </w:r>
      <w:r w:rsidRPr="00FE388F">
        <w:rPr>
          <w:color w:val="000000"/>
        </w:rPr>
        <w:fldChar w:fldCharType="end"/>
      </w:r>
      <w:r w:rsidRPr="00FE388F">
        <w:rPr>
          <w:color w:val="000000"/>
        </w:rPr>
        <w:t>, územia Alánd, územia britských Normanských ostrovov a okrem území uvedených v osobitnom predpise,</w:t>
      </w:r>
      <w:r w:rsidRPr="00FE388F">
        <w:fldChar w:fldCharType="begin"/>
      </w:r>
      <w:r w:rsidRPr="00FE388F">
        <w:instrText xml:space="preserve"> HYPERLINK "https://www.slov-lex.sk/pravne-predpisy/SK/ZZ/2007/609/20160601" \l "poznamky.poznamka-1b" \o "Odkaz na predpis alebo ustanovenie" </w:instrText>
      </w:r>
      <w:r w:rsidRPr="00FE388F">
        <w:fldChar w:fldCharType="separate"/>
      </w:r>
      <w:r w:rsidRPr="00FE388F">
        <w:rPr>
          <w:color w:val="000000"/>
          <w:vertAlign w:val="superscript"/>
        </w:rPr>
        <w:t>1b</w:t>
      </w:r>
      <w:r w:rsidRPr="00FE388F">
        <w:rPr>
          <w:color w:val="000000"/>
        </w:rPr>
        <w:t>)</w:t>
      </w:r>
      <w:r w:rsidRPr="00FE388F">
        <w:rPr>
          <w:color w:val="000000"/>
        </w:rPr>
        <w:fldChar w:fldCharType="end"/>
      </w:r>
      <w:r w:rsidRPr="00FE388F">
        <w:rPr>
          <w:color w:val="000000"/>
        </w:rPr>
        <w:t>“.“.</w:t>
      </w:r>
    </w:p>
    <w:p w:rsidR="00D741B8" w:rsidRPr="00FE388F" w:rsidP="00D741B8">
      <w:pPr>
        <w:jc w:val="both"/>
        <w:rPr>
          <w:color w:val="000000"/>
        </w:rPr>
      </w:pPr>
    </w:p>
    <w:p w:rsidR="00D741B8" w:rsidRPr="00FE388F" w:rsidP="00D741B8">
      <w:pPr>
        <w:pStyle w:val="NormalWeb"/>
        <w:tabs>
          <w:tab w:val="left" w:pos="2977"/>
        </w:tabs>
        <w:spacing w:before="0" w:beforeAutospacing="0" w:after="0" w:afterAutospacing="0"/>
        <w:ind w:left="3119"/>
        <w:jc w:val="both"/>
      </w:pPr>
      <w:r w:rsidRPr="00FE388F">
        <w:t xml:space="preserve">Vzhľadom na povinnosť transponovať legislatívu EÚ do národnej legislatívy do 31. decembra 2019, je nutné upraviť definíciu územia Európskej únie v súlade so smernicou </w:t>
      </w:r>
      <w:r w:rsidRPr="00FE388F">
        <w:rPr>
          <w:color w:val="000000"/>
        </w:rPr>
        <w:t>Rady (EÚ) 2019/475 z 18. februára 2019, ktorou sa menia smernice 2006/112/ES a 2008/118/ES, pokiaľ ide o začlenenie talianskej obce Campione d´Italia a talianskych vôd jazera Lugano do colného územia Únie a do územnej pôsobnosti smernice 2008/118/ES.</w:t>
      </w:r>
      <w:r w:rsidRPr="00FE388F">
        <w:t xml:space="preserve"> </w:t>
      </w:r>
    </w:p>
    <w:p w:rsidR="00D741B8" w:rsidP="00D741B8">
      <w:pPr>
        <w:pStyle w:val="ListParagraph"/>
        <w:spacing w:after="0" w:line="240" w:lineRule="auto"/>
        <w:jc w:val="both"/>
        <w:rPr>
          <w:rFonts w:ascii="Times New Roman" w:hAnsi="Times New Roman"/>
          <w:color w:val="000000"/>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RPr="00FE388F" w:rsidP="00D741B8">
      <w:pPr>
        <w:pStyle w:val="ListParagraph"/>
        <w:spacing w:after="0" w:line="240" w:lineRule="auto"/>
        <w:jc w:val="both"/>
        <w:rPr>
          <w:rFonts w:ascii="Times New Roman" w:hAnsi="Times New Roman"/>
          <w:color w:val="000000"/>
          <w:sz w:val="24"/>
          <w:szCs w:val="24"/>
        </w:rPr>
      </w:pPr>
    </w:p>
    <w:p w:rsidR="00D741B8" w:rsidRPr="00FE388F" w:rsidP="00D741B8">
      <w:pPr>
        <w:pStyle w:val="ListParagraph"/>
        <w:numPr>
          <w:ilvl w:val="0"/>
          <w:numId w:val="42"/>
        </w:numPr>
        <w:spacing w:after="0" w:line="240" w:lineRule="auto"/>
        <w:ind w:hanging="1156"/>
        <w:jc w:val="both"/>
        <w:rPr>
          <w:rFonts w:ascii="Times New Roman" w:hAnsi="Times New Roman"/>
          <w:b/>
          <w:color w:val="000000"/>
          <w:sz w:val="24"/>
          <w:szCs w:val="24"/>
        </w:rPr>
      </w:pPr>
      <w:r w:rsidRPr="00FE388F">
        <w:rPr>
          <w:rFonts w:ascii="Times New Roman" w:hAnsi="Times New Roman"/>
          <w:b/>
          <w:color w:val="000000"/>
          <w:sz w:val="24"/>
          <w:szCs w:val="24"/>
        </w:rPr>
        <w:t xml:space="preserve">K čl. I, 21. bodu </w:t>
      </w:r>
    </w:p>
    <w:p w:rsidR="00D741B8" w:rsidRPr="00FE388F" w:rsidP="00D741B8">
      <w:pPr>
        <w:pStyle w:val="ListParagraph"/>
        <w:spacing w:after="0" w:line="240" w:lineRule="auto"/>
        <w:jc w:val="both"/>
        <w:rPr>
          <w:rFonts w:ascii="Times New Roman" w:hAnsi="Times New Roman"/>
          <w:color w:val="000000"/>
          <w:sz w:val="24"/>
          <w:szCs w:val="24"/>
        </w:rPr>
      </w:pPr>
      <w:r w:rsidRPr="00FE388F">
        <w:rPr>
          <w:rFonts w:ascii="Times New Roman" w:hAnsi="Times New Roman"/>
          <w:color w:val="000000"/>
          <w:sz w:val="24"/>
          <w:szCs w:val="24"/>
        </w:rPr>
        <w:t>V čl. I, 21. bode sa slová „na konci sa vypúšťajú“ nahrádzajú slovami „vypúšťajú sa“.</w:t>
      </w:r>
    </w:p>
    <w:p w:rsidR="00D741B8" w:rsidRPr="00FE388F" w:rsidP="00D741B8">
      <w:pPr>
        <w:pStyle w:val="ListParagraph"/>
        <w:spacing w:after="0" w:line="240" w:lineRule="auto"/>
        <w:ind w:firstLine="3249"/>
        <w:jc w:val="both"/>
        <w:rPr>
          <w:rFonts w:ascii="Times New Roman" w:hAnsi="Times New Roman"/>
          <w:color w:val="000000"/>
          <w:sz w:val="24"/>
          <w:szCs w:val="24"/>
        </w:rPr>
      </w:pPr>
    </w:p>
    <w:p w:rsidR="00D741B8" w:rsidRPr="00FE388F" w:rsidP="00D741B8">
      <w:pPr>
        <w:pStyle w:val="ListParagraph"/>
        <w:spacing w:after="0" w:line="240" w:lineRule="auto"/>
        <w:ind w:left="3119"/>
        <w:jc w:val="both"/>
        <w:rPr>
          <w:rFonts w:ascii="Times New Roman" w:hAnsi="Times New Roman"/>
          <w:color w:val="000000"/>
          <w:sz w:val="24"/>
          <w:szCs w:val="24"/>
        </w:rPr>
      </w:pPr>
      <w:r w:rsidRPr="00FE388F">
        <w:rPr>
          <w:rFonts w:ascii="Times New Roman" w:hAnsi="Times New Roman"/>
          <w:sz w:val="24"/>
          <w:szCs w:val="24"/>
        </w:rPr>
        <w:t xml:space="preserve">Pozmeňujúci návrh legislatívno-technickej povahy. </w:t>
      </w:r>
    </w:p>
    <w:p w:rsidR="00D741B8" w:rsidP="00D741B8">
      <w:pPr>
        <w:pStyle w:val="ListParagraph"/>
        <w:spacing w:after="0" w:line="240" w:lineRule="auto"/>
        <w:ind w:firstLine="3249"/>
        <w:jc w:val="both"/>
        <w:rPr>
          <w:rFonts w:ascii="Times New Roman" w:hAnsi="Times New Roman"/>
          <w:color w:val="000000"/>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P="00D741B8">
      <w:pPr>
        <w:pStyle w:val="ListParagraph"/>
        <w:spacing w:after="0" w:line="240" w:lineRule="auto"/>
        <w:ind w:left="3545" w:hanging="426"/>
        <w:jc w:val="both"/>
        <w:rPr>
          <w:rFonts w:ascii="Times New Roman" w:hAnsi="Times New Roman"/>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D741B8" w:rsidRPr="00D741B8" w:rsidP="00D741B8">
      <w:pPr>
        <w:pStyle w:val="ListParagraph"/>
        <w:spacing w:after="0" w:line="240" w:lineRule="auto"/>
        <w:ind w:left="3545" w:hanging="426"/>
        <w:jc w:val="both"/>
        <w:rPr>
          <w:rFonts w:ascii="Times New Roman" w:hAnsi="Times New Roman"/>
          <w:b/>
          <w:sz w:val="24"/>
          <w:szCs w:val="24"/>
        </w:rPr>
      </w:pPr>
      <w:r w:rsidRPr="00D741B8">
        <w:rPr>
          <w:rFonts w:ascii="Times New Roman" w:hAnsi="Times New Roman"/>
          <w:b/>
          <w:sz w:val="24"/>
          <w:szCs w:val="24"/>
        </w:rPr>
        <w:t>Výbor</w:t>
      </w:r>
      <w:r w:rsidRPr="00D741B8">
        <w:rPr>
          <w:rFonts w:ascii="Times New Roman" w:hAnsi="Times New Roman"/>
          <w:sz w:val="24"/>
          <w:szCs w:val="24"/>
        </w:rPr>
        <w:t xml:space="preserve"> </w:t>
      </w:r>
      <w:r w:rsidRPr="00D741B8">
        <w:rPr>
          <w:rFonts w:ascii="Times New Roman" w:hAnsi="Times New Roman"/>
          <w:b/>
          <w:sz w:val="24"/>
          <w:szCs w:val="24"/>
        </w:rPr>
        <w:t>NR SR</w:t>
      </w:r>
      <w:r w:rsidRPr="00D741B8">
        <w:rPr>
          <w:rFonts w:ascii="Times New Roman" w:hAnsi="Times New Roman"/>
          <w:sz w:val="24"/>
          <w:szCs w:val="24"/>
        </w:rPr>
        <w:t xml:space="preserve"> </w:t>
      </w:r>
      <w:r w:rsidRPr="00D741B8">
        <w:rPr>
          <w:rFonts w:ascii="Times New Roman" w:hAnsi="Times New Roman"/>
          <w:b/>
          <w:sz w:val="24"/>
          <w:szCs w:val="24"/>
        </w:rPr>
        <w:t>pre hospodárske záležitosti</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P="00D741B8">
      <w:pPr>
        <w:pStyle w:val="ListParagraph"/>
        <w:spacing w:after="0" w:line="240" w:lineRule="auto"/>
        <w:ind w:firstLine="3249"/>
        <w:jc w:val="both"/>
        <w:rPr>
          <w:rFonts w:ascii="Times New Roman" w:hAnsi="Times New Roman"/>
          <w:color w:val="000000"/>
          <w:sz w:val="24"/>
          <w:szCs w:val="24"/>
        </w:rPr>
      </w:pPr>
    </w:p>
    <w:p w:rsidR="00D741B8" w:rsidRPr="00FE388F" w:rsidP="00D741B8">
      <w:pPr>
        <w:pStyle w:val="ListParagraph"/>
        <w:numPr>
          <w:ilvl w:val="0"/>
          <w:numId w:val="42"/>
        </w:numPr>
        <w:spacing w:after="0" w:line="240" w:lineRule="auto"/>
        <w:ind w:hanging="1156"/>
        <w:jc w:val="both"/>
        <w:rPr>
          <w:rFonts w:ascii="Times New Roman" w:hAnsi="Times New Roman"/>
          <w:b/>
          <w:color w:val="000000"/>
          <w:sz w:val="24"/>
          <w:szCs w:val="24"/>
        </w:rPr>
      </w:pPr>
      <w:r w:rsidRPr="00FE388F">
        <w:rPr>
          <w:rFonts w:ascii="Times New Roman" w:hAnsi="Times New Roman"/>
          <w:b/>
          <w:color w:val="000000"/>
          <w:sz w:val="24"/>
          <w:szCs w:val="24"/>
        </w:rPr>
        <w:t xml:space="preserve">K čl. I, 23. bodu </w:t>
      </w:r>
    </w:p>
    <w:p w:rsidR="00D741B8" w:rsidRPr="00FE388F" w:rsidP="00D741B8">
      <w:pPr>
        <w:pStyle w:val="ListParagraph"/>
        <w:spacing w:after="0" w:line="240" w:lineRule="auto"/>
        <w:jc w:val="both"/>
        <w:rPr>
          <w:rFonts w:ascii="Times New Roman" w:hAnsi="Times New Roman"/>
          <w:color w:val="000000"/>
          <w:sz w:val="24"/>
          <w:szCs w:val="24"/>
        </w:rPr>
      </w:pPr>
      <w:r w:rsidRPr="00FE388F">
        <w:rPr>
          <w:rFonts w:ascii="Times New Roman" w:hAnsi="Times New Roman"/>
          <w:color w:val="000000"/>
          <w:sz w:val="24"/>
          <w:szCs w:val="24"/>
        </w:rPr>
        <w:t xml:space="preserve">V čl. I, 23. bode, § 8 ods. 16 poslednej vete sa za slová „podmienky na jeho vydanie“ vkladajú slová „podľa prvej vety“. </w:t>
      </w:r>
    </w:p>
    <w:p w:rsidR="00D741B8" w:rsidRPr="00FE388F" w:rsidP="00D741B8">
      <w:pPr>
        <w:pStyle w:val="ListParagraph"/>
        <w:spacing w:after="0" w:line="240" w:lineRule="auto"/>
        <w:ind w:left="3969"/>
        <w:jc w:val="both"/>
        <w:rPr>
          <w:rFonts w:ascii="Times New Roman" w:hAnsi="Times New Roman"/>
          <w:color w:val="000000"/>
          <w:sz w:val="24"/>
          <w:szCs w:val="24"/>
        </w:rPr>
      </w:pPr>
    </w:p>
    <w:p w:rsidR="00D741B8" w:rsidRPr="00FE388F" w:rsidP="00D741B8">
      <w:pPr>
        <w:pStyle w:val="ListParagraph"/>
        <w:spacing w:after="0" w:line="240" w:lineRule="auto"/>
        <w:ind w:left="3119"/>
        <w:jc w:val="both"/>
        <w:rPr>
          <w:rFonts w:ascii="Times New Roman" w:hAnsi="Times New Roman"/>
          <w:sz w:val="24"/>
          <w:szCs w:val="24"/>
        </w:rPr>
      </w:pPr>
      <w:r w:rsidRPr="00FE388F">
        <w:rPr>
          <w:rFonts w:ascii="Times New Roman" w:hAnsi="Times New Roman"/>
          <w:sz w:val="24"/>
          <w:szCs w:val="24"/>
        </w:rPr>
        <w:t xml:space="preserve">Pozmeňujúci návrh precizuje predmetné ustanovenie tak, aby bolo zrejmé, že sa vzťahuje výhradne na spotrebiteľa uvedeného v citovanom odseku. </w:t>
      </w:r>
    </w:p>
    <w:p w:rsidR="00D741B8" w:rsidP="00D741B8">
      <w:pPr>
        <w:pStyle w:val="ListParagraph"/>
        <w:spacing w:after="0" w:line="240" w:lineRule="auto"/>
        <w:ind w:left="3545" w:hanging="426"/>
        <w:jc w:val="both"/>
        <w:rPr>
          <w:rFonts w:ascii="Times New Roman" w:hAnsi="Times New Roman"/>
          <w:b/>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P="00D741B8">
      <w:pPr>
        <w:pStyle w:val="ListParagraph"/>
        <w:spacing w:after="0" w:line="240" w:lineRule="auto"/>
        <w:ind w:left="3545" w:hanging="426"/>
        <w:jc w:val="both"/>
        <w:rPr>
          <w:rFonts w:ascii="Times New Roman" w:hAnsi="Times New Roman"/>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D741B8" w:rsidRPr="00D741B8" w:rsidP="00D741B8">
      <w:pPr>
        <w:pStyle w:val="ListParagraph"/>
        <w:spacing w:after="0" w:line="240" w:lineRule="auto"/>
        <w:ind w:left="3545" w:hanging="426"/>
        <w:jc w:val="both"/>
        <w:rPr>
          <w:rFonts w:ascii="Times New Roman" w:hAnsi="Times New Roman"/>
          <w:b/>
          <w:sz w:val="24"/>
          <w:szCs w:val="24"/>
        </w:rPr>
      </w:pPr>
      <w:r w:rsidRPr="00D741B8">
        <w:rPr>
          <w:rFonts w:ascii="Times New Roman" w:hAnsi="Times New Roman"/>
          <w:b/>
          <w:sz w:val="24"/>
          <w:szCs w:val="24"/>
        </w:rPr>
        <w:t>Výbor</w:t>
      </w:r>
      <w:r w:rsidRPr="00D741B8">
        <w:rPr>
          <w:rFonts w:ascii="Times New Roman" w:hAnsi="Times New Roman"/>
          <w:sz w:val="24"/>
          <w:szCs w:val="24"/>
        </w:rPr>
        <w:t xml:space="preserve"> </w:t>
      </w:r>
      <w:r w:rsidRPr="00D741B8">
        <w:rPr>
          <w:rFonts w:ascii="Times New Roman" w:hAnsi="Times New Roman"/>
          <w:b/>
          <w:sz w:val="24"/>
          <w:szCs w:val="24"/>
        </w:rPr>
        <w:t>NR SR</w:t>
      </w:r>
      <w:r w:rsidRPr="00D741B8">
        <w:rPr>
          <w:rFonts w:ascii="Times New Roman" w:hAnsi="Times New Roman"/>
          <w:sz w:val="24"/>
          <w:szCs w:val="24"/>
        </w:rPr>
        <w:t xml:space="preserve"> </w:t>
      </w:r>
      <w:r w:rsidRPr="00D741B8">
        <w:rPr>
          <w:rFonts w:ascii="Times New Roman" w:hAnsi="Times New Roman"/>
          <w:b/>
          <w:sz w:val="24"/>
          <w:szCs w:val="24"/>
        </w:rPr>
        <w:t>pre hospodárske záležitosti</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P="00D741B8">
      <w:pPr>
        <w:pStyle w:val="ListParagraph"/>
        <w:spacing w:after="0" w:line="240" w:lineRule="auto"/>
        <w:ind w:left="3969"/>
        <w:jc w:val="both"/>
        <w:rPr>
          <w:rFonts w:ascii="Times New Roman" w:hAnsi="Times New Roman"/>
          <w:color w:val="000000"/>
          <w:sz w:val="24"/>
          <w:szCs w:val="24"/>
        </w:rPr>
      </w:pPr>
    </w:p>
    <w:p w:rsidR="00D741B8" w:rsidRPr="00FE388F" w:rsidP="00D741B8">
      <w:pPr>
        <w:pStyle w:val="ListParagraph"/>
        <w:numPr>
          <w:ilvl w:val="0"/>
          <w:numId w:val="42"/>
        </w:numPr>
        <w:spacing w:after="0" w:line="240" w:lineRule="auto"/>
        <w:ind w:hanging="1156"/>
        <w:jc w:val="both"/>
        <w:rPr>
          <w:rFonts w:ascii="Times New Roman" w:hAnsi="Times New Roman"/>
          <w:b/>
          <w:color w:val="000000"/>
          <w:sz w:val="24"/>
          <w:szCs w:val="24"/>
        </w:rPr>
      </w:pPr>
      <w:r w:rsidRPr="00FE388F">
        <w:rPr>
          <w:rFonts w:ascii="Times New Roman" w:hAnsi="Times New Roman"/>
          <w:b/>
          <w:color w:val="000000"/>
          <w:sz w:val="24"/>
          <w:szCs w:val="24"/>
        </w:rPr>
        <w:t xml:space="preserve">K čl. I, 32. bodu </w:t>
      </w:r>
    </w:p>
    <w:p w:rsidR="00D741B8" w:rsidRPr="00FE388F" w:rsidP="00D741B8">
      <w:pPr>
        <w:pStyle w:val="ListParagraph"/>
        <w:spacing w:after="0" w:line="240" w:lineRule="auto"/>
        <w:jc w:val="both"/>
        <w:rPr>
          <w:rFonts w:ascii="Times New Roman" w:hAnsi="Times New Roman"/>
          <w:color w:val="000000"/>
          <w:sz w:val="24"/>
          <w:szCs w:val="24"/>
        </w:rPr>
      </w:pPr>
      <w:r w:rsidRPr="00FE388F">
        <w:rPr>
          <w:rFonts w:ascii="Times New Roman" w:hAnsi="Times New Roman"/>
          <w:color w:val="000000"/>
          <w:sz w:val="24"/>
          <w:szCs w:val="24"/>
        </w:rPr>
        <w:t>V čl. I, 32. bode, § 15b sa vypúšťa odsek 4.</w:t>
      </w:r>
      <w:r w:rsidRPr="00FE388F">
        <w:rPr>
          <w:rFonts w:ascii="Times New Roman" w:hAnsi="Times New Roman"/>
          <w:color w:val="000000"/>
          <w:sz w:val="24"/>
          <w:szCs w:val="24"/>
        </w:rPr>
        <w:t xml:space="preserve"> </w:t>
      </w:r>
    </w:p>
    <w:p w:rsidR="00D741B8" w:rsidRPr="00FE388F" w:rsidP="00D741B8">
      <w:pPr>
        <w:pStyle w:val="ListParagraph"/>
        <w:spacing w:after="0" w:line="240" w:lineRule="auto"/>
        <w:jc w:val="both"/>
        <w:rPr>
          <w:rFonts w:ascii="Times New Roman" w:hAnsi="Times New Roman"/>
          <w:color w:val="000000"/>
          <w:sz w:val="24"/>
          <w:szCs w:val="24"/>
        </w:rPr>
      </w:pPr>
      <w:r w:rsidRPr="00FE388F">
        <w:rPr>
          <w:rFonts w:ascii="Times New Roman" w:hAnsi="Times New Roman"/>
          <w:color w:val="000000"/>
          <w:sz w:val="24"/>
          <w:szCs w:val="24"/>
        </w:rPr>
        <w:t>Doterajšie odseky 5 až 8 sa označujú ako odseky 4 až 7 a v odsekoch 7 a 8 sa slová  „odsek 6“ nahrádzajú slovami „odseku 5“.</w:t>
      </w:r>
    </w:p>
    <w:p w:rsidR="00D741B8" w:rsidRPr="00FE388F" w:rsidP="00D741B8">
      <w:pPr>
        <w:pStyle w:val="ListParagraph"/>
        <w:spacing w:after="0" w:line="240" w:lineRule="auto"/>
        <w:ind w:left="3969"/>
        <w:jc w:val="both"/>
        <w:rPr>
          <w:rFonts w:ascii="Times New Roman" w:hAnsi="Times New Roman"/>
          <w:color w:val="000000"/>
          <w:sz w:val="24"/>
          <w:szCs w:val="24"/>
        </w:rPr>
      </w:pPr>
    </w:p>
    <w:p w:rsidR="00D741B8" w:rsidRPr="00FE388F" w:rsidP="00D741B8">
      <w:pPr>
        <w:pStyle w:val="ListParagraph"/>
        <w:spacing w:after="0" w:line="240" w:lineRule="auto"/>
        <w:ind w:left="3119"/>
        <w:jc w:val="both"/>
        <w:rPr>
          <w:rFonts w:ascii="Times New Roman" w:hAnsi="Times New Roman"/>
          <w:sz w:val="24"/>
          <w:szCs w:val="24"/>
        </w:rPr>
      </w:pPr>
      <w:r w:rsidRPr="00FE388F">
        <w:rPr>
          <w:rFonts w:ascii="Times New Roman" w:hAnsi="Times New Roman"/>
          <w:sz w:val="24"/>
          <w:szCs w:val="24"/>
        </w:rPr>
        <w:t xml:space="preserve">Pozmeňujúci návrh vypúšťa duplicitne uvedené ustanovenie, ktorého obsah je predmetom § 5 – Základ dane a výpočet dane, ktorý sa vzťahuje na celú druhú časť (Daň z elektriny) predmetného zákona, teda aj na novozavedený § 15b. </w:t>
      </w:r>
    </w:p>
    <w:p w:rsidR="00D741B8" w:rsidP="00D741B8">
      <w:pPr>
        <w:pStyle w:val="ListParagraph"/>
        <w:spacing w:after="0" w:line="240" w:lineRule="auto"/>
        <w:ind w:left="3545" w:hanging="426"/>
        <w:jc w:val="both"/>
        <w:rPr>
          <w:rFonts w:ascii="Times New Roman" w:hAnsi="Times New Roman"/>
          <w:b/>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P="00D741B8">
      <w:pPr>
        <w:pStyle w:val="ListParagraph"/>
        <w:spacing w:after="0" w:line="240" w:lineRule="auto"/>
        <w:ind w:left="3545" w:hanging="426"/>
        <w:jc w:val="both"/>
        <w:rPr>
          <w:rFonts w:ascii="Times New Roman" w:hAnsi="Times New Roman"/>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D741B8" w:rsidRPr="00D741B8" w:rsidP="00D741B8">
      <w:pPr>
        <w:pStyle w:val="ListParagraph"/>
        <w:spacing w:after="0" w:line="240" w:lineRule="auto"/>
        <w:ind w:left="3545" w:hanging="426"/>
        <w:jc w:val="both"/>
        <w:rPr>
          <w:rFonts w:ascii="Times New Roman" w:hAnsi="Times New Roman"/>
          <w:b/>
          <w:sz w:val="24"/>
          <w:szCs w:val="24"/>
        </w:rPr>
      </w:pPr>
      <w:r w:rsidRPr="00D741B8">
        <w:rPr>
          <w:rFonts w:ascii="Times New Roman" w:hAnsi="Times New Roman"/>
          <w:b/>
          <w:sz w:val="24"/>
          <w:szCs w:val="24"/>
        </w:rPr>
        <w:t>Výbor</w:t>
      </w:r>
      <w:r w:rsidRPr="00D741B8">
        <w:rPr>
          <w:rFonts w:ascii="Times New Roman" w:hAnsi="Times New Roman"/>
          <w:sz w:val="24"/>
          <w:szCs w:val="24"/>
        </w:rPr>
        <w:t xml:space="preserve"> </w:t>
      </w:r>
      <w:r w:rsidRPr="00D741B8">
        <w:rPr>
          <w:rFonts w:ascii="Times New Roman" w:hAnsi="Times New Roman"/>
          <w:b/>
          <w:sz w:val="24"/>
          <w:szCs w:val="24"/>
        </w:rPr>
        <w:t>NR SR</w:t>
      </w:r>
      <w:r w:rsidRPr="00D741B8">
        <w:rPr>
          <w:rFonts w:ascii="Times New Roman" w:hAnsi="Times New Roman"/>
          <w:sz w:val="24"/>
          <w:szCs w:val="24"/>
        </w:rPr>
        <w:t xml:space="preserve"> </w:t>
      </w:r>
      <w:r w:rsidRPr="00D741B8">
        <w:rPr>
          <w:rFonts w:ascii="Times New Roman" w:hAnsi="Times New Roman"/>
          <w:b/>
          <w:sz w:val="24"/>
          <w:szCs w:val="24"/>
        </w:rPr>
        <w:t>pre hospodárske záležitosti</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RPr="00FE388F" w:rsidP="00D741B8">
      <w:pPr>
        <w:pStyle w:val="ListParagraph"/>
        <w:spacing w:after="0" w:line="240" w:lineRule="auto"/>
        <w:ind w:left="3969"/>
        <w:jc w:val="both"/>
        <w:rPr>
          <w:rFonts w:ascii="Times New Roman" w:hAnsi="Times New Roman"/>
          <w:color w:val="000000"/>
          <w:sz w:val="24"/>
          <w:szCs w:val="24"/>
        </w:rPr>
      </w:pPr>
    </w:p>
    <w:p w:rsidR="00D741B8" w:rsidRPr="00FE388F" w:rsidP="00D741B8">
      <w:pPr>
        <w:pStyle w:val="ListParagraph"/>
        <w:numPr>
          <w:ilvl w:val="0"/>
          <w:numId w:val="42"/>
        </w:numPr>
        <w:spacing w:after="0" w:line="240" w:lineRule="auto"/>
        <w:ind w:hanging="1156"/>
        <w:jc w:val="both"/>
        <w:rPr>
          <w:rFonts w:ascii="Times New Roman" w:hAnsi="Times New Roman"/>
          <w:b/>
          <w:color w:val="000000"/>
          <w:sz w:val="24"/>
          <w:szCs w:val="24"/>
        </w:rPr>
      </w:pPr>
      <w:r w:rsidRPr="00FE388F">
        <w:rPr>
          <w:rFonts w:ascii="Times New Roman" w:hAnsi="Times New Roman"/>
          <w:b/>
          <w:color w:val="000000"/>
          <w:sz w:val="24"/>
          <w:szCs w:val="24"/>
        </w:rPr>
        <w:t>K čl. I, 48. bodu</w:t>
      </w:r>
      <w:r w:rsidRPr="00FE388F">
        <w:rPr>
          <w:rFonts w:ascii="Times New Roman" w:hAnsi="Times New Roman"/>
          <w:b/>
          <w:color w:val="000000"/>
          <w:sz w:val="24"/>
          <w:szCs w:val="24"/>
        </w:rPr>
        <w:t xml:space="preserve"> </w:t>
      </w:r>
    </w:p>
    <w:p w:rsidR="00D741B8" w:rsidRPr="00FE388F" w:rsidP="00D741B8">
      <w:pPr>
        <w:pStyle w:val="ListParagraph"/>
        <w:spacing w:after="0" w:line="240" w:lineRule="auto"/>
        <w:jc w:val="both"/>
        <w:rPr>
          <w:rFonts w:ascii="Times New Roman" w:hAnsi="Times New Roman"/>
          <w:color w:val="000000"/>
          <w:sz w:val="24"/>
          <w:szCs w:val="24"/>
        </w:rPr>
      </w:pPr>
      <w:r w:rsidRPr="00FE388F">
        <w:rPr>
          <w:rFonts w:ascii="Times New Roman" w:hAnsi="Times New Roman"/>
          <w:color w:val="000000"/>
          <w:sz w:val="24"/>
          <w:szCs w:val="24"/>
        </w:rPr>
        <w:t xml:space="preserve">V čl. I, 48. bode, § 32 ods. 16 poslednej vete sa za slová „podmienky na jeho vydanie“ vkladajú slová „podľa prvej vety“. </w:t>
      </w:r>
    </w:p>
    <w:p w:rsidR="00D741B8" w:rsidRPr="00FE388F" w:rsidP="00D741B8">
      <w:pPr>
        <w:pStyle w:val="ListParagraph"/>
        <w:spacing w:after="0" w:line="240" w:lineRule="auto"/>
        <w:ind w:left="3969"/>
        <w:jc w:val="both"/>
        <w:rPr>
          <w:rFonts w:ascii="Times New Roman" w:hAnsi="Times New Roman"/>
          <w:color w:val="000000"/>
          <w:sz w:val="24"/>
          <w:szCs w:val="24"/>
        </w:rPr>
      </w:pPr>
    </w:p>
    <w:p w:rsidR="00D741B8" w:rsidRPr="00FE388F" w:rsidP="00D741B8">
      <w:pPr>
        <w:pStyle w:val="ListParagraph"/>
        <w:spacing w:after="0" w:line="240" w:lineRule="auto"/>
        <w:ind w:left="3119"/>
        <w:jc w:val="both"/>
        <w:rPr>
          <w:rFonts w:ascii="Times New Roman" w:hAnsi="Times New Roman"/>
          <w:sz w:val="24"/>
          <w:szCs w:val="24"/>
        </w:rPr>
      </w:pPr>
      <w:r w:rsidRPr="00FE388F">
        <w:rPr>
          <w:rFonts w:ascii="Times New Roman" w:hAnsi="Times New Roman"/>
          <w:sz w:val="24"/>
          <w:szCs w:val="24"/>
        </w:rPr>
        <w:t>Pozmeňujúci návrh precizuje predmetné ustanovenie tak, aby bolo zrejmé, že sa vzťahuje výhradne na spotrebiteľa uvedeného v citova</w:t>
      </w:r>
      <w:r w:rsidRPr="00FE388F">
        <w:rPr>
          <w:rFonts w:ascii="Times New Roman" w:hAnsi="Times New Roman"/>
          <w:sz w:val="24"/>
          <w:szCs w:val="24"/>
        </w:rPr>
        <w:t xml:space="preserve">nom odseku. </w:t>
      </w:r>
    </w:p>
    <w:p w:rsidR="00D741B8" w:rsidP="00D741B8">
      <w:pPr>
        <w:pStyle w:val="ListParagraph"/>
        <w:spacing w:after="0" w:line="240" w:lineRule="auto"/>
        <w:ind w:left="3545" w:hanging="426"/>
        <w:jc w:val="both"/>
        <w:rPr>
          <w:rFonts w:ascii="Times New Roman" w:hAnsi="Times New Roman"/>
          <w:b/>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P="00D741B8">
      <w:pPr>
        <w:pStyle w:val="ListParagraph"/>
        <w:spacing w:after="0" w:line="240" w:lineRule="auto"/>
        <w:ind w:left="3545" w:hanging="426"/>
        <w:jc w:val="both"/>
        <w:rPr>
          <w:rFonts w:ascii="Times New Roman" w:hAnsi="Times New Roman"/>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D741B8" w:rsidRPr="00D741B8" w:rsidP="00D741B8">
      <w:pPr>
        <w:pStyle w:val="ListParagraph"/>
        <w:spacing w:after="0" w:line="240" w:lineRule="auto"/>
        <w:ind w:left="3545" w:hanging="426"/>
        <w:jc w:val="both"/>
        <w:rPr>
          <w:rFonts w:ascii="Times New Roman" w:hAnsi="Times New Roman"/>
          <w:b/>
          <w:sz w:val="24"/>
          <w:szCs w:val="24"/>
        </w:rPr>
      </w:pPr>
      <w:r w:rsidRPr="00D741B8">
        <w:rPr>
          <w:rFonts w:ascii="Times New Roman" w:hAnsi="Times New Roman"/>
          <w:b/>
          <w:sz w:val="24"/>
          <w:szCs w:val="24"/>
        </w:rPr>
        <w:t>Výbor</w:t>
      </w:r>
      <w:r w:rsidRPr="00D741B8">
        <w:rPr>
          <w:rFonts w:ascii="Times New Roman" w:hAnsi="Times New Roman"/>
          <w:sz w:val="24"/>
          <w:szCs w:val="24"/>
        </w:rPr>
        <w:t xml:space="preserve"> </w:t>
      </w:r>
      <w:r w:rsidRPr="00D741B8">
        <w:rPr>
          <w:rFonts w:ascii="Times New Roman" w:hAnsi="Times New Roman"/>
          <w:b/>
          <w:sz w:val="24"/>
          <w:szCs w:val="24"/>
        </w:rPr>
        <w:t>NR SR</w:t>
      </w:r>
      <w:r w:rsidRPr="00D741B8">
        <w:rPr>
          <w:rFonts w:ascii="Times New Roman" w:hAnsi="Times New Roman"/>
          <w:sz w:val="24"/>
          <w:szCs w:val="24"/>
        </w:rPr>
        <w:t xml:space="preserve"> </w:t>
      </w:r>
      <w:r w:rsidRPr="00D741B8">
        <w:rPr>
          <w:rFonts w:ascii="Times New Roman" w:hAnsi="Times New Roman"/>
          <w:b/>
          <w:sz w:val="24"/>
          <w:szCs w:val="24"/>
        </w:rPr>
        <w:t>pre hospodárske záležitosti</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P="00D741B8">
      <w:pPr>
        <w:pStyle w:val="ListParagraph"/>
        <w:spacing w:after="0" w:line="240" w:lineRule="auto"/>
        <w:ind w:left="3969"/>
        <w:jc w:val="both"/>
        <w:rPr>
          <w:rFonts w:ascii="Times New Roman" w:hAnsi="Times New Roman"/>
          <w:sz w:val="24"/>
          <w:szCs w:val="24"/>
        </w:rPr>
      </w:pPr>
    </w:p>
    <w:p w:rsidR="00D741B8" w:rsidP="00D741B8">
      <w:pPr>
        <w:pStyle w:val="ListParagraph"/>
        <w:spacing w:after="0" w:line="240" w:lineRule="auto"/>
        <w:ind w:left="3969"/>
        <w:jc w:val="both"/>
        <w:rPr>
          <w:rFonts w:ascii="Times New Roman" w:hAnsi="Times New Roman"/>
          <w:sz w:val="24"/>
          <w:szCs w:val="24"/>
        </w:rPr>
      </w:pPr>
    </w:p>
    <w:p w:rsidR="00D741B8" w:rsidP="00D741B8">
      <w:pPr>
        <w:pStyle w:val="ListParagraph"/>
        <w:spacing w:after="0" w:line="240" w:lineRule="auto"/>
        <w:ind w:left="3969"/>
        <w:jc w:val="both"/>
        <w:rPr>
          <w:rFonts w:ascii="Times New Roman" w:hAnsi="Times New Roman"/>
          <w:sz w:val="24"/>
          <w:szCs w:val="24"/>
        </w:rPr>
      </w:pPr>
    </w:p>
    <w:p w:rsidR="00D741B8" w:rsidP="00D741B8">
      <w:pPr>
        <w:pStyle w:val="ListParagraph"/>
        <w:spacing w:after="0" w:line="240" w:lineRule="auto"/>
        <w:ind w:left="3969"/>
        <w:jc w:val="both"/>
        <w:rPr>
          <w:rFonts w:ascii="Times New Roman" w:hAnsi="Times New Roman"/>
          <w:sz w:val="24"/>
          <w:szCs w:val="24"/>
        </w:rPr>
      </w:pPr>
    </w:p>
    <w:p w:rsidR="00D741B8" w:rsidRPr="00FE388F" w:rsidP="00D741B8">
      <w:pPr>
        <w:pStyle w:val="ListParagraph"/>
        <w:spacing w:after="0" w:line="240" w:lineRule="auto"/>
        <w:ind w:left="3969"/>
        <w:jc w:val="both"/>
        <w:rPr>
          <w:rFonts w:ascii="Times New Roman" w:hAnsi="Times New Roman"/>
          <w:sz w:val="24"/>
          <w:szCs w:val="24"/>
        </w:rPr>
      </w:pPr>
    </w:p>
    <w:p w:rsidR="00D741B8" w:rsidRPr="00FE388F" w:rsidP="00D741B8">
      <w:pPr>
        <w:pStyle w:val="ListParagraph"/>
        <w:numPr>
          <w:ilvl w:val="0"/>
          <w:numId w:val="42"/>
        </w:numPr>
        <w:spacing w:after="0" w:line="240" w:lineRule="auto"/>
        <w:ind w:hanging="1156"/>
        <w:jc w:val="both"/>
        <w:rPr>
          <w:rFonts w:ascii="Times New Roman" w:hAnsi="Times New Roman"/>
          <w:b/>
          <w:color w:val="000000"/>
          <w:sz w:val="24"/>
          <w:szCs w:val="24"/>
        </w:rPr>
      </w:pPr>
      <w:r w:rsidRPr="00FE388F">
        <w:rPr>
          <w:rFonts w:ascii="Times New Roman" w:hAnsi="Times New Roman"/>
          <w:b/>
          <w:color w:val="000000"/>
          <w:sz w:val="24"/>
          <w:szCs w:val="24"/>
        </w:rPr>
        <w:t xml:space="preserve">K čl. I, nový bod </w:t>
      </w:r>
    </w:p>
    <w:p w:rsidR="00D741B8" w:rsidRPr="00FE388F" w:rsidP="00D741B8">
      <w:pPr>
        <w:pStyle w:val="ListParagraph"/>
        <w:spacing w:after="0" w:line="240" w:lineRule="auto"/>
        <w:jc w:val="both"/>
        <w:rPr>
          <w:rFonts w:ascii="Times New Roman" w:hAnsi="Times New Roman"/>
          <w:color w:val="000000"/>
          <w:sz w:val="24"/>
          <w:szCs w:val="24"/>
        </w:rPr>
      </w:pPr>
      <w:r w:rsidRPr="00FE388F">
        <w:rPr>
          <w:rFonts w:ascii="Times New Roman" w:hAnsi="Times New Roman"/>
          <w:color w:val="000000"/>
          <w:sz w:val="24"/>
          <w:szCs w:val="24"/>
        </w:rPr>
        <w:t xml:space="preserve">V čl. I sa za 57. bod vkladá nový 58. bod, ktorý znie: </w:t>
      </w:r>
    </w:p>
    <w:p w:rsidR="00D741B8" w:rsidRPr="00FE388F" w:rsidP="00D741B8">
      <w:pPr>
        <w:pStyle w:val="ListParagraph"/>
        <w:spacing w:after="0" w:line="240" w:lineRule="auto"/>
        <w:jc w:val="both"/>
        <w:rPr>
          <w:rFonts w:ascii="Times New Roman" w:hAnsi="Times New Roman"/>
          <w:color w:val="000000"/>
          <w:sz w:val="24"/>
          <w:szCs w:val="24"/>
        </w:rPr>
      </w:pPr>
      <w:r w:rsidRPr="00FE388F">
        <w:rPr>
          <w:rFonts w:ascii="Times New Roman" w:hAnsi="Times New Roman"/>
          <w:color w:val="000000"/>
          <w:sz w:val="24"/>
          <w:szCs w:val="24"/>
        </w:rPr>
        <w:t>„58. V § 42 ods. 1 sa vypúšťajú slová „ktorí majú povolenie podnikať v energetike podľa osobitného predpisu,</w:t>
      </w:r>
      <w:r w:rsidRPr="00FE388F">
        <w:rPr>
          <w:rFonts w:ascii="Times New Roman" w:hAnsi="Times New Roman"/>
          <w:color w:val="000000"/>
          <w:sz w:val="24"/>
          <w:szCs w:val="24"/>
          <w:vertAlign w:val="superscript"/>
        </w:rPr>
        <w:t>9</w:t>
      </w:r>
      <w:r w:rsidRPr="00FE388F">
        <w:rPr>
          <w:rFonts w:ascii="Times New Roman" w:hAnsi="Times New Roman"/>
          <w:color w:val="000000"/>
          <w:sz w:val="24"/>
          <w:szCs w:val="24"/>
        </w:rPr>
        <w:t>) a“.“.</w:t>
      </w:r>
    </w:p>
    <w:p w:rsidR="00D741B8" w:rsidRPr="00FE388F" w:rsidP="00D741B8">
      <w:pPr>
        <w:pStyle w:val="ListParagraph"/>
        <w:spacing w:after="0" w:line="240" w:lineRule="auto"/>
        <w:jc w:val="both"/>
        <w:rPr>
          <w:rFonts w:ascii="Times New Roman" w:hAnsi="Times New Roman"/>
          <w:b/>
          <w:color w:val="000000"/>
          <w:sz w:val="24"/>
          <w:szCs w:val="24"/>
        </w:rPr>
      </w:pPr>
    </w:p>
    <w:p w:rsidR="00D741B8" w:rsidRPr="00FE388F" w:rsidP="00D741B8">
      <w:pPr>
        <w:pStyle w:val="ListParagraph"/>
        <w:spacing w:after="0" w:line="240" w:lineRule="auto"/>
        <w:jc w:val="both"/>
        <w:rPr>
          <w:rFonts w:ascii="Times New Roman" w:hAnsi="Times New Roman"/>
          <w:color w:val="000000"/>
          <w:sz w:val="24"/>
          <w:szCs w:val="24"/>
        </w:rPr>
      </w:pPr>
      <w:r w:rsidRPr="00FE388F">
        <w:rPr>
          <w:rFonts w:ascii="Times New Roman" w:hAnsi="Times New Roman"/>
          <w:color w:val="000000"/>
          <w:sz w:val="24"/>
          <w:szCs w:val="24"/>
        </w:rPr>
        <w:t xml:space="preserve">Nasledujúce body 58 až 61 sa primerane prečíslujú, čo sa premietne aj do ustanovenia o účinnosti zákona (čl. III) pri spracúvaní čistopisu schváleného zákona. </w:t>
      </w:r>
    </w:p>
    <w:p w:rsidR="00D741B8" w:rsidRPr="00FE388F" w:rsidP="00D741B8">
      <w:pPr>
        <w:pStyle w:val="ListParagraph"/>
        <w:spacing w:after="0" w:line="240" w:lineRule="auto"/>
        <w:ind w:left="3969"/>
        <w:jc w:val="both"/>
        <w:rPr>
          <w:rFonts w:ascii="Times New Roman" w:hAnsi="Times New Roman"/>
          <w:b/>
          <w:color w:val="000000"/>
          <w:sz w:val="24"/>
          <w:szCs w:val="24"/>
        </w:rPr>
      </w:pPr>
    </w:p>
    <w:p w:rsidR="00D741B8" w:rsidRPr="00FE388F" w:rsidP="00D741B8">
      <w:pPr>
        <w:pStyle w:val="ListParagraph"/>
        <w:spacing w:after="0" w:line="240" w:lineRule="auto"/>
        <w:ind w:left="3119"/>
        <w:jc w:val="both"/>
        <w:rPr>
          <w:rFonts w:ascii="Times New Roman" w:hAnsi="Times New Roman"/>
          <w:sz w:val="24"/>
          <w:szCs w:val="24"/>
        </w:rPr>
      </w:pPr>
      <w:r w:rsidRPr="00FE388F">
        <w:rPr>
          <w:rFonts w:ascii="Times New Roman" w:hAnsi="Times New Roman"/>
          <w:sz w:val="24"/>
          <w:szCs w:val="24"/>
        </w:rPr>
        <w:t>Pozmeňujúci návrh novelizáciou predmetného ustanovenia reaguje na zmeny vykonané v č. I, 25., 31. a 51. bode návrhu zákona.</w:t>
      </w:r>
    </w:p>
    <w:p w:rsidR="00D741B8" w:rsidP="00D741B8">
      <w:pPr>
        <w:pStyle w:val="ListParagraph"/>
        <w:spacing w:after="0" w:line="240" w:lineRule="auto"/>
        <w:ind w:left="3545" w:hanging="426"/>
        <w:jc w:val="both"/>
        <w:rPr>
          <w:rFonts w:ascii="Times New Roman" w:hAnsi="Times New Roman"/>
          <w:b/>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P="00D741B8">
      <w:pPr>
        <w:pStyle w:val="ListParagraph"/>
        <w:spacing w:after="0" w:line="240" w:lineRule="auto"/>
        <w:ind w:left="3545" w:hanging="426"/>
        <w:jc w:val="both"/>
        <w:rPr>
          <w:rFonts w:ascii="Times New Roman" w:hAnsi="Times New Roman"/>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D741B8" w:rsidRPr="00D741B8" w:rsidP="00D741B8">
      <w:pPr>
        <w:pStyle w:val="ListParagraph"/>
        <w:spacing w:after="0" w:line="240" w:lineRule="auto"/>
        <w:ind w:left="3545" w:hanging="426"/>
        <w:jc w:val="both"/>
        <w:rPr>
          <w:rFonts w:ascii="Times New Roman" w:hAnsi="Times New Roman"/>
          <w:b/>
          <w:sz w:val="24"/>
          <w:szCs w:val="24"/>
        </w:rPr>
      </w:pPr>
      <w:r w:rsidRPr="00D741B8">
        <w:rPr>
          <w:rFonts w:ascii="Times New Roman" w:hAnsi="Times New Roman"/>
          <w:b/>
          <w:sz w:val="24"/>
          <w:szCs w:val="24"/>
        </w:rPr>
        <w:t>Výbor</w:t>
      </w:r>
      <w:r w:rsidRPr="00D741B8">
        <w:rPr>
          <w:rFonts w:ascii="Times New Roman" w:hAnsi="Times New Roman"/>
          <w:sz w:val="24"/>
          <w:szCs w:val="24"/>
        </w:rPr>
        <w:t xml:space="preserve"> </w:t>
      </w:r>
      <w:r w:rsidRPr="00D741B8">
        <w:rPr>
          <w:rFonts w:ascii="Times New Roman" w:hAnsi="Times New Roman"/>
          <w:b/>
          <w:sz w:val="24"/>
          <w:szCs w:val="24"/>
        </w:rPr>
        <w:t>NR SR</w:t>
      </w:r>
      <w:r w:rsidRPr="00D741B8">
        <w:rPr>
          <w:rFonts w:ascii="Times New Roman" w:hAnsi="Times New Roman"/>
          <w:sz w:val="24"/>
          <w:szCs w:val="24"/>
        </w:rPr>
        <w:t xml:space="preserve"> </w:t>
      </w:r>
      <w:r w:rsidRPr="00D741B8">
        <w:rPr>
          <w:rFonts w:ascii="Times New Roman" w:hAnsi="Times New Roman"/>
          <w:b/>
          <w:sz w:val="24"/>
          <w:szCs w:val="24"/>
        </w:rPr>
        <w:t>pre hospodárske záležitosti</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RPr="00FE388F" w:rsidP="00D741B8">
      <w:pPr>
        <w:pStyle w:val="ListParagraph"/>
        <w:spacing w:after="0" w:line="240" w:lineRule="auto"/>
        <w:jc w:val="both"/>
        <w:rPr>
          <w:rFonts w:ascii="Times New Roman" w:hAnsi="Times New Roman"/>
          <w:b/>
          <w:color w:val="000000"/>
          <w:sz w:val="24"/>
          <w:szCs w:val="24"/>
        </w:rPr>
      </w:pPr>
    </w:p>
    <w:p w:rsidR="00D741B8" w:rsidRPr="00FE388F" w:rsidP="00D741B8">
      <w:pPr>
        <w:pStyle w:val="ListParagraph"/>
        <w:numPr>
          <w:ilvl w:val="0"/>
          <w:numId w:val="42"/>
        </w:numPr>
        <w:spacing w:after="0" w:line="240" w:lineRule="auto"/>
        <w:ind w:hanging="1156"/>
        <w:jc w:val="both"/>
        <w:rPr>
          <w:rFonts w:ascii="Times New Roman" w:hAnsi="Times New Roman"/>
          <w:b/>
          <w:color w:val="000000"/>
          <w:sz w:val="24"/>
          <w:szCs w:val="24"/>
        </w:rPr>
      </w:pPr>
      <w:r w:rsidRPr="00FE388F">
        <w:rPr>
          <w:rFonts w:ascii="Times New Roman" w:hAnsi="Times New Roman"/>
          <w:b/>
          <w:color w:val="000000"/>
          <w:sz w:val="24"/>
          <w:szCs w:val="24"/>
        </w:rPr>
        <w:t xml:space="preserve">K čl. I, 61. bodu </w:t>
      </w:r>
    </w:p>
    <w:p w:rsidR="00D741B8" w:rsidRPr="00FE388F" w:rsidP="00D741B8">
      <w:pPr>
        <w:pStyle w:val="ListParagraph"/>
        <w:spacing w:after="0" w:line="240" w:lineRule="auto"/>
        <w:jc w:val="both"/>
        <w:rPr>
          <w:rFonts w:ascii="Times New Roman" w:hAnsi="Times New Roman"/>
          <w:color w:val="000000"/>
          <w:sz w:val="24"/>
          <w:szCs w:val="24"/>
        </w:rPr>
      </w:pPr>
      <w:r w:rsidRPr="00FE388F">
        <w:rPr>
          <w:rFonts w:ascii="Times New Roman" w:hAnsi="Times New Roman"/>
          <w:color w:val="000000"/>
          <w:sz w:val="24"/>
          <w:szCs w:val="24"/>
        </w:rPr>
        <w:t>V čl. I, 61. bode, v nadpise § 48g sa slová „1. decembra 2019“ nahrádzajú slovami „1. januára 2020“.</w:t>
      </w:r>
    </w:p>
    <w:p w:rsidR="00D741B8" w:rsidRPr="00FE388F" w:rsidP="00D741B8">
      <w:pPr>
        <w:pStyle w:val="ListParagraph"/>
        <w:spacing w:after="0" w:line="240" w:lineRule="auto"/>
        <w:ind w:left="3969"/>
        <w:jc w:val="both"/>
        <w:rPr>
          <w:rFonts w:ascii="Times New Roman" w:hAnsi="Times New Roman"/>
          <w:color w:val="000000"/>
          <w:sz w:val="24"/>
          <w:szCs w:val="24"/>
        </w:rPr>
      </w:pPr>
    </w:p>
    <w:p w:rsidR="00D741B8" w:rsidRPr="00FE388F" w:rsidP="00D741B8">
      <w:pPr>
        <w:pStyle w:val="ListParagraph"/>
        <w:spacing w:after="0" w:line="240" w:lineRule="auto"/>
        <w:ind w:left="3119"/>
        <w:jc w:val="both"/>
        <w:rPr>
          <w:rFonts w:ascii="Times New Roman" w:hAnsi="Times New Roman"/>
          <w:sz w:val="24"/>
          <w:szCs w:val="24"/>
        </w:rPr>
      </w:pPr>
      <w:r w:rsidRPr="00FE388F">
        <w:rPr>
          <w:rFonts w:ascii="Times New Roman" w:hAnsi="Times New Roman"/>
          <w:sz w:val="24"/>
          <w:szCs w:val="24"/>
        </w:rPr>
        <w:t xml:space="preserve">Pozmeňujúci návrh úpravou nadpisu prechodného ustanovenia reflektuje skutočnosť, že účinnosť ustanovení, na ktoré sa citované ustanovenia vzťahujú, je navrhovaná na 1. januára 2020. </w:t>
      </w:r>
    </w:p>
    <w:p w:rsidR="00D741B8" w:rsidP="00D741B8">
      <w:pPr>
        <w:pStyle w:val="ListParagraph"/>
        <w:spacing w:after="0" w:line="240" w:lineRule="auto"/>
        <w:ind w:left="3545" w:hanging="426"/>
        <w:jc w:val="both"/>
        <w:rPr>
          <w:rFonts w:ascii="Times New Roman" w:hAnsi="Times New Roman"/>
          <w:b/>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P="00D741B8">
      <w:pPr>
        <w:pStyle w:val="ListParagraph"/>
        <w:spacing w:after="0" w:line="240" w:lineRule="auto"/>
        <w:ind w:left="3545" w:hanging="426"/>
        <w:jc w:val="both"/>
        <w:rPr>
          <w:rFonts w:ascii="Times New Roman" w:hAnsi="Times New Roman"/>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D741B8" w:rsidRPr="00D741B8" w:rsidP="00D741B8">
      <w:pPr>
        <w:pStyle w:val="ListParagraph"/>
        <w:spacing w:after="0" w:line="240" w:lineRule="auto"/>
        <w:ind w:left="3545" w:hanging="426"/>
        <w:jc w:val="both"/>
        <w:rPr>
          <w:rFonts w:ascii="Times New Roman" w:hAnsi="Times New Roman"/>
          <w:b/>
          <w:sz w:val="24"/>
          <w:szCs w:val="24"/>
        </w:rPr>
      </w:pPr>
      <w:r w:rsidRPr="00D741B8">
        <w:rPr>
          <w:rFonts w:ascii="Times New Roman" w:hAnsi="Times New Roman"/>
          <w:b/>
          <w:sz w:val="24"/>
          <w:szCs w:val="24"/>
        </w:rPr>
        <w:t>Výbor</w:t>
      </w:r>
      <w:r w:rsidRPr="00D741B8">
        <w:rPr>
          <w:rFonts w:ascii="Times New Roman" w:hAnsi="Times New Roman"/>
          <w:sz w:val="24"/>
          <w:szCs w:val="24"/>
        </w:rPr>
        <w:t xml:space="preserve"> </w:t>
      </w:r>
      <w:r w:rsidRPr="00D741B8">
        <w:rPr>
          <w:rFonts w:ascii="Times New Roman" w:hAnsi="Times New Roman"/>
          <w:b/>
          <w:sz w:val="24"/>
          <w:szCs w:val="24"/>
        </w:rPr>
        <w:t>NR SR</w:t>
      </w:r>
      <w:r w:rsidRPr="00D741B8">
        <w:rPr>
          <w:rFonts w:ascii="Times New Roman" w:hAnsi="Times New Roman"/>
          <w:sz w:val="24"/>
          <w:szCs w:val="24"/>
        </w:rPr>
        <w:t xml:space="preserve"> </w:t>
      </w:r>
      <w:r w:rsidRPr="00D741B8">
        <w:rPr>
          <w:rFonts w:ascii="Times New Roman" w:hAnsi="Times New Roman"/>
          <w:b/>
          <w:sz w:val="24"/>
          <w:szCs w:val="24"/>
        </w:rPr>
        <w:t>pre hospodárske záležitosti</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RPr="00FE388F" w:rsidP="00D741B8">
      <w:pPr>
        <w:pStyle w:val="ListParagraph"/>
        <w:spacing w:after="0" w:line="240" w:lineRule="auto"/>
        <w:ind w:left="3969"/>
        <w:jc w:val="both"/>
        <w:rPr>
          <w:rFonts w:ascii="Times New Roman" w:hAnsi="Times New Roman"/>
          <w:sz w:val="24"/>
          <w:szCs w:val="24"/>
        </w:rPr>
      </w:pPr>
    </w:p>
    <w:p w:rsidR="00D741B8" w:rsidRPr="00FE388F" w:rsidP="00D741B8">
      <w:pPr>
        <w:pStyle w:val="ListParagraph"/>
        <w:numPr>
          <w:ilvl w:val="0"/>
          <w:numId w:val="42"/>
        </w:numPr>
        <w:autoSpaceDE w:val="0"/>
        <w:autoSpaceDN w:val="0"/>
        <w:adjustRightInd w:val="0"/>
        <w:spacing w:after="0" w:line="240" w:lineRule="auto"/>
        <w:ind w:hanging="1156"/>
        <w:jc w:val="both"/>
        <w:rPr>
          <w:rFonts w:ascii="Times New Roman" w:hAnsi="Times New Roman"/>
          <w:color w:val="000000"/>
          <w:sz w:val="24"/>
          <w:szCs w:val="24"/>
        </w:rPr>
      </w:pPr>
      <w:r w:rsidRPr="00FE388F">
        <w:rPr>
          <w:rFonts w:ascii="Times New Roman" w:hAnsi="Times New Roman"/>
          <w:b/>
          <w:color w:val="000000"/>
          <w:sz w:val="24"/>
          <w:szCs w:val="24"/>
        </w:rPr>
        <w:t>V čl. I doterajšom bode 61 v § 48g sa za odsek 3 vkladá no</w:t>
      </w:r>
      <w:r w:rsidRPr="00FE388F">
        <w:rPr>
          <w:rFonts w:ascii="Times New Roman" w:hAnsi="Times New Roman"/>
          <w:b/>
          <w:color w:val="000000"/>
          <w:sz w:val="24"/>
          <w:szCs w:val="24"/>
        </w:rPr>
        <w:t>vý odsek 4</w:t>
      </w:r>
      <w:r w:rsidRPr="00FE388F">
        <w:rPr>
          <w:rFonts w:ascii="Times New Roman" w:hAnsi="Times New Roman"/>
          <w:color w:val="000000"/>
          <w:sz w:val="24"/>
          <w:szCs w:val="24"/>
        </w:rPr>
        <w:t>, ktorý znie:</w:t>
      </w:r>
    </w:p>
    <w:p w:rsidR="00D741B8" w:rsidRPr="00FE388F" w:rsidP="00D741B8">
      <w:pPr>
        <w:pStyle w:val="ListParagraph"/>
        <w:spacing w:after="0" w:line="240" w:lineRule="auto"/>
        <w:ind w:left="708"/>
        <w:jc w:val="both"/>
        <w:rPr>
          <w:rFonts w:ascii="Times New Roman" w:hAnsi="Times New Roman"/>
          <w:color w:val="000000"/>
          <w:sz w:val="24"/>
          <w:szCs w:val="24"/>
        </w:rPr>
      </w:pPr>
      <w:r w:rsidRPr="00FE388F">
        <w:rPr>
          <w:rFonts w:ascii="Times New Roman" w:hAnsi="Times New Roman"/>
          <w:color w:val="000000"/>
          <w:sz w:val="24"/>
          <w:szCs w:val="24"/>
        </w:rPr>
        <w:t>„(4) Konanie o uložení pokuty právoplatne neukončené k 31. decembru 2019 sa dokončí podľa ustanovení zákona v znení účinnom od 1. januára 2020 a na pokuty sa vzťahuje § 43 v znení účinnom od 1. januára 2020, ak je takto určená výška</w:t>
      </w:r>
      <w:r w:rsidRPr="00FE388F">
        <w:rPr>
          <w:rFonts w:ascii="Times New Roman" w:hAnsi="Times New Roman"/>
          <w:color w:val="000000"/>
          <w:sz w:val="24"/>
          <w:szCs w:val="24"/>
        </w:rPr>
        <w:t xml:space="preserve"> pokuty pre osobu priaznivejšia.“.</w:t>
      </w:r>
    </w:p>
    <w:p w:rsidR="00D741B8" w:rsidRPr="00FE388F" w:rsidP="00D741B8">
      <w:pPr>
        <w:pStyle w:val="PlainText"/>
        <w:tabs>
          <w:tab w:val="left" w:pos="3119"/>
        </w:tabs>
        <w:ind w:left="3119"/>
        <w:jc w:val="both"/>
        <w:rPr>
          <w:rFonts w:ascii="Times New Roman" w:hAnsi="Times New Roman"/>
          <w:sz w:val="24"/>
          <w:szCs w:val="24"/>
        </w:rPr>
      </w:pPr>
      <w:r w:rsidRPr="00FE388F">
        <w:rPr>
          <w:rFonts w:ascii="Times New Roman" w:hAnsi="Times New Roman"/>
          <w:sz w:val="24"/>
          <w:szCs w:val="24"/>
        </w:rPr>
        <w:t>Pozmeňovací návrh v nadväznosti na úpravu skutkových podstát správnych deliktov, ako aj úpravu pokút za správne delikty dopĺňa prechodné ustanovenie týkajúce sa konaní prebiehajúcich na základe dotknutých ustanovení, ktoré začali alebo neboli právoplatne ukončené do nadobudnutia účinnosti návrhu zákona.</w:t>
      </w:r>
    </w:p>
    <w:p w:rsidR="00D741B8" w:rsidP="00D741B8">
      <w:pPr>
        <w:pStyle w:val="ListParagraph"/>
        <w:spacing w:after="0" w:line="240" w:lineRule="auto"/>
        <w:ind w:left="3545" w:hanging="426"/>
        <w:jc w:val="both"/>
        <w:rPr>
          <w:rFonts w:ascii="Times New Roman" w:hAnsi="Times New Roman"/>
          <w:b/>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P="00D741B8">
      <w:pPr>
        <w:jc w:val="both"/>
        <w:rPr>
          <w:color w:val="000000"/>
        </w:rPr>
      </w:pPr>
    </w:p>
    <w:p w:rsidR="00D741B8" w:rsidRPr="00FE388F" w:rsidP="00D741B8">
      <w:pPr>
        <w:pStyle w:val="ListParagraph"/>
        <w:numPr>
          <w:ilvl w:val="0"/>
          <w:numId w:val="42"/>
        </w:numPr>
        <w:autoSpaceDE w:val="0"/>
        <w:autoSpaceDN w:val="0"/>
        <w:adjustRightInd w:val="0"/>
        <w:spacing w:after="0" w:line="240" w:lineRule="auto"/>
        <w:ind w:hanging="1156"/>
        <w:jc w:val="both"/>
        <w:rPr>
          <w:rFonts w:ascii="Times New Roman" w:hAnsi="Times New Roman"/>
          <w:color w:val="000000"/>
          <w:sz w:val="24"/>
          <w:szCs w:val="24"/>
        </w:rPr>
      </w:pPr>
      <w:r w:rsidRPr="00FE388F">
        <w:rPr>
          <w:rFonts w:ascii="Times New Roman" w:hAnsi="Times New Roman"/>
          <w:b/>
          <w:color w:val="000000"/>
          <w:sz w:val="24"/>
          <w:szCs w:val="24"/>
        </w:rPr>
        <w:t>V čl. I sa za doterajší bod 61 vkladá nový bod 62</w:t>
      </w:r>
      <w:r w:rsidRPr="00FE388F">
        <w:rPr>
          <w:rFonts w:ascii="Times New Roman" w:hAnsi="Times New Roman"/>
          <w:color w:val="000000"/>
          <w:sz w:val="24"/>
          <w:szCs w:val="24"/>
        </w:rPr>
        <w:t>, ktorý znie:</w:t>
      </w:r>
    </w:p>
    <w:p w:rsidR="00D741B8" w:rsidRPr="00FE388F" w:rsidP="00D741B8">
      <w:pPr>
        <w:ind w:left="284" w:firstLine="424"/>
        <w:jc w:val="both"/>
        <w:rPr>
          <w:color w:val="000000"/>
        </w:rPr>
      </w:pPr>
      <w:r w:rsidRPr="00FE388F">
        <w:rPr>
          <w:color w:val="000000"/>
        </w:rPr>
        <w:t>„62. Príloha č. 2 sa dopĺňa štvrtým</w:t>
      </w:r>
      <w:r w:rsidRPr="00FE388F">
        <w:rPr>
          <w:color w:val="000000"/>
        </w:rPr>
        <w:t xml:space="preserve"> bodom, ktorý znie:</w:t>
      </w:r>
    </w:p>
    <w:p w:rsidR="00D741B8" w:rsidRPr="00FE388F" w:rsidP="00D741B8">
      <w:pPr>
        <w:pStyle w:val="ListParagraph"/>
        <w:spacing w:after="0" w:line="240" w:lineRule="auto"/>
        <w:ind w:left="708"/>
        <w:jc w:val="both"/>
        <w:rPr>
          <w:rFonts w:ascii="Times New Roman" w:hAnsi="Times New Roman"/>
          <w:color w:val="000000"/>
          <w:sz w:val="24"/>
          <w:szCs w:val="24"/>
        </w:rPr>
      </w:pPr>
      <w:r w:rsidRPr="00FE388F">
        <w:rPr>
          <w:rFonts w:ascii="Times New Roman" w:hAnsi="Times New Roman"/>
          <w:color w:val="000000"/>
          <w:sz w:val="24"/>
          <w:szCs w:val="24"/>
        </w:rPr>
        <w:t>„4. Smernica Rady (EÚ) 2019/475 z 18. februára 2019, ktorou sa menia smernice 2006/112/ES a 2008/118/ES, pokiaľ ide o začlenenie talianskej obce Campione d´Italia a talianskych vôd jazera Lugano do colného územia Únie a do územnej pôsob</w:t>
      </w:r>
      <w:r w:rsidRPr="00FE388F">
        <w:rPr>
          <w:rFonts w:ascii="Times New Roman" w:hAnsi="Times New Roman"/>
          <w:color w:val="000000"/>
          <w:sz w:val="24"/>
          <w:szCs w:val="24"/>
        </w:rPr>
        <w:t>nosti smernice 2008/118/ES (Ú. v. EÚ L 83, 25.3.2019).“.“.</w:t>
      </w:r>
    </w:p>
    <w:p w:rsidR="00D741B8" w:rsidRPr="00FE388F" w:rsidP="00D741B8">
      <w:pPr>
        <w:pStyle w:val="ListParagraph"/>
        <w:autoSpaceDE w:val="0"/>
        <w:autoSpaceDN w:val="0"/>
        <w:adjustRightInd w:val="0"/>
        <w:spacing w:after="0" w:line="240" w:lineRule="auto"/>
        <w:ind w:left="0"/>
        <w:jc w:val="both"/>
        <w:rPr>
          <w:rFonts w:ascii="Times New Roman" w:hAnsi="Times New Roman"/>
          <w:sz w:val="24"/>
          <w:szCs w:val="24"/>
        </w:rPr>
      </w:pPr>
    </w:p>
    <w:p w:rsidR="00D741B8" w:rsidRPr="00FE388F" w:rsidP="00D741B8">
      <w:pPr>
        <w:pStyle w:val="ListParagraph"/>
        <w:autoSpaceDE w:val="0"/>
        <w:autoSpaceDN w:val="0"/>
        <w:adjustRightInd w:val="0"/>
        <w:spacing w:after="0" w:line="240" w:lineRule="auto"/>
        <w:ind w:left="708"/>
        <w:jc w:val="both"/>
        <w:rPr>
          <w:rFonts w:ascii="Times New Roman" w:hAnsi="Times New Roman"/>
          <w:sz w:val="24"/>
          <w:szCs w:val="24"/>
        </w:rPr>
      </w:pPr>
      <w:r w:rsidRPr="00FE388F">
        <w:rPr>
          <w:rFonts w:ascii="Times New Roman" w:hAnsi="Times New Roman"/>
          <w:sz w:val="24"/>
          <w:szCs w:val="24"/>
        </w:rPr>
        <w:t xml:space="preserve">Tento bod nadobúda účinnosť 1. januára 2020, čo sa premietne v ustanovení o účinnosti pri spracúvaní čistopisu schváleného zákona. </w:t>
      </w:r>
    </w:p>
    <w:p w:rsidR="00D741B8" w:rsidRPr="00FE388F" w:rsidP="00D741B8">
      <w:pPr>
        <w:pStyle w:val="ListParagraph"/>
        <w:autoSpaceDE w:val="0"/>
        <w:autoSpaceDN w:val="0"/>
        <w:adjustRightInd w:val="0"/>
        <w:spacing w:after="0" w:line="240" w:lineRule="auto"/>
        <w:ind w:left="284"/>
        <w:jc w:val="both"/>
        <w:rPr>
          <w:rFonts w:ascii="Times New Roman" w:hAnsi="Times New Roman"/>
          <w:sz w:val="24"/>
          <w:szCs w:val="24"/>
        </w:rPr>
      </w:pPr>
    </w:p>
    <w:p w:rsidR="00D741B8" w:rsidRPr="00FE388F" w:rsidP="00D741B8">
      <w:pPr>
        <w:pStyle w:val="NormalWeb"/>
        <w:spacing w:before="0" w:beforeAutospacing="0" w:after="0" w:afterAutospacing="0"/>
        <w:ind w:left="3119"/>
        <w:jc w:val="both"/>
      </w:pPr>
      <w:r w:rsidRPr="00FE388F">
        <w:t xml:space="preserve">V nadväznosti na úpravu v § 2 ods. 1 písm. b) (bod 1) je potrebné upraviť aj prílohu č. 2 „Zoznam preberaných právne záväzných aktov Európskej únie“. </w:t>
      </w:r>
    </w:p>
    <w:p w:rsidR="00D741B8" w:rsidP="00D741B8">
      <w:pPr>
        <w:pStyle w:val="ListParagraph"/>
        <w:spacing w:after="0" w:line="240" w:lineRule="auto"/>
        <w:ind w:left="3545" w:hanging="426"/>
        <w:jc w:val="both"/>
        <w:rPr>
          <w:rFonts w:ascii="Times New Roman" w:hAnsi="Times New Roman"/>
          <w:b/>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RPr="00FE388F" w:rsidP="00D741B8">
      <w:pPr>
        <w:jc w:val="both"/>
        <w:rPr>
          <w:color w:val="000000"/>
        </w:rPr>
      </w:pPr>
    </w:p>
    <w:p w:rsidR="00D741B8" w:rsidRPr="00FE388F" w:rsidP="00D741B8">
      <w:pPr>
        <w:pStyle w:val="ListParagraph"/>
        <w:numPr>
          <w:ilvl w:val="0"/>
          <w:numId w:val="42"/>
        </w:numPr>
        <w:spacing w:after="0" w:line="240" w:lineRule="auto"/>
        <w:ind w:hanging="1156"/>
        <w:jc w:val="both"/>
        <w:rPr>
          <w:rFonts w:ascii="Times New Roman" w:hAnsi="Times New Roman"/>
          <w:color w:val="000000"/>
          <w:sz w:val="24"/>
          <w:szCs w:val="24"/>
        </w:rPr>
      </w:pPr>
      <w:r w:rsidRPr="00FE388F">
        <w:rPr>
          <w:rFonts w:ascii="Times New Roman" w:hAnsi="Times New Roman"/>
          <w:b/>
          <w:color w:val="000000"/>
          <w:sz w:val="24"/>
          <w:szCs w:val="24"/>
        </w:rPr>
        <w:t>V čl. II sa vkladá pred doterajší bod 1 nový bod 1</w:t>
      </w:r>
      <w:r w:rsidRPr="00FE388F">
        <w:rPr>
          <w:rFonts w:ascii="Times New Roman" w:hAnsi="Times New Roman"/>
          <w:color w:val="000000"/>
          <w:sz w:val="24"/>
          <w:szCs w:val="24"/>
        </w:rPr>
        <w:t>, ktorý znie:</w:t>
      </w:r>
    </w:p>
    <w:p w:rsidR="00D741B8" w:rsidRPr="00FE388F" w:rsidP="00D741B8">
      <w:pPr>
        <w:pStyle w:val="ListParagraph"/>
        <w:spacing w:after="0" w:line="240" w:lineRule="auto"/>
        <w:ind w:left="708"/>
        <w:jc w:val="both"/>
        <w:rPr>
          <w:rFonts w:ascii="Times New Roman" w:hAnsi="Times New Roman"/>
          <w:color w:val="000000"/>
          <w:sz w:val="24"/>
          <w:szCs w:val="24"/>
        </w:rPr>
      </w:pPr>
      <w:r w:rsidRPr="00FE388F">
        <w:rPr>
          <w:rFonts w:ascii="Times New Roman" w:hAnsi="Times New Roman"/>
          <w:color w:val="000000"/>
          <w:sz w:val="24"/>
          <w:szCs w:val="24"/>
        </w:rPr>
        <w:t>„1. V § 2 ods. 1 písm. b) sa za slovom „Livigno“ vypúšťa čiarka a slová „Campione d´Italia a talianskych vnútrozemských vôd jazera Lugano“.“.</w:t>
      </w:r>
    </w:p>
    <w:p w:rsidR="00D741B8" w:rsidRPr="00FE388F" w:rsidP="00D741B8">
      <w:pPr>
        <w:pStyle w:val="ListParagraph"/>
        <w:tabs>
          <w:tab w:val="left" w:pos="0"/>
        </w:tabs>
        <w:autoSpaceDE w:val="0"/>
        <w:autoSpaceDN w:val="0"/>
        <w:adjustRightInd w:val="0"/>
        <w:spacing w:after="0" w:line="240" w:lineRule="auto"/>
        <w:ind w:left="0"/>
        <w:jc w:val="both"/>
        <w:rPr>
          <w:rFonts w:ascii="Times New Roman" w:hAnsi="Times New Roman"/>
          <w:sz w:val="24"/>
          <w:szCs w:val="24"/>
        </w:rPr>
      </w:pPr>
    </w:p>
    <w:p w:rsidR="00D741B8" w:rsidRPr="00FE388F" w:rsidP="00D741B8">
      <w:pPr>
        <w:pStyle w:val="ListParagraph"/>
        <w:spacing w:after="0" w:line="240" w:lineRule="auto"/>
        <w:ind w:left="0" w:firstLine="708"/>
        <w:jc w:val="both"/>
        <w:rPr>
          <w:rFonts w:ascii="Times New Roman" w:hAnsi="Times New Roman"/>
          <w:color w:val="000000"/>
          <w:sz w:val="24"/>
          <w:szCs w:val="24"/>
        </w:rPr>
      </w:pPr>
      <w:r w:rsidRPr="00FE388F">
        <w:rPr>
          <w:rFonts w:ascii="Times New Roman" w:hAnsi="Times New Roman"/>
          <w:color w:val="000000"/>
          <w:sz w:val="24"/>
          <w:szCs w:val="24"/>
        </w:rPr>
        <w:t>Doterajšie body sa primerane prečíslujú.</w:t>
      </w:r>
    </w:p>
    <w:p w:rsidR="00D741B8" w:rsidRPr="00FE388F" w:rsidP="00D741B8">
      <w:pPr>
        <w:pStyle w:val="ListParagraph"/>
        <w:spacing w:after="0" w:line="240" w:lineRule="auto"/>
        <w:ind w:left="0" w:firstLine="284"/>
        <w:jc w:val="both"/>
        <w:rPr>
          <w:rFonts w:ascii="Times New Roman" w:hAnsi="Times New Roman"/>
          <w:color w:val="000000"/>
          <w:sz w:val="24"/>
          <w:szCs w:val="24"/>
        </w:rPr>
      </w:pPr>
    </w:p>
    <w:p w:rsidR="00D741B8" w:rsidRPr="00FE388F" w:rsidP="00D741B8">
      <w:pPr>
        <w:pStyle w:val="ListParagraph"/>
        <w:autoSpaceDE w:val="0"/>
        <w:autoSpaceDN w:val="0"/>
        <w:adjustRightInd w:val="0"/>
        <w:spacing w:after="0" w:line="240" w:lineRule="auto"/>
        <w:ind w:left="708"/>
        <w:jc w:val="both"/>
        <w:rPr>
          <w:rFonts w:ascii="Times New Roman" w:hAnsi="Times New Roman"/>
          <w:sz w:val="24"/>
          <w:szCs w:val="24"/>
        </w:rPr>
      </w:pPr>
      <w:r w:rsidRPr="00FE388F">
        <w:rPr>
          <w:rFonts w:ascii="Times New Roman" w:hAnsi="Times New Roman"/>
          <w:sz w:val="24"/>
          <w:szCs w:val="24"/>
        </w:rPr>
        <w:t xml:space="preserve">Tento bod nadobúda účinnosť 1. januára 2020, čo sa premietne v ustanovení o účinnosti pri spracúvaní čistopisu schváleného zákona. </w:t>
      </w:r>
    </w:p>
    <w:p w:rsidR="00D741B8" w:rsidP="00D741B8">
      <w:pPr>
        <w:pStyle w:val="NormalWeb"/>
        <w:tabs>
          <w:tab w:val="left" w:pos="3119"/>
        </w:tabs>
        <w:spacing w:before="0" w:beforeAutospacing="0" w:after="0" w:afterAutospacing="0"/>
        <w:ind w:left="3119"/>
        <w:jc w:val="both"/>
      </w:pPr>
    </w:p>
    <w:p w:rsidR="00D741B8" w:rsidRPr="00FE388F" w:rsidP="00D741B8">
      <w:pPr>
        <w:pStyle w:val="NormalWeb"/>
        <w:tabs>
          <w:tab w:val="left" w:pos="3119"/>
        </w:tabs>
        <w:spacing w:before="0" w:beforeAutospacing="0" w:after="0" w:afterAutospacing="0"/>
        <w:ind w:left="3119"/>
        <w:jc w:val="both"/>
      </w:pPr>
      <w:r w:rsidRPr="00FE388F">
        <w:t xml:space="preserve">Vzhľadom na povinnosť transponovať legislatívu EÚ do národnej legislatívy do 31. decembra 2019, je nutné upraviť definíciu územia Európskej únie v súlade so smernicou </w:t>
      </w:r>
      <w:r w:rsidRPr="00FE388F">
        <w:rPr>
          <w:color w:val="000000"/>
        </w:rPr>
        <w:t>Rady (EÚ) 2019/475 z 18. februára 2019, ktorou sa menia smernice 2006/112/ES a 2008/118/ES, pokiaľ ide o začlenenie talianskej obce Campione d´Italia a talianskych vôd jazera Lugano do colného územia Únie a do územnej pôsobnosti smernice 2008/118/ES.</w:t>
      </w:r>
      <w:r w:rsidRPr="00FE388F">
        <w:t xml:space="preserve"> </w:t>
      </w:r>
    </w:p>
    <w:p w:rsidR="00D741B8" w:rsidP="00D741B8">
      <w:pPr>
        <w:pStyle w:val="ListParagraph"/>
        <w:spacing w:after="0" w:line="240" w:lineRule="auto"/>
        <w:ind w:left="3545" w:hanging="426"/>
        <w:jc w:val="both"/>
        <w:rPr>
          <w:rFonts w:ascii="Times New Roman" w:hAnsi="Times New Roman"/>
          <w:b/>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RPr="00FE388F" w:rsidP="00D741B8">
      <w:pPr>
        <w:jc w:val="both"/>
        <w:rPr>
          <w:color w:val="000000"/>
        </w:rPr>
      </w:pPr>
    </w:p>
    <w:p w:rsidR="00D741B8" w:rsidRPr="00FE388F" w:rsidP="00D741B8">
      <w:pPr>
        <w:pStyle w:val="ListParagraph"/>
        <w:numPr>
          <w:ilvl w:val="0"/>
          <w:numId w:val="42"/>
        </w:numPr>
        <w:tabs>
          <w:tab w:val="left" w:pos="709"/>
        </w:tabs>
        <w:spacing w:after="0" w:line="240" w:lineRule="auto"/>
        <w:ind w:left="709" w:hanging="425"/>
        <w:jc w:val="both"/>
        <w:rPr>
          <w:rFonts w:ascii="Times New Roman" w:hAnsi="Times New Roman"/>
          <w:b/>
          <w:color w:val="000000"/>
          <w:sz w:val="24"/>
          <w:szCs w:val="24"/>
        </w:rPr>
      </w:pPr>
      <w:r w:rsidRPr="00FE388F">
        <w:rPr>
          <w:rFonts w:ascii="Times New Roman" w:hAnsi="Times New Roman"/>
          <w:b/>
          <w:color w:val="000000"/>
          <w:sz w:val="24"/>
          <w:szCs w:val="24"/>
        </w:rPr>
        <w:t xml:space="preserve">K čl. II, 6. bodu </w:t>
      </w:r>
    </w:p>
    <w:p w:rsidR="00D741B8" w:rsidRPr="00FE388F" w:rsidP="00D741B8">
      <w:pPr>
        <w:pStyle w:val="ListParagraph"/>
        <w:spacing w:after="0" w:line="240" w:lineRule="auto"/>
        <w:jc w:val="both"/>
        <w:rPr>
          <w:rFonts w:ascii="Times New Roman" w:hAnsi="Times New Roman"/>
          <w:color w:val="000000"/>
          <w:sz w:val="24"/>
          <w:szCs w:val="24"/>
        </w:rPr>
      </w:pPr>
      <w:r w:rsidRPr="00FE388F">
        <w:rPr>
          <w:rFonts w:ascii="Times New Roman" w:hAnsi="Times New Roman"/>
          <w:color w:val="000000"/>
          <w:sz w:val="24"/>
          <w:szCs w:val="24"/>
        </w:rPr>
        <w:t>V čl. II, 6. bode, § 11 ods. 16 písmeno c) znie:</w:t>
      </w:r>
    </w:p>
    <w:p w:rsidR="00D741B8" w:rsidRPr="00FE388F" w:rsidP="00D741B8">
      <w:pPr>
        <w:pStyle w:val="ListParagraph"/>
        <w:spacing w:after="0" w:line="240" w:lineRule="auto"/>
        <w:jc w:val="both"/>
        <w:rPr>
          <w:rFonts w:ascii="Times New Roman" w:hAnsi="Times New Roman"/>
          <w:color w:val="000000"/>
          <w:sz w:val="24"/>
          <w:szCs w:val="24"/>
        </w:rPr>
      </w:pPr>
      <w:r w:rsidRPr="00FE388F">
        <w:rPr>
          <w:rFonts w:ascii="Times New Roman" w:hAnsi="Times New Roman"/>
          <w:color w:val="000000"/>
          <w:sz w:val="24"/>
          <w:szCs w:val="24"/>
        </w:rPr>
        <w:t>„c) zásoby daňovo zvýhodneného minerálneho oleja už nemôže použiť na účely uvedené v odbernom poukaze.“.</w:t>
      </w:r>
    </w:p>
    <w:p w:rsidR="00D741B8" w:rsidRPr="00FE388F" w:rsidP="00D741B8">
      <w:pPr>
        <w:pStyle w:val="ListParagraph"/>
        <w:tabs>
          <w:tab w:val="left" w:pos="3969"/>
        </w:tabs>
        <w:spacing w:after="0" w:line="240" w:lineRule="auto"/>
        <w:ind w:left="3969"/>
        <w:jc w:val="both"/>
        <w:rPr>
          <w:rFonts w:ascii="Times New Roman" w:hAnsi="Times New Roman"/>
          <w:color w:val="000000"/>
          <w:sz w:val="24"/>
          <w:szCs w:val="24"/>
        </w:rPr>
      </w:pPr>
    </w:p>
    <w:p w:rsidR="00D741B8" w:rsidP="00D741B8">
      <w:pPr>
        <w:pStyle w:val="ListParagraph"/>
        <w:tabs>
          <w:tab w:val="left" w:pos="3119"/>
        </w:tabs>
        <w:spacing w:after="0" w:line="240" w:lineRule="auto"/>
        <w:ind w:left="3969" w:hanging="850"/>
        <w:jc w:val="both"/>
        <w:rPr>
          <w:rFonts w:ascii="Times New Roman" w:hAnsi="Times New Roman"/>
          <w:sz w:val="24"/>
          <w:szCs w:val="24"/>
        </w:rPr>
      </w:pPr>
      <w:r w:rsidRPr="00FE388F">
        <w:rPr>
          <w:rFonts w:ascii="Times New Roman" w:hAnsi="Times New Roman"/>
          <w:sz w:val="24"/>
          <w:szCs w:val="24"/>
        </w:rPr>
        <w:t xml:space="preserve">Pozmeňujúci návrh pojmovo precizuje a zároveň zosúlaďuje </w:t>
      </w:r>
    </w:p>
    <w:p w:rsidR="00D741B8" w:rsidP="00D741B8">
      <w:pPr>
        <w:pStyle w:val="ListParagraph"/>
        <w:tabs>
          <w:tab w:val="left" w:pos="3119"/>
        </w:tabs>
        <w:spacing w:after="0" w:line="240" w:lineRule="auto"/>
        <w:ind w:left="3969" w:hanging="850"/>
        <w:jc w:val="both"/>
        <w:rPr>
          <w:rFonts w:ascii="Times New Roman" w:hAnsi="Times New Roman"/>
          <w:sz w:val="24"/>
          <w:szCs w:val="24"/>
        </w:rPr>
      </w:pPr>
      <w:r w:rsidRPr="00FE388F">
        <w:rPr>
          <w:rFonts w:ascii="Times New Roman" w:hAnsi="Times New Roman"/>
          <w:sz w:val="24"/>
          <w:szCs w:val="24"/>
        </w:rPr>
        <w:t xml:space="preserve">znenie navrhovaného ustanovenia so znením § 11 ods. 17 (čl. II, </w:t>
      </w:r>
    </w:p>
    <w:p w:rsidR="00D741B8" w:rsidRPr="00FE388F" w:rsidP="00D741B8">
      <w:pPr>
        <w:pStyle w:val="ListParagraph"/>
        <w:tabs>
          <w:tab w:val="left" w:pos="3119"/>
        </w:tabs>
        <w:spacing w:after="0" w:line="240" w:lineRule="auto"/>
        <w:ind w:left="3969" w:hanging="850"/>
        <w:jc w:val="both"/>
        <w:rPr>
          <w:rFonts w:ascii="Times New Roman" w:hAnsi="Times New Roman"/>
          <w:color w:val="000000"/>
          <w:sz w:val="24"/>
          <w:szCs w:val="24"/>
        </w:rPr>
      </w:pPr>
      <w:r w:rsidRPr="00FE388F">
        <w:rPr>
          <w:rFonts w:ascii="Times New Roman" w:hAnsi="Times New Roman"/>
          <w:sz w:val="24"/>
          <w:szCs w:val="24"/>
        </w:rPr>
        <w:t xml:space="preserve">7. bod návrhu zákona). </w:t>
      </w:r>
    </w:p>
    <w:p w:rsidR="00D741B8" w:rsidP="00D741B8">
      <w:pPr>
        <w:pStyle w:val="ListParagraph"/>
        <w:spacing w:after="0" w:line="240" w:lineRule="auto"/>
        <w:ind w:left="3545" w:hanging="426"/>
        <w:jc w:val="both"/>
        <w:rPr>
          <w:rFonts w:ascii="Times New Roman" w:hAnsi="Times New Roman"/>
          <w:b/>
          <w:sz w:val="24"/>
          <w:szCs w:val="24"/>
        </w:rPr>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P="00D741B8">
      <w:pPr>
        <w:pStyle w:val="ListParagraph"/>
        <w:spacing w:after="0" w:line="240" w:lineRule="auto"/>
        <w:ind w:left="3545" w:hanging="426"/>
        <w:jc w:val="both"/>
        <w:rPr>
          <w:rFonts w:ascii="Times New Roman" w:hAnsi="Times New Roman"/>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D741B8" w:rsidRPr="00D741B8" w:rsidP="00D741B8">
      <w:pPr>
        <w:pStyle w:val="ListParagraph"/>
        <w:spacing w:after="0" w:line="240" w:lineRule="auto"/>
        <w:ind w:left="3545" w:hanging="426"/>
        <w:jc w:val="both"/>
        <w:rPr>
          <w:rFonts w:ascii="Times New Roman" w:hAnsi="Times New Roman"/>
          <w:b/>
          <w:sz w:val="24"/>
          <w:szCs w:val="24"/>
        </w:rPr>
      </w:pPr>
      <w:r w:rsidRPr="00D741B8">
        <w:rPr>
          <w:rFonts w:ascii="Times New Roman" w:hAnsi="Times New Roman"/>
          <w:b/>
          <w:sz w:val="24"/>
          <w:szCs w:val="24"/>
        </w:rPr>
        <w:t>Výbor</w:t>
      </w:r>
      <w:r w:rsidRPr="00D741B8">
        <w:rPr>
          <w:rFonts w:ascii="Times New Roman" w:hAnsi="Times New Roman"/>
          <w:sz w:val="24"/>
          <w:szCs w:val="24"/>
        </w:rPr>
        <w:t xml:space="preserve"> </w:t>
      </w:r>
      <w:r w:rsidRPr="00D741B8">
        <w:rPr>
          <w:rFonts w:ascii="Times New Roman" w:hAnsi="Times New Roman"/>
          <w:b/>
          <w:sz w:val="24"/>
          <w:szCs w:val="24"/>
        </w:rPr>
        <w:t>NR SR</w:t>
      </w:r>
      <w:r w:rsidRPr="00D741B8">
        <w:rPr>
          <w:rFonts w:ascii="Times New Roman" w:hAnsi="Times New Roman"/>
          <w:sz w:val="24"/>
          <w:szCs w:val="24"/>
        </w:rPr>
        <w:t xml:space="preserve"> </w:t>
      </w:r>
      <w:r w:rsidRPr="00D741B8">
        <w:rPr>
          <w:rFonts w:ascii="Times New Roman" w:hAnsi="Times New Roman"/>
          <w:b/>
          <w:sz w:val="24"/>
          <w:szCs w:val="24"/>
        </w:rPr>
        <w:t>pre hospodárske záležitosti</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741B8" w:rsidRPr="00FE388F" w:rsidP="00D741B8">
      <w:pPr>
        <w:jc w:val="both"/>
      </w:pPr>
    </w:p>
    <w:p w:rsidR="00D741B8" w:rsidRPr="00FE388F" w:rsidP="00D741B8">
      <w:pPr>
        <w:pStyle w:val="ListParagraph"/>
        <w:numPr>
          <w:ilvl w:val="0"/>
          <w:numId w:val="42"/>
        </w:numPr>
        <w:spacing w:after="0" w:line="240" w:lineRule="auto"/>
        <w:ind w:left="709" w:hanging="425"/>
        <w:jc w:val="both"/>
        <w:rPr>
          <w:rFonts w:ascii="Times New Roman" w:hAnsi="Times New Roman"/>
          <w:color w:val="000000"/>
          <w:sz w:val="24"/>
          <w:szCs w:val="24"/>
        </w:rPr>
      </w:pPr>
      <w:r w:rsidRPr="00FE388F">
        <w:rPr>
          <w:rFonts w:ascii="Times New Roman" w:hAnsi="Times New Roman"/>
          <w:b/>
          <w:color w:val="000000"/>
          <w:sz w:val="24"/>
          <w:szCs w:val="24"/>
        </w:rPr>
        <w:t>V čl. II sa za doterajší bod 11 vklad</w:t>
      </w:r>
      <w:r w:rsidRPr="00FE388F">
        <w:rPr>
          <w:rFonts w:ascii="Times New Roman" w:hAnsi="Times New Roman"/>
          <w:b/>
          <w:color w:val="000000"/>
          <w:sz w:val="24"/>
          <w:szCs w:val="24"/>
        </w:rPr>
        <w:t>á nový bod 12</w:t>
      </w:r>
      <w:r w:rsidRPr="00FE388F">
        <w:rPr>
          <w:rFonts w:ascii="Times New Roman" w:hAnsi="Times New Roman"/>
          <w:color w:val="000000"/>
          <w:sz w:val="24"/>
          <w:szCs w:val="24"/>
        </w:rPr>
        <w:t>, ktorý znie:</w:t>
      </w:r>
    </w:p>
    <w:p w:rsidR="00D741B8" w:rsidRPr="00FE388F" w:rsidP="00D741B8">
      <w:pPr>
        <w:pStyle w:val="ListParagraph"/>
        <w:spacing w:after="0" w:line="240" w:lineRule="auto"/>
        <w:ind w:left="284" w:firstLine="424"/>
        <w:jc w:val="both"/>
        <w:rPr>
          <w:rFonts w:ascii="Times New Roman" w:hAnsi="Times New Roman"/>
          <w:color w:val="000000"/>
          <w:sz w:val="24"/>
          <w:szCs w:val="24"/>
        </w:rPr>
      </w:pPr>
      <w:r w:rsidRPr="00FE388F">
        <w:rPr>
          <w:rFonts w:ascii="Times New Roman" w:hAnsi="Times New Roman"/>
          <w:color w:val="000000"/>
          <w:sz w:val="24"/>
          <w:szCs w:val="24"/>
        </w:rPr>
        <w:t>„12. Príloha č. 1 sa dopĺňa šiestym bodom, ktorý znie:</w:t>
      </w:r>
    </w:p>
    <w:p w:rsidR="00D741B8" w:rsidRPr="00FE388F" w:rsidP="00D741B8">
      <w:pPr>
        <w:ind w:left="708"/>
        <w:jc w:val="both"/>
        <w:rPr>
          <w:color w:val="000000"/>
        </w:rPr>
      </w:pPr>
      <w:r w:rsidRPr="00FE388F">
        <w:rPr>
          <w:color w:val="000000"/>
        </w:rPr>
        <w:t>„6. Smernica Rady (EÚ) 2019/475 z 18. februára 2019, ktorou sa menia smernice 2006/112/ES a 2008/118/ES, pokiaľ ide o začlenenie talianskej obce Campione d´Italia a taliansky</w:t>
      </w:r>
      <w:r w:rsidRPr="00FE388F">
        <w:rPr>
          <w:color w:val="000000"/>
        </w:rPr>
        <w:t>ch vôd jazera Lugano do colného územia Únie a do územnej pôsobnosti smernice 2008/118/ES (Ú. v. EÚ L 83, 25.3.2019).“.“.</w:t>
      </w:r>
    </w:p>
    <w:p w:rsidR="00D741B8" w:rsidRPr="00FE388F" w:rsidP="00D741B8">
      <w:pPr>
        <w:pStyle w:val="ListParagraph"/>
        <w:spacing w:after="0" w:line="240" w:lineRule="auto"/>
        <w:ind w:left="0"/>
        <w:jc w:val="both"/>
        <w:rPr>
          <w:rFonts w:ascii="Times New Roman" w:hAnsi="Times New Roman"/>
          <w:color w:val="000000"/>
          <w:sz w:val="24"/>
          <w:szCs w:val="24"/>
        </w:rPr>
      </w:pPr>
    </w:p>
    <w:p w:rsidR="00D741B8" w:rsidRPr="00FE388F" w:rsidP="00D741B8">
      <w:pPr>
        <w:pStyle w:val="ListParagraph"/>
        <w:spacing w:after="0" w:line="240" w:lineRule="auto"/>
        <w:ind w:left="0" w:firstLine="708"/>
        <w:jc w:val="both"/>
        <w:rPr>
          <w:rFonts w:ascii="Times New Roman" w:hAnsi="Times New Roman"/>
          <w:color w:val="000000"/>
          <w:sz w:val="24"/>
          <w:szCs w:val="24"/>
        </w:rPr>
      </w:pPr>
      <w:r w:rsidRPr="00FE388F">
        <w:rPr>
          <w:rFonts w:ascii="Times New Roman" w:hAnsi="Times New Roman"/>
          <w:color w:val="000000"/>
          <w:sz w:val="24"/>
          <w:szCs w:val="24"/>
        </w:rPr>
        <w:t>Doterajšie body sa primerane prečíslujú.</w:t>
      </w:r>
    </w:p>
    <w:p w:rsidR="00D741B8" w:rsidRPr="00FE388F" w:rsidP="00D741B8">
      <w:pPr>
        <w:pStyle w:val="ListParagraph"/>
        <w:spacing w:after="0" w:line="240" w:lineRule="auto"/>
        <w:ind w:left="0" w:firstLine="284"/>
        <w:jc w:val="both"/>
        <w:rPr>
          <w:rFonts w:ascii="Times New Roman" w:hAnsi="Times New Roman"/>
          <w:color w:val="000000"/>
          <w:sz w:val="24"/>
          <w:szCs w:val="24"/>
        </w:rPr>
      </w:pPr>
    </w:p>
    <w:p w:rsidR="00D741B8" w:rsidRPr="00FE388F" w:rsidP="00D741B8">
      <w:pPr>
        <w:pStyle w:val="ListParagraph"/>
        <w:autoSpaceDE w:val="0"/>
        <w:autoSpaceDN w:val="0"/>
        <w:adjustRightInd w:val="0"/>
        <w:spacing w:after="0" w:line="240" w:lineRule="auto"/>
        <w:ind w:left="708"/>
        <w:jc w:val="both"/>
        <w:rPr>
          <w:rFonts w:ascii="Times New Roman" w:hAnsi="Times New Roman"/>
          <w:sz w:val="24"/>
          <w:szCs w:val="24"/>
        </w:rPr>
      </w:pPr>
      <w:r w:rsidRPr="00FE388F">
        <w:rPr>
          <w:rFonts w:ascii="Times New Roman" w:hAnsi="Times New Roman"/>
          <w:sz w:val="24"/>
          <w:szCs w:val="24"/>
        </w:rPr>
        <w:t xml:space="preserve">Tento bod nadobúda účinnosť 1. januára 2020, čo sa premietne v ustanovení o účinnosti pri spracúvaní čistopisu schváleného zákona. </w:t>
      </w:r>
    </w:p>
    <w:p w:rsidR="00D741B8" w:rsidRPr="00FE388F" w:rsidP="00D741B8">
      <w:pPr>
        <w:pStyle w:val="ListParagraph"/>
        <w:spacing w:after="0" w:line="240" w:lineRule="auto"/>
        <w:ind w:left="0" w:firstLine="284"/>
        <w:jc w:val="both"/>
        <w:rPr>
          <w:rFonts w:ascii="Times New Roman" w:hAnsi="Times New Roman"/>
          <w:color w:val="000000"/>
          <w:sz w:val="24"/>
          <w:szCs w:val="24"/>
        </w:rPr>
      </w:pPr>
      <w:r w:rsidRPr="00FE388F">
        <w:rPr>
          <w:rFonts w:ascii="Times New Roman" w:hAnsi="Times New Roman"/>
          <w:color w:val="000000"/>
          <w:sz w:val="24"/>
          <w:szCs w:val="24"/>
        </w:rPr>
        <w:t xml:space="preserve"> </w:t>
      </w:r>
    </w:p>
    <w:p w:rsidR="00D741B8" w:rsidRPr="00FE388F" w:rsidP="00D741B8">
      <w:pPr>
        <w:pStyle w:val="NormalWeb"/>
        <w:spacing w:before="0" w:beforeAutospacing="0" w:after="0" w:afterAutospacing="0"/>
        <w:ind w:left="3119"/>
        <w:jc w:val="both"/>
        <w:rPr>
          <w:b/>
          <w:bCs/>
        </w:rPr>
      </w:pPr>
      <w:r w:rsidRPr="00FE388F">
        <w:t xml:space="preserve">V nadväznosti na úpravu v § 2 ods. 1 písm. b) je potrebné upraviť aj prílohu č. 1 „Zoznam preberaných právne záväzných aktov Európskej únie“. </w:t>
      </w:r>
    </w:p>
    <w:p w:rsidR="00C2284D" w:rsidP="002C3917">
      <w:pPr>
        <w:pStyle w:val="BodyText2"/>
        <w:ind w:firstLine="708"/>
      </w:pPr>
    </w:p>
    <w:p w:rsidR="00D741B8" w:rsidP="00D741B8">
      <w:pPr>
        <w:pStyle w:val="ListParagraph"/>
        <w:spacing w:after="0" w:line="240" w:lineRule="auto"/>
        <w:ind w:left="3545" w:hanging="42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D741B8" w:rsidRPr="00E93788" w:rsidP="00D741B8">
      <w:pPr>
        <w:pStyle w:val="ListParagraph"/>
        <w:spacing w:after="0" w:line="240" w:lineRule="auto"/>
        <w:ind w:left="3545" w:hanging="42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C2284D" w:rsidP="002C3917">
      <w:pPr>
        <w:pStyle w:val="BodyText2"/>
        <w:ind w:firstLine="708"/>
      </w:pPr>
    </w:p>
    <w:p w:rsidR="00D741B8" w:rsidRPr="00D741B8" w:rsidP="00D741B8">
      <w:pPr>
        <w:pStyle w:val="ListParagraph"/>
        <w:spacing w:after="0" w:line="240" w:lineRule="auto"/>
        <w:ind w:left="0"/>
        <w:contextualSpacing w:val="0"/>
        <w:jc w:val="both"/>
        <w:rPr>
          <w:rFonts w:ascii="Times New Roman" w:hAnsi="Times New Roman"/>
          <w:b/>
          <w:sz w:val="24"/>
          <w:szCs w:val="24"/>
        </w:rPr>
      </w:pPr>
      <w:r>
        <w:rPr>
          <w:rFonts w:ascii="Times New Roman" w:hAnsi="Times New Roman"/>
          <w:b/>
          <w:sz w:val="24"/>
          <w:szCs w:val="24"/>
        </w:rPr>
        <w:t xml:space="preserve">    14. </w:t>
      </w:r>
      <w:r w:rsidRPr="00D741B8">
        <w:rPr>
          <w:rFonts w:ascii="Times New Roman" w:hAnsi="Times New Roman"/>
          <w:b/>
          <w:sz w:val="24"/>
          <w:szCs w:val="24"/>
        </w:rPr>
        <w:t>K čl. III</w:t>
      </w:r>
    </w:p>
    <w:p w:rsidR="00D741B8" w:rsidRPr="00D741B8" w:rsidP="00D741B8">
      <w:pPr>
        <w:pStyle w:val="NoSpacing"/>
        <w:ind w:firstLine="360"/>
        <w:rPr>
          <w:rFonts w:ascii="Times New Roman" w:hAnsi="Times New Roman"/>
          <w:sz w:val="24"/>
          <w:szCs w:val="24"/>
        </w:rPr>
      </w:pPr>
      <w:r w:rsidRPr="00D741B8">
        <w:rPr>
          <w:rFonts w:ascii="Times New Roman" w:hAnsi="Times New Roman"/>
          <w:sz w:val="24"/>
          <w:szCs w:val="24"/>
        </w:rPr>
        <w:t>Za doterajší čl. II sa vkladá nový článok III, ktorý znie:</w:t>
      </w:r>
    </w:p>
    <w:p w:rsidR="00D741B8" w:rsidP="00D741B8">
      <w:pPr>
        <w:pStyle w:val="NoSpacing"/>
        <w:spacing w:line="240" w:lineRule="atLeast"/>
        <w:jc w:val="center"/>
        <w:rPr>
          <w:rFonts w:ascii="Times New Roman" w:hAnsi="Times New Roman"/>
          <w:sz w:val="24"/>
          <w:szCs w:val="24"/>
        </w:rPr>
      </w:pPr>
    </w:p>
    <w:p w:rsidR="00D741B8" w:rsidRPr="00D741B8" w:rsidP="00D741B8">
      <w:pPr>
        <w:pStyle w:val="NoSpacing"/>
        <w:spacing w:line="240" w:lineRule="atLeast"/>
        <w:jc w:val="center"/>
        <w:rPr>
          <w:rFonts w:ascii="Times New Roman" w:hAnsi="Times New Roman"/>
          <w:sz w:val="24"/>
          <w:szCs w:val="24"/>
        </w:rPr>
      </w:pPr>
      <w:r w:rsidRPr="00D741B8">
        <w:rPr>
          <w:rFonts w:ascii="Times New Roman" w:hAnsi="Times New Roman"/>
          <w:sz w:val="24"/>
          <w:szCs w:val="24"/>
        </w:rPr>
        <w:t>„Čl. III</w:t>
      </w:r>
    </w:p>
    <w:p w:rsidR="00D741B8" w:rsidRPr="00D741B8" w:rsidP="00D741B8">
      <w:pPr>
        <w:pStyle w:val="NoSpacing"/>
        <w:spacing w:line="240" w:lineRule="atLeast"/>
        <w:jc w:val="center"/>
        <w:rPr>
          <w:rFonts w:ascii="Times New Roman" w:hAnsi="Times New Roman"/>
          <w:sz w:val="24"/>
          <w:szCs w:val="24"/>
        </w:rPr>
      </w:pPr>
    </w:p>
    <w:p w:rsidR="00D741B8" w:rsidRPr="00C9619E" w:rsidP="00D741B8">
      <w:pPr>
        <w:pStyle w:val="NoSpacing"/>
        <w:spacing w:line="240" w:lineRule="atLeast"/>
        <w:rPr>
          <w:rFonts w:ascii="Times New Roman" w:hAnsi="Times New Roman"/>
          <w:sz w:val="24"/>
          <w:szCs w:val="24"/>
        </w:rPr>
      </w:pPr>
      <w:r w:rsidRPr="00D741B8">
        <w:rPr>
          <w:rFonts w:ascii="Times New Roman" w:hAnsi="Times New Roman"/>
          <w:sz w:val="24"/>
          <w:szCs w:val="24"/>
        </w:rPr>
        <w:t>Zákon č. 309/2009 Z. z. o podpore obnoviteľných zdrojov energie a vysokoúčinnej kombinovanej výroby a o zmene a doplnení niektorých zákonov v znení zákona č. 492/2010 Z. z., zákona č. 558/2010 Z. z., zákona č. 136/2011 Z. z., zákona</w:t>
      </w:r>
      <w:r w:rsidRPr="00C9619E">
        <w:rPr>
          <w:rFonts w:ascii="Times New Roman" w:hAnsi="Times New Roman"/>
          <w:sz w:val="24"/>
          <w:szCs w:val="24"/>
        </w:rPr>
        <w:t xml:space="preserve"> č. 189/2012 Z. z., zákona č. 373/2012 Z. z., zákona č. 30/2013 Z. z., zákona č. 218/2013 Z. z., zákona č. 382/2013 Z. z., zákona č. 321/2014 Z. z., zákona č. 173/2015 Z. z., zákona č. 181/2017 Z. z., zákona č. 268/2017 Z. z., zákona č. 309/2018 Z. z. a zákona č. 377/2018 Z. z. sa mení a dopĺňa takto:</w:t>
      </w:r>
    </w:p>
    <w:p w:rsidR="00D741B8" w:rsidP="00D741B8">
      <w:pPr>
        <w:pStyle w:val="NoSpacing"/>
        <w:spacing w:line="240" w:lineRule="atLeast"/>
        <w:rPr>
          <w:rFonts w:ascii="Times New Roman" w:hAnsi="Times New Roman"/>
          <w:b/>
          <w:sz w:val="24"/>
          <w:szCs w:val="24"/>
        </w:rPr>
      </w:pPr>
    </w:p>
    <w:p w:rsidR="00D741B8" w:rsidRPr="00C76E57" w:rsidP="00D741B8">
      <w:pPr>
        <w:pStyle w:val="NoSpacing"/>
        <w:numPr>
          <w:ilvl w:val="0"/>
          <w:numId w:val="45"/>
        </w:numPr>
        <w:spacing w:line="240" w:lineRule="atLeast"/>
        <w:ind w:left="284" w:hanging="284"/>
        <w:rPr>
          <w:rFonts w:ascii="Times New Roman" w:hAnsi="Times New Roman"/>
          <w:sz w:val="24"/>
          <w:szCs w:val="24"/>
        </w:rPr>
      </w:pPr>
      <w:r w:rsidRPr="00C76E57">
        <w:rPr>
          <w:rFonts w:ascii="Times New Roman" w:hAnsi="Times New Roman"/>
          <w:sz w:val="24"/>
          <w:szCs w:val="24"/>
        </w:rPr>
        <w:t>V § 14a odsek 3 znie:</w:t>
      </w:r>
    </w:p>
    <w:p w:rsidR="00D741B8" w:rsidRPr="00C76E57" w:rsidP="00D741B8">
      <w:pPr>
        <w:pStyle w:val="NoSpacing"/>
        <w:spacing w:line="240" w:lineRule="atLeast"/>
        <w:rPr>
          <w:rFonts w:ascii="Times New Roman" w:hAnsi="Times New Roman"/>
          <w:sz w:val="24"/>
          <w:szCs w:val="24"/>
        </w:rPr>
      </w:pPr>
      <w:r w:rsidRPr="00C76E57">
        <w:rPr>
          <w:rFonts w:ascii="Times New Roman" w:hAnsi="Times New Roman"/>
          <w:bCs/>
          <w:sz w:val="24"/>
          <w:szCs w:val="24"/>
        </w:rPr>
        <w:t>„(3)</w:t>
      </w:r>
      <w:r w:rsidRPr="00C76E57">
        <w:rPr>
          <w:rFonts w:ascii="Times New Roman" w:hAnsi="Times New Roman"/>
          <w:sz w:val="24"/>
          <w:szCs w:val="24"/>
        </w:rPr>
        <w:t xml:space="preserve"> Právnická osoba alebo fyzická osoba podľa odseku 2 je povinná plnenie povinnosti podľa odseku 1 zabezpečiť za kalendárny rok. Energetický obsah </w:t>
      </w:r>
      <w:r w:rsidRPr="00C76E57">
        <w:rPr>
          <w:rFonts w:ascii="Times New Roman" w:hAnsi="Times New Roman"/>
          <w:bCs/>
          <w:sz w:val="24"/>
          <w:szCs w:val="24"/>
        </w:rPr>
        <w:t>biopaliva</w:t>
      </w:r>
      <w:r w:rsidRPr="00C76E57">
        <w:rPr>
          <w:rFonts w:ascii="Times New Roman" w:hAnsi="Times New Roman"/>
          <w:sz w:val="24"/>
          <w:szCs w:val="24"/>
        </w:rPr>
        <w:t xml:space="preserve"> z používaných kuchynských olejov a rastlinných tukov alebo živočíšnych tukov zaradených do kategórií 1 a 2 podľa osobitného predpisu</w:t>
      </w:r>
      <w:r w:rsidRPr="00C76E57">
        <w:rPr>
          <w:rFonts w:ascii="Times New Roman" w:hAnsi="Times New Roman"/>
          <w:sz w:val="24"/>
          <w:szCs w:val="24"/>
          <w:vertAlign w:val="superscript"/>
        </w:rPr>
        <w:t>17g</w:t>
      </w:r>
      <w:r w:rsidRPr="006F795A">
        <w:rPr>
          <w:rFonts w:ascii="Times New Roman" w:hAnsi="Times New Roman"/>
          <w:sz w:val="24"/>
          <w:szCs w:val="24"/>
        </w:rPr>
        <w:t>)</w:t>
      </w:r>
      <w:r w:rsidRPr="00C76E57">
        <w:rPr>
          <w:rFonts w:ascii="Times New Roman" w:hAnsi="Times New Roman"/>
          <w:sz w:val="24"/>
          <w:szCs w:val="24"/>
        </w:rPr>
        <w:t xml:space="preserve"> alebo z ich zmesí sa na účely odseku 1 do výpočtu referenčnej hodnoty započítava dvojnásobne. Právnická osoba alebo fyzická osoba podľa odseku 2 je povinná od 1. januára </w:t>
      </w:r>
      <w:r w:rsidRPr="00C76E57">
        <w:rPr>
          <w:rFonts w:ascii="Times New Roman" w:hAnsi="Times New Roman"/>
          <w:bCs/>
          <w:sz w:val="24"/>
          <w:szCs w:val="24"/>
        </w:rPr>
        <w:t xml:space="preserve">2020 </w:t>
      </w:r>
      <w:r w:rsidRPr="00C76E57">
        <w:rPr>
          <w:rFonts w:ascii="Times New Roman" w:hAnsi="Times New Roman"/>
          <w:sz w:val="24"/>
          <w:szCs w:val="24"/>
        </w:rPr>
        <w:t>uvádzať na trh s presnosťou podľa technickej normy</w:t>
      </w:r>
      <w:r>
        <w:fldChar w:fldCharType="begin"/>
      </w:r>
      <w:r>
        <w:instrText xml:space="preserve"> HYPERLINK \l "13540403" </w:instrText>
      </w:r>
      <w:r>
        <w:fldChar w:fldCharType="separate"/>
      </w:r>
      <w:r w:rsidRPr="00C76E57">
        <w:rPr>
          <w:rStyle w:val="EndnoteReference"/>
          <w:rFonts w:ascii="Times New Roman" w:hAnsi="Times New Roman"/>
          <w:sz w:val="24"/>
          <w:szCs w:val="24"/>
        </w:rPr>
        <w:t>17ga</w:t>
      </w:r>
      <w:r w:rsidRPr="006F795A">
        <w:rPr>
          <w:rStyle w:val="EndnoteReference"/>
          <w:rFonts w:ascii="Times New Roman" w:hAnsi="Times New Roman"/>
          <w:sz w:val="24"/>
          <w:szCs w:val="24"/>
        </w:rPr>
        <w:t>)</w:t>
      </w:r>
      <w:r>
        <w:rPr>
          <w:rStyle w:val="EndnoteReference"/>
          <w:rFonts w:ascii="Times New Roman" w:hAnsi="Times New Roman"/>
          <w:sz w:val="24"/>
          <w:szCs w:val="24"/>
        </w:rPr>
        <w:fldChar w:fldCharType="end"/>
      </w:r>
      <w:r w:rsidRPr="00C76E57">
        <w:rPr>
          <w:rFonts w:ascii="Times New Roman" w:hAnsi="Times New Roman"/>
          <w:sz w:val="24"/>
          <w:szCs w:val="24"/>
        </w:rPr>
        <w:t xml:space="preserve"> motorovú naftu s objemom biodieslu v litri minimálne 6,9 % a motorový benzín s objemom bioetanolovej zložky v litri minimálne </w:t>
      </w:r>
      <w:r w:rsidRPr="00C76E57">
        <w:rPr>
          <w:rFonts w:ascii="Times New Roman" w:hAnsi="Times New Roman"/>
          <w:bCs/>
          <w:sz w:val="24"/>
          <w:szCs w:val="24"/>
        </w:rPr>
        <w:t>9,0</w:t>
      </w:r>
      <w:r w:rsidRPr="00C76E57">
        <w:rPr>
          <w:rFonts w:ascii="Times New Roman" w:hAnsi="Times New Roman"/>
          <w:sz w:val="24"/>
          <w:szCs w:val="24"/>
        </w:rPr>
        <w:t xml:space="preserve"> %. Na účely tohto zákona sa bioetanolovou zložkou rozumie bioetyltercbutyléter alebo zmes bioetyltercbutyléteru a bioetanolu, pričom zmes musí obsahovať podiel bioetyltercbutyléteru najmenej 3 %, čo predstavuje objem 1,41 % bioetanolovej zložky. Objem bioetyltercbutyléteru sa do objemu bioetanolovej zložky zmesi započítava 47 % svojho objemu.“.</w:t>
      </w:r>
    </w:p>
    <w:p w:rsidR="00D741B8" w:rsidRPr="00C76E57" w:rsidP="00D741B8">
      <w:pPr>
        <w:pStyle w:val="NoSpacing"/>
        <w:spacing w:line="240" w:lineRule="atLeast"/>
        <w:rPr>
          <w:rFonts w:ascii="Times New Roman" w:hAnsi="Times New Roman"/>
          <w:b/>
          <w:bCs/>
          <w:sz w:val="24"/>
          <w:szCs w:val="24"/>
          <w:u w:val="single"/>
        </w:rPr>
      </w:pPr>
    </w:p>
    <w:p w:rsidR="00D741B8" w:rsidRPr="00C76E57" w:rsidP="00D741B8">
      <w:pPr>
        <w:shd w:val="clear" w:color="auto" w:fill="FFFFFF"/>
        <w:spacing w:line="240" w:lineRule="atLeast"/>
        <w:ind w:left="3261"/>
        <w:jc w:val="both"/>
      </w:pPr>
      <w:r w:rsidRPr="00C76E57">
        <w:t>Uvedenou zmenou sa zvyšuje podiel bioetanolovej zložky v benzíne na úroveň 9% obj</w:t>
      </w:r>
      <w:r>
        <w:t>emu</w:t>
      </w:r>
      <w:r w:rsidRPr="00C76E57">
        <w:t xml:space="preserve"> z dôvodu splnenia cieľa obsahu obnoviteľných zdrojov energie v doprave na úrovni 10% energ</w:t>
      </w:r>
      <w:r>
        <w:t>etických</w:t>
      </w:r>
      <w:r w:rsidRPr="00C76E57">
        <w:t xml:space="preserve"> v r. 2020. Predmetný cieľ je stanovený v Smernici EP a Rady 2009/28/ES z 23. apríla 2009 o podpore využívania energie z obnoviteľných zdrojov energie (ďalej len „Smernica“) a členské štáty ho majú povinnosť dosiahnuť. </w:t>
      </w:r>
    </w:p>
    <w:p w:rsidR="00D741B8" w:rsidRPr="00C76E57" w:rsidP="00D741B8">
      <w:pPr>
        <w:shd w:val="clear" w:color="auto" w:fill="FFFFFF"/>
        <w:spacing w:line="240" w:lineRule="atLeast"/>
        <w:ind w:left="3261"/>
        <w:jc w:val="both"/>
      </w:pPr>
      <w:r w:rsidRPr="00C76E57">
        <w:t>Vyššie uvedený cieľ, stanovený Smernicou, je do národného právneho poriadku transponovaný v podobe ustanovenia § 6 ods. 3 Vyhlášky MH SR č. 373/2011 Z. z., ktorou sa vykonávajú niektoré ustanovenia zákona č. 309/2009 Z. z. o podpore obnoviteľných zdrojov energie a vysoko účinnej kombinovanej výroby, ktorý znie: „</w:t>
      </w:r>
      <w:r w:rsidRPr="00C76E57">
        <w:rPr>
          <w:i/>
          <w:iCs/>
        </w:rPr>
        <w:t>podiel energie z obnoviteľných zdrojov v doprave pre výpočet národného cieľa je najmenej 10% v roku 2020</w:t>
      </w:r>
      <w:r w:rsidRPr="00C76E57">
        <w:t xml:space="preserve">.“ Uvedené znamená, že Slovenská republika sa zaviazala dosiahnuť 10% </w:t>
      </w:r>
      <w:r>
        <w:t>obnoviteľných zdrojov energie (</w:t>
      </w:r>
      <w:r w:rsidRPr="00C76E57">
        <w:t>OZE</w:t>
      </w:r>
      <w:r>
        <w:t>)</w:t>
      </w:r>
      <w:r w:rsidRPr="00C76E57">
        <w:t xml:space="preserve"> v doprave v roku 2020.</w:t>
      </w:r>
    </w:p>
    <w:p w:rsidR="00D741B8" w:rsidP="00D741B8">
      <w:pPr>
        <w:pStyle w:val="NoSpacing"/>
        <w:spacing w:line="240" w:lineRule="atLeast"/>
        <w:ind w:left="3261"/>
        <w:rPr>
          <w:rFonts w:ascii="Times New Roman" w:hAnsi="Times New Roman"/>
          <w:sz w:val="24"/>
          <w:szCs w:val="24"/>
        </w:rPr>
      </w:pPr>
      <w:r w:rsidRPr="00C76E57">
        <w:rPr>
          <w:rFonts w:ascii="Times New Roman" w:hAnsi="Times New Roman"/>
          <w:sz w:val="24"/>
          <w:szCs w:val="24"/>
        </w:rPr>
        <w:t>Práve biopalivá predstavujú v súčasnosti jediný okamžite dostupný a nákladovo efektívny spôsob zvýšenia podielu obnoviteľnej energie v doprave. Vzhľadom na to, že obsah biopalív je v súčasnosti v motorovej nafte na hornej hranici technickej normy (B7) a v tomto segmente neexistuje dnes priestor na okamžitý rast obnoviteľnej zložky, zvýšenie podielu bioetanolovej zložky v benzíne predstavuje najľahší spôsob zvýšenia obnoviteľnej energie v doprave bez významných nákladov na technické úpravy pri výrobe benzínu, jeho skladovaní, distribúcii alebo použití v motorových vozidlách.</w:t>
      </w:r>
    </w:p>
    <w:p w:rsidR="00D741B8" w:rsidRPr="009110CC" w:rsidP="00D741B8">
      <w:pPr>
        <w:pStyle w:val="NoSpacing"/>
        <w:spacing w:line="240" w:lineRule="atLeast"/>
        <w:ind w:left="3261"/>
        <w:rPr>
          <w:rFonts w:ascii="Times New Roman" w:hAnsi="Times New Roman"/>
          <w:bCs/>
          <w:sz w:val="24"/>
          <w:szCs w:val="24"/>
        </w:rPr>
      </w:pPr>
      <w:r w:rsidRPr="009110CC">
        <w:rPr>
          <w:rFonts w:ascii="Times New Roman" w:hAnsi="Times New Roman"/>
          <w:bCs/>
          <w:sz w:val="24"/>
          <w:szCs w:val="24"/>
        </w:rPr>
        <w:t>Zavedenie povinného podielu etanolu v benzíne na úrovni 9% objemu nemá žiadny vplyv na príjmovú ani výdavkovú časť štátneho rozpočtu pretože biopalivo zmiešané s benzínom je zdanené rovnakou sadzbou spotrebnej dane. Zavedenie rovnakej možnosti odložiť plnenie cieľov pokročilých biopalív v r. 2020 ako tomu je v aktuálnom roku 2019 z titulu nedostupnosti na trhu, ako aj zavedenie dvojitého započítavania energetického obsahu všetkých pokročilých biopalív nemajú žiadny vplyv na príjmovú ani výdavkovú časť štátneho rozpočtu.</w:t>
      </w:r>
    </w:p>
    <w:p w:rsidR="00D741B8" w:rsidRPr="00C76E57" w:rsidP="00D741B8">
      <w:pPr>
        <w:pStyle w:val="PlainText"/>
        <w:spacing w:line="240" w:lineRule="atLeast"/>
        <w:ind w:left="3261"/>
        <w:jc w:val="both"/>
        <w:rPr>
          <w:rFonts w:ascii="Times New Roman" w:hAnsi="Times New Roman"/>
          <w:sz w:val="24"/>
          <w:szCs w:val="24"/>
        </w:rPr>
      </w:pPr>
      <w:r w:rsidRPr="009110CC">
        <w:rPr>
          <w:rFonts w:ascii="Times New Roman" w:hAnsi="Times New Roman"/>
          <w:sz w:val="24"/>
          <w:szCs w:val="24"/>
        </w:rPr>
        <w:t>Z hľadiska dopadu predmetnej novely na ceny pohonných látok je možné takmer s určitosťou konštatovať, že plošné zavedenie paliva E10 na trh v SR nebude mat vplyv na zvýšenie cien benzínu. Vplýva to z priaznivého vývoja cenovej hladiny dodávaného biopaliva, čo pôsobí motivujúco pre maximálne dodržiavanie požadovaných objemových parametrov za účelom stabilizovania cenovej hladiny pohonných hmôt. Potvrdzuje to už aj súčasná situácia, kde pri existujúcom palive s parametrami 5 % ekvivalentu bioetanolovej zložky výrobcovia palív plnia hodnoty v maximálnej možnej výške, kvôli priaznivým ekonomickým ukazovateľom Takže zvýšenie hodnoty povinného primiešavania na úroveň 9%, v žiadnom prípade nebude mať nepriaznivý vplyv na cenu benzínu.</w:t>
      </w:r>
    </w:p>
    <w:p w:rsidR="00D741B8" w:rsidRPr="00C76E57" w:rsidP="00D741B8">
      <w:pPr>
        <w:pStyle w:val="NoSpacing"/>
        <w:spacing w:line="240" w:lineRule="atLeast"/>
        <w:ind w:left="2977"/>
        <w:rPr>
          <w:rFonts w:ascii="Times New Roman" w:hAnsi="Times New Roman"/>
          <w:sz w:val="24"/>
          <w:szCs w:val="24"/>
        </w:rPr>
      </w:pPr>
    </w:p>
    <w:p w:rsidR="00D741B8" w:rsidRPr="00C76E57" w:rsidP="00D741B8">
      <w:pPr>
        <w:pStyle w:val="NoSpacing"/>
        <w:numPr>
          <w:ilvl w:val="0"/>
          <w:numId w:val="45"/>
        </w:numPr>
        <w:spacing w:line="240" w:lineRule="atLeast"/>
        <w:ind w:left="284" w:hanging="284"/>
        <w:rPr>
          <w:rFonts w:ascii="Times New Roman" w:eastAsia="Times New Roman" w:hAnsi="Times New Roman"/>
          <w:sz w:val="24"/>
          <w:szCs w:val="24"/>
          <w:lang w:eastAsia="sk-SK"/>
        </w:rPr>
      </w:pPr>
      <w:r w:rsidRPr="00C76E57">
        <w:rPr>
          <w:rFonts w:ascii="Times New Roman" w:eastAsia="Times New Roman" w:hAnsi="Times New Roman"/>
          <w:sz w:val="24"/>
          <w:szCs w:val="24"/>
          <w:lang w:eastAsia="sk-SK"/>
        </w:rPr>
        <w:t>V § 14a odsek 11 znie:</w:t>
      </w:r>
    </w:p>
    <w:p w:rsidR="00D741B8" w:rsidRPr="00C76E57" w:rsidP="00D741B8">
      <w:pPr>
        <w:spacing w:line="240" w:lineRule="atLeast"/>
        <w:jc w:val="both"/>
      </w:pPr>
      <w:r w:rsidRPr="00C76E57">
        <w:t>„(11) Na účely plnenia referenčnej hodnoty podľa odseku 1 sa energetický obsah pokročilých biopalív podľa prílohy 1a započítava dvojnásobne.“.</w:t>
      </w:r>
    </w:p>
    <w:p w:rsidR="00D741B8" w:rsidRPr="00C76E57" w:rsidP="00D741B8">
      <w:pPr>
        <w:spacing w:line="240" w:lineRule="atLeast"/>
        <w:jc w:val="both"/>
      </w:pPr>
    </w:p>
    <w:p w:rsidR="00D741B8" w:rsidRPr="00C76E57" w:rsidP="001F76DA">
      <w:pPr>
        <w:pStyle w:val="NoSpacing"/>
        <w:spacing w:line="240" w:lineRule="atLeast"/>
        <w:ind w:left="3261"/>
        <w:rPr>
          <w:rFonts w:ascii="Times New Roman" w:hAnsi="Times New Roman"/>
          <w:sz w:val="24"/>
          <w:szCs w:val="24"/>
        </w:rPr>
      </w:pPr>
      <w:r w:rsidRPr="00C76E57">
        <w:rPr>
          <w:rFonts w:ascii="Times New Roman" w:hAnsi="Times New Roman"/>
          <w:sz w:val="24"/>
          <w:szCs w:val="24"/>
        </w:rPr>
        <w:t>Navrhuje sa, aby boli všetky pokročilé biopalivá na účely plnenia cieľov v oblasti energetického podielu pre obnoviteľné zdroje v sektore dopravy boli započítavané dvojnásobne, čo je plne v súlade s pôvodnou smernicou ako i s revidovaným znením, a to so smernicou EP a Rady (EÚ) 2018/2001 o podpore obnoviteľných zdrojov energie.</w:t>
      </w:r>
      <w:r>
        <w:rPr>
          <w:rFonts w:ascii="Times New Roman" w:hAnsi="Times New Roman"/>
          <w:sz w:val="24"/>
          <w:szCs w:val="24"/>
        </w:rPr>
        <w:t xml:space="preserve"> </w:t>
      </w:r>
      <w:r w:rsidRPr="00C76E57">
        <w:rPr>
          <w:rFonts w:ascii="Times New Roman" w:hAnsi="Times New Roman"/>
          <w:sz w:val="24"/>
          <w:szCs w:val="24"/>
        </w:rPr>
        <w:t xml:space="preserve">Uvedená legislatívno-technická zmena teda reflektuje na správnu transpozíciu smernice 2009/28/ES z 23. apríla 2009 o podpore využívania energie z obnoviteľných zdrojov energie (ďalej len „Smernica“), a to konkrétne prílohy IX časť A. Smernice. </w:t>
      </w:r>
    </w:p>
    <w:p w:rsidR="00D741B8" w:rsidRPr="00C76E57" w:rsidP="001F76DA">
      <w:pPr>
        <w:pStyle w:val="NoSpacing"/>
        <w:spacing w:line="240" w:lineRule="atLeast"/>
        <w:ind w:left="3261"/>
        <w:rPr>
          <w:rFonts w:ascii="Times New Roman" w:hAnsi="Times New Roman"/>
          <w:sz w:val="24"/>
          <w:szCs w:val="24"/>
        </w:rPr>
      </w:pPr>
      <w:r w:rsidRPr="00C76E57">
        <w:rPr>
          <w:rFonts w:ascii="Times New Roman" w:hAnsi="Times New Roman"/>
          <w:sz w:val="24"/>
          <w:szCs w:val="24"/>
        </w:rPr>
        <w:t xml:space="preserve">V zmysle prílohy IX časť A. Smernice, sa suroviny a palivá uvedené v tejto časti prílohy Smernice považujú za dvojnásobok ich energetického obsahu. Príloha IX časť A. Smernice bola do národného právneho poriadku transponovaná v podobe prílohy č. 1a zákona č. 309/2009 Z. z., ktorá ustanovuje zoznam surovín a palív na výrobu pokročilého biopaliva, avšak bez zmienky, že sa na tieto suroviny a palivá vzťahuje dvojnásobné započítanie ich energetického obsahu. </w:t>
      </w:r>
    </w:p>
    <w:p w:rsidR="00D741B8" w:rsidP="001F76DA">
      <w:pPr>
        <w:pStyle w:val="NoSpacing"/>
        <w:spacing w:line="240" w:lineRule="atLeast"/>
        <w:ind w:left="3261"/>
        <w:rPr>
          <w:rFonts w:ascii="Times New Roman" w:hAnsi="Times New Roman"/>
          <w:sz w:val="24"/>
          <w:szCs w:val="24"/>
        </w:rPr>
      </w:pPr>
      <w:r w:rsidRPr="00C76E57">
        <w:rPr>
          <w:rFonts w:ascii="Times New Roman" w:hAnsi="Times New Roman"/>
          <w:sz w:val="24"/>
          <w:szCs w:val="24"/>
        </w:rPr>
        <w:t>Dvojnásobné započítanie sa v zmysle prílohy IX časť A. Smernice nevzťahuje výlučne len na lignocelulózový etanol, ako to uvádza ust</w:t>
      </w:r>
      <w:r>
        <w:rPr>
          <w:rFonts w:ascii="Times New Roman" w:hAnsi="Times New Roman"/>
          <w:sz w:val="24"/>
          <w:szCs w:val="24"/>
        </w:rPr>
        <w:t>anovenie</w:t>
      </w:r>
      <w:r w:rsidRPr="00C76E57">
        <w:rPr>
          <w:rFonts w:ascii="Times New Roman" w:hAnsi="Times New Roman"/>
          <w:sz w:val="24"/>
          <w:szCs w:val="24"/>
        </w:rPr>
        <w:t xml:space="preserve"> § 14a ods. 11 zákona č. 309/2009 Z. z., ale aj na ostatné suroviny a palivá uvedené v prílohe 1 zákona č. 309/2009 Z. z., z ktorých môže byť vyrobené pokročilé biopalivo.</w:t>
      </w:r>
    </w:p>
    <w:p w:rsidR="00D741B8" w:rsidP="00D741B8">
      <w:pPr>
        <w:pStyle w:val="NoSpacing"/>
        <w:spacing w:line="240" w:lineRule="atLeast"/>
        <w:ind w:left="2977"/>
        <w:rPr>
          <w:rFonts w:ascii="Times New Roman" w:hAnsi="Times New Roman"/>
          <w:sz w:val="24"/>
          <w:szCs w:val="24"/>
        </w:rPr>
      </w:pPr>
    </w:p>
    <w:p w:rsidR="001F76DA" w:rsidP="00D741B8">
      <w:pPr>
        <w:pStyle w:val="NoSpacing"/>
        <w:spacing w:line="240" w:lineRule="atLeast"/>
        <w:ind w:left="2977"/>
        <w:rPr>
          <w:rFonts w:ascii="Times New Roman" w:hAnsi="Times New Roman"/>
          <w:sz w:val="24"/>
          <w:szCs w:val="24"/>
        </w:rPr>
      </w:pPr>
    </w:p>
    <w:p w:rsidR="001F76DA" w:rsidP="00D741B8">
      <w:pPr>
        <w:pStyle w:val="NoSpacing"/>
        <w:spacing w:line="240" w:lineRule="atLeast"/>
        <w:ind w:left="2977"/>
        <w:rPr>
          <w:rFonts w:ascii="Times New Roman" w:hAnsi="Times New Roman"/>
          <w:sz w:val="24"/>
          <w:szCs w:val="24"/>
        </w:rPr>
      </w:pPr>
    </w:p>
    <w:p w:rsidR="00D741B8" w:rsidRPr="00C76E57" w:rsidP="00D741B8">
      <w:pPr>
        <w:pStyle w:val="NoSpacing"/>
        <w:numPr>
          <w:ilvl w:val="0"/>
          <w:numId w:val="45"/>
        </w:numPr>
        <w:spacing w:line="240" w:lineRule="atLeast"/>
        <w:ind w:left="284" w:hanging="284"/>
        <w:rPr>
          <w:rFonts w:ascii="Times New Roman" w:eastAsia="Times New Roman" w:hAnsi="Times New Roman"/>
          <w:sz w:val="24"/>
          <w:szCs w:val="24"/>
          <w:lang w:eastAsia="sk-SK"/>
        </w:rPr>
      </w:pPr>
      <w:r w:rsidRPr="00C76E57">
        <w:rPr>
          <w:rFonts w:ascii="Times New Roman" w:eastAsia="Times New Roman" w:hAnsi="Times New Roman"/>
          <w:sz w:val="24"/>
          <w:szCs w:val="24"/>
          <w:lang w:eastAsia="sk-SK"/>
        </w:rPr>
        <w:t>V § 16 ods. 2 písmeno f) znie:</w:t>
      </w:r>
    </w:p>
    <w:p w:rsidR="00D741B8" w:rsidRPr="00C76E57" w:rsidP="00D741B8">
      <w:pPr>
        <w:spacing w:line="240" w:lineRule="atLeast"/>
        <w:jc w:val="both"/>
      </w:pPr>
      <w:r w:rsidRPr="00C76E57">
        <w:t>„f) za správny delikt podľa odseku 1 písm. af), ktorá sa vypočíta ako súčin nedosiahnutého zníženia emisií skleníkových plynov podľa § 14c ods. 6 v kilogramoch CO</w:t>
      </w:r>
      <w:r w:rsidRPr="00C76E57">
        <w:rPr>
          <w:vertAlign w:val="subscript"/>
        </w:rPr>
        <w:t>2ekv</w:t>
      </w:r>
      <w:r w:rsidRPr="00C76E57">
        <w:t xml:space="preserve"> a sumy</w:t>
      </w:r>
    </w:p>
    <w:p w:rsidR="00D741B8" w:rsidRPr="00C76E57" w:rsidP="00D741B8">
      <w:pPr>
        <w:pStyle w:val="ListParagraph"/>
        <w:numPr>
          <w:ilvl w:val="0"/>
          <w:numId w:val="44"/>
        </w:numPr>
        <w:tabs>
          <w:tab w:val="left" w:pos="284"/>
        </w:tabs>
        <w:spacing w:after="0" w:line="240" w:lineRule="atLeast"/>
        <w:ind w:left="142" w:hanging="142"/>
        <w:jc w:val="both"/>
      </w:pPr>
      <w:r w:rsidRPr="00C76E57">
        <w:t>0,37 eura</w:t>
      </w:r>
      <w:r>
        <w:t>,</w:t>
      </w:r>
      <w:r w:rsidRPr="00C76E57">
        <w:rPr>
          <w:bCs/>
        </w:rPr>
        <w:t xml:space="preserve"> ak je dosiahnuté zníženie </w:t>
      </w:r>
      <w:r w:rsidRPr="00C76E57">
        <w:t xml:space="preserve">emisií skleníkových plynov od </w:t>
      </w:r>
      <w:r w:rsidRPr="00C76E57">
        <w:rPr>
          <w:bCs/>
        </w:rPr>
        <w:t>0% do 2% vrátane,</w:t>
      </w:r>
    </w:p>
    <w:p w:rsidR="00D741B8" w:rsidRPr="00C76E57" w:rsidP="00D741B8">
      <w:pPr>
        <w:pStyle w:val="ListParagraph"/>
        <w:numPr>
          <w:ilvl w:val="0"/>
          <w:numId w:val="44"/>
        </w:numPr>
        <w:tabs>
          <w:tab w:val="left" w:pos="284"/>
        </w:tabs>
        <w:spacing w:after="0" w:line="240" w:lineRule="atLeast"/>
        <w:ind w:left="142" w:hanging="142"/>
        <w:jc w:val="both"/>
      </w:pPr>
      <w:r w:rsidRPr="00C76E57">
        <w:rPr>
          <w:bCs/>
        </w:rPr>
        <w:t>0,185 eura</w:t>
      </w:r>
      <w:r>
        <w:rPr>
          <w:bCs/>
        </w:rPr>
        <w:t>,</w:t>
      </w:r>
      <w:r w:rsidRPr="00C76E57">
        <w:rPr>
          <w:bCs/>
        </w:rPr>
        <w:t xml:space="preserve"> ak je dosiahnuté zníženie emisií skleníkových plynov od 2,01% do 4% vrátane,</w:t>
      </w:r>
    </w:p>
    <w:p w:rsidR="00D741B8" w:rsidRPr="00C76E57" w:rsidP="00D741B8">
      <w:pPr>
        <w:pStyle w:val="ListParagraph"/>
        <w:numPr>
          <w:ilvl w:val="0"/>
          <w:numId w:val="44"/>
        </w:numPr>
        <w:tabs>
          <w:tab w:val="left" w:pos="284"/>
        </w:tabs>
        <w:spacing w:after="0" w:line="240" w:lineRule="atLeast"/>
        <w:ind w:left="142" w:hanging="142"/>
        <w:jc w:val="both"/>
      </w:pPr>
      <w:r w:rsidRPr="00C76E57">
        <w:rPr>
          <w:bCs/>
        </w:rPr>
        <w:t>0,015 eura</w:t>
      </w:r>
      <w:r>
        <w:rPr>
          <w:bCs/>
        </w:rPr>
        <w:t>,</w:t>
      </w:r>
      <w:r w:rsidRPr="00C76E57">
        <w:rPr>
          <w:bCs/>
        </w:rPr>
        <w:t xml:space="preserve"> ak je dosiahnuté zníženie emisií skleníkových plynov od 4,01% a viac.“.</w:t>
      </w:r>
      <w:r>
        <w:rPr>
          <w:bCs/>
        </w:rPr>
        <w:t>“.</w:t>
      </w:r>
    </w:p>
    <w:p w:rsidR="00D741B8" w:rsidRPr="00C76E57" w:rsidP="00D741B8">
      <w:pPr>
        <w:tabs>
          <w:tab w:val="left" w:pos="3225"/>
        </w:tabs>
        <w:spacing w:line="240" w:lineRule="atLeast"/>
        <w:jc w:val="both"/>
        <w:rPr>
          <w:b/>
          <w:u w:val="single"/>
        </w:rPr>
      </w:pPr>
    </w:p>
    <w:p w:rsidR="00D741B8" w:rsidRPr="00C76E57" w:rsidP="001F76DA">
      <w:pPr>
        <w:pStyle w:val="NoSpacing"/>
        <w:spacing w:line="240" w:lineRule="atLeast"/>
        <w:ind w:left="3261"/>
        <w:rPr>
          <w:rFonts w:ascii="Times New Roman" w:eastAsia="Times New Roman" w:hAnsi="Times New Roman"/>
          <w:sz w:val="24"/>
          <w:szCs w:val="24"/>
          <w:lang w:eastAsia="sk-SK"/>
        </w:rPr>
      </w:pPr>
      <w:r w:rsidRPr="00C76E57">
        <w:rPr>
          <w:rFonts w:ascii="Times New Roman" w:hAnsi="Times New Roman"/>
          <w:sz w:val="24"/>
          <w:szCs w:val="24"/>
        </w:rPr>
        <w:t xml:space="preserve">Vzhľadom na to, že výrobcovia pohonných látok sú vystavení riziku enormných pokút v prípade nesplnenia energetického cieľa pre biopalivá, minimálnych objemových ukazovateľov, ako i cieľa úspor emisií skleníkových plynov, navrhuje sa upraviť výšku pokuty za neplnenie cieľa úspory emisií skleníkových plynov v sektore dopravy tak, aby mohla byť zohľadnená úroveň dosiahnutého plnenia predmetného cieľa, teda čím nižšia úroveň plnenia tým vyššia pokuta. Minimálna sadzba je preto stanovená na úroveň stanovenú napríklad v Rakúsku.  </w:t>
      </w:r>
    </w:p>
    <w:p w:rsidR="00D741B8" w:rsidRPr="00C76E57" w:rsidP="00D741B8">
      <w:pPr>
        <w:spacing w:line="240" w:lineRule="atLeast"/>
        <w:jc w:val="both"/>
      </w:pPr>
    </w:p>
    <w:p w:rsidR="00D741B8" w:rsidRPr="00C76E57" w:rsidP="00D741B8">
      <w:pPr>
        <w:pStyle w:val="NoSpacing"/>
        <w:numPr>
          <w:ilvl w:val="0"/>
          <w:numId w:val="45"/>
        </w:numPr>
        <w:spacing w:line="240" w:lineRule="atLeast"/>
        <w:ind w:left="284" w:hanging="284"/>
        <w:rPr>
          <w:rFonts w:ascii="Times New Roman" w:hAnsi="Times New Roman"/>
          <w:sz w:val="24"/>
          <w:szCs w:val="24"/>
        </w:rPr>
      </w:pPr>
      <w:r w:rsidRPr="00C76E57">
        <w:rPr>
          <w:rFonts w:ascii="Times New Roman" w:hAnsi="Times New Roman"/>
          <w:sz w:val="24"/>
          <w:szCs w:val="24"/>
        </w:rPr>
        <w:t>§</w:t>
      </w:r>
      <w:r>
        <w:rPr>
          <w:rFonts w:ascii="Times New Roman" w:hAnsi="Times New Roman"/>
          <w:sz w:val="24"/>
          <w:szCs w:val="24"/>
        </w:rPr>
        <w:t xml:space="preserve"> </w:t>
      </w:r>
      <w:r w:rsidRPr="00C76E57">
        <w:rPr>
          <w:rFonts w:ascii="Times New Roman" w:hAnsi="Times New Roman"/>
          <w:sz w:val="24"/>
          <w:szCs w:val="24"/>
        </w:rPr>
        <w:t>18j sa dopĺňa odsek</w:t>
      </w:r>
      <w:r>
        <w:rPr>
          <w:rFonts w:ascii="Times New Roman" w:hAnsi="Times New Roman"/>
          <w:sz w:val="24"/>
          <w:szCs w:val="24"/>
        </w:rPr>
        <w:t>mi</w:t>
      </w:r>
      <w:r w:rsidRPr="00C76E57">
        <w:rPr>
          <w:rFonts w:ascii="Times New Roman" w:hAnsi="Times New Roman"/>
          <w:sz w:val="24"/>
          <w:szCs w:val="24"/>
        </w:rPr>
        <w:t xml:space="preserve"> 3</w:t>
      </w:r>
      <w:r>
        <w:rPr>
          <w:rFonts w:ascii="Times New Roman" w:hAnsi="Times New Roman"/>
          <w:sz w:val="24"/>
          <w:szCs w:val="24"/>
        </w:rPr>
        <w:t xml:space="preserve"> a 4</w:t>
      </w:r>
      <w:r w:rsidRPr="00C76E57">
        <w:rPr>
          <w:rFonts w:ascii="Times New Roman" w:hAnsi="Times New Roman"/>
          <w:sz w:val="24"/>
          <w:szCs w:val="24"/>
        </w:rPr>
        <w:t>, ktor</w:t>
      </w:r>
      <w:r>
        <w:rPr>
          <w:rFonts w:ascii="Times New Roman" w:hAnsi="Times New Roman"/>
          <w:sz w:val="24"/>
          <w:szCs w:val="24"/>
        </w:rPr>
        <w:t>é</w:t>
      </w:r>
      <w:r w:rsidRPr="00C76E57">
        <w:rPr>
          <w:rFonts w:ascii="Times New Roman" w:hAnsi="Times New Roman"/>
          <w:sz w:val="24"/>
          <w:szCs w:val="24"/>
        </w:rPr>
        <w:t xml:space="preserve"> z</w:t>
      </w:r>
      <w:r>
        <w:rPr>
          <w:rFonts w:ascii="Times New Roman" w:hAnsi="Times New Roman"/>
          <w:sz w:val="24"/>
          <w:szCs w:val="24"/>
        </w:rPr>
        <w:t>nejú</w:t>
      </w:r>
      <w:r w:rsidRPr="00C76E57">
        <w:rPr>
          <w:rFonts w:ascii="Times New Roman" w:hAnsi="Times New Roman"/>
          <w:sz w:val="24"/>
          <w:szCs w:val="24"/>
        </w:rPr>
        <w:t>:</w:t>
      </w:r>
    </w:p>
    <w:p w:rsidR="00D741B8" w:rsidP="00D741B8">
      <w:pPr>
        <w:spacing w:line="240" w:lineRule="atLeast"/>
        <w:jc w:val="both"/>
      </w:pPr>
      <w:r w:rsidRPr="00C76E57">
        <w:t xml:space="preserve">„(3) Právnická osoba alebo fyzická osoba nie je povinná splniť povinnosť podľa § 14f ods. 2 písm. b), ak dôjde k nemožnosti splnenia povinnosti z dôvodu fyzickej nedostupnosti biopaliva v členských štátoch; túto skutočnosť je povinná </w:t>
      </w:r>
      <w:r>
        <w:t xml:space="preserve">písomne </w:t>
      </w:r>
      <w:r w:rsidRPr="00C76E57">
        <w:t>oznámiť ministerstvu do 30. júna 2020.</w:t>
      </w:r>
    </w:p>
    <w:p w:rsidR="00D741B8" w:rsidP="00D741B8">
      <w:pPr>
        <w:pStyle w:val="NoSpacing"/>
        <w:spacing w:line="240" w:lineRule="atLeast"/>
        <w:rPr>
          <w:rFonts w:ascii="Times New Roman" w:eastAsia="Times New Roman" w:hAnsi="Times New Roman"/>
          <w:sz w:val="24"/>
          <w:szCs w:val="24"/>
          <w:lang w:eastAsia="sk-SK"/>
        </w:rPr>
      </w:pPr>
      <w:r w:rsidRPr="006F795A">
        <w:rPr>
          <w:rFonts w:ascii="Times New Roman" w:hAnsi="Times New Roman"/>
          <w:sz w:val="24"/>
          <w:szCs w:val="24"/>
          <w:lang w:eastAsia="sk-SK"/>
        </w:rPr>
        <w:t xml:space="preserve">(4) Ak dôjde právnickou osobou alebo fyzickou osobou k nesplneniu povinnosti podľa § 14c ods. 6 do 31. decembra 2019, na konanie o uložení pokuty podľa § 16 </w:t>
      </w:r>
      <w:r w:rsidRPr="006F795A">
        <w:rPr>
          <w:rFonts w:ascii="Times New Roman" w:eastAsia="Times New Roman" w:hAnsi="Times New Roman"/>
          <w:sz w:val="24"/>
          <w:szCs w:val="24"/>
          <w:lang w:eastAsia="sk-SK"/>
        </w:rPr>
        <w:t xml:space="preserve">ods. 2 písmeno f) </w:t>
      </w:r>
      <w:r w:rsidRPr="006F795A">
        <w:rPr>
          <w:rFonts w:ascii="Times New Roman" w:hAnsi="Times New Roman"/>
          <w:sz w:val="24"/>
          <w:szCs w:val="24"/>
          <w:lang w:eastAsia="sk-SK"/>
        </w:rPr>
        <w:t>sa použijú ustanovenia podľa predpisu účinného do 31. decembra 2019.“.</w:t>
      </w:r>
    </w:p>
    <w:p w:rsidR="00D741B8" w:rsidRPr="00C76E57" w:rsidP="00D741B8">
      <w:pPr>
        <w:spacing w:line="240" w:lineRule="atLeast"/>
        <w:jc w:val="both"/>
      </w:pPr>
    </w:p>
    <w:p w:rsidR="002D6DB3" w:rsidRPr="00C9619E" w:rsidP="002D6DB3">
      <w:pPr>
        <w:pStyle w:val="NoSpacing"/>
        <w:spacing w:line="240" w:lineRule="atLeast"/>
        <w:rPr>
          <w:rFonts w:ascii="Times New Roman" w:hAnsi="Times New Roman"/>
          <w:bCs/>
          <w:sz w:val="24"/>
          <w:szCs w:val="24"/>
        </w:rPr>
      </w:pPr>
      <w:r w:rsidRPr="00C9619E">
        <w:rPr>
          <w:rFonts w:ascii="Times New Roman" w:hAnsi="Times New Roman"/>
          <w:bCs/>
          <w:sz w:val="24"/>
          <w:szCs w:val="24"/>
        </w:rPr>
        <w:t xml:space="preserve">Účinnosť </w:t>
      </w:r>
      <w:r>
        <w:rPr>
          <w:rFonts w:ascii="Times New Roman" w:hAnsi="Times New Roman"/>
          <w:bCs/>
          <w:sz w:val="24"/>
          <w:szCs w:val="24"/>
        </w:rPr>
        <w:t xml:space="preserve">nového </w:t>
      </w:r>
      <w:r w:rsidRPr="00C9619E">
        <w:rPr>
          <w:rFonts w:ascii="Times New Roman" w:hAnsi="Times New Roman"/>
          <w:bCs/>
          <w:sz w:val="24"/>
          <w:szCs w:val="24"/>
        </w:rPr>
        <w:t>článku I</w:t>
      </w:r>
      <w:r>
        <w:rPr>
          <w:rFonts w:ascii="Times New Roman" w:hAnsi="Times New Roman"/>
          <w:bCs/>
          <w:sz w:val="24"/>
          <w:szCs w:val="24"/>
        </w:rPr>
        <w:t>II</w:t>
      </w:r>
      <w:r w:rsidRPr="00C9619E">
        <w:rPr>
          <w:rFonts w:ascii="Times New Roman" w:hAnsi="Times New Roman"/>
          <w:bCs/>
          <w:sz w:val="24"/>
          <w:szCs w:val="24"/>
        </w:rPr>
        <w:t xml:space="preserve"> sa navrhuje od 1. januára 2020</w:t>
      </w:r>
      <w:r>
        <w:rPr>
          <w:rFonts w:ascii="Times New Roman" w:hAnsi="Times New Roman"/>
          <w:bCs/>
          <w:sz w:val="24"/>
          <w:szCs w:val="24"/>
        </w:rPr>
        <w:t xml:space="preserve">, čo sa premietne v ustanovení o účinnosti pri spracúvaní čistopisu schváleného zákona. </w:t>
      </w:r>
    </w:p>
    <w:p w:rsidR="002D6DB3" w:rsidRPr="00C9619E" w:rsidP="002D6DB3">
      <w:pPr>
        <w:pStyle w:val="NoSpacing"/>
        <w:spacing w:line="240" w:lineRule="atLeast"/>
        <w:rPr>
          <w:rFonts w:ascii="Times New Roman" w:hAnsi="Times New Roman"/>
          <w:bCs/>
          <w:sz w:val="24"/>
          <w:szCs w:val="24"/>
        </w:rPr>
      </w:pPr>
    </w:p>
    <w:p w:rsidR="002D6DB3" w:rsidP="002D6DB3">
      <w:pPr>
        <w:pStyle w:val="NoSpacing"/>
        <w:rPr>
          <w:rFonts w:ascii="Times New Roman" w:hAnsi="Times New Roman"/>
          <w:bCs/>
          <w:sz w:val="24"/>
          <w:szCs w:val="24"/>
        </w:rPr>
      </w:pPr>
      <w:r w:rsidRPr="00F74881">
        <w:rPr>
          <w:rFonts w:ascii="Times New Roman" w:hAnsi="Times New Roman"/>
          <w:sz w:val="24"/>
          <w:szCs w:val="24"/>
        </w:rPr>
        <w:t>Doterajš</w:t>
      </w:r>
      <w:r>
        <w:rPr>
          <w:rFonts w:ascii="Times New Roman" w:hAnsi="Times New Roman"/>
          <w:sz w:val="24"/>
          <w:szCs w:val="24"/>
        </w:rPr>
        <w:t>í</w:t>
      </w:r>
      <w:r w:rsidRPr="00C9619E">
        <w:rPr>
          <w:rFonts w:ascii="Times New Roman" w:hAnsi="Times New Roman"/>
          <w:bCs/>
          <w:sz w:val="24"/>
          <w:szCs w:val="24"/>
        </w:rPr>
        <w:t xml:space="preserve"> </w:t>
      </w:r>
      <w:r>
        <w:rPr>
          <w:rFonts w:ascii="Times New Roman" w:hAnsi="Times New Roman"/>
          <w:bCs/>
          <w:sz w:val="24"/>
          <w:szCs w:val="24"/>
        </w:rPr>
        <w:t>č</w:t>
      </w:r>
      <w:r w:rsidRPr="00C9619E">
        <w:rPr>
          <w:rFonts w:ascii="Times New Roman" w:hAnsi="Times New Roman"/>
          <w:bCs/>
          <w:sz w:val="24"/>
          <w:szCs w:val="24"/>
        </w:rPr>
        <w:t xml:space="preserve">l. </w:t>
      </w:r>
      <w:r>
        <w:rPr>
          <w:rFonts w:ascii="Times New Roman" w:hAnsi="Times New Roman"/>
          <w:bCs/>
          <w:sz w:val="24"/>
          <w:szCs w:val="24"/>
        </w:rPr>
        <w:t>III</w:t>
      </w:r>
      <w:r w:rsidRPr="00C9619E">
        <w:rPr>
          <w:rFonts w:ascii="Times New Roman" w:hAnsi="Times New Roman"/>
          <w:bCs/>
          <w:sz w:val="24"/>
          <w:szCs w:val="24"/>
        </w:rPr>
        <w:t xml:space="preserve"> sa primerane prečísluj</w:t>
      </w:r>
      <w:r>
        <w:rPr>
          <w:rFonts w:ascii="Times New Roman" w:hAnsi="Times New Roman"/>
          <w:bCs/>
          <w:sz w:val="24"/>
          <w:szCs w:val="24"/>
        </w:rPr>
        <w:t xml:space="preserve">e. V súvislosti s vložením nového článku sa v čistopise schváleného zákona primerane upraví aj názov zákona. </w:t>
      </w:r>
    </w:p>
    <w:p w:rsidR="00D741B8" w:rsidRPr="00C76E57" w:rsidP="00D741B8">
      <w:pPr>
        <w:spacing w:line="240" w:lineRule="atLeast"/>
        <w:ind w:left="2977"/>
        <w:jc w:val="both"/>
      </w:pPr>
    </w:p>
    <w:p w:rsidR="00D741B8" w:rsidP="001F76DA">
      <w:pPr>
        <w:spacing w:line="240" w:lineRule="atLeast"/>
        <w:ind w:left="3261"/>
        <w:jc w:val="both"/>
      </w:pPr>
      <w:r w:rsidRPr="00C76E57">
        <w:t xml:space="preserve">Vzhľadom na to, že situácia v oblasti zabezpečovania trhu biopalivami druhej generácie sa nielen na Slovensku ale aj v ostatných krajinách regiónu zatiaľ vyvíja nepriaznivo, nie je možné kvôli fyzickej nedostupnosti plniť povinnosti vyplývajúce zo zákona. Navrhuje sa preto aplikovať ustanovenie, ktoré v danej situácii oslobodzuje od povinností uvádzať na trh pokročilé biopalivo.  </w:t>
      </w:r>
    </w:p>
    <w:p w:rsidR="00D741B8" w:rsidP="001F76DA">
      <w:pPr>
        <w:pStyle w:val="NoSpacing"/>
        <w:spacing w:line="240" w:lineRule="atLeast"/>
        <w:ind w:left="3261"/>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Súčasne sa navrhuje aj úprava </w:t>
      </w:r>
      <w:r>
        <w:rPr>
          <w:rFonts w:ascii="Times New Roman" w:hAnsi="Times New Roman"/>
          <w:sz w:val="24"/>
          <w:szCs w:val="24"/>
          <w:lang w:eastAsia="sk-SK"/>
        </w:rPr>
        <w:t>prechodného ustanovenia k ustanoveniam upravujúcim pokuty.</w:t>
      </w:r>
    </w:p>
    <w:p w:rsidR="00D741B8" w:rsidRPr="00C76E57" w:rsidP="00D741B8">
      <w:pPr>
        <w:spacing w:line="240" w:lineRule="atLeast"/>
        <w:ind w:left="2977"/>
        <w:jc w:val="both"/>
      </w:pPr>
    </w:p>
    <w:p w:rsidR="00996C6F" w:rsidRPr="00D741B8" w:rsidP="001F76DA">
      <w:pPr>
        <w:pStyle w:val="ListParagraph"/>
        <w:spacing w:after="0" w:line="240" w:lineRule="auto"/>
        <w:ind w:left="3261"/>
        <w:jc w:val="both"/>
        <w:rPr>
          <w:rFonts w:ascii="Times New Roman" w:hAnsi="Times New Roman"/>
          <w:b/>
          <w:sz w:val="24"/>
          <w:szCs w:val="24"/>
        </w:rPr>
      </w:pPr>
      <w:r w:rsidRPr="00D741B8">
        <w:rPr>
          <w:rFonts w:ascii="Times New Roman" w:hAnsi="Times New Roman"/>
          <w:b/>
          <w:sz w:val="24"/>
          <w:szCs w:val="24"/>
        </w:rPr>
        <w:t>Výbor</w:t>
      </w:r>
      <w:r w:rsidRPr="00D741B8">
        <w:rPr>
          <w:rFonts w:ascii="Times New Roman" w:hAnsi="Times New Roman"/>
          <w:sz w:val="24"/>
          <w:szCs w:val="24"/>
        </w:rPr>
        <w:t xml:space="preserve"> </w:t>
      </w:r>
      <w:r w:rsidRPr="001F76DA">
        <w:rPr>
          <w:rFonts w:ascii="Times New Roman" w:hAnsi="Times New Roman"/>
          <w:b/>
          <w:sz w:val="24"/>
          <w:szCs w:val="24"/>
        </w:rPr>
        <w:t>NR SR</w:t>
      </w:r>
      <w:r w:rsidRPr="00D741B8">
        <w:rPr>
          <w:rFonts w:ascii="Times New Roman" w:hAnsi="Times New Roman"/>
          <w:sz w:val="24"/>
          <w:szCs w:val="24"/>
        </w:rPr>
        <w:t xml:space="preserve"> </w:t>
      </w:r>
      <w:r w:rsidRPr="00D741B8">
        <w:rPr>
          <w:rFonts w:ascii="Times New Roman" w:hAnsi="Times New Roman"/>
          <w:b/>
          <w:sz w:val="24"/>
          <w:szCs w:val="24"/>
        </w:rPr>
        <w:t>pre hospodárske záležitosti</w:t>
      </w:r>
    </w:p>
    <w:p w:rsidR="00E93788" w:rsidRPr="00E93788" w:rsidP="001F76DA">
      <w:pPr>
        <w:pStyle w:val="ListParagraph"/>
        <w:spacing w:after="0" w:line="240" w:lineRule="auto"/>
        <w:ind w:left="3261"/>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RPr="00F34835" w:rsidP="00E93788">
      <w:pPr>
        <w:jc w:val="both"/>
      </w:pPr>
    </w:p>
    <w:p w:rsidR="000F719E" w:rsidP="002C3917">
      <w:pPr>
        <w:pStyle w:val="BodyText2"/>
        <w:ind w:firstLine="708"/>
      </w:pPr>
    </w:p>
    <w:p w:rsidR="000F719E" w:rsidRPr="00D45722" w:rsidP="000F719E">
      <w:pPr>
        <w:pStyle w:val="BodyText2"/>
        <w:ind w:firstLine="708"/>
      </w:pPr>
      <w:r w:rsidRPr="00D45722">
        <w:t>Gestorský výbor odporúča o návrhoch výboru Národnej rady Slovenskej republiky, ktoré sú uvedené v spoločnej správe hlasovať takto :</w:t>
      </w:r>
    </w:p>
    <w:p w:rsidR="000F719E" w:rsidP="000F719E">
      <w:pPr>
        <w:pStyle w:val="BodyText2"/>
        <w:rPr>
          <w:color w:val="FF0000"/>
        </w:rPr>
      </w:pPr>
    </w:p>
    <w:p w:rsidR="002D6DB3" w:rsidRPr="006D412C" w:rsidP="000F719E">
      <w:pPr>
        <w:pStyle w:val="BodyText2"/>
        <w:rPr>
          <w:color w:val="FF0000"/>
        </w:rPr>
      </w:pPr>
    </w:p>
    <w:p w:rsidR="00996C6F" w:rsidP="00E639E1">
      <w:pPr>
        <w:pStyle w:val="BodyText2"/>
        <w:ind w:firstLine="708"/>
      </w:pPr>
      <w:r w:rsidRPr="00E639E1" w:rsidR="00E639E1">
        <w:t xml:space="preserve">O </w:t>
      </w:r>
      <w:r w:rsidR="009C132C">
        <w:t xml:space="preserve">bodoch spoločnej správy č. </w:t>
      </w:r>
      <w:r w:rsidRPr="002D6DB3" w:rsidR="009C132C">
        <w:rPr>
          <w:b/>
        </w:rPr>
        <w:t>1 až 14</w:t>
      </w:r>
      <w:r w:rsidRPr="00E639E1" w:rsidR="00E639E1">
        <w:t xml:space="preserve"> hlasovať spoločne s návrhom gestorského výboru </w:t>
      </w:r>
      <w:r w:rsidRPr="00CE5896" w:rsidR="00E639E1">
        <w:rPr>
          <w:b/>
        </w:rPr>
        <w:t>schváliť</w:t>
      </w:r>
      <w:r w:rsidRPr="00E639E1" w:rsidR="00E639E1">
        <w:t>.</w:t>
      </w:r>
    </w:p>
    <w:p w:rsidR="009C132C" w:rsidRPr="00E91887" w:rsidP="00E639E1">
      <w:pPr>
        <w:pStyle w:val="BodyText2"/>
        <w:ind w:firstLine="708"/>
        <w:rPr>
          <w:b/>
        </w:rPr>
      </w:pPr>
    </w:p>
    <w:p w:rsidR="005A1754" w:rsidP="002C3917">
      <w:pPr>
        <w:pStyle w:val="BodyText2"/>
        <w:ind w:firstLine="708"/>
      </w:pPr>
    </w:p>
    <w:p w:rsidR="00996C6F" w:rsidP="002C3917">
      <w:pPr>
        <w:pStyle w:val="BodyText2"/>
        <w:ind w:firstLine="708"/>
      </w:pPr>
    </w:p>
    <w:p w:rsidR="002D6DB3" w:rsidP="002C3917">
      <w:pPr>
        <w:pStyle w:val="BodyText2"/>
        <w:ind w:firstLine="708"/>
      </w:pPr>
    </w:p>
    <w:p w:rsidR="002D6DB3" w:rsidP="002C3917">
      <w:pPr>
        <w:pStyle w:val="BodyText2"/>
        <w:ind w:firstLine="708"/>
      </w:pPr>
    </w:p>
    <w:p w:rsidR="00996C6F" w:rsidP="002C3917">
      <w:pPr>
        <w:pStyle w:val="BodyText2"/>
        <w:ind w:firstLine="708"/>
      </w:pPr>
    </w:p>
    <w:p w:rsidR="00B43787" w:rsidP="002C3917">
      <w:pPr>
        <w:pStyle w:val="BodyText2"/>
        <w:ind w:firstLine="708"/>
      </w:pPr>
    </w:p>
    <w:p w:rsidR="00233A93">
      <w:pPr>
        <w:pStyle w:val="BodyText2"/>
        <w:spacing w:after="120"/>
        <w:jc w:val="center"/>
        <w:rPr>
          <w:b/>
        </w:rPr>
      </w:pPr>
      <w:r>
        <w:rPr>
          <w:b/>
        </w:rPr>
        <w:t>V.</w:t>
      </w:r>
    </w:p>
    <w:p w:rsidR="00A46744" w:rsidRPr="005B6CCD" w:rsidP="00F57B00">
      <w:pPr>
        <w:keepNext/>
        <w:shd w:val="clear" w:color="auto" w:fill="FFFFFF"/>
        <w:ind w:firstLine="708"/>
        <w:jc w:val="both"/>
        <w:outlineLvl w:val="1"/>
        <w:rPr>
          <w:b/>
        </w:rPr>
      </w:pPr>
      <w:r w:rsidRPr="00A46744">
        <w:rPr>
          <w:bCs/>
        </w:rPr>
        <w:t>Gestorský výbor</w:t>
      </w:r>
      <w:r w:rsidRPr="00A46744">
        <w:t xml:space="preserve"> na základe stanovísk výborov </w:t>
      </w:r>
      <w:r w:rsidRPr="000F719E">
        <w:t xml:space="preserve">k </w:t>
      </w:r>
      <w:r w:rsidRPr="00996C6F" w:rsidR="00996C6F">
        <w:t>v</w:t>
      </w:r>
      <w:r w:rsidRPr="00996C6F" w:rsidR="00996C6F">
        <w:rPr>
          <w:bCs/>
          <w:iCs/>
        </w:rPr>
        <w:t>ládnemu návrhu zákona, ktorým sa mení a dopĺňa zákon č. 609/2007 Z. z. o spotrebnej dani z elektriny, uhlia a zemného plynu a o zmene a doplnení zákona č. 98/2004 Z. z. o spotrebnej dani z minerálneho oleja v znení neskorších predpisov a ktorým sa mení a dopĺňa zákon č. 98/2004 Z. z. o spotrebnej dani z minerálneho oleja v znení neskorších predpisov (tlač 1593)</w:t>
      </w:r>
      <w:r w:rsidR="00996C6F">
        <w:t xml:space="preserve"> </w:t>
      </w:r>
      <w:r w:rsidRPr="00A46744">
        <w:t xml:space="preserve">odporúča Národnej rade Slovenskej republiky predmetný </w:t>
      </w:r>
      <w:r w:rsidR="00FE1C8D">
        <w:t xml:space="preserve">vládny </w:t>
      </w:r>
      <w:r w:rsidRPr="00A46744">
        <w:t xml:space="preserve">návrh zákona </w:t>
      </w:r>
      <w:r w:rsidRPr="00A46744">
        <w:rPr>
          <w:b/>
        </w:rPr>
        <w:t>schváliť</w:t>
      </w:r>
      <w:r w:rsidR="000F719E">
        <w:rPr>
          <w:b/>
          <w:bCs/>
        </w:rPr>
        <w:t xml:space="preserve"> s pozmeňujúcimi a doplňujúcimi návrhmi. </w:t>
      </w:r>
    </w:p>
    <w:p w:rsidR="00BF4D55" w:rsidP="00A46744">
      <w:pPr>
        <w:keepNext/>
        <w:shd w:val="clear" w:color="auto" w:fill="FFFFFF"/>
        <w:ind w:firstLine="708"/>
        <w:jc w:val="both"/>
        <w:outlineLvl w:val="1"/>
        <w:rPr>
          <w:bCs/>
        </w:rPr>
      </w:pPr>
    </w:p>
    <w:p w:rsidR="00D31F19" w:rsidP="00A46744">
      <w:pPr>
        <w:keepNext/>
        <w:shd w:val="clear" w:color="auto" w:fill="FFFFFF"/>
        <w:ind w:firstLine="708"/>
        <w:jc w:val="both"/>
        <w:outlineLvl w:val="1"/>
        <w:rPr>
          <w:bCs/>
        </w:rPr>
      </w:pPr>
    </w:p>
    <w:p w:rsidR="00A46744" w:rsidRPr="00A46744" w:rsidP="00A46744">
      <w:pPr>
        <w:keepNext/>
        <w:shd w:val="clear" w:color="auto" w:fill="FFFFFF"/>
        <w:ind w:firstLine="708"/>
        <w:jc w:val="both"/>
        <w:outlineLvl w:val="1"/>
      </w:pPr>
      <w:r w:rsidRPr="00A46744">
        <w:rPr>
          <w:bCs/>
        </w:rPr>
        <w:t>Spoločná správa</w:t>
      </w:r>
      <w:r w:rsidRPr="00A46744">
        <w:t xml:space="preserve"> výborov Národnej rady Slovenskej republiky o prerokovaní </w:t>
      </w:r>
      <w:r w:rsidRPr="00996C6F" w:rsidR="00996C6F">
        <w:t>v</w:t>
      </w:r>
      <w:r w:rsidRPr="00996C6F" w:rsidR="00996C6F">
        <w:rPr>
          <w:bCs/>
          <w:iCs/>
        </w:rPr>
        <w:t>ládneho návrhu zákona, ktorým sa mení a dopĺňa zákon č. 609/2007 Z. z. o spotrebnej dani z elektriny, uhlia a zemného plynu a o zmene a doplnení zákona č. 98/2004 Z. z. o spotrebnej dani z minerálneho oleja v znení neskorších predpisov a ktorým sa mení a dopĺňa zákon č. 98/2004 Z. z. o spotrebnej dani z minerálneho oleja v znení neskorších predpisov (tlač 1593a)</w:t>
      </w:r>
      <w:r w:rsidR="00401D7D">
        <w:rPr>
          <w:b/>
        </w:rPr>
        <w:t xml:space="preserve"> </w:t>
      </w:r>
      <w:r w:rsidRPr="00A46744">
        <w:rPr>
          <w:bCs/>
        </w:rPr>
        <w:t>bola schválená uznesením gestorského výboru</w:t>
      </w:r>
      <w:r w:rsidRPr="00A46744">
        <w:rPr>
          <w:b/>
          <w:bCs/>
        </w:rPr>
        <w:t xml:space="preserve"> č</w:t>
      </w:r>
      <w:r w:rsidRPr="000E12ED">
        <w:rPr>
          <w:b/>
          <w:bCs/>
        </w:rPr>
        <w:t xml:space="preserve">. </w:t>
      </w:r>
      <w:r w:rsidR="00F95B07">
        <w:rPr>
          <w:b/>
          <w:bCs/>
        </w:rPr>
        <w:t>500</w:t>
      </w:r>
      <w:r w:rsidRPr="00A46744">
        <w:rPr>
          <w:b/>
          <w:bCs/>
          <w:color w:val="FF0000"/>
        </w:rPr>
        <w:t xml:space="preserve"> </w:t>
      </w:r>
      <w:r w:rsidRPr="00A46744">
        <w:rPr>
          <w:b/>
          <w:bCs/>
        </w:rPr>
        <w:t>z </w:t>
      </w:r>
      <w:r w:rsidR="00FE1C8D">
        <w:rPr>
          <w:b/>
          <w:bCs/>
        </w:rPr>
        <w:t>1</w:t>
      </w:r>
      <w:r w:rsidR="00996C6F">
        <w:rPr>
          <w:b/>
          <w:bCs/>
        </w:rPr>
        <w:t>5</w:t>
      </w:r>
      <w:r w:rsidR="004D053D">
        <w:rPr>
          <w:b/>
          <w:bCs/>
        </w:rPr>
        <w:t xml:space="preserve">. </w:t>
      </w:r>
      <w:r w:rsidR="00996C6F">
        <w:rPr>
          <w:b/>
          <w:bCs/>
        </w:rPr>
        <w:t>októbra</w:t>
      </w:r>
      <w:r w:rsidR="000F719E">
        <w:rPr>
          <w:b/>
          <w:bCs/>
        </w:rPr>
        <w:t xml:space="preserve"> </w:t>
      </w:r>
      <w:r w:rsidRPr="00A46744">
        <w:rPr>
          <w:b/>
          <w:bCs/>
        </w:rPr>
        <w:t>201</w:t>
      </w:r>
      <w:r w:rsidR="004D053D">
        <w:rPr>
          <w:b/>
          <w:bCs/>
        </w:rPr>
        <w:t>9</w:t>
      </w:r>
      <w:r w:rsidRPr="00A46744">
        <w:rPr>
          <w:bCs/>
        </w:rPr>
        <w:t xml:space="preserve">. </w:t>
      </w:r>
    </w:p>
    <w:p w:rsidR="0018486F" w:rsidP="00A46744">
      <w:pPr>
        <w:ind w:firstLine="708"/>
        <w:jc w:val="both"/>
        <w:rPr>
          <w:bCs/>
        </w:rPr>
      </w:pPr>
    </w:p>
    <w:p w:rsidR="00D31F19" w:rsidP="00A46744">
      <w:pPr>
        <w:ind w:firstLine="708"/>
        <w:jc w:val="both"/>
        <w:rPr>
          <w:bCs/>
        </w:rPr>
      </w:pPr>
    </w:p>
    <w:p w:rsidR="00A46744" w:rsidRPr="00A46744" w:rsidP="00A46744">
      <w:pPr>
        <w:ind w:firstLine="708"/>
        <w:jc w:val="both"/>
      </w:pPr>
      <w:r w:rsidR="0018486F">
        <w:rPr>
          <w:bCs/>
        </w:rPr>
        <w:t>T</w:t>
      </w:r>
      <w:r w:rsidRPr="00A46744">
        <w:rPr>
          <w:bCs/>
        </w:rPr>
        <w:t xml:space="preserve">ýmto uznesením výbor zároveň poveril spoločného spravodajcu </w:t>
      </w:r>
      <w:r w:rsidR="00996C6F">
        <w:rPr>
          <w:b/>
          <w:bCs/>
        </w:rPr>
        <w:t>Igora Federiča</w:t>
      </w:r>
      <w:r w:rsidRPr="00A46744">
        <w:rPr>
          <w:b/>
          <w:bCs/>
        </w:rPr>
        <w:t>,</w:t>
      </w:r>
      <w:r w:rsidRPr="00A46744">
        <w:rPr>
          <w:bCs/>
        </w:rPr>
        <w:t xml:space="preserve"> aby na schôdzi Národnej rady Slovenskej republiky pri rokovaní o predmetnom </w:t>
      </w:r>
      <w:r w:rsidR="00B77BFB">
        <w:rPr>
          <w:bCs/>
        </w:rPr>
        <w:t xml:space="preserve">vládnom </w:t>
      </w:r>
      <w:r w:rsidRPr="00A46744">
        <w:rPr>
          <w:bCs/>
        </w:rPr>
        <w:t>návrhu zákona predkladal návrhy v zmysle príslušných ustanovení zákona č. 350/1996 Z. z. o rokovacom poriadku Národnej rady Slovenskej republiky v znení neskorších predpisov.</w:t>
      </w:r>
      <w:r w:rsidRPr="00A46744">
        <w:tab/>
        <w:tab/>
        <w:tab/>
        <w:tab/>
        <w:tab/>
      </w:r>
    </w:p>
    <w:p w:rsidR="0018486F" w:rsidP="0020341D">
      <w:pPr>
        <w:pStyle w:val="BodyText2"/>
        <w:jc w:val="center"/>
      </w:pPr>
    </w:p>
    <w:p w:rsidR="001F76DA" w:rsidP="0020341D">
      <w:pPr>
        <w:pStyle w:val="BodyText2"/>
        <w:jc w:val="center"/>
      </w:pPr>
    </w:p>
    <w:p w:rsidR="00233A93" w:rsidP="0020341D">
      <w:pPr>
        <w:pStyle w:val="BodyText2"/>
        <w:jc w:val="center"/>
      </w:pPr>
      <w:r>
        <w:t xml:space="preserve">Bratislava </w:t>
      </w:r>
      <w:r w:rsidR="000F719E">
        <w:t>1</w:t>
      </w:r>
      <w:r w:rsidR="00996C6F">
        <w:t>5</w:t>
      </w:r>
      <w:r w:rsidR="000F719E">
        <w:t xml:space="preserve">. </w:t>
      </w:r>
      <w:r w:rsidR="00996C6F">
        <w:t>október</w:t>
      </w:r>
      <w:r w:rsidR="00385F60">
        <w:t xml:space="preserve"> </w:t>
      </w:r>
      <w:r w:rsidR="00996C6F">
        <w:t xml:space="preserve"> </w:t>
      </w:r>
      <w:r w:rsidR="00C23D38">
        <w:t>201</w:t>
      </w:r>
      <w:r w:rsidR="004D053D">
        <w:t>9</w:t>
      </w:r>
    </w:p>
    <w:p w:rsidR="00B94345">
      <w:pPr>
        <w:pStyle w:val="BodyText2"/>
      </w:pPr>
    </w:p>
    <w:p w:rsidR="00BF4D55">
      <w:pPr>
        <w:pStyle w:val="BodyText2"/>
      </w:pPr>
    </w:p>
    <w:p w:rsidR="00D31F19">
      <w:pPr>
        <w:pStyle w:val="BodyText2"/>
      </w:pPr>
    </w:p>
    <w:p w:rsidR="00D31F19">
      <w:pPr>
        <w:pStyle w:val="BodyText2"/>
      </w:pPr>
    </w:p>
    <w:p w:rsidR="00BF4D55">
      <w:pPr>
        <w:pStyle w:val="BodyText2"/>
      </w:pPr>
    </w:p>
    <w:p w:rsidR="00D73410" w:rsidP="00D73410">
      <w:pPr>
        <w:pStyle w:val="BodyText2"/>
        <w:jc w:val="center"/>
        <w:rPr>
          <w:b/>
          <w:bCs/>
        </w:rPr>
      </w:pPr>
      <w:r w:rsidR="00FE1C8D">
        <w:rPr>
          <w:b/>
          <w:bCs/>
        </w:rPr>
        <w:t>Róbert Puci</w:t>
      </w:r>
      <w:r w:rsidR="004D053D">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9D4C8E">
      <w:footerReference w:type="even" r:id="rId4"/>
      <w:footerReference w:type="default" r:id="rId5"/>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5B07">
      <w:rPr>
        <w:rStyle w:val="PageNumber"/>
        <w:noProof/>
      </w:rPr>
      <w:t>9</w:t>
    </w:r>
    <w:r>
      <w:rPr>
        <w:rStyle w:val="PageNumber"/>
      </w:rPr>
      <w:fldChar w:fldCharType="end"/>
    </w:r>
  </w:p>
  <w:p w:rsidR="00832B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6166F9"/>
    <w:multiLevelType w:val="hybridMultilevel"/>
    <w:tmpl w:val="AB069F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6C02BD8"/>
    <w:multiLevelType w:val="hybridMultilevel"/>
    <w:tmpl w:val="E4B8F4E0"/>
    <w:lvl w:ilvl="0">
      <w:start w:val="1"/>
      <w:numFmt w:val="decimal"/>
      <w:lvlText w:val="%1."/>
      <w:lvlJc w:val="left"/>
      <w:pPr>
        <w:ind w:left="8724" w:hanging="360"/>
      </w:pPr>
      <w:rPr>
        <w:rFonts w:hint="default"/>
      </w:rPr>
    </w:lvl>
    <w:lvl w:ilvl="1" w:tentative="1">
      <w:start w:val="1"/>
      <w:numFmt w:val="lowerLetter"/>
      <w:lvlText w:val="%2."/>
      <w:lvlJc w:val="left"/>
      <w:pPr>
        <w:ind w:left="9444" w:hanging="360"/>
      </w:pPr>
    </w:lvl>
    <w:lvl w:ilvl="2" w:tentative="1">
      <w:start w:val="1"/>
      <w:numFmt w:val="lowerRoman"/>
      <w:lvlText w:val="%3."/>
      <w:lvlJc w:val="right"/>
      <w:pPr>
        <w:ind w:left="10164" w:hanging="180"/>
      </w:pPr>
    </w:lvl>
    <w:lvl w:ilvl="3" w:tentative="1">
      <w:start w:val="1"/>
      <w:numFmt w:val="decimal"/>
      <w:lvlText w:val="%4."/>
      <w:lvlJc w:val="left"/>
      <w:pPr>
        <w:ind w:left="10884" w:hanging="360"/>
      </w:pPr>
    </w:lvl>
    <w:lvl w:ilvl="4" w:tentative="1">
      <w:start w:val="1"/>
      <w:numFmt w:val="lowerLetter"/>
      <w:lvlText w:val="%5."/>
      <w:lvlJc w:val="left"/>
      <w:pPr>
        <w:ind w:left="11604" w:hanging="360"/>
      </w:pPr>
    </w:lvl>
    <w:lvl w:ilvl="5" w:tentative="1">
      <w:start w:val="1"/>
      <w:numFmt w:val="lowerRoman"/>
      <w:lvlText w:val="%6."/>
      <w:lvlJc w:val="right"/>
      <w:pPr>
        <w:ind w:left="12324" w:hanging="180"/>
      </w:pPr>
    </w:lvl>
    <w:lvl w:ilvl="6" w:tentative="1">
      <w:start w:val="1"/>
      <w:numFmt w:val="decimal"/>
      <w:lvlText w:val="%7."/>
      <w:lvlJc w:val="left"/>
      <w:pPr>
        <w:ind w:left="13044" w:hanging="360"/>
      </w:pPr>
    </w:lvl>
    <w:lvl w:ilvl="7" w:tentative="1">
      <w:start w:val="1"/>
      <w:numFmt w:val="lowerLetter"/>
      <w:lvlText w:val="%8."/>
      <w:lvlJc w:val="left"/>
      <w:pPr>
        <w:ind w:left="13764" w:hanging="360"/>
      </w:pPr>
    </w:lvl>
    <w:lvl w:ilvl="8" w:tentative="1">
      <w:start w:val="1"/>
      <w:numFmt w:val="lowerRoman"/>
      <w:lvlText w:val="%9."/>
      <w:lvlJc w:val="right"/>
      <w:pPr>
        <w:ind w:left="14484" w:hanging="180"/>
      </w:pPr>
    </w:lvl>
  </w:abstractNum>
  <w:abstractNum w:abstractNumId="4">
    <w:nsid w:val="095F2AB0"/>
    <w:multiLevelType w:val="hybridMultilevel"/>
    <w:tmpl w:val="5002E4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4D7045"/>
    <w:multiLevelType w:val="singleLevel"/>
    <w:tmpl w:val="BE00993C"/>
    <w:lvl w:ilvl="0">
      <w:start w:val="1"/>
      <w:numFmt w:val="bullet"/>
      <w:lvlText w:val="-"/>
      <w:lvlJc w:val="left"/>
      <w:pPr>
        <w:tabs>
          <w:tab w:val="num" w:pos="1065"/>
        </w:tabs>
        <w:ind w:left="1065" w:hanging="360"/>
      </w:pPr>
    </w:lvl>
  </w:abstractNum>
  <w:abstractNum w:abstractNumId="7">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132E0916"/>
    <w:multiLevelType w:val="hybridMultilevel"/>
    <w:tmpl w:val="A5ECDE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3">
    <w:nsid w:val="1745574B"/>
    <w:multiLevelType w:val="hybridMultilevel"/>
    <w:tmpl w:val="3D94DE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5">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1E8B7255"/>
    <w:multiLevelType w:val="hybridMultilevel"/>
    <w:tmpl w:val="0B26F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9">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21">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2">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8E0B42"/>
    <w:multiLevelType w:val="hybridMultilevel"/>
    <w:tmpl w:val="0F6CE4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6">
    <w:nsid w:val="3A0F19B3"/>
    <w:multiLevelType w:val="hybridMultilevel"/>
    <w:tmpl w:val="02C235AC"/>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8">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9">
    <w:nsid w:val="412E4770"/>
    <w:multiLevelType w:val="hybridMultilevel"/>
    <w:tmpl w:val="9A74EF06"/>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32">
    <w:nsid w:val="4E025A7B"/>
    <w:multiLevelType w:val="hybridMultilevel"/>
    <w:tmpl w:val="FCC475B8"/>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3">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36645CC"/>
    <w:multiLevelType w:val="hybridMultilevel"/>
    <w:tmpl w:val="B7E0B1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7B5AB6"/>
    <w:multiLevelType w:val="hybridMultilevel"/>
    <w:tmpl w:val="1E8A122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37">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9">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6576EB3"/>
    <w:multiLevelType w:val="hybridMultilevel"/>
    <w:tmpl w:val="E2B264C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94414EF"/>
    <w:multiLevelType w:val="hybridMultilevel"/>
    <w:tmpl w:val="A4B8DB04"/>
    <w:lvl w:ilvl="0">
      <w:start w:val="1"/>
      <w:numFmt w:val="decimal"/>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4">
    <w:nsid w:val="694E1FEA"/>
    <w:multiLevelType w:val="hybridMultilevel"/>
    <w:tmpl w:val="09F09ACC"/>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AD64F78"/>
    <w:multiLevelType w:val="hybridMultilevel"/>
    <w:tmpl w:val="EDE2B722"/>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7D75701"/>
    <w:multiLevelType w:val="hybridMultilevel"/>
    <w:tmpl w:val="600292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
    <w:nsid w:val="7A043D39"/>
    <w:multiLevelType w:val="hybridMultilevel"/>
    <w:tmpl w:val="0D6AF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lvlOverride w:ilvl="0"/>
  </w:num>
  <w:num w:numId="2">
    <w:abstractNumId w:val="27"/>
    <w:lvlOverride w:ilvl="0">
      <w:startOverride w:val="1"/>
    </w:lvlOverride>
  </w:num>
  <w:num w:numId="3">
    <w:abstractNumId w:val="40"/>
  </w:num>
  <w:num w:numId="4">
    <w:abstractNumId w:val="37"/>
  </w:num>
  <w:num w:numId="5">
    <w:abstractNumId w:val="22"/>
  </w:num>
  <w:num w:numId="6">
    <w:abstractNumId w:val="9"/>
  </w:num>
  <w:num w:numId="7">
    <w:abstractNumId w:val="33"/>
  </w:num>
  <w:num w:numId="8">
    <w:abstractNumId w:val="46"/>
  </w:num>
  <w:num w:numId="9">
    <w:abstractNumId w:val="25"/>
  </w:num>
  <w:num w:numId="10">
    <w:abstractNumId w:val="48"/>
  </w:num>
  <w:num w:numId="11">
    <w:abstractNumId w:val="2"/>
  </w:num>
  <w:num w:numId="12">
    <w:abstractNumId w:val="28"/>
  </w:num>
  <w:num w:numId="13">
    <w:abstractNumId w:val="7"/>
  </w:num>
  <w:num w:numId="14">
    <w:abstractNumId w:val="18"/>
  </w:num>
  <w:num w:numId="15">
    <w:abstractNumId w:val="20"/>
  </w:num>
  <w:num w:numId="16">
    <w:abstractNumId w:val="39"/>
  </w:num>
  <w:num w:numId="17">
    <w:abstractNumId w:val="11"/>
  </w:num>
  <w:num w:numId="18">
    <w:abstractNumId w:val="10"/>
  </w:num>
  <w:num w:numId="19">
    <w:abstractNumId w:val="0"/>
  </w:num>
  <w:num w:numId="20">
    <w:abstractNumId w:val="38"/>
  </w:num>
  <w:num w:numId="21">
    <w:abstractNumId w:val="31"/>
  </w:num>
  <w:num w:numId="22">
    <w:abstractNumId w:val="19"/>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4"/>
  </w:num>
  <w:num w:numId="30">
    <w:abstractNumId w:val="21"/>
  </w:num>
  <w:num w:numId="31">
    <w:abstractNumId w:val="36"/>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34"/>
  </w:num>
  <w:num w:numId="37">
    <w:abstractNumId w:val="26"/>
  </w:num>
  <w:num w:numId="38">
    <w:abstractNumId w:val="29"/>
  </w:num>
  <w:num w:numId="39">
    <w:abstractNumId w:val="44"/>
  </w:num>
  <w:num w:numId="40">
    <w:abstractNumId w:val="32"/>
  </w:num>
  <w:num w:numId="41">
    <w:abstractNumId w:val="17"/>
  </w:num>
  <w:num w:numId="42">
    <w:abstractNumId w:val="45"/>
  </w:num>
  <w:num w:numId="43">
    <w:abstractNumId w:val="4"/>
  </w:num>
  <w:num w:numId="44">
    <w:abstractNumId w:val="3"/>
  </w:num>
  <w:num w:numId="45">
    <w:abstractNumId w:val="47"/>
  </w:num>
  <w:num w:numId="46">
    <w:abstractNumId w:val="13"/>
  </w:num>
  <w:num w:numId="47">
    <w:abstractNumId w:val="24"/>
  </w:num>
  <w:num w:numId="48">
    <w:abstractNumId w:val="1"/>
  </w:num>
  <w:num w:numId="49">
    <w:abstractNumId w:val="8"/>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uiPriority w:val="1"/>
    <w:qFormat/>
    <w:rsid w:val="00826CE5"/>
    <w:pPr>
      <w:jc w:val="both"/>
    </w:pPr>
    <w:rPr>
      <w:rFonts w:ascii="Calibri" w:eastAsia="Calibri" w:hAnsi="Calibri"/>
      <w:sz w:val="22"/>
      <w:szCs w:val="22"/>
      <w:lang w:val="sk-SK" w:eastAsia="en-US" w:bidi="ar-SA"/>
    </w:rPr>
  </w:style>
  <w:style w:type="paragraph" w:styleId="ListParagraph">
    <w:name w:val="List Paragraph"/>
    <w:aliases w:val="Conclusion de partie,List Paragraph (Czech Tourism),Nad,ODRAZKY PRVA UROVEN,Odsek,Odsek zoznamu1,Odsek zoznamu2,Odstavec cíl se seznamem,Odstavec se seznamem5,Odstavec_muj,Seznam - odrážky,_Odstavec se seznamem,body"/>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uiPriority w:val="99"/>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aliases w:val="Conclusion de partie Char,Nad Char,ODRAZKY PRVA UROVEN Char,Odsek Char,Odsek zoznamu1 Char,Odsek zoznamu2 Char,Odstavec cíl se seznamem Char,Odstavec_muj Char,Seznam - odrážky Char,_Odstavec se seznamem Char,body Char"/>
    <w:link w:val="ListParagraph"/>
    <w:uiPriority w:val="34"/>
    <w:locked/>
    <w:rsid w:val="00E93788"/>
    <w:rPr>
      <w:rFonts w:ascii="Calibri" w:eastAsia="Calibri" w:hAnsi="Calibri"/>
      <w:sz w:val="22"/>
      <w:szCs w:val="22"/>
      <w:lang w:eastAsia="en-US"/>
    </w:rPr>
  </w:style>
  <w:style w:type="paragraph" w:styleId="NormalWeb">
    <w:name w:val="Normal (Web)"/>
    <w:basedOn w:val="Normal"/>
    <w:uiPriority w:val="99"/>
    <w:unhideWhenUsed/>
    <w:rsid w:val="00D741B8"/>
    <w:pPr>
      <w:spacing w:before="100" w:beforeAutospacing="1" w:after="100" w:afterAutospacing="1"/>
    </w:pPr>
  </w:style>
  <w:style w:type="paragraph" w:styleId="PlainText">
    <w:name w:val="Plain Text"/>
    <w:basedOn w:val="Normal"/>
    <w:link w:val="ObyajntextChar"/>
    <w:uiPriority w:val="99"/>
    <w:unhideWhenUsed/>
    <w:rsid w:val="00D741B8"/>
    <w:rPr>
      <w:rFonts w:ascii="Arial Narrow" w:eastAsia="Calibri" w:hAnsi="Arial Narrow"/>
      <w:sz w:val="22"/>
      <w:szCs w:val="22"/>
      <w:lang w:eastAsia="en-US"/>
    </w:rPr>
  </w:style>
  <w:style w:type="character" w:customStyle="1" w:styleId="ObyajntextChar">
    <w:name w:val="Obyčajný text Char"/>
    <w:link w:val="PlainText"/>
    <w:uiPriority w:val="99"/>
    <w:rsid w:val="00D741B8"/>
    <w:rPr>
      <w:rFonts w:ascii="Arial Narrow" w:eastAsia="Calibri" w:hAnsi="Arial Narrow"/>
      <w:sz w:val="22"/>
      <w:szCs w:val="22"/>
      <w:lang w:eastAsia="en-US"/>
    </w:rPr>
  </w:style>
  <w:style w:type="character" w:styleId="EndnoteReference">
    <w:name w:val="endnote reference"/>
    <w:uiPriority w:val="99"/>
    <w:unhideWhenUsed/>
    <w:rsid w:val="00D741B8"/>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2641</TotalTime>
  <Pages>9</Pages>
  <Words>3197</Words>
  <Characters>18228</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Šulková, Petra</cp:lastModifiedBy>
  <cp:revision>872</cp:revision>
  <cp:lastPrinted>2016-11-23T12:14:00Z</cp:lastPrinted>
  <dcterms:created xsi:type="dcterms:W3CDTF">2002-11-04T13:16:00Z</dcterms:created>
  <dcterms:modified xsi:type="dcterms:W3CDTF">2019-10-15T06:19:00Z</dcterms:modified>
</cp:coreProperties>
</file>