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18510D">
        <w:t>7</w:t>
      </w:r>
      <w:r w:rsidR="00CA3347">
        <w:t>18</w:t>
      </w:r>
      <w:r w:rsidRPr="00053FB9" w:rsidR="003371B9">
        <w:t>/</w:t>
      </w:r>
      <w:r w:rsidR="00053FB9">
        <w:t>201</w:t>
      </w:r>
      <w:r w:rsidR="005B2B87">
        <w:t>9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</w:p>
    <w:p w:rsidR="008F3963" w:rsidP="00067F0B">
      <w:pPr>
        <w:ind w:left="3540" w:firstLine="708"/>
        <w:rPr>
          <w:b/>
        </w:rPr>
      </w:pPr>
      <w:r w:rsidR="00D76F37">
        <w:rPr>
          <w:b/>
        </w:rPr>
        <w:t xml:space="preserve">          480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CA3347" w:rsidR="00CA3347">
        <w:rPr>
          <w:bCs w:val="0"/>
        </w:rPr>
        <w:t>v</w:t>
      </w:r>
      <w:r w:rsidRPr="00CA3347" w:rsidR="00CA3347">
        <w:t>ládny návrh zákona, ktorým sa mení a dopĺňa zákon č. 362/2011 Z. z. o liekoch a zdravotníckych pomôckach a o zmene a doplnení niektorých zákonov v znení neskorších predpisov a ktorým sa menia a dopĺňajú niektoré zákony (tlač 1612)</w:t>
      </w:r>
      <w:r w:rsidR="00CA3347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CA3347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CA3347" w:rsidR="00CA3347">
        <w:rPr>
          <w:bCs w:val="0"/>
        </w:rPr>
        <w:t>v</w:t>
      </w:r>
      <w:r w:rsidRPr="00CA3347" w:rsidR="00CA3347">
        <w:t>ládny</w:t>
      </w:r>
      <w:r w:rsidR="00CA3347">
        <w:t>m</w:t>
      </w:r>
      <w:r w:rsidRPr="00CA3347" w:rsidR="00CA3347">
        <w:t xml:space="preserve"> návrh</w:t>
      </w:r>
      <w:r w:rsidR="00CA3347">
        <w:t>om</w:t>
      </w:r>
      <w:r w:rsidRPr="00CA3347" w:rsidR="00CA3347">
        <w:t xml:space="preserve"> zákona, ktorým sa mení a dopĺňa zákon č. 362/2011 Z. z. o liekoch a zdravotníckych pomôckach a o zmene a doplnení niektorých zákonov v znení neskorších predpisov a ktorým sa menia a dopĺňajú niektoré zákony (tlač 1612)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CA334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CA334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CA3347" w:rsidR="00CA3347">
        <w:rPr>
          <w:b w:val="0"/>
          <w:bCs w:val="0"/>
        </w:rPr>
        <w:t>v</w:t>
      </w:r>
      <w:r w:rsidRPr="00CA3347" w:rsidR="00CA3347">
        <w:rPr>
          <w:b w:val="0"/>
        </w:rPr>
        <w:t>ládny návrh zákona, ktorým sa mení a dopĺňa zákon č. 362/2011 Z. z. o liekoch a zdravotníckych pomôckach a o zmene a doplnení niektorých zákonov v znení neskorších predpisov a ktorým sa menia a dopĺňajú niektoré zákony (tlač 1612)</w:t>
      </w:r>
      <w:r w:rsidR="00CA3347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predsedov</w:t>
      </w:r>
      <w:r>
        <w:rPr>
          <w:lang w:val="sk-SK"/>
        </w:rPr>
        <w:t xml:space="preserve">i </w:t>
      </w:r>
      <w:r w:rsidR="00CA3347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CA3347">
        <w:rPr>
          <w:lang w:val="sk-SK"/>
        </w:rPr>
        <w:t xml:space="preserve"> pre </w:t>
      </w:r>
      <w:r w:rsidR="006C0E68">
        <w:rPr>
          <w:lang w:val="sk-SK"/>
        </w:rPr>
        <w:t>zdravotníctvo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15530D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D76F37">
        <w:rPr>
          <w:b/>
        </w:rPr>
        <w:t>480</w:t>
      </w:r>
    </w:p>
    <w:p w:rsidR="000D14F9" w:rsidRPr="003371B9" w:rsidP="000D14F9">
      <w:pPr>
        <w:jc w:val="right"/>
      </w:pPr>
      <w:r w:rsidR="00874EF6">
        <w:rPr>
          <w:bCs w:val="0"/>
        </w:rPr>
        <w:t>7</w:t>
      </w:r>
      <w:r w:rsidR="00733DE7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CA3347" w:rsidP="00CA3347">
      <w:pPr>
        <w:pStyle w:val="Heading1"/>
        <w:pBdr>
          <w:bottom w:val="single" w:sz="6" w:space="1" w:color="auto"/>
        </w:pBdr>
        <w:ind w:left="360"/>
        <w:jc w:val="center"/>
      </w:pPr>
      <w:r w:rsidR="00117627">
        <w:t>k</w:t>
      </w:r>
      <w:r w:rsidR="00AC2960">
        <w:t> </w:t>
      </w:r>
      <w:r w:rsidR="00733DE7">
        <w:rPr>
          <w:bCs w:val="0"/>
        </w:rPr>
        <w:t xml:space="preserve"> </w:t>
      </w:r>
      <w:r w:rsidRPr="00CA3347">
        <w:rPr>
          <w:bCs w:val="0"/>
        </w:rPr>
        <w:t>v</w:t>
      </w:r>
      <w:r>
        <w:t>ládnemu</w:t>
      </w:r>
      <w:r w:rsidRPr="00CA3347">
        <w:t xml:space="preserve"> návrh</w:t>
      </w:r>
      <w:r>
        <w:t>u</w:t>
      </w:r>
      <w:r w:rsidRPr="00CA3347">
        <w:t xml:space="preserve"> zákona, ktorým sa mení a dopĺňa zákon č. 362/2011 Z. z. o liekoch a zdravotníckych pomôckach a o zmene a doplnení niektorých zákonov v znení neskorších predpisov a ktorým sa menia a dopĺňajú niektoré zákony (tlač 1612)</w:t>
      </w:r>
    </w:p>
    <w:p w:rsidR="00D76F37" w:rsidRPr="00D76F37" w:rsidP="00D76F37"/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6. bode (§ 7 ods. 2 a 3) sa slovo „orgán</w:t>
      </w:r>
      <w:r w:rsidRPr="00D76F37">
        <w:rPr>
          <w:rFonts w:ascii="Times New Roman" w:hAnsi="Times New Roman"/>
          <w:sz w:val="24"/>
          <w:szCs w:val="24"/>
        </w:rPr>
        <w:t>“ (2x) nahrádza slovom „Orgán“.</w:t>
      </w:r>
    </w:p>
    <w:p w:rsidR="00D76F37" w:rsidRPr="00D76F37" w:rsidP="00D76F37">
      <w:pPr>
        <w:tabs>
          <w:tab w:val="left" w:pos="567"/>
        </w:tabs>
        <w:jc w:val="both"/>
      </w:pPr>
    </w:p>
    <w:p w:rsidR="00D76F37" w:rsidRPr="00D76F37" w:rsidP="00D76F37">
      <w:pPr>
        <w:tabs>
          <w:tab w:val="left" w:pos="567"/>
        </w:tabs>
        <w:jc w:val="both"/>
      </w:pPr>
      <w:r w:rsidRPr="00D76F37">
        <w:tab/>
        <w:tab/>
        <w:tab/>
        <w:tab/>
        <w:tab/>
        <w:tab/>
        <w:t xml:space="preserve">Legislatívno-technická úprava. </w:t>
      </w:r>
    </w:p>
    <w:p w:rsidR="00D76F37" w:rsidP="00D76F37">
      <w:pPr>
        <w:tabs>
          <w:tab w:val="left" w:pos="567"/>
        </w:tabs>
        <w:jc w:val="both"/>
      </w:pPr>
    </w:p>
    <w:p w:rsidR="00D76F37" w:rsidRPr="00D76F37" w:rsidP="00D76F37">
      <w:pPr>
        <w:tabs>
          <w:tab w:val="left" w:pos="567"/>
        </w:tabs>
        <w:jc w:val="both"/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16. bode sa v § 15 ods. 1 písm. ai) pred slovo „lieku“ vkladá slovo „humánneho“.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Spresnenie ustanovenia.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20. bode sa v § 18 ods. 19 úvodnej vete za sl</w:t>
      </w:r>
      <w:r w:rsidRPr="00D76F37">
        <w:rPr>
          <w:rFonts w:ascii="Times New Roman" w:hAnsi="Times New Roman"/>
          <w:sz w:val="24"/>
          <w:szCs w:val="24"/>
        </w:rPr>
        <w:t xml:space="preserve">ovo „dodaním“ vkladajú slová „humánneho lieku“. 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Spresnenie ustanovenia.  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 čl. I, 46. bode (§ 25a) sa na konci pripája veta: „Poznámky pod čiarou k odkazom 30ac a 30ad sa vypúšťajú.“.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76F37" w:rsidRPr="00D76F37" w:rsidP="00D76F37">
      <w:pPr>
        <w:pStyle w:val="ListParagraph"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Navrhuje sa vypustiť aj poznámky pod čiarou, ktoré sú po vypustení § 25a nadbytočné, keďže sa na ne odkazuje len vo vypúšťanom § 25a.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 sa za 62. bod vkladá nový 63. bod, ktorý znie: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„63. V § 106 ods. 6 sa slová „§ 119 ods. 23“ nahrádzajú slovami „§ 119 ods. 25“.“.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Nasledujúce body sa primerane prečíslujú.</w:t>
      </w:r>
    </w:p>
    <w:p w:rsidR="00D76F37" w:rsidRPr="00D76F37" w:rsidP="00D76F37">
      <w:pPr>
        <w:tabs>
          <w:tab w:val="left" w:pos="567"/>
        </w:tabs>
        <w:ind w:left="567"/>
        <w:jc w:val="both"/>
      </w:pPr>
      <w:r w:rsidRPr="00D76F37">
        <w:t>Nový 63. bod nadobudne účinnosť 1. januára 2020, čo sa premietne do čl. V upravujúceho účinnosť zákona.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Legislatívno-technická úprava v nadväznosti na vloženie nových odsekov 14 a 15 do § 119 (čl. I, 84. bod).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V čl. I, 63. bode sa v § 110 ods. 4  slová </w:t>
      </w:r>
      <w:r w:rsidRPr="00D76F37">
        <w:rPr>
          <w:rFonts w:ascii="Times New Roman" w:hAnsi="Times New Roman"/>
          <w:sz w:val="24"/>
          <w:szCs w:val="24"/>
        </w:rPr>
        <w:t>„a s miestom“ nahrádzajú slovami „s miestom“.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Vypustenie nadbytočnej spojky.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 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V čl. I, 64. bode sa v § 110b ods. 2 za slová „14 dní od sprístupnenia“ vkladajú slová „zdravotníckej pomôcky“ a slová „na trh v Slovenskej republiky“ sa nahrádzajú </w:t>
      </w:r>
      <w:r w:rsidRPr="00D76F37">
        <w:rPr>
          <w:rFonts w:ascii="Times New Roman" w:hAnsi="Times New Roman"/>
          <w:sz w:val="24"/>
          <w:szCs w:val="24"/>
        </w:rPr>
        <w:t>slovami „na trhu v Slovenskej republike“.</w:t>
      </w:r>
    </w:p>
    <w:p w:rsidR="00D76F37" w:rsidRPr="00D76F37" w:rsidP="00D76F37">
      <w:pPr>
        <w:tabs>
          <w:tab w:val="left" w:pos="567"/>
        </w:tabs>
        <w:jc w:val="both"/>
      </w:pPr>
    </w:p>
    <w:p w:rsidR="00D76F37" w:rsidRPr="00D76F37" w:rsidP="00D76F37">
      <w:pPr>
        <w:tabs>
          <w:tab w:val="left" w:pos="567"/>
        </w:tabs>
        <w:jc w:val="both"/>
      </w:pPr>
      <w:r w:rsidRPr="00D76F37">
        <w:tab/>
        <w:tab/>
        <w:tab/>
        <w:tab/>
        <w:tab/>
        <w:tab/>
        <w:t>Spresnenie ustanovenia a terminologické zjednotenie.</w:t>
      </w:r>
    </w:p>
    <w:p w:rsidR="00D76F37" w:rsidP="00D76F37">
      <w:pPr>
        <w:tabs>
          <w:tab w:val="left" w:pos="567"/>
        </w:tabs>
        <w:jc w:val="both"/>
      </w:pPr>
    </w:p>
    <w:p w:rsidR="00D76F37" w:rsidRPr="00D76F37" w:rsidP="00D76F37">
      <w:pPr>
        <w:tabs>
          <w:tab w:val="left" w:pos="567"/>
        </w:tabs>
        <w:jc w:val="both"/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64. bode sa v § 110b ods. 4 sa slová „pacientov a zakázať“ nahrádzajú slovami „pacientov zakázať“ a slová „na trhu Slovenskej republiky“ sa nah</w:t>
      </w:r>
      <w:r w:rsidRPr="00D76F37">
        <w:rPr>
          <w:rFonts w:ascii="Times New Roman" w:hAnsi="Times New Roman"/>
          <w:sz w:val="24"/>
          <w:szCs w:val="24"/>
        </w:rPr>
        <w:t>rádzajú slovami „na trhu v Slovenskej republike“.</w:t>
      </w:r>
    </w:p>
    <w:p w:rsidR="00D76F37" w:rsidRPr="00D76F37" w:rsidP="00D76F37">
      <w:pPr>
        <w:tabs>
          <w:tab w:val="left" w:pos="567"/>
        </w:tabs>
        <w:ind w:left="3540"/>
        <w:jc w:val="both"/>
      </w:pPr>
      <w:r w:rsidRPr="00D76F37">
        <w:t>Vypustenie nadbytočnej spojky a terminologické zjednotenie.</w:t>
      </w:r>
    </w:p>
    <w:p w:rsidR="00D76F37" w:rsidP="00D76F37">
      <w:pPr>
        <w:tabs>
          <w:tab w:val="left" w:pos="567"/>
        </w:tabs>
        <w:jc w:val="both"/>
      </w:pPr>
    </w:p>
    <w:p w:rsidR="00D76F37" w:rsidRPr="00D76F37" w:rsidP="00D76F37">
      <w:pPr>
        <w:tabs>
          <w:tab w:val="left" w:pos="567"/>
        </w:tabs>
        <w:jc w:val="both"/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64. bode sa v § 110b ods. 6 slová „sprístupnila na trh“ nahrádzajú slovami „sprístupnila na trhu“ a slová „štátny ústav zdravotnícku po</w:t>
      </w:r>
      <w:r w:rsidRPr="00D76F37">
        <w:rPr>
          <w:rFonts w:ascii="Times New Roman" w:hAnsi="Times New Roman"/>
          <w:sz w:val="24"/>
          <w:szCs w:val="24"/>
        </w:rPr>
        <w:t>môcku“ sa  nahrádzajú slovami „štátny ústav zdravotníckej pomôcke“.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tabs>
          <w:tab w:val="left" w:pos="567"/>
        </w:tabs>
        <w:ind w:left="3540"/>
        <w:jc w:val="both"/>
      </w:pPr>
      <w:r w:rsidRPr="00D76F37">
        <w:t>Gramatická úprava a terminologické zjednotenie.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64. bode sa v § 110b ods. 8 slovo „im“ nahrádza slovom „mu“.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>Gramatická úprava.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64. bode sa v § 110b ods. 9 a v 66. bode v § 110b ods. 8 sa slová „Držiteľ povolenia na poskytovanie“ nahrádzajú slovami „Poskytovateľ“.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Zosúladenie používanej terminológie. 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68. bode v § 111a ods. 2 písm. b) sa za slovo „ústavom“ vkladá spojka „a“.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Gramatic</w:t>
      </w:r>
      <w:r w:rsidRPr="00D76F37">
        <w:rPr>
          <w:rFonts w:ascii="Times New Roman" w:hAnsi="Times New Roman"/>
          <w:sz w:val="24"/>
          <w:szCs w:val="24"/>
        </w:rPr>
        <w:t>ká úprava.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68. bode  v § 111c písm. a) sa na konci pripájajú slová „pre klinické skúšanie“.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Legislatívno-technická úprava v nadväznosti na zavedenú legislatívnu skratku v § 29b ods. 1 (čl. I, 48. bod).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68. bode sa v § 111c písm. h), i) a n) za slovom „skúšanie“ vypúšťajú slová „zdravotníckej pomôcky“.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Legislatívno-technická úprava v nadväznosti na zavedenú legislatívnu skratku v § 29b ods. 1 (čl. I, 48. bod).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68. bode v § 111c písm. o) druhom bode sa vypúšťajú slová „alebo účastníkov štúdie výkonu diagnostickej zdravotníckej pomôcky in vitro“.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Vypustenie z dôvodu, že uvedená úprava je obsiahnutá v § 111k písm. o) (čl. I, 69. bod).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 čl. I, 68. bode sa v § 111e ods. 3 sa za slovami „etickej komisie pre klinické skúšanie“</w:t>
      </w:r>
      <w:r w:rsidRPr="00D76F37">
        <w:rPr>
          <w:rFonts w:ascii="Times New Roman" w:hAnsi="Times New Roman"/>
          <w:sz w:val="24"/>
          <w:szCs w:val="24"/>
        </w:rPr>
        <w:t xml:space="preserve"> vypúšťajú slová „zdravotníckej pomôcky“.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Legislatívno-technická úprava v nadväznosti na zavedenú legislatívnu skratku v § 29b ods. 1 (čl. I, 48. bod).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 čl. I, 70. bode sa v § 112 ods. 2 slová „osobitnými predpismi</w:t>
      </w:r>
      <w:r w:rsidRPr="00D76F37">
        <w:rPr>
          <w:rFonts w:ascii="Times New Roman" w:hAnsi="Times New Roman"/>
          <w:sz w:val="24"/>
          <w:szCs w:val="24"/>
          <w:vertAlign w:val="superscript"/>
        </w:rPr>
        <w:t>71</w:t>
      </w:r>
      <w:r w:rsidRPr="00D76F37">
        <w:rPr>
          <w:rFonts w:ascii="Times New Roman" w:hAnsi="Times New Roman"/>
          <w:sz w:val="24"/>
          <w:szCs w:val="24"/>
        </w:rPr>
        <w:t>)“ nahrádzajú slovami „v osobitných predpisoch</w:t>
      </w:r>
      <w:r w:rsidRPr="00D76F37">
        <w:rPr>
          <w:rFonts w:ascii="Times New Roman" w:hAnsi="Times New Roman"/>
          <w:sz w:val="24"/>
          <w:szCs w:val="24"/>
          <w:vertAlign w:val="superscript"/>
        </w:rPr>
        <w:t>71</w:t>
      </w:r>
      <w:r w:rsidRPr="00D76F37">
        <w:rPr>
          <w:rFonts w:ascii="Times New Roman" w:hAnsi="Times New Roman"/>
          <w:sz w:val="24"/>
          <w:szCs w:val="24"/>
        </w:rPr>
        <w:t>)“.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Gramatická úprava.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 čl. I, 72. bode sa v § 113 ods. 1 slovo „prevádzky“ (2x) nahrádza slovom „používania“.</w:t>
      </w:r>
    </w:p>
    <w:p w:rsidR="00D76F37" w:rsidRPr="00D76F37" w:rsidP="00D76F37">
      <w:pPr>
        <w:tabs>
          <w:tab w:val="left" w:pos="567"/>
        </w:tabs>
        <w:jc w:val="both"/>
      </w:pPr>
    </w:p>
    <w:p w:rsidR="00D76F37" w:rsidRPr="00D76F37" w:rsidP="00D76F37">
      <w:pPr>
        <w:tabs>
          <w:tab w:val="left" w:pos="567"/>
        </w:tabs>
        <w:ind w:left="3544"/>
        <w:jc w:val="both"/>
      </w:pPr>
      <w:r w:rsidRPr="00D76F37">
        <w:t xml:space="preserve">Zosúladenie používanej terminológie s § 112 ods. 1 a          § 114 ods. 1. </w:t>
      </w:r>
    </w:p>
    <w:p w:rsidR="00D76F37" w:rsidRPr="00D76F37" w:rsidP="00D76F37">
      <w:pPr>
        <w:tabs>
          <w:tab w:val="left" w:pos="567"/>
        </w:tabs>
        <w:jc w:val="both"/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  </w:t>
      </w: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V čl. I, 80. bode v § 116 ods. 1 (2x) a v 123. bode v § 138c ods. 3, ods. 4 písm. a), ods. 5  a ods. 6 písm. a) slová „na trh“ nahrádzajú slovami „na trhu“. 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Zjednotene používanej terminológie. 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 sa za 84. bod vkladá nový 85. až 87. bod, ktoré znejú: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„85. V § 119 ods. 16 sa slová „odseku 15“ nahrádzajú slovami „odseku 17“.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      86. V § 119 ods. 17 sa slová „odseku 17“ nahrádzajú slovami „odseku 19“.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      87. V § 119a ods. 6 slová „22 a 23“ nahrádzajú slovami „20 a 24“.“.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Nasledujúce body sa primerane prečíslujú.</w:t>
      </w:r>
    </w:p>
    <w:p w:rsidR="00D76F37" w:rsidRPr="00D76F37" w:rsidP="00D76F37">
      <w:pPr>
        <w:tabs>
          <w:tab w:val="left" w:pos="567"/>
        </w:tabs>
        <w:ind w:left="567"/>
        <w:jc w:val="both"/>
      </w:pPr>
      <w:r w:rsidRPr="00D76F37">
        <w:t>Nové body  85. až 87. nadobudnú účinnosť 1. januára 2020, čo sa premietne do čl. V upravujúceho účinnosť zákona.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Legislatívno-technická úprava v nadväznosti na vloženie nových odsekov 14 a 15 do § 119 (čl. I, 84. bod).</w:t>
      </w:r>
    </w:p>
    <w:p w:rsidR="00D76F37" w:rsidP="00D76F37">
      <w:pPr>
        <w:tabs>
          <w:tab w:val="left" w:pos="567"/>
        </w:tabs>
        <w:ind w:left="567"/>
        <w:jc w:val="both"/>
      </w:pPr>
    </w:p>
    <w:p w:rsidR="00D76F37" w:rsidRPr="00D76F37" w:rsidP="00D76F37">
      <w:pPr>
        <w:tabs>
          <w:tab w:val="left" w:pos="567"/>
        </w:tabs>
        <w:ind w:left="567"/>
        <w:jc w:val="both"/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V čl. I, 85. bode (§ 120 ods. 5) sa slová „na konci pripájajú tieto slová“ nahrádzajú slovami „na konci bodka nahrádza čiarkou a pripájajú sa tieto slová“. 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Legislatívno-technická úprava. 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 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 sa za 86. bod vkladá nový 87. bod, ktorý znie: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„86. V § 122 ods. 4 písm. h) a v § 124 ods. 4  sa slová „§ 119 ods. 23“ nahrádzajú slovami „§ 119 ods. 25“.“.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Nasledujúce body sa primerane prečíslujú.</w:t>
      </w:r>
    </w:p>
    <w:p w:rsidR="00D76F37" w:rsidRPr="00D76F37" w:rsidP="00D76F37">
      <w:pPr>
        <w:tabs>
          <w:tab w:val="left" w:pos="567"/>
        </w:tabs>
        <w:ind w:left="567"/>
        <w:jc w:val="both"/>
      </w:pPr>
      <w:r w:rsidRPr="00D76F37">
        <w:t>Nový 86. bod nadobudne účinnosť 1. januára 2020, čo sa premietne do čl. V upravujúceho účinnosť zákona.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Legislatívno-technická úprava v nadväznosti na vloženie nových odsekov 14 a 15 do § 119 (čl. I, 84. bod).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 sa za 96. bod vkladá nový 97. bod, ktorý znie: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 xml:space="preserve">„97. V § 129 ods. 2 písm. e) sa slová „§ 126 ods. 11“ nahrádzajú slovami „§ 126 ods.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76F37">
        <w:rPr>
          <w:rFonts w:ascii="Times New Roman" w:hAnsi="Times New Roman"/>
          <w:sz w:val="24"/>
          <w:szCs w:val="24"/>
        </w:rPr>
        <w:t>18“.“.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Nasledujúce body sa primerane prečíslujú.</w:t>
      </w:r>
    </w:p>
    <w:p w:rsidR="00D76F37" w:rsidRPr="00D76F37" w:rsidP="00D76F37">
      <w:pPr>
        <w:tabs>
          <w:tab w:val="left" w:pos="567"/>
        </w:tabs>
        <w:ind w:left="567"/>
        <w:jc w:val="both"/>
      </w:pPr>
      <w:r w:rsidRPr="00D76F37">
        <w:t>Nový 97. bod nadobudne účinnosť 1. januára 2020, čo sa premietne do čl. V upravujúceho účinnosť zákona.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Legislatívno-technická úprava v nadväznosti na vloženie nových odsekov 8 až 14 do § 126 (čl. I, 91. bod).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104. bode sa v § 138 ods. 1 písm. aq) slovo „sťažnosti“ nahrádza slovom „sťažnosť“ a v písm. aq) a ar) sa pred slovo „lieku“ vkladá slovo „humánneho“.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Gramatická úprava a úprava zosúlaďujúca znenie s § 15 ods.  1 tretí bod (čl. I, 15. bod).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 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V čl. I, 106. bode sa v § 138 ods. 3 písm. ap)  úvodnej vete za slovo „dodaním“ vkladajú slová „humánneho lieku“. 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Spresnenie ustanovenia.  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V čl. I, 108. bode sa v § 138 ods. 5 písm. bw) treťom bode za slovo „predaji“ vkladajú slová „humánneho lieku zaradeného v zozname kategorizovaných liekov“. 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Spresnenie ustanovenia v súlade s povinnosťou v § 23 </w:t>
        <w:tab/>
        <w:tab/>
        <w:tab/>
        <w:tab/>
        <w:tab/>
        <w:tab/>
        <w:tab/>
        <w:t>ods. 1 písm. bb) treťom bode (čl. I, 44. bod).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 čl. I, 108. bode sa § 138 ods. 5 písm. bx) odkaz „</w:t>
      </w:r>
      <w:r w:rsidRPr="00D76F37">
        <w:rPr>
          <w:rFonts w:ascii="Times New Roman" w:hAnsi="Times New Roman"/>
          <w:sz w:val="24"/>
          <w:szCs w:val="24"/>
          <w:vertAlign w:val="superscript"/>
        </w:rPr>
        <w:t>aad</w:t>
      </w:r>
      <w:r w:rsidRPr="00D76F37">
        <w:rPr>
          <w:rFonts w:ascii="Times New Roman" w:hAnsi="Times New Roman"/>
          <w:sz w:val="24"/>
          <w:szCs w:val="24"/>
        </w:rPr>
        <w:t>)“ nad slovom „predpisu“ nahrádza odkazom „</w:t>
      </w:r>
      <w:r w:rsidRPr="00D76F37">
        <w:rPr>
          <w:rFonts w:ascii="Times New Roman" w:hAnsi="Times New Roman"/>
          <w:sz w:val="24"/>
          <w:szCs w:val="24"/>
          <w:vertAlign w:val="superscript"/>
        </w:rPr>
        <w:t>20</w:t>
      </w:r>
      <w:r w:rsidRPr="00D76F37">
        <w:rPr>
          <w:rFonts w:ascii="Times New Roman" w:hAnsi="Times New Roman"/>
          <w:sz w:val="24"/>
          <w:szCs w:val="24"/>
        </w:rPr>
        <w:t>)“.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Oprava chybne uvedeného odkazu.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118. bode v § 138 ods. 25 písmeno e) znie: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„e) nevyšetrí písomnú sťažnosť výrobcov liekov, ktorým dodáva účinnú látku, týkajúcu sa kvality vyrábane účinnej látky alebo neuchováva tieto sťažnosti a záznamy o ich vyšetrení najmenej päť rokov, ak ide o výrobcu účinnej látky,“.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4" w:hanging="2836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Zosúladenie so znením povinnosti v § 12a ods. 7 písm. b) (čl. I, 11. bod).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V čl. I, 118. bode sa v § 138 ods. 25 písm. f) slová „nezavedie postupy na stiahnutie“ nahrádzajú slovami „nevytvorí štandardný operačný systém na zabezpečenie stiahnutia“. </w:t>
      </w:r>
    </w:p>
    <w:p w:rsidR="00D76F37" w:rsidRPr="00D76F37" w:rsidP="00D76F37">
      <w:pPr>
        <w:ind w:firstLine="709"/>
        <w:jc w:val="both"/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4" w:hanging="2836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Zosúladenie so znením povinnosti v § 12a ods. 7 písm. c) (čl. I, 11. bod).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4" w:hanging="2836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 sa za 121. bod vkladá nový 122. bod, ktorý znie: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„122. V § 138 ods. 36 sa za slová „bi) až bq)“ vkladajú slová „a písm. bv) až cd)“.“.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ab/>
        <w:t>Nasledujúce body sa primerane prečíslujú.</w:t>
      </w:r>
    </w:p>
    <w:p w:rsidR="00D76F37" w:rsidRPr="00D76F37" w:rsidP="00D76F37">
      <w:pPr>
        <w:tabs>
          <w:tab w:val="left" w:pos="567"/>
        </w:tabs>
        <w:ind w:left="567"/>
        <w:jc w:val="both"/>
      </w:pPr>
      <w:r w:rsidRPr="00D76F37">
        <w:t>Nový 122. bod nadobudne účinnosť 1. januára 2020, čo sa premietne do čl. V upravujúceho účinnosť zákona.</w:t>
      </w: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Podľa § 138 ods. 32 pokutu za iné správne delikty uvedené v odseku 5 písm. bv) až cd) bude ukladať ministerstvo zdravotníctva (čl. I, 119. bod). Z tohto dôvodu je potrebné tieto správne delikty doplniť do  ustanovenia § 138 ods. 36, aby sa vyňali z ukladania pokút samosprávnym krajom. </w:t>
      </w:r>
    </w:p>
    <w:p w:rsid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I, 122. bode sa v § 138b ods. 4 za slová „sprístupnenej na“ vkladá slovo „trhu,“.</w:t>
      </w:r>
    </w:p>
    <w:p w:rsidR="00D76F37" w:rsidRPr="00D76F37" w:rsidP="00D76F37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 xml:space="preserve">Doplnenie chýbajúceho slova. </w:t>
      </w:r>
    </w:p>
    <w:p w:rsidR="00D76F37" w:rsidP="00D76F37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II, 2. bode [položka 152 písm. al) až aq)] sa označenie odkazov a k nim zodpovedajúcim poznámok pod čiarou „</w:t>
      </w:r>
      <w:r w:rsidRPr="00D76F37">
        <w:rPr>
          <w:rFonts w:ascii="Times New Roman" w:hAnsi="Times New Roman"/>
          <w:sz w:val="24"/>
          <w:szCs w:val="24"/>
          <w:vertAlign w:val="superscript"/>
        </w:rPr>
        <w:t>36mi</w:t>
      </w:r>
      <w:r w:rsidRPr="00D76F37">
        <w:rPr>
          <w:rFonts w:ascii="Times New Roman" w:hAnsi="Times New Roman"/>
          <w:sz w:val="24"/>
          <w:szCs w:val="24"/>
        </w:rPr>
        <w:t xml:space="preserve">) až </w:t>
      </w:r>
      <w:r w:rsidRPr="00D76F37">
        <w:rPr>
          <w:rFonts w:ascii="Times New Roman" w:hAnsi="Times New Roman"/>
          <w:sz w:val="24"/>
          <w:szCs w:val="24"/>
          <w:vertAlign w:val="superscript"/>
        </w:rPr>
        <w:t>36ml</w:t>
      </w:r>
      <w:r w:rsidRPr="00D76F37">
        <w:rPr>
          <w:rFonts w:ascii="Times New Roman" w:hAnsi="Times New Roman"/>
          <w:sz w:val="24"/>
          <w:szCs w:val="24"/>
        </w:rPr>
        <w:t>)“ nahradí označením „</w:t>
      </w:r>
      <w:r w:rsidRPr="00D76F37">
        <w:rPr>
          <w:rFonts w:ascii="Times New Roman" w:hAnsi="Times New Roman"/>
          <w:sz w:val="24"/>
          <w:szCs w:val="24"/>
          <w:vertAlign w:val="superscript"/>
        </w:rPr>
        <w:t>36mh</w:t>
      </w:r>
      <w:r w:rsidRPr="00D76F37">
        <w:rPr>
          <w:rFonts w:ascii="Times New Roman" w:hAnsi="Times New Roman"/>
          <w:sz w:val="24"/>
          <w:szCs w:val="24"/>
        </w:rPr>
        <w:t xml:space="preserve">) až </w:t>
      </w:r>
      <w:r w:rsidRPr="00D76F37">
        <w:rPr>
          <w:rFonts w:ascii="Times New Roman" w:hAnsi="Times New Roman"/>
          <w:sz w:val="24"/>
          <w:szCs w:val="24"/>
          <w:vertAlign w:val="superscript"/>
        </w:rPr>
        <w:t>36mk</w:t>
      </w:r>
      <w:r w:rsidRPr="00D76F37">
        <w:rPr>
          <w:rFonts w:ascii="Times New Roman" w:hAnsi="Times New Roman"/>
          <w:sz w:val="24"/>
          <w:szCs w:val="24"/>
        </w:rPr>
        <w:t xml:space="preserve">)“. </w:t>
      </w:r>
    </w:p>
    <w:p w:rsidR="00D76F37" w:rsidRPr="00D76F37" w:rsidP="00D76F37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Legislatívno-technická úprava z dôvodu nadväzujúceho číslovania odkazov v zákone; posledný odkaz, za ktorý sa dopĺňa navrhovaná úprava má označenie 36mg.</w:t>
      </w:r>
    </w:p>
    <w:p w:rsidR="00D76F37" w:rsidRPr="00D76F37" w:rsidP="00D76F37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ind w:left="3540"/>
        <w:jc w:val="both"/>
      </w:pPr>
    </w:p>
    <w:p w:rsidR="00D76F37" w:rsidRPr="00D76F37" w:rsidP="00D76F37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6F37">
        <w:rPr>
          <w:rFonts w:ascii="Times New Roman" w:hAnsi="Times New Roman"/>
          <w:sz w:val="24"/>
          <w:szCs w:val="24"/>
        </w:rPr>
        <w:t>V čl. III, 2. bode v § 26 ods. 2 sa označenie odkazu a k nemu zodpovedajúcej poznámky pod čiarou „</w:t>
      </w:r>
      <w:r w:rsidRPr="00D76F37">
        <w:rPr>
          <w:rFonts w:ascii="Times New Roman" w:hAnsi="Times New Roman"/>
          <w:sz w:val="24"/>
          <w:szCs w:val="24"/>
          <w:vertAlign w:val="superscript"/>
        </w:rPr>
        <w:t>30aaa</w:t>
      </w:r>
      <w:r w:rsidRPr="00D76F37">
        <w:rPr>
          <w:rFonts w:ascii="Times New Roman" w:hAnsi="Times New Roman"/>
          <w:sz w:val="24"/>
          <w:szCs w:val="24"/>
        </w:rPr>
        <w:t>)“ nahradí označením „</w:t>
      </w:r>
      <w:r w:rsidRPr="00D76F37">
        <w:rPr>
          <w:rFonts w:ascii="Times New Roman" w:hAnsi="Times New Roman"/>
          <w:sz w:val="24"/>
          <w:szCs w:val="24"/>
          <w:vertAlign w:val="superscript"/>
        </w:rPr>
        <w:t>39aaa</w:t>
      </w:r>
      <w:r w:rsidRPr="00D76F37">
        <w:rPr>
          <w:rFonts w:ascii="Times New Roman" w:hAnsi="Times New Roman"/>
          <w:sz w:val="24"/>
          <w:szCs w:val="24"/>
        </w:rPr>
        <w:t xml:space="preserve">)“. </w:t>
      </w:r>
    </w:p>
    <w:p w:rsidR="00D76F37" w:rsidRPr="00D76F37" w:rsidP="00D76F3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76F37" w:rsidRPr="00D76F37" w:rsidP="00D76F37">
      <w:pPr>
        <w:ind w:left="3540"/>
        <w:jc w:val="both"/>
      </w:pPr>
      <w:r w:rsidRPr="00D76F37">
        <w:t>Legislatívno-technická úprava z dôvodu nadväzujúceho číslovania odkazov v zákone.</w:t>
      </w:r>
    </w:p>
    <w:p w:rsidR="00D76F37" w:rsidRPr="00D76F37" w:rsidP="00D76F37">
      <w:pPr>
        <w:ind w:left="3540"/>
        <w:jc w:val="both"/>
      </w:pPr>
    </w:p>
    <w:p w:rsidR="00D76F37" w:rsidRPr="00D76F37" w:rsidP="00D76F37">
      <w:pPr>
        <w:ind w:left="3540"/>
        <w:jc w:val="both"/>
      </w:pPr>
    </w:p>
    <w:p w:rsidR="00D76F37" w:rsidRPr="00D76F37" w:rsidP="00D76F37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397">
      <w:rPr>
        <w:rStyle w:val="PageNumber"/>
        <w:noProof/>
      </w:rPr>
      <w:t>6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F4348"/>
    <w:multiLevelType w:val="hybridMultilevel"/>
    <w:tmpl w:val="2F5C38F2"/>
    <w:lvl w:ilvl="0">
      <w:start w:val="1"/>
      <w:numFmt w:val="decimal"/>
      <w:lvlText w:val="%1."/>
      <w:lvlJc w:val="left"/>
      <w:pPr>
        <w:ind w:left="7874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19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7"/>
  </w:num>
  <w:num w:numId="31">
    <w:abstractNumId w:val="17"/>
  </w:num>
  <w:num w:numId="32">
    <w:abstractNumId w:val="25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6"/>
  </w:num>
  <w:num w:numId="46">
    <w:abstractNumId w:val="45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D76F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7521-F506-421B-BB4A-15166C2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Ďurinová, Petra</cp:lastModifiedBy>
  <cp:revision>42</cp:revision>
  <cp:lastPrinted>2015-11-03T17:37:00Z</cp:lastPrinted>
  <dcterms:created xsi:type="dcterms:W3CDTF">2013-06-14T07:14:00Z</dcterms:created>
  <dcterms:modified xsi:type="dcterms:W3CDTF">2019-10-10T13:55:00Z</dcterms:modified>
</cp:coreProperties>
</file>