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8F3963">
        <w:t>79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F7162F">
        <w:t>1</w:t>
      </w:r>
      <w:r w:rsidR="0018510D">
        <w:t>735</w:t>
      </w:r>
      <w:r w:rsidRPr="00053FB9" w:rsidR="003371B9">
        <w:t>/</w:t>
      </w:r>
      <w:r w:rsidR="00053FB9">
        <w:t>201</w:t>
      </w:r>
      <w:r w:rsidR="00CB0A67">
        <w:t>9</w:t>
      </w:r>
    </w:p>
    <w:p w:rsidR="0004001B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</w:p>
    <w:p w:rsidR="008F3963" w:rsidP="00067F0B">
      <w:pPr>
        <w:ind w:left="3540" w:firstLine="708"/>
        <w:rPr>
          <w:b/>
        </w:rPr>
      </w:pPr>
      <w:r w:rsidR="00601417">
        <w:rPr>
          <w:b/>
        </w:rPr>
        <w:t xml:space="preserve">         477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</w:t>
      </w:r>
      <w:r>
        <w:rPr>
          <w:b/>
        </w:rPr>
        <w:t>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8F3963">
        <w:rPr>
          <w:b/>
        </w:rPr>
        <w:t>10</w:t>
      </w:r>
      <w:r w:rsidR="00C72FBD">
        <w:rPr>
          <w:b/>
        </w:rPr>
        <w:t xml:space="preserve">. </w:t>
      </w:r>
      <w:r w:rsidR="00632B62">
        <w:rPr>
          <w:b/>
        </w:rPr>
        <w:t>októbra</w:t>
      </w:r>
      <w:r w:rsidR="00830899">
        <w:rPr>
          <w:b/>
        </w:rPr>
        <w:t xml:space="preserve"> 201</w:t>
      </w:r>
      <w:r w:rsidR="008F3963">
        <w:rPr>
          <w:b/>
        </w:rPr>
        <w:t>9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7D7D61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050225" w:rsidR="00050225">
        <w:rPr>
          <w:bCs w:val="0"/>
        </w:rPr>
        <w:t xml:space="preserve"> </w:t>
      </w:r>
      <w:r w:rsidRPr="008F3963" w:rsidR="008F3963">
        <w:rPr>
          <w:bCs w:val="0"/>
        </w:rPr>
        <w:t>v</w:t>
      </w:r>
      <w:r w:rsidRPr="008F3963" w:rsidR="008F3963">
        <w:t>ládny návrh zákona, ktorým sa mení a dopĺňa zákon č. 513/1991 Zb. Obchodný zákonník v znení neskorších predpisov a ktorým sa menia a dopĺňajú niektoré zákony (tlač 1605)</w:t>
      </w:r>
      <w:r w:rsidR="008F3963">
        <w:rPr>
          <w:b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F92F1D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Pr="008F3963" w:rsidR="008F3963">
        <w:rPr>
          <w:bCs w:val="0"/>
        </w:rPr>
        <w:t>v</w:t>
      </w:r>
      <w:r w:rsidRPr="008F3963" w:rsidR="008F3963">
        <w:t>ládny</w:t>
      </w:r>
      <w:r w:rsidR="008F3963">
        <w:t>m</w:t>
      </w:r>
      <w:r w:rsidRPr="008F3963" w:rsidR="008F3963">
        <w:t xml:space="preserve"> návrh</w:t>
      </w:r>
      <w:r w:rsidR="008F3963">
        <w:t>om</w:t>
      </w:r>
      <w:r w:rsidRPr="008F3963" w:rsidR="008F3963">
        <w:t xml:space="preserve"> zákona, ktorým sa mení a dopĺňa zákon č. 513/1991 Zb. Obchodný zákonník v znení neskorších predpisov a ktorým sa menia a dopĺňajú niektoré zákony (tlač 1605)</w:t>
      </w:r>
    </w:p>
    <w:p w:rsidR="00824DA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 xml:space="preserve">Národnej rade Slovenskej </w:t>
      </w:r>
      <w:r w:rsidRPr="00F92F1D">
        <w:rPr>
          <w:lang w:val="sk-SK"/>
        </w:rPr>
        <w:t>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F92F1D">
      <w:pPr>
        <w:pStyle w:val="Heading1"/>
        <w:ind w:left="0" w:firstLine="360"/>
        <w:jc w:val="both"/>
      </w:pPr>
      <w:r w:rsidRPr="008F3963" w:rsidR="008F3963">
        <w:rPr>
          <w:b w:val="0"/>
          <w:bCs w:val="0"/>
        </w:rPr>
        <w:t>v</w:t>
      </w:r>
      <w:r w:rsidRPr="008F3963" w:rsidR="008F3963">
        <w:rPr>
          <w:b w:val="0"/>
        </w:rPr>
        <w:t>ládny návrh zákona, ktorým sa mení a dopĺňa zákon č. 513/1991 Zb. Obchodný zákonník v znení neskorších predpisov a ktorým sa menia a dopĺňajú niektoré zákony (tlač 1605)</w:t>
      </w:r>
      <w:r w:rsidR="008F3963">
        <w:t xml:space="preserve">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</w:t>
      </w:r>
      <w:r w:rsidRPr="00E20A99" w:rsidR="00F33022">
        <w:t>ohe tohto uznesenia</w:t>
      </w:r>
      <w:r w:rsidR="00F92F1D">
        <w:t>;</w:t>
      </w:r>
    </w:p>
    <w:p w:rsidR="008F3963" w:rsidP="000139BA">
      <w:pPr>
        <w:ind w:left="1416"/>
        <w:jc w:val="both"/>
        <w:rPr>
          <w:b/>
        </w:rPr>
      </w:pP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>
        <w:rPr>
          <w:lang w:val="sk-SK"/>
        </w:rPr>
        <w:t xml:space="preserve">podať predsedovi </w:t>
      </w:r>
      <w:r w:rsidR="00632B62">
        <w:rPr>
          <w:lang w:val="sk-SK"/>
        </w:rPr>
        <w:t>Ústavnoprávneho v</w:t>
      </w:r>
      <w:r>
        <w:rPr>
          <w:lang w:val="sk-SK"/>
        </w:rPr>
        <w:t>ýboru Národnej rady Slovenskej republiky 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824DAD" w:rsidP="00C739C2"/>
    <w:p w:rsidR="00AC2960" w:rsidP="00C739C2">
      <w:pPr>
        <w:rPr>
          <w:b/>
          <w:bCs w:val="0"/>
        </w:rPr>
      </w:pPr>
    </w:p>
    <w:p w:rsidR="00F92F1D" w:rsidP="00C739C2">
      <w:pPr>
        <w:rPr>
          <w:b/>
          <w:bCs w:val="0"/>
        </w:rPr>
      </w:pPr>
    </w:p>
    <w:p w:rsidR="0052115B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</w:t>
      </w:r>
      <w:r w:rsidR="00733DE7">
        <w:rPr>
          <w:b/>
          <w:bCs w:val="0"/>
        </w:rPr>
        <w:t xml:space="preserve">    Róbert Puci</w:t>
      </w:r>
      <w:r>
        <w:rPr>
          <w:b/>
          <w:bCs w:val="0"/>
        </w:rPr>
        <w:t xml:space="preserve">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 w:rsidR="00733DE7">
        <w:rPr>
          <w:b/>
          <w:bCs w:val="0"/>
        </w:rPr>
        <w:t>Igor Federič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45E0F" w:rsidP="00D96ABB">
      <w:pPr>
        <w:ind w:left="5664" w:firstLine="708"/>
      </w:pPr>
    </w:p>
    <w:p w:rsidR="00632B62" w:rsidP="00D96ABB">
      <w:pPr>
        <w:ind w:left="5664" w:firstLine="708"/>
      </w:pPr>
    </w:p>
    <w:p w:rsidR="00632B62" w:rsidP="00D96ABB">
      <w:pPr>
        <w:ind w:left="5664" w:firstLine="708"/>
      </w:pPr>
    </w:p>
    <w:p w:rsidR="00632B62" w:rsidP="00D96ABB">
      <w:pPr>
        <w:ind w:left="5664" w:firstLine="708"/>
      </w:pPr>
    </w:p>
    <w:p w:rsidR="00632B62" w:rsidP="00D96ABB">
      <w:pPr>
        <w:ind w:left="5664" w:firstLine="708"/>
      </w:pPr>
    </w:p>
    <w:p w:rsidR="007D7D61"/>
    <w:p w:rsidR="007D7D61"/>
    <w:p w:rsidR="0015530D" w:rsidP="000D14F9">
      <w:pPr>
        <w:pStyle w:val="Heading4"/>
        <w:widowControl w:val="0"/>
        <w:rPr>
          <w:rFonts w:ascii="AT*Zurich Calligraphic" w:hAnsi="AT*Zurich Calligraphic"/>
        </w:rPr>
      </w:pPr>
    </w:p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417F75" w:rsidP="000D14F9">
      <w:pPr>
        <w:jc w:val="right"/>
        <w:rPr>
          <w:sz w:val="28"/>
        </w:rPr>
      </w:pP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 </w:t>
      </w: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272FA8">
        <w:rPr>
          <w:b/>
        </w:rPr>
        <w:t xml:space="preserve"> </w:t>
      </w:r>
      <w:r w:rsidR="00601417">
        <w:rPr>
          <w:b/>
        </w:rPr>
        <w:t>477</w:t>
      </w:r>
    </w:p>
    <w:p w:rsidR="000D14F9" w:rsidRPr="003371B9" w:rsidP="000D14F9">
      <w:pPr>
        <w:jc w:val="right"/>
      </w:pPr>
      <w:r w:rsidR="00874EF6">
        <w:rPr>
          <w:bCs w:val="0"/>
        </w:rPr>
        <w:t>7</w:t>
      </w:r>
      <w:r w:rsidR="00733DE7">
        <w:rPr>
          <w:bCs w:val="0"/>
        </w:rPr>
        <w:t>9</w:t>
      </w:r>
      <w:r w:rsidRPr="003371B9">
        <w:rPr>
          <w:bCs w:val="0"/>
        </w:rPr>
        <w:t xml:space="preserve">. </w:t>
      </w:r>
      <w:r w:rsidRPr="003371B9">
        <w:t>s</w:t>
      </w:r>
      <w:r w:rsidRPr="003371B9">
        <w:t>chôdza</w:t>
      </w:r>
    </w:p>
    <w:p w:rsidR="00D72E6C" w:rsidP="000D14F9">
      <w:pPr>
        <w:jc w:val="center"/>
        <w:rPr>
          <w:b/>
          <w:bCs w:val="0"/>
        </w:rPr>
      </w:pPr>
    </w:p>
    <w:p w:rsidR="00417F75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3371B9" w:rsidP="00016EEA">
      <w:pPr>
        <w:pStyle w:val="Heading1"/>
        <w:ind w:left="360"/>
        <w:jc w:val="center"/>
      </w:pPr>
      <w:r w:rsidR="00117627">
        <w:t>k</w:t>
      </w:r>
      <w:r w:rsidR="00AC2960">
        <w:t> </w:t>
      </w:r>
      <w:r w:rsidR="00733DE7">
        <w:rPr>
          <w:bCs w:val="0"/>
        </w:rPr>
        <w:t xml:space="preserve"> </w:t>
      </w:r>
      <w:r w:rsidRPr="00733DE7" w:rsidR="00733DE7">
        <w:rPr>
          <w:bCs w:val="0"/>
        </w:rPr>
        <w:t>v</w:t>
      </w:r>
      <w:r w:rsidRPr="00733DE7" w:rsidR="00733DE7">
        <w:t>ládnemu návrhu zákona, ktorým sa mení a dopĺňa zákon č. 513/1991 Zb. Obchodný zákonník v znení neskorších predpisov a ktorým sa menia a dopĺňajú niektoré zákony (tlač 1605)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>–––––––––––––––––––––––––––––––––––––</w:t>
      </w:r>
      <w:r>
        <w:rPr>
          <w:b/>
          <w:bCs w:val="0"/>
        </w:rPr>
        <w:t xml:space="preserve">–––––––––––––––––––––––––––––––––––––––––  </w:t>
      </w:r>
    </w:p>
    <w:p w:rsidR="00601417" w:rsidRPr="005466CA" w:rsidP="006A4D53">
      <w:pPr>
        <w:pStyle w:val="ListParagraph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466CA">
        <w:rPr>
          <w:rFonts w:ascii="Times New Roman" w:hAnsi="Times New Roman"/>
          <w:sz w:val="24"/>
          <w:szCs w:val="24"/>
          <w:u w:val="single"/>
        </w:rPr>
        <w:t>K čl. I</w:t>
      </w:r>
    </w:p>
    <w:p w:rsidR="00601417" w:rsidP="006A4D53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5466CA">
        <w:rPr>
          <w:rFonts w:ascii="Times New Roman" w:hAnsi="Times New Roman"/>
          <w:sz w:val="24"/>
          <w:szCs w:val="24"/>
        </w:rPr>
        <w:t xml:space="preserve">V čl. I bod </w:t>
      </w:r>
      <w:r>
        <w:rPr>
          <w:rFonts w:ascii="Times New Roman" w:hAnsi="Times New Roman"/>
          <w:sz w:val="24"/>
          <w:szCs w:val="24"/>
        </w:rPr>
        <w:t>17 § 72</w:t>
      </w:r>
      <w:r w:rsidRPr="005466CA">
        <w:rPr>
          <w:rFonts w:ascii="Times New Roman" w:hAnsi="Times New Roman"/>
          <w:sz w:val="24"/>
          <w:szCs w:val="24"/>
        </w:rPr>
        <w:t xml:space="preserve"> ods. 3 sa slovo „správcu“ nahrádza slovami „správcu konkurznej podstaty“.</w:t>
      </w:r>
    </w:p>
    <w:p w:rsidR="00601417" w:rsidP="00601417">
      <w:pPr>
        <w:pStyle w:val="ListParagraph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601417" w:rsidRPr="005466CA" w:rsidP="00601417">
      <w:pPr>
        <w:pStyle w:val="ListParagraph"/>
        <w:spacing w:after="0"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  <w:r w:rsidRPr="005466CA">
        <w:rPr>
          <w:rFonts w:ascii="Times New Roman" w:hAnsi="Times New Roman"/>
          <w:sz w:val="24"/>
          <w:szCs w:val="24"/>
        </w:rPr>
        <w:t>Ide o legislatívno-technickú úpravu, ktorou sa re</w:t>
      </w:r>
      <w:r>
        <w:rPr>
          <w:rFonts w:ascii="Times New Roman" w:hAnsi="Times New Roman"/>
          <w:sz w:val="24"/>
          <w:szCs w:val="24"/>
        </w:rPr>
        <w:t>flektuje na zavedenú legislatívnu skratku zavedenú čl. I bod 17 § 72 ods. 1 písm. a).</w:t>
      </w:r>
    </w:p>
    <w:p w:rsidR="00601417" w:rsidRPr="005466CA" w:rsidP="00601417">
      <w:pPr>
        <w:pStyle w:val="ListParagraph"/>
        <w:spacing w:after="0"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:rsidR="00601417" w:rsidRPr="005466CA" w:rsidP="006A4D53">
      <w:pPr>
        <w:pStyle w:val="ListParagraph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466CA">
        <w:rPr>
          <w:rFonts w:ascii="Times New Roman" w:hAnsi="Times New Roman"/>
          <w:sz w:val="24"/>
          <w:szCs w:val="24"/>
          <w:u w:val="single"/>
        </w:rPr>
        <w:t>K čl. II</w:t>
      </w:r>
    </w:p>
    <w:p w:rsidR="00601417" w:rsidRPr="005466CA" w:rsidP="006A4D53">
      <w:pPr>
        <w:pStyle w:val="ListParagraph"/>
        <w:spacing w:after="0" w:line="240" w:lineRule="auto"/>
        <w:ind w:left="580" w:firstLine="424"/>
        <w:rPr>
          <w:rFonts w:ascii="Times New Roman" w:eastAsia="Calibri" w:hAnsi="Times New Roman"/>
          <w:sz w:val="24"/>
        </w:rPr>
      </w:pPr>
      <w:r w:rsidRPr="005466CA">
        <w:rPr>
          <w:rFonts w:ascii="Times New Roman" w:eastAsia="Calibri" w:hAnsi="Times New Roman"/>
          <w:sz w:val="24"/>
        </w:rPr>
        <w:t>V čl. II sa vkladá nový bod 1, ktorý znie:</w:t>
      </w:r>
    </w:p>
    <w:p w:rsidR="00601417" w:rsidRPr="005466CA" w:rsidP="006A4D53">
      <w:pPr>
        <w:pStyle w:val="ListParagraph"/>
        <w:spacing w:after="0" w:line="240" w:lineRule="auto"/>
        <w:ind w:left="580" w:firstLine="424"/>
        <w:rPr>
          <w:rFonts w:ascii="Times New Roman" w:eastAsia="Calibri" w:hAnsi="Times New Roman"/>
          <w:sz w:val="24"/>
        </w:rPr>
      </w:pPr>
      <w:r w:rsidRPr="005466CA">
        <w:rPr>
          <w:rFonts w:ascii="Times New Roman" w:eastAsia="Calibri" w:hAnsi="Times New Roman"/>
          <w:sz w:val="24"/>
        </w:rPr>
        <w:t>„1. V 59 ods. 1 sa slová „písm. f)“ nahrádzajú slovami „písm. g)“.</w:t>
      </w:r>
    </w:p>
    <w:p w:rsidR="006A4D53" w:rsidP="006A4D53">
      <w:pPr>
        <w:pStyle w:val="ListParagraph"/>
        <w:spacing w:after="0" w:line="240" w:lineRule="auto"/>
        <w:ind w:left="580" w:firstLine="424"/>
        <w:rPr>
          <w:rFonts w:ascii="Times New Roman" w:eastAsia="Calibri" w:hAnsi="Times New Roman"/>
          <w:sz w:val="24"/>
        </w:rPr>
      </w:pPr>
    </w:p>
    <w:p w:rsidR="00601417" w:rsidRPr="005466CA" w:rsidP="006A4D53">
      <w:pPr>
        <w:pStyle w:val="ListParagraph"/>
        <w:spacing w:after="0" w:line="240" w:lineRule="auto"/>
        <w:ind w:left="580" w:firstLine="424"/>
        <w:rPr>
          <w:rFonts w:ascii="Times New Roman" w:hAnsi="Times New Roman"/>
          <w:strike/>
          <w:sz w:val="28"/>
          <w:szCs w:val="24"/>
          <w:u w:val="single"/>
        </w:rPr>
      </w:pPr>
      <w:r w:rsidRPr="005466CA">
        <w:rPr>
          <w:rFonts w:ascii="Times New Roman" w:eastAsia="Calibri" w:hAnsi="Times New Roman"/>
          <w:sz w:val="24"/>
        </w:rPr>
        <w:t>Nasledujúce body sa primerane prečíslujú.</w:t>
      </w:r>
    </w:p>
    <w:p w:rsidR="00601417" w:rsidRPr="005466CA" w:rsidP="00601417">
      <w:pPr>
        <w:jc w:val="both"/>
        <w:rPr>
          <w:rFonts w:eastAsia="Calibri"/>
          <w:lang w:eastAsia="en-US"/>
        </w:rPr>
      </w:pPr>
    </w:p>
    <w:p w:rsidR="00601417" w:rsidRPr="0076690A" w:rsidP="00601417">
      <w:pPr>
        <w:ind w:left="4253"/>
        <w:jc w:val="both"/>
        <w:rPr>
          <w:rFonts w:eastAsia="Calibri"/>
          <w:lang w:eastAsia="en-US"/>
        </w:rPr>
      </w:pPr>
      <w:r w:rsidRPr="005466CA">
        <w:rPr>
          <w:rFonts w:eastAsia="Calibri"/>
          <w:lang w:eastAsia="en-US"/>
        </w:rPr>
        <w:t xml:space="preserve">Ide o legislatívno-technickú úpravu, ktorou sa reaguje na vloženie nového písmena c) do § 304 (čl. II  bod 5) a následné preznačenie písmen v danom ustanovení. </w:t>
      </w:r>
    </w:p>
    <w:p w:rsidR="00601417" w:rsidP="00601417">
      <w:pPr>
        <w:pStyle w:val="ListParagraph"/>
        <w:spacing w:after="0" w:line="240" w:lineRule="auto"/>
        <w:ind w:left="1416"/>
        <w:rPr>
          <w:rFonts w:ascii="Times New Roman" w:hAnsi="Times New Roman"/>
          <w:sz w:val="24"/>
          <w:szCs w:val="24"/>
          <w:u w:val="single"/>
        </w:rPr>
      </w:pPr>
    </w:p>
    <w:p w:rsidR="00601417" w:rsidP="00601417">
      <w:pPr>
        <w:pStyle w:val="ListParagraph"/>
        <w:spacing w:after="0"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:rsidR="006A4D53" w:rsidP="00601417">
      <w:pPr>
        <w:pStyle w:val="ListParagraph"/>
        <w:spacing w:after="0"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:rsidR="006A4D53" w:rsidP="006A4D53">
      <w:pPr>
        <w:numPr>
          <w:ilvl w:val="0"/>
          <w:numId w:val="50"/>
        </w:numPr>
        <w:spacing w:line="276" w:lineRule="auto"/>
      </w:pPr>
      <w:r>
        <w:t>V čl. IV sa za bod 21 vkladajú nové body 22 a 23, ktoré znejú:</w:t>
      </w:r>
    </w:p>
    <w:p w:rsidR="006A4D53" w:rsidP="006A4D53">
      <w:pPr>
        <w:spacing w:line="276" w:lineRule="auto"/>
      </w:pPr>
    </w:p>
    <w:p w:rsidR="006A4D53" w:rsidP="006A4D53">
      <w:pPr>
        <w:spacing w:line="276" w:lineRule="auto"/>
        <w:ind w:left="709" w:hanging="65"/>
        <w:jc w:val="both"/>
      </w:pPr>
      <w:r>
        <w:t>„</w:t>
      </w:r>
      <w:r w:rsidRPr="00395DE0">
        <w:rPr>
          <w:b/>
        </w:rPr>
        <w:t>22.</w:t>
      </w:r>
      <w:r>
        <w:t xml:space="preserve"> </w:t>
        <w:tab/>
        <w:t>V prílohe č. 1 Remeselné živnosti v skupine 113 – Stavebníctvo sa za živnosť poradové číslo 29 vkladá živnosť poradové číslo 30, ktorá znie:</w:t>
      </w:r>
    </w:p>
    <w:p w:rsidR="006A4D53" w:rsidP="006A4D53">
      <w:pPr>
        <w:spacing w:line="276" w:lineRule="auto"/>
      </w:pPr>
    </w:p>
    <w:tbl>
      <w:tblPr>
        <w:tblStyle w:val="TableNormal"/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4678"/>
        <w:gridCol w:w="1592"/>
      </w:tblGrid>
      <w:tr w:rsidTr="00BD40A5">
        <w:tblPrEx>
          <w:tblW w:w="8363" w:type="dxa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93" w:type="dxa"/>
            <w:shd w:val="clear" w:color="auto" w:fill="auto"/>
          </w:tcPr>
          <w:p w:rsidR="006A4D53" w:rsidRPr="00BD40A5" w:rsidP="00BD40A5">
            <w:pPr>
              <w:spacing w:line="276" w:lineRule="auto"/>
              <w:rPr>
                <w:rFonts w:eastAsia="Calibri"/>
              </w:rPr>
            </w:pPr>
            <w:r w:rsidRPr="00BD40A5">
              <w:rPr>
                <w:rFonts w:eastAsia="Calibri"/>
              </w:rPr>
              <w:t>„30.</w:t>
            </w:r>
          </w:p>
        </w:tc>
        <w:tc>
          <w:tcPr>
            <w:tcW w:w="4678" w:type="dxa"/>
            <w:shd w:val="clear" w:color="auto" w:fill="auto"/>
          </w:tcPr>
          <w:p w:rsidR="006A4D53" w:rsidRPr="00BD40A5" w:rsidP="00BD40A5">
            <w:pPr>
              <w:spacing w:line="276" w:lineRule="auto"/>
              <w:rPr>
                <w:rFonts w:eastAsia="Calibri"/>
              </w:rPr>
            </w:pPr>
            <w:r w:rsidRPr="00BD40A5">
              <w:rPr>
                <w:rFonts w:eastAsia="Calibri"/>
              </w:rPr>
              <w:t>Maliarstvo</w:t>
            </w:r>
          </w:p>
        </w:tc>
        <w:tc>
          <w:tcPr>
            <w:tcW w:w="1592" w:type="dxa"/>
            <w:shd w:val="clear" w:color="auto" w:fill="auto"/>
          </w:tcPr>
          <w:p w:rsidR="006A4D53" w:rsidRPr="00BD40A5" w:rsidP="00BD40A5">
            <w:pPr>
              <w:spacing w:line="276" w:lineRule="auto"/>
              <w:rPr>
                <w:rFonts w:eastAsia="Calibri"/>
              </w:rPr>
            </w:pPr>
            <w:r w:rsidRPr="00BD40A5">
              <w:rPr>
                <w:rFonts w:eastAsia="Calibri"/>
              </w:rPr>
              <w:t>I“.</w:t>
            </w:r>
          </w:p>
        </w:tc>
      </w:tr>
    </w:tbl>
    <w:p w:rsidR="006A4D53" w:rsidP="006A4D53">
      <w:pPr>
        <w:spacing w:line="276" w:lineRule="auto"/>
      </w:pPr>
    </w:p>
    <w:p w:rsidR="006A4D53" w:rsidP="006A4D53">
      <w:pPr>
        <w:spacing w:line="276" w:lineRule="auto"/>
        <w:ind w:left="709"/>
        <w:jc w:val="both"/>
      </w:pPr>
      <w:r w:rsidRPr="00C26279">
        <w:t>Do</w:t>
      </w:r>
      <w:r>
        <w:t>terajšie remeselné živnosti poradové číslo</w:t>
      </w:r>
      <w:r w:rsidRPr="00C26279">
        <w:t xml:space="preserve"> </w:t>
      </w:r>
      <w:r>
        <w:t>30 až 35</w:t>
      </w:r>
      <w:r w:rsidRPr="00C26279">
        <w:t xml:space="preserve"> sa ozna</w:t>
      </w:r>
      <w:r>
        <w:t>čujú ako remeselné živnosti poradové číslo</w:t>
      </w:r>
      <w:r w:rsidRPr="00C26279">
        <w:t xml:space="preserve"> </w:t>
      </w:r>
      <w:r>
        <w:t>31 až 36</w:t>
      </w:r>
      <w:r w:rsidRPr="00C26279">
        <w:t>.</w:t>
      </w:r>
    </w:p>
    <w:p w:rsidR="006A4D53" w:rsidP="006A4D53">
      <w:pPr>
        <w:spacing w:line="276" w:lineRule="auto"/>
      </w:pPr>
    </w:p>
    <w:p w:rsidR="006A4D53" w:rsidP="006A4D53">
      <w:pPr>
        <w:spacing w:line="276" w:lineRule="auto"/>
        <w:ind w:left="1276" w:hanging="568"/>
        <w:jc w:val="both"/>
      </w:pPr>
      <w:r w:rsidRPr="00395DE0">
        <w:rPr>
          <w:b/>
        </w:rPr>
        <w:t>23.</w:t>
      </w:r>
      <w:r>
        <w:t xml:space="preserve"> </w:t>
        <w:tab/>
        <w:t>V prílohe č. 2 Viazané živnosti v skupine č. 214 – Ostatné poradovom čísle 61 stĺpci Preukaz spôsobilosti sa slová: „</w:t>
      </w:r>
      <w:r w:rsidRPr="00B37441">
        <w:t>úplné stredné vzdelanie s maturitnou skúškou a 5 rokov praxe v</w:t>
      </w:r>
      <w:r>
        <w:t> </w:t>
      </w:r>
      <w:r w:rsidRPr="00B37441">
        <w:t>odbore</w:t>
      </w:r>
      <w:r>
        <w:t xml:space="preserve">“ nahrádzajú slovami „osvedčenie o absolvovaní akreditovaného vzdelávacieho programu vydané vzdelávacou inštitúciou akreditovanou </w:t>
      </w:r>
      <w:r>
        <w:t xml:space="preserve">Ministerstvom </w:t>
      </w:r>
      <w:r w:rsidRPr="00342FF0">
        <w:t>školstva, vedy, výskumu a športu Slovenskej republiky</w:t>
      </w:r>
      <w:r>
        <w:t>“ a stĺpec Poznámka znie: “</w:t>
      </w:r>
      <w:r w:rsidRPr="009B28D5">
        <w:t>§ 14 zákona č. 568/2009 Z. z. o celoživotnom vzdelávaní a o zmene a doplnení niektorých zákonov</w:t>
      </w:r>
      <w:r>
        <w:t>.“.“</w:t>
      </w:r>
    </w:p>
    <w:p w:rsidR="006A4D53" w:rsidP="006A4D53">
      <w:pPr>
        <w:spacing w:line="276" w:lineRule="auto"/>
        <w:ind w:left="3261"/>
        <w:jc w:val="both"/>
        <w:rPr>
          <w:b/>
          <w:i/>
        </w:rPr>
      </w:pPr>
    </w:p>
    <w:p w:rsidR="006A4D53" w:rsidRPr="006A4D53" w:rsidP="006A4D53">
      <w:pPr>
        <w:tabs>
          <w:tab w:val="left" w:pos="1843"/>
        </w:tabs>
        <w:spacing w:line="276" w:lineRule="auto"/>
        <w:ind w:left="4248"/>
        <w:jc w:val="both"/>
      </w:pPr>
      <w:r w:rsidRPr="006A4D53">
        <w:t>V súčasnosti živnosť „Maliarstvo“ patrí medzi voľné živnosti, avšak prax zaznamenáva zhoršovanie kvality maliarskych prác a nedostatok kvalifikovanej pracovnej sily. To súvisí aj so skutočnosťou, že o získanie odbornej spôsobilosti v učebnom odbore maliar nie je veľký záujem, keďže odbornú spôsobilosť pre maliarske práce a preukázanie získania príslušného výučného listu alebo iného dokladu o riadnom ukončení príslušného učebného odboru živnostenský zákon nevyžaduje. Navrhuje sa preto zaradiť „Maliarstvo“ medzi remeselné živnosti v príslušnej skupine 113 – Stavebníctvo a tým zabezpečiť zvýšenie kvality maliarskych prác a zároveň zatraktívniť štúdium tohto učebného odboru.</w:t>
      </w:r>
    </w:p>
    <w:p w:rsidR="006A4D53" w:rsidRPr="006A4D53" w:rsidP="006A4D53">
      <w:pPr>
        <w:tabs>
          <w:tab w:val="left" w:pos="1843"/>
        </w:tabs>
        <w:spacing w:line="276" w:lineRule="auto"/>
        <w:ind w:left="4248"/>
        <w:jc w:val="both"/>
      </w:pPr>
      <w:r w:rsidRPr="006A4D53">
        <w:t>Ďalej sa navrhuje zmena spôsobu preukazovania odbornej spôsobilosti pre viazanú živnosť „Sprostredkovanie predaja, prenájmu a kúpy nehnuteľností (realitná činnosť)“. Navrhuje sa aby druhou alternatívou k vysokoškolskému vzdelaniu ekonomického alebo právnického alebo stavebného alebo architektonického smeru bolo osvedčenie o absolvovaní akreditovaného vzdelávacieho programu. Touto zmenou dochádza k usta</w:t>
      </w:r>
      <w:r w:rsidRPr="006A4D53">
        <w:t>noveniu zodpovedajúcej alternatívy k vysokoškolskému vzdelaniu, ktorá by mala vo vyššej miere zaručovať potrebnú odbornú pripravenosť podnikateľa v tejto oblasti podnikania ako úplné stredné vzdelanie s maturitnou skúškou a 5 rokov praxe v odbore.</w:t>
      </w:r>
    </w:p>
    <w:p w:rsidR="006A4D53" w:rsidP="00601417">
      <w:pPr>
        <w:pStyle w:val="ListParagraph"/>
        <w:spacing w:after="0"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:rsidR="00601417" w:rsidRPr="005466CA" w:rsidP="00601417"/>
    <w:p w:rsidR="00601417" w:rsidP="006A4D53">
      <w:pPr>
        <w:pStyle w:val="ListParagraph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VIII</w:t>
      </w:r>
    </w:p>
    <w:p w:rsidR="00601417" w:rsidP="006A4D53">
      <w:pPr>
        <w:pStyle w:val="BodyText"/>
        <w:spacing w:after="0"/>
        <w:ind w:left="995"/>
        <w:jc w:val="both"/>
        <w:outlineLvl w:val="0"/>
      </w:pPr>
      <w:r>
        <w:t>V čl. VIII bod 3 sa slová „Poznámka pod čiarou k odkazu 3b znie: „</w:t>
      </w:r>
      <w:r w:rsidRPr="00ED77EF">
        <w:rPr>
          <w:vertAlign w:val="superscript"/>
        </w:rPr>
        <w:t>3b</w:t>
      </w:r>
      <w:r>
        <w:t>)</w:t>
      </w:r>
      <w:r w:rsidRPr="003668AC">
        <w:t xml:space="preserve"> </w:t>
      </w:r>
      <w:r w:rsidRPr="00ED77EF">
        <w:t>§ 3 zákona č. 346/2018 Z.</w:t>
      </w:r>
      <w:r>
        <w:t xml:space="preserve"> </w:t>
      </w:r>
      <w:r w:rsidRPr="00ED77EF">
        <w:t>z.</w:t>
      </w:r>
      <w:r>
        <w:t>“.“ nahrádzajú slovami „Poznámka pod čiarou 3aaa sa označuje ako poznámka pod čiarou 3b“.</w:t>
      </w:r>
    </w:p>
    <w:p w:rsidR="00601417" w:rsidP="00601417">
      <w:pPr>
        <w:pStyle w:val="ListParagraph"/>
        <w:spacing w:after="0"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</w:p>
    <w:p w:rsidR="00601417" w:rsidRPr="00A31782" w:rsidP="00601417">
      <w:pPr>
        <w:pStyle w:val="ListParagraph"/>
        <w:spacing w:after="0"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  <w:r w:rsidRPr="00A31782">
        <w:rPr>
          <w:rFonts w:ascii="Times New Roman" w:hAnsi="Times New Roman"/>
          <w:sz w:val="24"/>
          <w:szCs w:val="24"/>
        </w:rPr>
        <w:t>Ide o legislatívno-technickú úpravu</w:t>
      </w:r>
      <w:r>
        <w:rPr>
          <w:rFonts w:ascii="Times New Roman" w:hAnsi="Times New Roman"/>
          <w:sz w:val="24"/>
          <w:szCs w:val="24"/>
        </w:rPr>
        <w:t>. Nakoľko sa odkaz ani poznámka 3aaa už nikde nevyskytuje, stačí jej premenovanie.</w:t>
      </w:r>
    </w:p>
    <w:p w:rsidR="00601417" w:rsidP="00601417">
      <w:pPr>
        <w:pStyle w:val="ListParagraph"/>
        <w:spacing w:after="0"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:rsidR="00601417" w:rsidRPr="005466CA" w:rsidP="006A4D53">
      <w:pPr>
        <w:pStyle w:val="ListParagraph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466CA">
        <w:rPr>
          <w:rFonts w:ascii="Times New Roman" w:hAnsi="Times New Roman"/>
          <w:sz w:val="24"/>
          <w:szCs w:val="24"/>
          <w:u w:val="single"/>
        </w:rPr>
        <w:t>K čl. X</w:t>
      </w:r>
    </w:p>
    <w:p w:rsidR="00601417" w:rsidRPr="005466CA" w:rsidP="006A4D53">
      <w:pPr>
        <w:pStyle w:val="ListParagraph"/>
        <w:spacing w:after="0" w:line="240" w:lineRule="auto"/>
        <w:ind w:left="1004" w:firstLine="64"/>
      </w:pPr>
      <w:r w:rsidRPr="005466CA">
        <w:rPr>
          <w:rFonts w:ascii="Times New Roman" w:hAnsi="Times New Roman"/>
          <w:sz w:val="24"/>
          <w:szCs w:val="24"/>
        </w:rPr>
        <w:t>V čl. X v bode 1 sa za text odseku 3 vkladá nová veta, ktorá znie: „Poznámka pod čiarou k odkazu 1aaa sa vypúšťa.“</w:t>
      </w:r>
    </w:p>
    <w:p w:rsidR="00601417" w:rsidRPr="005466CA" w:rsidP="00601417">
      <w:pPr>
        <w:pStyle w:val="ListParagraph"/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</w:p>
    <w:p w:rsidR="00601417" w:rsidRPr="005466CA" w:rsidP="00601417">
      <w:pPr>
        <w:shd w:val="clear" w:color="auto" w:fill="FFFFFF"/>
        <w:ind w:left="4244"/>
        <w:jc w:val="both"/>
        <w:rPr>
          <w:bCs w:val="0"/>
          <w:lang w:eastAsia="en-US"/>
        </w:rPr>
      </w:pPr>
      <w:r w:rsidRPr="005466CA">
        <w:rPr>
          <w:lang w:eastAsia="en-US"/>
        </w:rPr>
        <w:t xml:space="preserve">Legislatívno-technická pripomienka, ktorou sa vypúšťa poznámka pod čiarou, ktorá sa stáva bezpredmetnou, nakoľko sa vypúšťajú oba odkazy na uvedenú poznámku (čl. X body 1 a 5 návrhu). </w:t>
      </w:r>
    </w:p>
    <w:p w:rsidR="00601417" w:rsidRPr="005466CA" w:rsidP="00601417">
      <w:pPr>
        <w:rPr>
          <w:u w:val="single"/>
        </w:rPr>
      </w:pPr>
    </w:p>
    <w:p w:rsidR="00601417" w:rsidRPr="005466CA" w:rsidP="006A4D53">
      <w:pPr>
        <w:pStyle w:val="ListParagraph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466CA">
        <w:rPr>
          <w:rFonts w:ascii="Times New Roman" w:hAnsi="Times New Roman"/>
          <w:sz w:val="24"/>
          <w:szCs w:val="24"/>
          <w:u w:val="single"/>
        </w:rPr>
        <w:t>K čl. X</w:t>
      </w:r>
    </w:p>
    <w:p w:rsidR="006A4D53" w:rsidP="00601417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 xml:space="preserve">             </w:t>
      </w:r>
      <w:r w:rsidRPr="005466CA" w:rsidR="00601417">
        <w:rPr>
          <w:lang w:eastAsia="en-US"/>
        </w:rPr>
        <w:t xml:space="preserve">V čl. X v bode 2 sa za prvú vetu vkladá nová samostatná veta, ktorá znie: „Poznámka </w:t>
      </w:r>
      <w:r>
        <w:rPr>
          <w:lang w:eastAsia="en-US"/>
        </w:rPr>
        <w:t xml:space="preserve"> </w:t>
      </w:r>
    </w:p>
    <w:p w:rsidR="00601417" w:rsidRPr="005466CA" w:rsidP="00601417">
      <w:pPr>
        <w:ind w:left="284"/>
        <w:contextualSpacing/>
        <w:jc w:val="both"/>
        <w:rPr>
          <w:lang w:eastAsia="en-US"/>
        </w:rPr>
      </w:pPr>
      <w:r w:rsidR="006A4D53">
        <w:rPr>
          <w:lang w:eastAsia="en-US"/>
        </w:rPr>
        <w:t xml:space="preserve">             </w:t>
      </w:r>
      <w:r w:rsidRPr="005466CA">
        <w:rPr>
          <w:lang w:eastAsia="en-US"/>
        </w:rPr>
        <w:t>pod čiarou k odkazu 1aa sa vypúšťa.“</w:t>
      </w:r>
    </w:p>
    <w:p w:rsidR="00601417" w:rsidRPr="005466CA" w:rsidP="00601417">
      <w:pPr>
        <w:ind w:left="284"/>
        <w:contextualSpacing/>
        <w:jc w:val="both"/>
        <w:rPr>
          <w:lang w:eastAsia="en-US"/>
        </w:rPr>
      </w:pPr>
    </w:p>
    <w:p w:rsidR="00601417" w:rsidP="00601417">
      <w:pPr>
        <w:ind w:left="4248"/>
        <w:contextualSpacing/>
        <w:jc w:val="both"/>
        <w:rPr>
          <w:lang w:eastAsia="en-US"/>
        </w:rPr>
      </w:pPr>
      <w:r w:rsidRPr="005466CA">
        <w:rPr>
          <w:lang w:eastAsia="en-US"/>
        </w:rPr>
        <w:t>Legislatívno-technická pripomienka, ktorou sa vypúšťa poznámka pod čiarou, ktorá sa stáva bezpredmetnou, nakoľko sa vypúšťa odkaz na uvedenú poznámku (čl. X bod 2).</w:t>
      </w:r>
    </w:p>
    <w:p w:rsidR="00601417" w:rsidP="00601417">
      <w:pPr>
        <w:contextualSpacing/>
        <w:jc w:val="both"/>
        <w:rPr>
          <w:lang w:eastAsia="en-US"/>
        </w:rPr>
      </w:pPr>
    </w:p>
    <w:p w:rsidR="00601417" w:rsidP="006A4D53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XI</w:t>
      </w:r>
    </w:p>
    <w:p w:rsidR="00601417" w:rsidP="0060141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="006A4D53">
        <w:rPr>
          <w:rFonts w:ascii="Times New Roman" w:hAnsi="Times New Roman"/>
          <w:sz w:val="24"/>
          <w:szCs w:val="24"/>
        </w:rPr>
        <w:t xml:space="preserve">            </w:t>
      </w:r>
      <w:r w:rsidRPr="00AF1700">
        <w:rPr>
          <w:rFonts w:ascii="Times New Roman" w:hAnsi="Times New Roman"/>
          <w:sz w:val="24"/>
          <w:szCs w:val="24"/>
        </w:rPr>
        <w:t>V čl. XI bod 4 § 23a ods. 9</w:t>
      </w:r>
      <w:r>
        <w:rPr>
          <w:rFonts w:ascii="Times New Roman" w:hAnsi="Times New Roman"/>
          <w:sz w:val="24"/>
          <w:szCs w:val="24"/>
        </w:rPr>
        <w:t xml:space="preserve"> sa všetky spojky „a“ nahrádzajú spojkou „alebo“.</w:t>
      </w:r>
    </w:p>
    <w:p w:rsidR="00601417" w:rsidP="0060141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01417" w:rsidRPr="00AF1700" w:rsidP="00601417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</w:t>
      </w:r>
      <w:r w:rsidRPr="00F6349E">
        <w:rPr>
          <w:rFonts w:ascii="Times New Roman" w:hAnsi="Times New Roman"/>
          <w:sz w:val="18"/>
          <w:szCs w:val="24"/>
        </w:rPr>
        <w:t xml:space="preserve"> </w:t>
      </w:r>
      <w:r w:rsidRPr="00AF1700">
        <w:rPr>
          <w:rFonts w:ascii="Times New Roman" w:hAnsi="Times New Roman"/>
          <w:sz w:val="24"/>
          <w:szCs w:val="24"/>
        </w:rPr>
        <w:t>pripomienka</w:t>
      </w:r>
      <w:r>
        <w:rPr>
          <w:rFonts w:ascii="Times New Roman" w:hAnsi="Times New Roman"/>
          <w:sz w:val="24"/>
          <w:szCs w:val="24"/>
        </w:rPr>
        <w:t xml:space="preserve">. Kumulatívnu spojku „a“ v slovnom spojení </w:t>
      </w:r>
      <w:r w:rsidRPr="00AF1700">
        <w:rPr>
          <w:rFonts w:ascii="Times New Roman" w:hAnsi="Times New Roman"/>
          <w:i/>
          <w:sz w:val="24"/>
          <w:szCs w:val="24"/>
        </w:rPr>
        <w:t>obchodná spoločnosť a družstvo</w:t>
      </w:r>
      <w:r>
        <w:rPr>
          <w:rFonts w:ascii="Times New Roman" w:hAnsi="Times New Roman"/>
          <w:sz w:val="24"/>
          <w:szCs w:val="24"/>
        </w:rPr>
        <w:t xml:space="preserve">, je potrebné nahradiť alternatívnou spojkou „alebo“, ktorá lepšie zodpovedá kontextu ustanovenia. </w:t>
      </w:r>
    </w:p>
    <w:p w:rsidR="00601417" w:rsidP="0060141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601417" w:rsidP="0060141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601417" w:rsidP="0060141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601417" w:rsidP="006A4D53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XI</w:t>
      </w:r>
    </w:p>
    <w:p w:rsidR="00601417" w:rsidP="0060141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="006A4D53">
        <w:rPr>
          <w:rFonts w:ascii="Times New Roman" w:hAnsi="Times New Roman"/>
          <w:sz w:val="24"/>
          <w:szCs w:val="24"/>
        </w:rPr>
        <w:t xml:space="preserve">            </w:t>
      </w:r>
      <w:r w:rsidRPr="00AF1700">
        <w:rPr>
          <w:rFonts w:ascii="Times New Roman" w:hAnsi="Times New Roman"/>
          <w:sz w:val="24"/>
          <w:szCs w:val="24"/>
        </w:rPr>
        <w:t>V čl.</w:t>
      </w:r>
      <w:r>
        <w:rPr>
          <w:rFonts w:ascii="Times New Roman" w:hAnsi="Times New Roman"/>
          <w:sz w:val="24"/>
          <w:szCs w:val="24"/>
        </w:rPr>
        <w:t xml:space="preserve"> XI bod 5 § 39r ods. 2 sa všetky spojky „a“ nahrádzajú spojkou „alebo“.</w:t>
      </w:r>
    </w:p>
    <w:p w:rsidR="00601417" w:rsidP="0060141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01417" w:rsidRPr="00AF1700" w:rsidP="00601417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F1700">
        <w:rPr>
          <w:rFonts w:ascii="Times New Roman" w:hAnsi="Times New Roman"/>
          <w:sz w:val="24"/>
          <w:szCs w:val="24"/>
        </w:rPr>
        <w:t>Legislatívno-technická</w:t>
      </w:r>
      <w:r w:rsidRPr="00F6349E">
        <w:rPr>
          <w:rFonts w:ascii="Times New Roman" w:hAnsi="Times New Roman"/>
          <w:sz w:val="18"/>
          <w:szCs w:val="24"/>
        </w:rPr>
        <w:t xml:space="preserve"> </w:t>
      </w:r>
      <w:r w:rsidRPr="00AF1700">
        <w:rPr>
          <w:rFonts w:ascii="Times New Roman" w:hAnsi="Times New Roman"/>
          <w:sz w:val="24"/>
          <w:szCs w:val="24"/>
        </w:rPr>
        <w:t>pripomienka</w:t>
      </w:r>
      <w:r>
        <w:rPr>
          <w:rFonts w:ascii="Times New Roman" w:hAnsi="Times New Roman"/>
          <w:sz w:val="24"/>
          <w:szCs w:val="24"/>
        </w:rPr>
        <w:t xml:space="preserve">. Kumulatívnu spojku „a“ v slovnom spojení </w:t>
      </w:r>
      <w:r w:rsidRPr="00AF1700">
        <w:rPr>
          <w:rFonts w:ascii="Times New Roman" w:hAnsi="Times New Roman"/>
          <w:i/>
          <w:sz w:val="24"/>
          <w:szCs w:val="24"/>
        </w:rPr>
        <w:t>obchodná spoločnosť a</w:t>
      </w:r>
      <w:r>
        <w:rPr>
          <w:rFonts w:ascii="Times New Roman" w:hAnsi="Times New Roman"/>
          <w:i/>
          <w:sz w:val="24"/>
          <w:szCs w:val="24"/>
        </w:rPr>
        <w:t> </w:t>
      </w:r>
      <w:r w:rsidRPr="00AF1700">
        <w:rPr>
          <w:rFonts w:ascii="Times New Roman" w:hAnsi="Times New Roman"/>
          <w:i/>
          <w:sz w:val="24"/>
          <w:szCs w:val="24"/>
        </w:rPr>
        <w:t>družstvo</w:t>
      </w:r>
      <w:r>
        <w:rPr>
          <w:rFonts w:ascii="Times New Roman" w:hAnsi="Times New Roman"/>
          <w:sz w:val="24"/>
          <w:szCs w:val="24"/>
        </w:rPr>
        <w:t xml:space="preserve">  je potrebné nahradiť alternatívnou spojkou „alebo“, ktorá lepšie zodpovedá kontextu ustanovenia. </w:t>
      </w:r>
    </w:p>
    <w:p w:rsidR="00601417" w:rsidP="0060141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601417" w:rsidRPr="008644DC" w:rsidP="006A4D53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644DC">
        <w:rPr>
          <w:rFonts w:ascii="Times New Roman" w:hAnsi="Times New Roman"/>
          <w:sz w:val="24"/>
          <w:szCs w:val="24"/>
          <w:u w:val="single"/>
        </w:rPr>
        <w:t>K čl. XII</w:t>
      </w:r>
    </w:p>
    <w:p w:rsidR="006A4D53" w:rsidP="0060141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601417">
        <w:rPr>
          <w:rFonts w:ascii="Times New Roman" w:hAnsi="Times New Roman"/>
          <w:sz w:val="24"/>
          <w:szCs w:val="24"/>
        </w:rPr>
        <w:t xml:space="preserve">V čl. XII sa pripája </w:t>
      </w:r>
      <w:r w:rsidRPr="008644DC" w:rsidR="00601417">
        <w:rPr>
          <w:rFonts w:ascii="Times New Roman" w:hAnsi="Times New Roman"/>
          <w:sz w:val="24"/>
          <w:szCs w:val="24"/>
        </w:rPr>
        <w:t>nová samost</w:t>
      </w:r>
      <w:r w:rsidR="00601417">
        <w:rPr>
          <w:rFonts w:ascii="Times New Roman" w:hAnsi="Times New Roman"/>
          <w:sz w:val="24"/>
          <w:szCs w:val="24"/>
        </w:rPr>
        <w:t xml:space="preserve">atná veta, ktorá znie: „Poznámky pod čiarou k odkazu </w:t>
      </w:r>
    </w:p>
    <w:p w:rsidR="00601417" w:rsidRPr="008644DC" w:rsidP="0060141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="006A4D53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93ae a 93af </w:t>
      </w:r>
      <w:r w:rsidRPr="008644DC">
        <w:rPr>
          <w:rFonts w:ascii="Times New Roman" w:hAnsi="Times New Roman"/>
          <w:sz w:val="24"/>
          <w:szCs w:val="24"/>
        </w:rPr>
        <w:t>sa vypúšťa</w:t>
      </w:r>
      <w:r>
        <w:rPr>
          <w:rFonts w:ascii="Times New Roman" w:hAnsi="Times New Roman"/>
          <w:sz w:val="24"/>
          <w:szCs w:val="24"/>
        </w:rPr>
        <w:t>jú</w:t>
      </w:r>
      <w:r w:rsidRPr="008644DC">
        <w:rPr>
          <w:rFonts w:ascii="Times New Roman" w:hAnsi="Times New Roman"/>
          <w:sz w:val="24"/>
          <w:szCs w:val="24"/>
        </w:rPr>
        <w:t>.“</w:t>
      </w:r>
    </w:p>
    <w:p w:rsidR="00601417" w:rsidRPr="008644DC" w:rsidP="0060141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01417" w:rsidP="00601417">
      <w:pPr>
        <w:pStyle w:val="ListParagraph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8644DC">
        <w:rPr>
          <w:rFonts w:ascii="Times New Roman" w:hAnsi="Times New Roman"/>
          <w:sz w:val="24"/>
          <w:szCs w:val="24"/>
        </w:rPr>
        <w:t>Legislatívno-technická pripomienka, ktorou sa vypúšťa</w:t>
      </w:r>
      <w:r>
        <w:rPr>
          <w:rFonts w:ascii="Times New Roman" w:hAnsi="Times New Roman"/>
          <w:sz w:val="24"/>
          <w:szCs w:val="24"/>
        </w:rPr>
        <w:t>jú poznámky pod čiarou, ktoré</w:t>
      </w:r>
      <w:r w:rsidRPr="008644DC">
        <w:rPr>
          <w:rFonts w:ascii="Times New Roman" w:hAnsi="Times New Roman"/>
          <w:sz w:val="24"/>
          <w:szCs w:val="24"/>
        </w:rPr>
        <w:t xml:space="preserve"> sa stáva</w:t>
      </w:r>
      <w:r>
        <w:rPr>
          <w:rFonts w:ascii="Times New Roman" w:hAnsi="Times New Roman"/>
          <w:sz w:val="24"/>
          <w:szCs w:val="24"/>
        </w:rPr>
        <w:t>jú bezpredmetnými</w:t>
      </w:r>
      <w:r w:rsidRPr="008644DC">
        <w:rPr>
          <w:rFonts w:ascii="Times New Roman" w:hAnsi="Times New Roman"/>
          <w:sz w:val="24"/>
          <w:szCs w:val="24"/>
        </w:rPr>
        <w:t>, nakoľko sa vypúšťa</w:t>
      </w:r>
      <w:r>
        <w:rPr>
          <w:rFonts w:ascii="Times New Roman" w:hAnsi="Times New Roman"/>
          <w:sz w:val="24"/>
          <w:szCs w:val="24"/>
        </w:rPr>
        <w:t>jú</w:t>
      </w:r>
      <w:r w:rsidRPr="008644DC">
        <w:rPr>
          <w:rFonts w:ascii="Times New Roman" w:hAnsi="Times New Roman"/>
          <w:sz w:val="24"/>
          <w:szCs w:val="24"/>
        </w:rPr>
        <w:t xml:space="preserve"> odkaz</w:t>
      </w:r>
      <w:r>
        <w:rPr>
          <w:rFonts w:ascii="Times New Roman" w:hAnsi="Times New Roman"/>
          <w:sz w:val="24"/>
          <w:szCs w:val="24"/>
        </w:rPr>
        <w:t xml:space="preserve">y na uvedené poznámky </w:t>
      </w:r>
      <w:r w:rsidRPr="008644DC">
        <w:rPr>
          <w:rFonts w:ascii="Times New Roman" w:hAnsi="Times New Roman"/>
          <w:sz w:val="24"/>
          <w:szCs w:val="24"/>
        </w:rPr>
        <w:t>(čl. X</w:t>
      </w:r>
      <w:r>
        <w:rPr>
          <w:rFonts w:ascii="Times New Roman" w:hAnsi="Times New Roman"/>
          <w:sz w:val="24"/>
          <w:szCs w:val="24"/>
        </w:rPr>
        <w:t>II</w:t>
      </w:r>
      <w:r w:rsidRPr="008644DC">
        <w:rPr>
          <w:rFonts w:ascii="Times New Roman" w:hAnsi="Times New Roman"/>
          <w:sz w:val="24"/>
          <w:szCs w:val="24"/>
        </w:rPr>
        <w:t>).</w:t>
      </w:r>
    </w:p>
    <w:p w:rsidR="00601417" w:rsidP="0060141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01417" w:rsidRPr="00C179A0" w:rsidP="006A4D53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179A0">
        <w:rPr>
          <w:rFonts w:ascii="Times New Roman" w:hAnsi="Times New Roman"/>
          <w:sz w:val="24"/>
          <w:szCs w:val="24"/>
          <w:u w:val="single"/>
        </w:rPr>
        <w:t>K čl. XIII</w:t>
      </w:r>
    </w:p>
    <w:p w:rsidR="006A4D53" w:rsidP="00601417">
      <w:pPr>
        <w:pStyle w:val="ListParagraph"/>
        <w:spacing w:after="0" w:line="240" w:lineRule="auto"/>
        <w:ind w:left="28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179A0" w:rsidR="00601417">
        <w:rPr>
          <w:rFonts w:ascii="Times New Roman" w:hAnsi="Times New Roman"/>
          <w:sz w:val="24"/>
          <w:szCs w:val="24"/>
        </w:rPr>
        <w:t xml:space="preserve">V čl. XIII bod </w:t>
      </w:r>
      <w:r w:rsidR="00601417">
        <w:rPr>
          <w:rFonts w:ascii="Times New Roman" w:eastAsia="Calibri" w:hAnsi="Times New Roman"/>
          <w:sz w:val="24"/>
          <w:szCs w:val="24"/>
        </w:rPr>
        <w:t>1 § 2 ods. 1 písm. e) sa slová „slovo „</w:t>
      </w:r>
      <w:r w:rsidRPr="00C179A0" w:rsidR="00601417">
        <w:rPr>
          <w:rFonts w:ascii="Times New Roman" w:eastAsia="Calibri" w:hAnsi="Times New Roman"/>
          <w:sz w:val="24"/>
          <w:szCs w:val="24"/>
        </w:rPr>
        <w:t>číslo““ nahrádza</w:t>
      </w:r>
      <w:r w:rsidR="00601417">
        <w:rPr>
          <w:rFonts w:ascii="Times New Roman" w:eastAsia="Calibri" w:hAnsi="Times New Roman"/>
          <w:sz w:val="24"/>
          <w:szCs w:val="24"/>
        </w:rPr>
        <w:t xml:space="preserve">jú slovami „slová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601417" w:rsidRPr="00C179A0" w:rsidP="0060141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="006A4D53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/>
          <w:sz w:val="24"/>
          <w:szCs w:val="24"/>
        </w:rPr>
        <w:t>„</w:t>
      </w:r>
      <w:r w:rsidRPr="00C179A0">
        <w:rPr>
          <w:rFonts w:ascii="Times New Roman" w:eastAsia="Calibri" w:hAnsi="Times New Roman"/>
          <w:sz w:val="24"/>
          <w:szCs w:val="24"/>
        </w:rPr>
        <w:t xml:space="preserve">a rodné číslo““. </w:t>
      </w:r>
    </w:p>
    <w:p w:rsidR="00601417" w:rsidP="0060141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01417" w:rsidRPr="00C179A0" w:rsidP="00601417">
      <w:pPr>
        <w:pStyle w:val="ListParagraph"/>
        <w:spacing w:after="0"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  <w:r w:rsidRPr="00FC5383">
        <w:rPr>
          <w:rFonts w:ascii="Times New Roman" w:hAnsi="Times New Roman"/>
          <w:sz w:val="24"/>
          <w:szCs w:val="24"/>
        </w:rPr>
        <w:t>Legislatívno-technická pripomienka, ktorou sa</w:t>
      </w:r>
      <w:r>
        <w:rPr>
          <w:rFonts w:ascii="Times New Roman" w:hAnsi="Times New Roman"/>
          <w:sz w:val="24"/>
          <w:szCs w:val="24"/>
        </w:rPr>
        <w:t xml:space="preserve"> spresňuje, kde sa majú  nové slová vložiť.</w:t>
      </w:r>
    </w:p>
    <w:p w:rsidR="00601417" w:rsidP="0060141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01417" w:rsidRPr="00C179A0" w:rsidP="006A4D53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179A0">
        <w:rPr>
          <w:rFonts w:ascii="Times New Roman" w:hAnsi="Times New Roman"/>
          <w:sz w:val="24"/>
          <w:szCs w:val="24"/>
          <w:u w:val="single"/>
        </w:rPr>
        <w:t>K čl. XIII</w:t>
      </w:r>
    </w:p>
    <w:p w:rsidR="006A4D53" w:rsidP="00601417">
      <w:pPr>
        <w:pStyle w:val="ListParagraph"/>
        <w:spacing w:after="0" w:line="240" w:lineRule="auto"/>
        <w:ind w:left="28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179A0" w:rsidR="00601417">
        <w:rPr>
          <w:rFonts w:ascii="Times New Roman" w:hAnsi="Times New Roman"/>
          <w:sz w:val="24"/>
          <w:szCs w:val="24"/>
        </w:rPr>
        <w:t xml:space="preserve">V čl. XIII bod </w:t>
      </w:r>
      <w:r w:rsidR="00601417">
        <w:rPr>
          <w:rFonts w:ascii="Times New Roman" w:eastAsia="Calibri" w:hAnsi="Times New Roman"/>
          <w:sz w:val="24"/>
          <w:szCs w:val="24"/>
        </w:rPr>
        <w:t>4 § 2 ods. 1 písm. g) a h) sa slová</w:t>
      </w:r>
      <w:r w:rsidRPr="00C179A0" w:rsidR="00601417">
        <w:rPr>
          <w:rFonts w:ascii="Times New Roman" w:eastAsia="Calibri" w:hAnsi="Times New Roman"/>
          <w:sz w:val="24"/>
          <w:szCs w:val="24"/>
        </w:rPr>
        <w:t xml:space="preserve"> „</w:t>
      </w:r>
      <w:r w:rsidR="00601417">
        <w:rPr>
          <w:rFonts w:ascii="Times New Roman" w:eastAsia="Calibri" w:hAnsi="Times New Roman"/>
          <w:sz w:val="24"/>
          <w:szCs w:val="24"/>
        </w:rPr>
        <w:t xml:space="preserve">slovo </w:t>
      </w:r>
      <w:r w:rsidRPr="00C179A0" w:rsidR="00601417">
        <w:rPr>
          <w:rFonts w:ascii="Times New Roman" w:eastAsia="Calibri" w:hAnsi="Times New Roman"/>
          <w:sz w:val="24"/>
          <w:szCs w:val="24"/>
        </w:rPr>
        <w:t>„číslo““ nahrádza</w:t>
      </w:r>
      <w:r w:rsidR="00601417">
        <w:rPr>
          <w:rFonts w:ascii="Times New Roman" w:eastAsia="Calibri" w:hAnsi="Times New Roman"/>
          <w:sz w:val="24"/>
          <w:szCs w:val="24"/>
        </w:rPr>
        <w:t>jú</w:t>
      </w:r>
      <w:r w:rsidRPr="00C179A0" w:rsidR="00601417">
        <w:rPr>
          <w:rFonts w:ascii="Times New Roman" w:eastAsia="Calibri" w:hAnsi="Times New Roman"/>
          <w:sz w:val="24"/>
          <w:szCs w:val="24"/>
        </w:rPr>
        <w:t xml:space="preserve"> slovami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601417" w:rsidRPr="00C179A0" w:rsidP="0060141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="006A4D53">
        <w:rPr>
          <w:rFonts w:ascii="Times New Roman" w:hAnsi="Times New Roman"/>
          <w:sz w:val="24"/>
          <w:szCs w:val="24"/>
        </w:rPr>
        <w:t xml:space="preserve">           </w:t>
      </w:r>
      <w:r w:rsidRPr="00C179A0">
        <w:rPr>
          <w:rFonts w:ascii="Times New Roman" w:eastAsia="Calibri" w:hAnsi="Times New Roman"/>
          <w:sz w:val="24"/>
          <w:szCs w:val="24"/>
        </w:rPr>
        <w:t>„</w:t>
      </w:r>
      <w:r>
        <w:rPr>
          <w:rFonts w:ascii="Times New Roman" w:eastAsia="Calibri" w:hAnsi="Times New Roman"/>
          <w:sz w:val="24"/>
          <w:szCs w:val="24"/>
        </w:rPr>
        <w:t xml:space="preserve">slová </w:t>
      </w:r>
      <w:r w:rsidRPr="00C179A0">
        <w:rPr>
          <w:rFonts w:ascii="Times New Roman" w:eastAsia="Calibri" w:hAnsi="Times New Roman"/>
          <w:sz w:val="24"/>
          <w:szCs w:val="24"/>
        </w:rPr>
        <w:t xml:space="preserve">„a rodné číslo““. </w:t>
      </w:r>
    </w:p>
    <w:p w:rsidR="00601417" w:rsidP="0060141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01417" w:rsidRPr="00C179A0" w:rsidP="00601417">
      <w:pPr>
        <w:pStyle w:val="ListParagraph"/>
        <w:spacing w:after="0"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  <w:r w:rsidRPr="00FC5383">
        <w:rPr>
          <w:rFonts w:ascii="Times New Roman" w:hAnsi="Times New Roman"/>
          <w:sz w:val="24"/>
          <w:szCs w:val="24"/>
        </w:rPr>
        <w:t>Legislatívno-technická pripomienka, ktorou sa</w:t>
      </w:r>
      <w:r>
        <w:rPr>
          <w:rFonts w:ascii="Times New Roman" w:hAnsi="Times New Roman"/>
          <w:sz w:val="24"/>
          <w:szCs w:val="24"/>
        </w:rPr>
        <w:t xml:space="preserve"> spresňuje, kde sa majú  nové slová vložiť.</w:t>
      </w:r>
    </w:p>
    <w:p w:rsidR="00601417" w:rsidP="0060141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01417" w:rsidRPr="00237913" w:rsidP="006A4D53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37913">
        <w:rPr>
          <w:rFonts w:ascii="Times New Roman" w:hAnsi="Times New Roman"/>
          <w:sz w:val="24"/>
          <w:szCs w:val="24"/>
          <w:u w:val="single"/>
        </w:rPr>
        <w:t>K čl. XIII</w:t>
      </w:r>
    </w:p>
    <w:p w:rsidR="006A4D53" w:rsidP="00601417">
      <w:pPr>
        <w:pStyle w:val="ListParagraph"/>
        <w:spacing w:after="0" w:line="240" w:lineRule="auto"/>
        <w:ind w:left="28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179A0" w:rsidR="00601417">
        <w:rPr>
          <w:rFonts w:ascii="Times New Roman" w:hAnsi="Times New Roman"/>
          <w:sz w:val="24"/>
          <w:szCs w:val="24"/>
        </w:rPr>
        <w:t xml:space="preserve">V čl. XIII bod </w:t>
      </w:r>
      <w:r w:rsidR="00601417">
        <w:rPr>
          <w:rFonts w:ascii="Times New Roman" w:eastAsia="Calibri" w:hAnsi="Times New Roman"/>
          <w:sz w:val="24"/>
          <w:szCs w:val="24"/>
        </w:rPr>
        <w:t>7 § 2 ods. 1 písm. l) sa slová</w:t>
      </w:r>
      <w:r w:rsidRPr="00C179A0" w:rsidR="00601417">
        <w:rPr>
          <w:rFonts w:ascii="Times New Roman" w:eastAsia="Calibri" w:hAnsi="Times New Roman"/>
          <w:sz w:val="24"/>
          <w:szCs w:val="24"/>
        </w:rPr>
        <w:t xml:space="preserve"> „</w:t>
      </w:r>
      <w:r w:rsidR="00601417">
        <w:rPr>
          <w:rFonts w:ascii="Times New Roman" w:eastAsia="Calibri" w:hAnsi="Times New Roman"/>
          <w:sz w:val="24"/>
          <w:szCs w:val="24"/>
        </w:rPr>
        <w:t xml:space="preserve">slovo </w:t>
      </w:r>
      <w:r w:rsidRPr="00C179A0" w:rsidR="00601417">
        <w:rPr>
          <w:rFonts w:ascii="Times New Roman" w:eastAsia="Calibri" w:hAnsi="Times New Roman"/>
          <w:sz w:val="24"/>
          <w:szCs w:val="24"/>
        </w:rPr>
        <w:t>„číslo““ nahrádza</w:t>
      </w:r>
      <w:r w:rsidR="00601417">
        <w:rPr>
          <w:rFonts w:ascii="Times New Roman" w:eastAsia="Calibri" w:hAnsi="Times New Roman"/>
          <w:sz w:val="24"/>
          <w:szCs w:val="24"/>
        </w:rPr>
        <w:t>jú</w:t>
      </w:r>
      <w:r w:rsidRPr="00C179A0" w:rsidR="00601417">
        <w:rPr>
          <w:rFonts w:ascii="Times New Roman" w:eastAsia="Calibri" w:hAnsi="Times New Roman"/>
          <w:sz w:val="24"/>
          <w:szCs w:val="24"/>
        </w:rPr>
        <w:t xml:space="preserve"> slovami „</w:t>
      </w:r>
      <w:r w:rsidR="00601417">
        <w:rPr>
          <w:rFonts w:ascii="Times New Roman" w:eastAsia="Calibri" w:hAnsi="Times New Roman"/>
          <w:sz w:val="24"/>
          <w:szCs w:val="24"/>
        </w:rPr>
        <w:t xml:space="preserve">slová </w:t>
      </w:r>
    </w:p>
    <w:p w:rsidR="00601417" w:rsidRPr="00C179A0" w:rsidP="0060141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="006A4D53">
        <w:rPr>
          <w:rFonts w:ascii="Times New Roman" w:hAnsi="Times New Roman"/>
          <w:sz w:val="24"/>
          <w:szCs w:val="24"/>
        </w:rPr>
        <w:t xml:space="preserve">            </w:t>
      </w:r>
      <w:r w:rsidRPr="00C179A0">
        <w:rPr>
          <w:rFonts w:ascii="Times New Roman" w:eastAsia="Calibri" w:hAnsi="Times New Roman"/>
          <w:sz w:val="24"/>
          <w:szCs w:val="24"/>
        </w:rPr>
        <w:t xml:space="preserve">„a rodné číslo““. </w:t>
      </w:r>
    </w:p>
    <w:p w:rsidR="00601417" w:rsidP="0060141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01417" w:rsidRPr="00C179A0" w:rsidP="00601417">
      <w:pPr>
        <w:pStyle w:val="ListParagraph"/>
        <w:spacing w:after="0"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  <w:r w:rsidRPr="00FC5383">
        <w:rPr>
          <w:rFonts w:ascii="Times New Roman" w:hAnsi="Times New Roman"/>
          <w:sz w:val="24"/>
          <w:szCs w:val="24"/>
        </w:rPr>
        <w:t>Legislatívno-technická pripomienka, ktorou sa</w:t>
      </w:r>
      <w:r>
        <w:rPr>
          <w:rFonts w:ascii="Times New Roman" w:hAnsi="Times New Roman"/>
          <w:sz w:val="24"/>
          <w:szCs w:val="24"/>
        </w:rPr>
        <w:t xml:space="preserve"> spresňuje, kde sa majú  nové slová vložiť.</w:t>
      </w:r>
    </w:p>
    <w:p w:rsidR="00601417" w:rsidP="0060141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01417" w:rsidRPr="00F6349E" w:rsidP="006A4D53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6349E">
        <w:rPr>
          <w:rFonts w:ascii="Times New Roman" w:hAnsi="Times New Roman"/>
          <w:sz w:val="24"/>
          <w:szCs w:val="24"/>
          <w:u w:val="single"/>
        </w:rPr>
        <w:t>K čl. XIII</w:t>
      </w:r>
    </w:p>
    <w:p w:rsidR="006A4D53" w:rsidP="00601417">
      <w:pPr>
        <w:pStyle w:val="ListParagraph"/>
        <w:spacing w:after="0" w:line="240" w:lineRule="auto"/>
        <w:ind w:left="284" w:firstLine="142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179A0" w:rsidR="00601417">
        <w:rPr>
          <w:rFonts w:ascii="Times New Roman" w:hAnsi="Times New Roman"/>
          <w:sz w:val="24"/>
          <w:szCs w:val="24"/>
        </w:rPr>
        <w:t xml:space="preserve">V čl. XIII bod </w:t>
      </w:r>
      <w:r w:rsidR="00601417">
        <w:rPr>
          <w:rFonts w:ascii="Times New Roman" w:eastAsia="Calibri" w:hAnsi="Times New Roman"/>
          <w:sz w:val="24"/>
          <w:szCs w:val="24"/>
        </w:rPr>
        <w:t>8 § 2 ods. 1 písm. r) sa slová</w:t>
      </w:r>
      <w:r w:rsidRPr="00C179A0" w:rsidR="00601417">
        <w:rPr>
          <w:rFonts w:ascii="Times New Roman" w:eastAsia="Calibri" w:hAnsi="Times New Roman"/>
          <w:sz w:val="24"/>
          <w:szCs w:val="24"/>
        </w:rPr>
        <w:t xml:space="preserve"> „</w:t>
      </w:r>
      <w:r w:rsidR="00601417">
        <w:rPr>
          <w:rFonts w:ascii="Times New Roman" w:eastAsia="Calibri" w:hAnsi="Times New Roman"/>
          <w:sz w:val="24"/>
          <w:szCs w:val="24"/>
        </w:rPr>
        <w:t xml:space="preserve">slovo </w:t>
      </w:r>
      <w:r w:rsidRPr="00C179A0" w:rsidR="00601417">
        <w:rPr>
          <w:rFonts w:ascii="Times New Roman" w:eastAsia="Calibri" w:hAnsi="Times New Roman"/>
          <w:sz w:val="24"/>
          <w:szCs w:val="24"/>
        </w:rPr>
        <w:t>„číslo““ nahrádza</w:t>
      </w:r>
      <w:r w:rsidR="00601417">
        <w:rPr>
          <w:rFonts w:ascii="Times New Roman" w:eastAsia="Calibri" w:hAnsi="Times New Roman"/>
          <w:sz w:val="24"/>
          <w:szCs w:val="24"/>
        </w:rPr>
        <w:t>jú</w:t>
      </w:r>
      <w:r w:rsidRPr="00C179A0" w:rsidR="00601417">
        <w:rPr>
          <w:rFonts w:ascii="Times New Roman" w:eastAsia="Calibri" w:hAnsi="Times New Roman"/>
          <w:sz w:val="24"/>
          <w:szCs w:val="24"/>
        </w:rPr>
        <w:t xml:space="preserve"> slovami „</w:t>
      </w:r>
      <w:r w:rsidR="00601417">
        <w:rPr>
          <w:rFonts w:ascii="Times New Roman" w:eastAsia="Calibri" w:hAnsi="Times New Roman"/>
          <w:sz w:val="24"/>
          <w:szCs w:val="24"/>
        </w:rPr>
        <w:t xml:space="preserve">slová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601417" w:rsidRPr="00C179A0" w:rsidP="00601417">
      <w:pPr>
        <w:pStyle w:val="ListParagraph"/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="006A4D53">
        <w:rPr>
          <w:rFonts w:ascii="Times New Roman" w:hAnsi="Times New Roman"/>
          <w:sz w:val="24"/>
          <w:szCs w:val="24"/>
        </w:rPr>
        <w:t xml:space="preserve">          </w:t>
      </w:r>
      <w:r w:rsidRPr="00C179A0">
        <w:rPr>
          <w:rFonts w:ascii="Times New Roman" w:eastAsia="Calibri" w:hAnsi="Times New Roman"/>
          <w:sz w:val="24"/>
          <w:szCs w:val="24"/>
        </w:rPr>
        <w:t xml:space="preserve">„a rodné číslo““. </w:t>
      </w:r>
    </w:p>
    <w:p w:rsidR="00601417" w:rsidP="0060141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01417" w:rsidRPr="00C179A0" w:rsidP="00601417">
      <w:pPr>
        <w:pStyle w:val="ListParagraph"/>
        <w:spacing w:after="0"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  <w:r w:rsidRPr="00FC5383">
        <w:rPr>
          <w:rFonts w:ascii="Times New Roman" w:hAnsi="Times New Roman"/>
          <w:sz w:val="24"/>
          <w:szCs w:val="24"/>
        </w:rPr>
        <w:t>Legislatívno-technická pripomienka, ktorou sa</w:t>
      </w:r>
      <w:r>
        <w:rPr>
          <w:rFonts w:ascii="Times New Roman" w:hAnsi="Times New Roman"/>
          <w:sz w:val="24"/>
          <w:szCs w:val="24"/>
        </w:rPr>
        <w:t xml:space="preserve"> spresňuje, kde sa majú  nové slová vložiť.</w:t>
      </w:r>
    </w:p>
    <w:p w:rsidR="00601417" w:rsidP="0060141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01417" w:rsidP="006A4D53">
      <w:pPr>
        <w:pStyle w:val="ListParagraph"/>
        <w:numPr>
          <w:ilvl w:val="0"/>
          <w:numId w:val="5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42DAA">
        <w:rPr>
          <w:rFonts w:ascii="Times New Roman" w:hAnsi="Times New Roman"/>
          <w:sz w:val="24"/>
          <w:szCs w:val="24"/>
          <w:u w:val="single"/>
        </w:rPr>
        <w:t>K čl. XIII</w:t>
      </w:r>
    </w:p>
    <w:p w:rsidR="006A4D53" w:rsidP="00601417">
      <w:pPr>
        <w:pStyle w:val="ListParagraph"/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442DAA" w:rsidR="00601417">
        <w:rPr>
          <w:rFonts w:ascii="Times New Roman" w:hAnsi="Times New Roman"/>
          <w:sz w:val="24"/>
          <w:szCs w:val="24"/>
        </w:rPr>
        <w:t>V čl. XIII</w:t>
      </w:r>
      <w:r w:rsidR="00601417">
        <w:rPr>
          <w:rFonts w:ascii="Times New Roman" w:hAnsi="Times New Roman"/>
          <w:sz w:val="24"/>
          <w:szCs w:val="24"/>
        </w:rPr>
        <w:t xml:space="preserve"> bod 12 § 2 ods. 4 písm. e) sa slová „čísla nie sú“ nahrádzajú slovami „číslo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1417" w:rsidP="00601417">
      <w:pPr>
        <w:pStyle w:val="ListParagraph"/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="006A4D53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nie je“.</w:t>
      </w:r>
    </w:p>
    <w:p w:rsidR="00601417" w:rsidP="00601417">
      <w:pPr>
        <w:pStyle w:val="ListParagraph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01417" w:rsidRPr="003D0501" w:rsidP="00601417">
      <w:pPr>
        <w:pStyle w:val="ListParagraph"/>
        <w:tabs>
          <w:tab w:val="left" w:pos="0"/>
        </w:tabs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Gramatická úprava, ktorou sa zavádza jednotné číslo navrhovaného spojenia v kontexte celého textu ustanovenia.</w:t>
      </w:r>
    </w:p>
    <w:p w:rsidR="00601417" w:rsidRPr="00D76E88" w:rsidP="00601417">
      <w:pPr>
        <w:pStyle w:val="ListParagraph"/>
        <w:tabs>
          <w:tab w:val="left" w:pos="284"/>
        </w:tabs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</w:p>
    <w:p w:rsidR="00601417" w:rsidP="006A4D53">
      <w:pPr>
        <w:pStyle w:val="ListParagraph"/>
        <w:numPr>
          <w:ilvl w:val="0"/>
          <w:numId w:val="5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XV</w:t>
      </w:r>
    </w:p>
    <w:p w:rsidR="00601417" w:rsidP="00601417">
      <w:pPr>
        <w:pStyle w:val="ListParagraph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A4D53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>V čl. XV bod 4 § 47 ods. 4 sa v druhej vete spojka „a“ nahrádza spojkou „alebo“.</w:t>
      </w:r>
    </w:p>
    <w:p w:rsidR="00601417" w:rsidP="00601417">
      <w:pPr>
        <w:pStyle w:val="ListParagraph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601417" w:rsidRPr="007B2000" w:rsidP="00601417">
      <w:pPr>
        <w:pStyle w:val="ListParagraph"/>
        <w:tabs>
          <w:tab w:val="left" w:pos="284"/>
        </w:tabs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7B2000">
        <w:rPr>
          <w:rFonts w:ascii="Times New Roman" w:hAnsi="Times New Roman"/>
          <w:sz w:val="24"/>
          <w:szCs w:val="24"/>
        </w:rPr>
        <w:t xml:space="preserve">Legislatívno-technická úprava spočívajúca vo </w:t>
      </w:r>
      <w:r>
        <w:rPr>
          <w:rFonts w:ascii="Times New Roman" w:hAnsi="Times New Roman"/>
          <w:sz w:val="24"/>
          <w:szCs w:val="24"/>
        </w:rPr>
        <w:t>nahradení spojky „a“ spojkou vyjadrujúcou alternatívu v subjektoch, ktoré môžu navrhnúť pokračovanie konaní, tak ako to vyplýva z predchádzajúceho textu ustanovenia.</w:t>
      </w:r>
    </w:p>
    <w:p w:rsidR="00601417" w:rsidP="00601417">
      <w:pPr>
        <w:pStyle w:val="ListParagraph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u w:val="single"/>
        </w:rPr>
      </w:pPr>
    </w:p>
    <w:p w:rsidR="00601417" w:rsidRPr="003D0501" w:rsidP="006A4D53">
      <w:pPr>
        <w:pStyle w:val="ListParagraph"/>
        <w:numPr>
          <w:ilvl w:val="0"/>
          <w:numId w:val="5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D0501">
        <w:rPr>
          <w:rFonts w:ascii="Times New Roman" w:hAnsi="Times New Roman"/>
          <w:sz w:val="24"/>
          <w:szCs w:val="24"/>
          <w:u w:val="single"/>
        </w:rPr>
        <w:t>K čl. XV</w:t>
      </w:r>
    </w:p>
    <w:p w:rsidR="00601417" w:rsidP="00601417">
      <w:pPr>
        <w:tabs>
          <w:tab w:val="left" w:pos="284"/>
          <w:tab w:val="left" w:pos="1276"/>
        </w:tabs>
        <w:ind w:left="426"/>
        <w:jc w:val="both"/>
      </w:pPr>
      <w:r w:rsidR="006A4D53">
        <w:t xml:space="preserve">          </w:t>
      </w:r>
      <w:r w:rsidRPr="003D0501">
        <w:t xml:space="preserve">V čl. XV bod 5 </w:t>
      </w:r>
      <w:r>
        <w:t>znie:</w:t>
      </w:r>
    </w:p>
    <w:p w:rsidR="00601417" w:rsidP="006A4D53">
      <w:pPr>
        <w:tabs>
          <w:tab w:val="left" w:pos="284"/>
          <w:tab w:val="left" w:pos="993"/>
        </w:tabs>
        <w:ind w:left="993"/>
        <w:jc w:val="both"/>
      </w:pPr>
      <w:r>
        <w:t>„5.</w:t>
      </w:r>
      <w:r w:rsidRPr="00D6244E">
        <w:t xml:space="preserve"> </w:t>
      </w:r>
      <w:r>
        <w:t>V § 103 ods. 1 poslednej vete</w:t>
      </w:r>
      <w:r w:rsidRPr="00D6244E">
        <w:t xml:space="preserve"> sa za slová „konkurzu podľa“ vkladajú slo</w:t>
      </w:r>
      <w:r>
        <w:t xml:space="preserve">vá „§ 28 ods. 4,“, </w:t>
      </w:r>
      <w:r w:rsidRPr="00D6244E">
        <w:t xml:space="preserve"> vypúšťa sa čiarka za číslicou „56“ </w:t>
      </w:r>
      <w:r>
        <w:t xml:space="preserve">a vypúšťajú sa </w:t>
      </w:r>
      <w:r w:rsidRPr="00D6244E">
        <w:t>slová „obnovujú sa zabezpečovacie práva, ktoré zanikli podľa § 28 ods. 4,“.</w:t>
      </w:r>
      <w:r>
        <w:t xml:space="preserve">“. </w:t>
      </w:r>
    </w:p>
    <w:p w:rsidR="00601417" w:rsidP="00601417">
      <w:pPr>
        <w:tabs>
          <w:tab w:val="left" w:pos="284"/>
          <w:tab w:val="left" w:pos="1276"/>
        </w:tabs>
        <w:ind w:left="4248"/>
        <w:jc w:val="both"/>
      </w:pPr>
    </w:p>
    <w:p w:rsidR="00601417" w:rsidP="00601417">
      <w:pPr>
        <w:tabs>
          <w:tab w:val="left" w:pos="284"/>
          <w:tab w:val="left" w:pos="1276"/>
        </w:tabs>
        <w:ind w:left="4248"/>
        <w:jc w:val="both"/>
      </w:pPr>
    </w:p>
    <w:p w:rsidR="00601417" w:rsidRPr="003D0501" w:rsidP="00601417">
      <w:pPr>
        <w:tabs>
          <w:tab w:val="left" w:pos="284"/>
          <w:tab w:val="left" w:pos="1276"/>
        </w:tabs>
        <w:ind w:left="4248"/>
        <w:jc w:val="both"/>
      </w:pPr>
      <w:r>
        <w:t>Spresnenie formulácie ustanovenia bez vecnej a obsahovej zmeny.</w:t>
      </w:r>
    </w:p>
    <w:p w:rsidR="00601417" w:rsidP="00601417">
      <w:pPr>
        <w:pStyle w:val="ListParagraph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601417" w:rsidRPr="00F6349E" w:rsidP="006A4D53">
      <w:pPr>
        <w:pStyle w:val="ListParagraph"/>
        <w:numPr>
          <w:ilvl w:val="0"/>
          <w:numId w:val="5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6349E">
        <w:rPr>
          <w:rFonts w:ascii="Times New Roman" w:hAnsi="Times New Roman"/>
          <w:sz w:val="24"/>
          <w:szCs w:val="24"/>
          <w:u w:val="single"/>
        </w:rPr>
        <w:t>K čl. XV</w:t>
      </w:r>
    </w:p>
    <w:p w:rsidR="00601417" w:rsidP="006A4D53">
      <w:pPr>
        <w:pStyle w:val="ListParagraph"/>
        <w:tabs>
          <w:tab w:val="left" w:pos="284"/>
          <w:tab w:val="left" w:pos="993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XV bod 6 § 177 ods. 2 sa slová „vkladá čiarka a“ nahrádzajú slovami „vkladajú“ a slovo „Rade“ sa nahrádza slovami „a Rade“. </w:t>
      </w:r>
    </w:p>
    <w:p w:rsidR="00601417" w:rsidP="00601417">
      <w:pPr>
        <w:pStyle w:val="ListParagraph"/>
        <w:tabs>
          <w:tab w:val="left" w:pos="284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601417" w:rsidRPr="00FA553D" w:rsidP="00601417">
      <w:pPr>
        <w:pStyle w:val="ListParagraph"/>
        <w:tabs>
          <w:tab w:val="left" w:pos="284"/>
        </w:tabs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9830FF">
        <w:rPr>
          <w:rFonts w:ascii="Times New Roman" w:hAnsi="Times New Roman"/>
          <w:sz w:val="24"/>
          <w:szCs w:val="24"/>
        </w:rPr>
        <w:t>Legislatívno-technická</w:t>
      </w:r>
      <w:r>
        <w:rPr>
          <w:rFonts w:ascii="Times New Roman" w:hAnsi="Times New Roman"/>
          <w:sz w:val="24"/>
          <w:szCs w:val="24"/>
        </w:rPr>
        <w:t xml:space="preserve"> úprava spočívajúca vo vložení spojky „a“ namiesto čiarky, ktorá je gramaticky nesprávna.</w:t>
      </w:r>
    </w:p>
    <w:p w:rsidR="00601417" w:rsidP="00601417">
      <w:pPr>
        <w:rPr>
          <w:u w:val="single"/>
          <w:lang w:eastAsia="en-US"/>
        </w:rPr>
      </w:pPr>
    </w:p>
    <w:p w:rsidR="00601417" w:rsidP="00601417">
      <w:pPr>
        <w:rPr>
          <w:b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4D53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E71642"/>
    <w:multiLevelType w:val="hybridMultilevel"/>
    <w:tmpl w:val="3782C542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5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8007E2"/>
    <w:multiLevelType w:val="hybridMultilevel"/>
    <w:tmpl w:val="F9A2448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C7C1AE9"/>
    <w:multiLevelType w:val="hybridMultilevel"/>
    <w:tmpl w:val="6EE48E1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1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DC58AF"/>
    <w:multiLevelType w:val="hybridMultilevel"/>
    <w:tmpl w:val="F688747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2507BE"/>
    <w:multiLevelType w:val="hybridMultilevel"/>
    <w:tmpl w:val="7BF283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6C420D"/>
    <w:multiLevelType w:val="hybridMultilevel"/>
    <w:tmpl w:val="5364760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6"/>
  </w:num>
  <w:num w:numId="5">
    <w:abstractNumId w:val="34"/>
  </w:num>
  <w:num w:numId="6">
    <w:abstractNumId w:val="8"/>
  </w:num>
  <w:num w:numId="7">
    <w:abstractNumId w:val="21"/>
  </w:num>
  <w:num w:numId="8">
    <w:abstractNumId w:val="41"/>
  </w:num>
  <w:num w:numId="9">
    <w:abstractNumId w:val="42"/>
  </w:num>
  <w:num w:numId="10">
    <w:abstractNumId w:val="2"/>
  </w:num>
  <w:num w:numId="11">
    <w:abstractNumId w:val="25"/>
  </w:num>
  <w:num w:numId="12">
    <w:abstractNumId w:val="11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44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0"/>
  </w:num>
  <w:num w:numId="19">
    <w:abstractNumId w:val="13"/>
  </w:num>
  <w:num w:numId="20">
    <w:abstractNumId w:val="33"/>
  </w:num>
  <w:num w:numId="21">
    <w:abstractNumId w:val="9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</w:num>
  <w:num w:numId="24">
    <w:abstractNumId w:val="28"/>
  </w:num>
  <w:num w:numId="25">
    <w:abstractNumId w:val="45"/>
  </w:num>
  <w:num w:numId="26">
    <w:abstractNumId w:val="27"/>
  </w:num>
  <w:num w:numId="27">
    <w:abstractNumId w:val="24"/>
  </w:num>
  <w:num w:numId="28">
    <w:abstractNumId w:val="12"/>
  </w:num>
  <w:num w:numId="29">
    <w:abstractNumId w:val="4"/>
  </w:num>
  <w:num w:numId="30">
    <w:abstractNumId w:val="39"/>
  </w:num>
  <w:num w:numId="31">
    <w:abstractNumId w:val="18"/>
  </w:num>
  <w:num w:numId="32">
    <w:abstractNumId w:val="26"/>
  </w:num>
  <w:num w:numId="33">
    <w:abstractNumId w:val="20"/>
  </w:num>
  <w:num w:numId="34">
    <w:abstractNumId w:val="15"/>
  </w:num>
  <w:num w:numId="35">
    <w:abstractNumId w:val="22"/>
  </w:num>
  <w:num w:numId="36">
    <w:abstractNumId w:val="7"/>
  </w:num>
  <w:num w:numId="37">
    <w:abstractNumId w:val="23"/>
  </w:num>
  <w:num w:numId="38">
    <w:abstractNumId w:val="0"/>
  </w:num>
  <w:num w:numId="39">
    <w:abstractNumId w:val="31"/>
  </w:num>
  <w:num w:numId="40">
    <w:abstractNumId w:val="29"/>
  </w:num>
  <w:num w:numId="41">
    <w:abstractNumId w:val="38"/>
  </w:num>
  <w:num w:numId="42">
    <w:abstractNumId w:val="36"/>
  </w:num>
  <w:num w:numId="43">
    <w:abstractNumId w:val="3"/>
  </w:num>
  <w:num w:numId="44">
    <w:abstractNumId w:val="47"/>
  </w:num>
  <w:num w:numId="45">
    <w:abstractNumId w:val="17"/>
  </w:num>
  <w:num w:numId="46">
    <w:abstractNumId w:val="48"/>
  </w:num>
  <w:num w:numId="47">
    <w:abstractNumId w:val="40"/>
  </w:num>
  <w:num w:numId="48">
    <w:abstractNumId w:val="35"/>
  </w:num>
  <w:num w:numId="49">
    <w:abstractNumId w:val="19"/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39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aliases w:val="Odsek,Odsek zoznamu1,body"/>
    <w:basedOn w:val="Normal"/>
    <w:link w:val="OdsekzoznamuChar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character" w:customStyle="1" w:styleId="OdsekzoznamuChar">
    <w:name w:val="Odsek zoznamu Char"/>
    <w:aliases w:val="Odsek Char,Odsek zoznamu1 Char,body Char"/>
    <w:link w:val="ListParagraph"/>
    <w:uiPriority w:val="34"/>
    <w:locked/>
    <w:rsid w:val="00601417"/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6A4D53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E1387-02F0-4A1A-B674-AE1F5382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40</cp:revision>
  <cp:lastPrinted>2015-11-03T17:37:00Z</cp:lastPrinted>
  <dcterms:created xsi:type="dcterms:W3CDTF">2013-06-14T07:14:00Z</dcterms:created>
  <dcterms:modified xsi:type="dcterms:W3CDTF">2019-10-10T11:45:00Z</dcterms:modified>
</cp:coreProperties>
</file>