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424E6A">
        <w:t>91</w:t>
      </w:r>
      <w:r w:rsidRPr="00B152E7">
        <w:t>. schôdza výboru</w:t>
      </w:r>
    </w:p>
    <w:p w:rsidR="0003368B" w:rsidRPr="002771E3" w:rsidRDefault="00720E42" w:rsidP="002771E3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424E6A">
        <w:rPr>
          <w:rFonts w:ascii="Times New Roman" w:hAnsi="Times New Roman"/>
          <w:color w:val="auto"/>
          <w:lang w:val="sk-SK"/>
        </w:rPr>
        <w:t>1740</w:t>
      </w:r>
      <w:r w:rsidR="006E1DB4">
        <w:rPr>
          <w:rFonts w:ascii="Times New Roman" w:hAnsi="Times New Roman"/>
          <w:iCs/>
          <w:color w:val="auto"/>
          <w:lang w:val="sk-SK"/>
        </w:rPr>
        <w:t>/2019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C17AB4" w:rsidRDefault="005C363E" w:rsidP="00C17AB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397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424E6A">
        <w:t>10</w:t>
      </w:r>
      <w:r w:rsidR="00720E42" w:rsidRPr="00B152E7">
        <w:t xml:space="preserve">. </w:t>
      </w:r>
      <w:r w:rsidR="00424E6A">
        <w:t xml:space="preserve">októbra </w:t>
      </w:r>
      <w:r w:rsidR="006E1DB4">
        <w:t>2019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6E1DB4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424E6A" w:rsidRPr="00424E6A">
        <w:rPr>
          <w:color w:val="auto"/>
        </w:rPr>
        <w:t>vládnemu</w:t>
      </w:r>
      <w:proofErr w:type="spellEnd"/>
      <w:r w:rsidR="00424E6A" w:rsidRPr="00424E6A">
        <w:rPr>
          <w:color w:val="auto"/>
        </w:rPr>
        <w:t xml:space="preserve"> návrhu zákona, </w:t>
      </w:r>
      <w:proofErr w:type="spellStart"/>
      <w:r w:rsidR="00424E6A" w:rsidRPr="00424E6A">
        <w:rPr>
          <w:color w:val="auto"/>
        </w:rPr>
        <w:t>ktorým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sa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mení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dopĺňa</w:t>
      </w:r>
      <w:proofErr w:type="spellEnd"/>
      <w:r w:rsidR="00424E6A" w:rsidRPr="00424E6A">
        <w:rPr>
          <w:color w:val="auto"/>
        </w:rPr>
        <w:t xml:space="preserve"> zákon č. </w:t>
      </w:r>
      <w:proofErr w:type="gramStart"/>
      <w:r w:rsidR="00424E6A" w:rsidRPr="00424E6A">
        <w:rPr>
          <w:color w:val="auto"/>
        </w:rPr>
        <w:t xml:space="preserve">609/2007 Z. z. o </w:t>
      </w:r>
      <w:proofErr w:type="spellStart"/>
      <w:r w:rsidR="00424E6A" w:rsidRPr="00424E6A">
        <w:rPr>
          <w:color w:val="auto"/>
        </w:rPr>
        <w:t>spotrebnej</w:t>
      </w:r>
      <w:proofErr w:type="spellEnd"/>
      <w:proofErr w:type="gramEnd"/>
      <w:r w:rsidR="00424E6A" w:rsidRPr="00424E6A">
        <w:rPr>
          <w:color w:val="auto"/>
        </w:rPr>
        <w:t xml:space="preserve"> dani z </w:t>
      </w:r>
      <w:proofErr w:type="spellStart"/>
      <w:r w:rsidR="00424E6A" w:rsidRPr="00424E6A">
        <w:rPr>
          <w:color w:val="auto"/>
        </w:rPr>
        <w:t>elektriny</w:t>
      </w:r>
      <w:proofErr w:type="spellEnd"/>
      <w:r w:rsidR="00424E6A" w:rsidRPr="00424E6A">
        <w:rPr>
          <w:color w:val="auto"/>
        </w:rPr>
        <w:t xml:space="preserve">, </w:t>
      </w:r>
      <w:proofErr w:type="spellStart"/>
      <w:r w:rsidR="00424E6A" w:rsidRPr="00424E6A">
        <w:rPr>
          <w:color w:val="auto"/>
        </w:rPr>
        <w:t>uhlia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zemného</w:t>
      </w:r>
      <w:proofErr w:type="spellEnd"/>
      <w:r w:rsidR="00424E6A" w:rsidRPr="00424E6A">
        <w:rPr>
          <w:color w:val="auto"/>
        </w:rPr>
        <w:t xml:space="preserve"> plynu a o </w:t>
      </w:r>
      <w:proofErr w:type="spellStart"/>
      <w:r w:rsidR="00424E6A" w:rsidRPr="00424E6A">
        <w:rPr>
          <w:color w:val="auto"/>
        </w:rPr>
        <w:t>zmene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doplnení</w:t>
      </w:r>
      <w:proofErr w:type="spellEnd"/>
      <w:r w:rsidR="00424E6A" w:rsidRPr="00424E6A">
        <w:rPr>
          <w:color w:val="auto"/>
        </w:rPr>
        <w:t xml:space="preserve"> zákona č. 98/2004 Z. z. o </w:t>
      </w:r>
      <w:proofErr w:type="spellStart"/>
      <w:r w:rsidR="00424E6A" w:rsidRPr="00424E6A">
        <w:rPr>
          <w:color w:val="auto"/>
        </w:rPr>
        <w:t>spotrebnej</w:t>
      </w:r>
      <w:proofErr w:type="spellEnd"/>
      <w:r w:rsidR="00424E6A" w:rsidRPr="00424E6A">
        <w:rPr>
          <w:color w:val="auto"/>
        </w:rPr>
        <w:t xml:space="preserve"> dani z </w:t>
      </w:r>
      <w:proofErr w:type="spellStart"/>
      <w:r w:rsidR="00424E6A" w:rsidRPr="00424E6A">
        <w:rPr>
          <w:color w:val="auto"/>
        </w:rPr>
        <w:t>minerálneho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oleja</w:t>
      </w:r>
      <w:proofErr w:type="spellEnd"/>
      <w:r w:rsidR="00424E6A" w:rsidRPr="00424E6A">
        <w:rPr>
          <w:color w:val="auto"/>
        </w:rPr>
        <w:t xml:space="preserve"> v </w:t>
      </w:r>
      <w:proofErr w:type="spellStart"/>
      <w:r w:rsidR="00424E6A" w:rsidRPr="00424E6A">
        <w:rPr>
          <w:color w:val="auto"/>
        </w:rPr>
        <w:t>znení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neskorších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predpisov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ktorým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sa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mení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dopĺňa</w:t>
      </w:r>
      <w:proofErr w:type="spellEnd"/>
      <w:r w:rsidR="00424E6A" w:rsidRPr="00424E6A">
        <w:rPr>
          <w:color w:val="auto"/>
        </w:rPr>
        <w:t xml:space="preserve"> zákon č. 98/2004 Z. z. o </w:t>
      </w:r>
      <w:proofErr w:type="spellStart"/>
      <w:r w:rsidR="00424E6A" w:rsidRPr="00424E6A">
        <w:rPr>
          <w:color w:val="auto"/>
        </w:rPr>
        <w:t>spotrebnej</w:t>
      </w:r>
      <w:proofErr w:type="spellEnd"/>
      <w:r w:rsidR="00424E6A" w:rsidRPr="00424E6A">
        <w:rPr>
          <w:color w:val="auto"/>
        </w:rPr>
        <w:t xml:space="preserve"> dani z </w:t>
      </w:r>
      <w:proofErr w:type="spellStart"/>
      <w:r w:rsidR="00424E6A" w:rsidRPr="00424E6A">
        <w:rPr>
          <w:color w:val="auto"/>
        </w:rPr>
        <w:t>minerálneho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oleja</w:t>
      </w:r>
      <w:proofErr w:type="spellEnd"/>
      <w:r w:rsidR="00424E6A" w:rsidRPr="00424E6A">
        <w:rPr>
          <w:color w:val="auto"/>
        </w:rPr>
        <w:t xml:space="preserve"> v </w:t>
      </w:r>
      <w:proofErr w:type="spellStart"/>
      <w:r w:rsidR="00424E6A" w:rsidRPr="00424E6A">
        <w:rPr>
          <w:color w:val="auto"/>
        </w:rPr>
        <w:t>znení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neskorších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predpisov</w:t>
      </w:r>
      <w:proofErr w:type="spellEnd"/>
      <w:r w:rsidR="00424E6A" w:rsidRPr="00424E6A">
        <w:rPr>
          <w:color w:val="auto"/>
        </w:rPr>
        <w:t xml:space="preserve"> (tlač 1593)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424E6A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 </w:t>
      </w:r>
      <w:proofErr w:type="spellStart"/>
      <w:r w:rsidR="00424E6A" w:rsidRPr="00424E6A">
        <w:rPr>
          <w:color w:val="auto"/>
        </w:rPr>
        <w:t>vládnym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návrhom</w:t>
      </w:r>
      <w:proofErr w:type="spellEnd"/>
      <w:r w:rsidR="00424E6A" w:rsidRPr="00424E6A">
        <w:rPr>
          <w:color w:val="auto"/>
        </w:rPr>
        <w:t xml:space="preserve"> zákona, </w:t>
      </w:r>
      <w:proofErr w:type="spellStart"/>
      <w:r w:rsidR="00424E6A" w:rsidRPr="00424E6A">
        <w:rPr>
          <w:color w:val="auto"/>
        </w:rPr>
        <w:t>ktorým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sa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mení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dopĺňa</w:t>
      </w:r>
      <w:proofErr w:type="spellEnd"/>
      <w:r w:rsidR="00424E6A" w:rsidRPr="00424E6A">
        <w:rPr>
          <w:color w:val="auto"/>
        </w:rPr>
        <w:t xml:space="preserve"> zákon č. </w:t>
      </w:r>
      <w:proofErr w:type="gramStart"/>
      <w:r w:rsidR="00424E6A" w:rsidRPr="00424E6A">
        <w:rPr>
          <w:color w:val="auto"/>
        </w:rPr>
        <w:t xml:space="preserve">609/2007 Z. z. o </w:t>
      </w:r>
      <w:proofErr w:type="spellStart"/>
      <w:r w:rsidR="00424E6A" w:rsidRPr="00424E6A">
        <w:rPr>
          <w:color w:val="auto"/>
        </w:rPr>
        <w:t>spotrebnej</w:t>
      </w:r>
      <w:proofErr w:type="spellEnd"/>
      <w:proofErr w:type="gramEnd"/>
      <w:r w:rsidR="00424E6A" w:rsidRPr="00424E6A">
        <w:rPr>
          <w:color w:val="auto"/>
        </w:rPr>
        <w:t xml:space="preserve"> dani z </w:t>
      </w:r>
      <w:proofErr w:type="spellStart"/>
      <w:r w:rsidR="00424E6A" w:rsidRPr="00424E6A">
        <w:rPr>
          <w:color w:val="auto"/>
        </w:rPr>
        <w:t>elektriny</w:t>
      </w:r>
      <w:proofErr w:type="spellEnd"/>
      <w:r w:rsidR="00424E6A" w:rsidRPr="00424E6A">
        <w:rPr>
          <w:color w:val="auto"/>
        </w:rPr>
        <w:t xml:space="preserve">, </w:t>
      </w:r>
      <w:proofErr w:type="spellStart"/>
      <w:r w:rsidR="00424E6A" w:rsidRPr="00424E6A">
        <w:rPr>
          <w:color w:val="auto"/>
        </w:rPr>
        <w:t>uhlia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zemného</w:t>
      </w:r>
      <w:proofErr w:type="spellEnd"/>
      <w:r w:rsidR="00424E6A" w:rsidRPr="00424E6A">
        <w:rPr>
          <w:color w:val="auto"/>
        </w:rPr>
        <w:t xml:space="preserve"> plynu a o </w:t>
      </w:r>
      <w:proofErr w:type="spellStart"/>
      <w:r w:rsidR="00424E6A" w:rsidRPr="00424E6A">
        <w:rPr>
          <w:color w:val="auto"/>
        </w:rPr>
        <w:t>zmene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doplnení</w:t>
      </w:r>
      <w:proofErr w:type="spellEnd"/>
      <w:r w:rsidR="00424E6A" w:rsidRPr="00424E6A">
        <w:rPr>
          <w:color w:val="auto"/>
        </w:rPr>
        <w:t xml:space="preserve"> zákona č. 98/2004 Z. z. o </w:t>
      </w:r>
      <w:proofErr w:type="spellStart"/>
      <w:r w:rsidR="00424E6A" w:rsidRPr="00424E6A">
        <w:rPr>
          <w:color w:val="auto"/>
        </w:rPr>
        <w:t>spotrebnej</w:t>
      </w:r>
      <w:proofErr w:type="spellEnd"/>
      <w:r w:rsidR="00424E6A" w:rsidRPr="00424E6A">
        <w:rPr>
          <w:color w:val="auto"/>
        </w:rPr>
        <w:t xml:space="preserve"> dani z </w:t>
      </w:r>
      <w:proofErr w:type="spellStart"/>
      <w:r w:rsidR="00424E6A" w:rsidRPr="00424E6A">
        <w:rPr>
          <w:color w:val="auto"/>
        </w:rPr>
        <w:t>minerálneho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oleja</w:t>
      </w:r>
      <w:proofErr w:type="spellEnd"/>
      <w:r w:rsidR="00424E6A" w:rsidRPr="00424E6A">
        <w:rPr>
          <w:color w:val="auto"/>
        </w:rPr>
        <w:t xml:space="preserve"> v </w:t>
      </w:r>
      <w:proofErr w:type="spellStart"/>
      <w:r w:rsidR="00424E6A" w:rsidRPr="00424E6A">
        <w:rPr>
          <w:color w:val="auto"/>
        </w:rPr>
        <w:t>znení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neskorších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predpisov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ktorým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sa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mení</w:t>
      </w:r>
      <w:proofErr w:type="spellEnd"/>
      <w:r w:rsidR="00424E6A" w:rsidRPr="00424E6A">
        <w:rPr>
          <w:color w:val="auto"/>
        </w:rPr>
        <w:t xml:space="preserve"> a </w:t>
      </w:r>
      <w:proofErr w:type="spellStart"/>
      <w:r w:rsidR="00424E6A" w:rsidRPr="00424E6A">
        <w:rPr>
          <w:color w:val="auto"/>
        </w:rPr>
        <w:t>dopĺňa</w:t>
      </w:r>
      <w:proofErr w:type="spellEnd"/>
      <w:r w:rsidR="00424E6A" w:rsidRPr="00424E6A">
        <w:rPr>
          <w:color w:val="auto"/>
        </w:rPr>
        <w:t xml:space="preserve"> zákon č. 98/2004 Z. z. o </w:t>
      </w:r>
      <w:proofErr w:type="spellStart"/>
      <w:r w:rsidR="00424E6A" w:rsidRPr="00424E6A">
        <w:rPr>
          <w:color w:val="auto"/>
        </w:rPr>
        <w:t>spotrebnej</w:t>
      </w:r>
      <w:proofErr w:type="spellEnd"/>
      <w:r w:rsidR="00424E6A" w:rsidRPr="00424E6A">
        <w:rPr>
          <w:color w:val="auto"/>
        </w:rPr>
        <w:t xml:space="preserve"> dani z </w:t>
      </w:r>
      <w:proofErr w:type="spellStart"/>
      <w:r w:rsidR="00424E6A" w:rsidRPr="00424E6A">
        <w:rPr>
          <w:color w:val="auto"/>
        </w:rPr>
        <w:t>minerálneho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oleja</w:t>
      </w:r>
      <w:proofErr w:type="spellEnd"/>
      <w:r w:rsidR="00424E6A" w:rsidRPr="00424E6A">
        <w:rPr>
          <w:color w:val="auto"/>
        </w:rPr>
        <w:t xml:space="preserve"> v </w:t>
      </w:r>
      <w:proofErr w:type="spellStart"/>
      <w:r w:rsidR="00424E6A" w:rsidRPr="00424E6A">
        <w:rPr>
          <w:color w:val="auto"/>
        </w:rPr>
        <w:t>znení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neskorších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424E6A" w:rsidRPr="00424E6A">
        <w:rPr>
          <w:color w:val="auto"/>
        </w:rPr>
        <w:t>predpisov</w:t>
      </w:r>
      <w:proofErr w:type="spellEnd"/>
      <w:r w:rsidR="00424E6A" w:rsidRPr="00424E6A">
        <w:rPr>
          <w:color w:val="auto"/>
        </w:rPr>
        <w:t xml:space="preserve"> (tlač 1593)</w:t>
      </w:r>
      <w:r w:rsidR="00901424" w:rsidRPr="00424E6A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24E6A" w:rsidRPr="00242EDA" w:rsidRDefault="00424E6A" w:rsidP="00424E6A">
      <w:pPr>
        <w:pStyle w:val="Zarkazkladnhotextu2"/>
        <w:ind w:firstLine="709"/>
        <w:rPr>
          <w:rFonts w:ascii="Times New Roman" w:hAnsi="Times New Roman"/>
          <w:color w:val="000000" w:themeColor="text1"/>
          <w:lang w:val="sk-SK"/>
        </w:rPr>
      </w:pPr>
      <w:proofErr w:type="spellStart"/>
      <w:r w:rsidRPr="00424E6A">
        <w:rPr>
          <w:color w:val="auto"/>
        </w:rPr>
        <w:t>vládny</w:t>
      </w:r>
      <w:proofErr w:type="spellEnd"/>
      <w:r w:rsidRPr="00424E6A">
        <w:rPr>
          <w:color w:val="auto"/>
        </w:rPr>
        <w:t xml:space="preserve"> návrh zákona, </w:t>
      </w:r>
      <w:proofErr w:type="spellStart"/>
      <w:r w:rsidRPr="00424E6A">
        <w:rPr>
          <w:color w:val="auto"/>
        </w:rPr>
        <w:t>ktorým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sa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mení</w:t>
      </w:r>
      <w:proofErr w:type="spellEnd"/>
      <w:r w:rsidRPr="00424E6A">
        <w:rPr>
          <w:color w:val="auto"/>
        </w:rPr>
        <w:t xml:space="preserve"> a </w:t>
      </w:r>
      <w:proofErr w:type="spellStart"/>
      <w:r w:rsidRPr="00424E6A">
        <w:rPr>
          <w:color w:val="auto"/>
        </w:rPr>
        <w:t>dopĺňa</w:t>
      </w:r>
      <w:proofErr w:type="spellEnd"/>
      <w:r w:rsidRPr="00424E6A">
        <w:rPr>
          <w:color w:val="auto"/>
        </w:rPr>
        <w:t xml:space="preserve"> zákon č. </w:t>
      </w:r>
      <w:proofErr w:type="gramStart"/>
      <w:r w:rsidRPr="00424E6A">
        <w:rPr>
          <w:color w:val="auto"/>
        </w:rPr>
        <w:t xml:space="preserve">609/2007 Z. z. o </w:t>
      </w:r>
      <w:proofErr w:type="spellStart"/>
      <w:r w:rsidRPr="00424E6A">
        <w:rPr>
          <w:color w:val="auto"/>
        </w:rPr>
        <w:t>spotrebnej</w:t>
      </w:r>
      <w:proofErr w:type="spellEnd"/>
      <w:proofErr w:type="gramEnd"/>
      <w:r w:rsidRPr="00424E6A">
        <w:rPr>
          <w:color w:val="auto"/>
        </w:rPr>
        <w:t xml:space="preserve"> dani z </w:t>
      </w:r>
      <w:proofErr w:type="spellStart"/>
      <w:r w:rsidRPr="00424E6A">
        <w:rPr>
          <w:color w:val="auto"/>
        </w:rPr>
        <w:t>elektriny</w:t>
      </w:r>
      <w:proofErr w:type="spellEnd"/>
      <w:r w:rsidRPr="00424E6A">
        <w:rPr>
          <w:color w:val="auto"/>
        </w:rPr>
        <w:t xml:space="preserve">, </w:t>
      </w:r>
      <w:proofErr w:type="spellStart"/>
      <w:r w:rsidRPr="00424E6A">
        <w:rPr>
          <w:color w:val="auto"/>
        </w:rPr>
        <w:t>uhlia</w:t>
      </w:r>
      <w:proofErr w:type="spellEnd"/>
      <w:r w:rsidRPr="00424E6A">
        <w:rPr>
          <w:color w:val="auto"/>
        </w:rPr>
        <w:t xml:space="preserve"> a </w:t>
      </w:r>
      <w:proofErr w:type="spellStart"/>
      <w:r w:rsidRPr="00424E6A">
        <w:rPr>
          <w:color w:val="auto"/>
        </w:rPr>
        <w:t>zemného</w:t>
      </w:r>
      <w:proofErr w:type="spellEnd"/>
      <w:r w:rsidRPr="00424E6A">
        <w:rPr>
          <w:color w:val="auto"/>
        </w:rPr>
        <w:t xml:space="preserve"> plynu a o </w:t>
      </w:r>
      <w:proofErr w:type="spellStart"/>
      <w:r w:rsidRPr="00424E6A">
        <w:rPr>
          <w:color w:val="auto"/>
        </w:rPr>
        <w:t>zmene</w:t>
      </w:r>
      <w:proofErr w:type="spellEnd"/>
      <w:r w:rsidRPr="00424E6A">
        <w:rPr>
          <w:color w:val="auto"/>
        </w:rPr>
        <w:t xml:space="preserve"> a </w:t>
      </w:r>
      <w:proofErr w:type="spellStart"/>
      <w:r w:rsidRPr="00424E6A">
        <w:rPr>
          <w:color w:val="auto"/>
        </w:rPr>
        <w:t>doplnení</w:t>
      </w:r>
      <w:proofErr w:type="spellEnd"/>
      <w:r w:rsidRPr="00424E6A">
        <w:rPr>
          <w:color w:val="auto"/>
        </w:rPr>
        <w:t xml:space="preserve"> zákona č. 98/2004 Z. z. o </w:t>
      </w:r>
      <w:proofErr w:type="spellStart"/>
      <w:r w:rsidRPr="00424E6A">
        <w:rPr>
          <w:color w:val="auto"/>
        </w:rPr>
        <w:t>spotrebnej</w:t>
      </w:r>
      <w:proofErr w:type="spellEnd"/>
      <w:r w:rsidRPr="00424E6A">
        <w:rPr>
          <w:color w:val="auto"/>
        </w:rPr>
        <w:t xml:space="preserve"> dani z </w:t>
      </w:r>
      <w:proofErr w:type="spellStart"/>
      <w:r w:rsidRPr="00424E6A">
        <w:rPr>
          <w:color w:val="auto"/>
        </w:rPr>
        <w:t>minerálneho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oleja</w:t>
      </w:r>
      <w:proofErr w:type="spellEnd"/>
      <w:r w:rsidRPr="00424E6A">
        <w:rPr>
          <w:color w:val="auto"/>
        </w:rPr>
        <w:t xml:space="preserve"> v </w:t>
      </w:r>
      <w:proofErr w:type="spellStart"/>
      <w:r w:rsidRPr="00424E6A">
        <w:rPr>
          <w:color w:val="auto"/>
        </w:rPr>
        <w:t>znení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neskorších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predpisov</w:t>
      </w:r>
      <w:proofErr w:type="spellEnd"/>
      <w:r w:rsidRPr="00424E6A">
        <w:rPr>
          <w:color w:val="auto"/>
        </w:rPr>
        <w:t xml:space="preserve"> a </w:t>
      </w:r>
      <w:proofErr w:type="spellStart"/>
      <w:r w:rsidRPr="00424E6A">
        <w:rPr>
          <w:color w:val="auto"/>
        </w:rPr>
        <w:t>ktorým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sa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mení</w:t>
      </w:r>
      <w:proofErr w:type="spellEnd"/>
      <w:r w:rsidRPr="00424E6A">
        <w:rPr>
          <w:color w:val="auto"/>
        </w:rPr>
        <w:t xml:space="preserve"> a </w:t>
      </w:r>
      <w:proofErr w:type="spellStart"/>
      <w:r w:rsidRPr="00424E6A">
        <w:rPr>
          <w:color w:val="auto"/>
        </w:rPr>
        <w:t>dopĺňa</w:t>
      </w:r>
      <w:proofErr w:type="spellEnd"/>
      <w:r w:rsidRPr="00424E6A">
        <w:rPr>
          <w:color w:val="auto"/>
        </w:rPr>
        <w:t xml:space="preserve"> zákon č. 98/2004 Z. z. o </w:t>
      </w:r>
      <w:proofErr w:type="spellStart"/>
      <w:r w:rsidRPr="00424E6A">
        <w:rPr>
          <w:color w:val="auto"/>
        </w:rPr>
        <w:t>spotrebnej</w:t>
      </w:r>
      <w:proofErr w:type="spellEnd"/>
      <w:r w:rsidRPr="00424E6A">
        <w:rPr>
          <w:color w:val="auto"/>
        </w:rPr>
        <w:t xml:space="preserve"> dani z </w:t>
      </w:r>
      <w:proofErr w:type="spellStart"/>
      <w:r w:rsidRPr="00424E6A">
        <w:rPr>
          <w:color w:val="auto"/>
        </w:rPr>
        <w:t>minerálneho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oleja</w:t>
      </w:r>
      <w:proofErr w:type="spellEnd"/>
      <w:r w:rsidRPr="00424E6A">
        <w:rPr>
          <w:color w:val="auto"/>
        </w:rPr>
        <w:t xml:space="preserve"> v </w:t>
      </w:r>
      <w:proofErr w:type="spellStart"/>
      <w:r w:rsidRPr="00424E6A">
        <w:rPr>
          <w:color w:val="auto"/>
        </w:rPr>
        <w:t>znení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neskorších</w:t>
      </w:r>
      <w:proofErr w:type="spellEnd"/>
      <w:r w:rsidRPr="00424E6A">
        <w:rPr>
          <w:color w:val="auto"/>
        </w:rPr>
        <w:t xml:space="preserve"> </w:t>
      </w:r>
      <w:proofErr w:type="spellStart"/>
      <w:r w:rsidRPr="00424E6A">
        <w:rPr>
          <w:color w:val="auto"/>
        </w:rPr>
        <w:t>predpisov</w:t>
      </w:r>
      <w:proofErr w:type="spellEnd"/>
      <w:r w:rsidRPr="00424E6A">
        <w:rPr>
          <w:color w:val="auto"/>
        </w:rPr>
        <w:t xml:space="preserve"> (tlač 1593)</w:t>
      </w:r>
      <w:r w:rsidR="00720E42" w:rsidRPr="00424E6A"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schváliť</w:t>
      </w:r>
      <w:proofErr w:type="spellEnd"/>
      <w:r>
        <w:rPr>
          <w:rFonts w:ascii="Times New Roman" w:hAnsi="Times New Roman"/>
          <w:color w:val="auto"/>
        </w:rPr>
        <w:t xml:space="preserve"> </w:t>
      </w:r>
      <w:r w:rsidRPr="00242EDA">
        <w:rPr>
          <w:rFonts w:ascii="AT*Toronto CE" w:hAnsi="AT*Toronto CE"/>
          <w:bCs/>
          <w:color w:val="000000" w:themeColor="text1"/>
        </w:rPr>
        <w:t>s </w:t>
      </w:r>
      <w:proofErr w:type="spellStart"/>
      <w:r w:rsidRPr="00242EDA">
        <w:rPr>
          <w:rFonts w:ascii="AT*Toronto CE" w:hAnsi="AT*Toronto CE"/>
          <w:bCs/>
          <w:color w:val="000000" w:themeColor="text1"/>
        </w:rPr>
        <w:t>pozmeňujúcimi</w:t>
      </w:r>
      <w:proofErr w:type="spellEnd"/>
      <w:r w:rsidRPr="00242EDA">
        <w:rPr>
          <w:rFonts w:ascii="AT*Toronto CE" w:hAnsi="AT*Toronto CE"/>
          <w:bCs/>
          <w:color w:val="000000" w:themeColor="text1"/>
        </w:rPr>
        <w:t xml:space="preserve"> a </w:t>
      </w:r>
      <w:proofErr w:type="spellStart"/>
      <w:r w:rsidRPr="00242EDA">
        <w:rPr>
          <w:rFonts w:ascii="AT*Toronto CE" w:hAnsi="AT*Toronto CE"/>
          <w:bCs/>
          <w:color w:val="000000" w:themeColor="text1"/>
        </w:rPr>
        <w:t>doplňujúcimi</w:t>
      </w:r>
      <w:proofErr w:type="spellEnd"/>
      <w:r w:rsidRPr="00242EDA">
        <w:rPr>
          <w:rFonts w:ascii="AT*Toronto CE" w:hAnsi="AT*Toronto CE"/>
          <w:bCs/>
          <w:color w:val="000000" w:themeColor="text1"/>
        </w:rPr>
        <w:t xml:space="preserve"> </w:t>
      </w:r>
      <w:proofErr w:type="spellStart"/>
      <w:r w:rsidRPr="00242EDA">
        <w:rPr>
          <w:rFonts w:ascii="AT*Toronto CE" w:hAnsi="AT*Toronto CE"/>
          <w:bCs/>
          <w:color w:val="000000" w:themeColor="text1"/>
        </w:rPr>
        <w:t>návrhmi</w:t>
      </w:r>
      <w:proofErr w:type="spellEnd"/>
      <w:r w:rsidRPr="00242EDA">
        <w:rPr>
          <w:rFonts w:ascii="AT*Toronto CE" w:hAnsi="AT*Toronto CE"/>
          <w:bCs/>
          <w:color w:val="000000" w:themeColor="text1"/>
        </w:rPr>
        <w:t xml:space="preserve"> uvedenými v </w:t>
      </w:r>
      <w:proofErr w:type="spellStart"/>
      <w:r w:rsidRPr="00242EDA">
        <w:rPr>
          <w:rFonts w:ascii="AT*Toronto CE" w:hAnsi="AT*Toronto CE"/>
          <w:bCs/>
          <w:color w:val="000000" w:themeColor="text1"/>
        </w:rPr>
        <w:t>prílohe</w:t>
      </w:r>
      <w:proofErr w:type="spellEnd"/>
      <w:r w:rsidRPr="00242EDA">
        <w:rPr>
          <w:rFonts w:ascii="AT*Toronto CE" w:hAnsi="AT*Toronto CE"/>
          <w:bCs/>
          <w:color w:val="000000" w:themeColor="text1"/>
        </w:rPr>
        <w:t>;</w:t>
      </w:r>
    </w:p>
    <w:p w:rsidR="00720E42" w:rsidRPr="00B152E7" w:rsidRDefault="001733AF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771E3" w:rsidP="00992331">
      <w:pPr>
        <w:ind w:firstLine="709"/>
        <w:jc w:val="both"/>
      </w:pPr>
      <w:r>
        <w:t>predsedníčke</w:t>
      </w:r>
      <w:r w:rsidR="00720E42" w:rsidRPr="00B152E7">
        <w:t xml:space="preserve"> výboru predložiť stanovisko výboru k uvedenému návrhu zákona predsedovi gestorského </w:t>
      </w:r>
      <w:r w:rsidR="006E1DB4">
        <w:t xml:space="preserve">Výboru </w:t>
      </w:r>
      <w:r w:rsidR="00BF7858">
        <w:t xml:space="preserve"> Nár</w:t>
      </w:r>
      <w:r w:rsidR="006E1DB4">
        <w:t xml:space="preserve">odnej rady Slovenskej republiky pre </w:t>
      </w:r>
      <w:r w:rsidR="00F04944">
        <w:t>financie a rozpočet</w:t>
      </w:r>
      <w:r w:rsidR="006E1DB4">
        <w:t>.</w:t>
      </w:r>
    </w:p>
    <w:p w:rsidR="00720E42" w:rsidRDefault="00720E42" w:rsidP="00720E42">
      <w:pPr>
        <w:jc w:val="both"/>
      </w:pPr>
    </w:p>
    <w:p w:rsidR="001129EA" w:rsidRPr="000204AD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</w:t>
      </w:r>
      <w:r w:rsidR="00F8266D" w:rsidRPr="00B152E7">
        <w:t xml:space="preserve">                       </w:t>
      </w:r>
      <w:r w:rsidR="001129EA" w:rsidRPr="00B152E7">
        <w:rPr>
          <w:b/>
        </w:rPr>
        <w:t xml:space="preserve"> </w:t>
      </w:r>
      <w:r w:rsidR="001129EA"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EA4E15" w:rsidP="00844F66">
      <w:pPr>
        <w:jc w:val="both"/>
        <w:rPr>
          <w:b/>
          <w:bCs/>
        </w:rPr>
      </w:pPr>
      <w:r>
        <w:tab/>
      </w:r>
      <w:r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F04944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F04944" w:rsidRPr="00F04944">
        <w:t xml:space="preserve"> </w:t>
      </w:r>
      <w:r w:rsidR="00F04944">
        <w:tab/>
      </w:r>
      <w:r w:rsidR="00F04944">
        <w:tab/>
      </w:r>
      <w:r w:rsidR="00F04944">
        <w:tab/>
      </w:r>
      <w:r w:rsidR="00F04944">
        <w:tab/>
      </w:r>
      <w:r w:rsidR="00F04944">
        <w:tab/>
      </w:r>
      <w:r w:rsidR="00F04944">
        <w:tab/>
      </w:r>
      <w:r w:rsidR="00F04944" w:rsidRPr="00B152E7">
        <w:t>predsedníčka výboru</w:t>
      </w:r>
    </w:p>
    <w:p w:rsidR="00F04944" w:rsidRPr="00F04944" w:rsidRDefault="00F04944" w:rsidP="00F04944">
      <w:pPr>
        <w:jc w:val="both"/>
      </w:pPr>
      <w:r w:rsidRPr="00F04944">
        <w:rPr>
          <w:bCs/>
        </w:rPr>
        <w:t>Milan</w:t>
      </w:r>
      <w:r>
        <w:rPr>
          <w:b/>
          <w:bCs/>
        </w:rPr>
        <w:t xml:space="preserve">  M o j š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0A08EA">
        <w:t xml:space="preserve"> 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0204AD" w:rsidRDefault="000204AD" w:rsidP="000204AD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>
        <w:rPr>
          <w:b w:val="0"/>
          <w:bCs/>
          <w:i/>
          <w:iCs/>
        </w:rPr>
        <w:lastRenderedPageBreak/>
        <w:t xml:space="preserve">              Výbor</w:t>
      </w:r>
    </w:p>
    <w:p w:rsidR="000204AD" w:rsidRDefault="000204AD" w:rsidP="000204AD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204AD" w:rsidRDefault="000204AD" w:rsidP="000204AD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204AD" w:rsidRDefault="000204AD" w:rsidP="000204AD">
      <w:pPr>
        <w:ind w:left="5672" w:firstLine="709"/>
        <w:jc w:val="both"/>
      </w:pPr>
      <w:r>
        <w:t xml:space="preserve"> 91. schôdza výboru</w:t>
      </w:r>
    </w:p>
    <w:p w:rsidR="000204AD" w:rsidRDefault="000204AD" w:rsidP="000204AD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5C363E">
        <w:rPr>
          <w:bCs/>
        </w:rPr>
        <w:t>Príloha k uzneseniu č. 397</w:t>
      </w:r>
    </w:p>
    <w:p w:rsidR="000204AD" w:rsidRDefault="000204AD" w:rsidP="000204A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204AD" w:rsidRDefault="000204AD" w:rsidP="000204AD">
      <w:pPr>
        <w:jc w:val="center"/>
        <w:rPr>
          <w:b/>
          <w:sz w:val="32"/>
          <w:szCs w:val="28"/>
        </w:rPr>
      </w:pPr>
    </w:p>
    <w:p w:rsidR="000204AD" w:rsidRDefault="000204AD" w:rsidP="000204AD">
      <w:pPr>
        <w:pStyle w:val="Nadpis5"/>
        <w:spacing w:line="240" w:lineRule="auto"/>
      </w:pPr>
      <w:r>
        <w:t>Z m e n y  a  d o p l n k y</w:t>
      </w:r>
    </w:p>
    <w:p w:rsidR="000204AD" w:rsidRDefault="000204AD" w:rsidP="000204AD"/>
    <w:p w:rsidR="000204AD" w:rsidRDefault="000204AD" w:rsidP="000204A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>k </w:t>
      </w:r>
      <w:r w:rsidRPr="00424E6A">
        <w:t>vládnemu návrhu zákona, ktorým sa mení a dopĺňa zákon č. 609/2007 Z. z. o spotrebnej dani z elektriny, uhlia a zemného plynu a o zmene a doplnení zákona č. 98/2004 Z. z. o spotrebnej dani z minerálneho oleja v znení neskorších predpisov a ktorým sa mení a dopĺňa zákon č. 98/2004 Z. z. o spotrebnej dani z minerálneho oleja v znení neskorších predpisov (tlač 1593)</w:t>
      </w:r>
    </w:p>
    <w:p w:rsidR="00F04944" w:rsidRDefault="00F04944" w:rsidP="00844F66">
      <w:pPr>
        <w:jc w:val="both"/>
        <w:rPr>
          <w:bCs/>
        </w:rPr>
      </w:pPr>
    </w:p>
    <w:p w:rsidR="00F04944" w:rsidRDefault="00F04944" w:rsidP="00844F66">
      <w:pPr>
        <w:jc w:val="both"/>
        <w:rPr>
          <w:bCs/>
        </w:rPr>
      </w:pPr>
    </w:p>
    <w:p w:rsidR="00BD6978" w:rsidRPr="00441DD3" w:rsidRDefault="00BD6978" w:rsidP="00BD6978">
      <w:pPr>
        <w:pStyle w:val="Odsekzoznamu"/>
        <w:numPr>
          <w:ilvl w:val="0"/>
          <w:numId w:val="30"/>
        </w:numPr>
        <w:spacing w:line="360" w:lineRule="auto"/>
        <w:contextualSpacing/>
        <w:jc w:val="both"/>
        <w:rPr>
          <w:b/>
          <w:color w:val="000000"/>
        </w:rPr>
      </w:pPr>
      <w:r w:rsidRPr="00441DD3">
        <w:rPr>
          <w:b/>
          <w:color w:val="000000"/>
        </w:rPr>
        <w:t xml:space="preserve">K čl. I, </w:t>
      </w:r>
      <w:r>
        <w:rPr>
          <w:b/>
          <w:color w:val="000000"/>
        </w:rPr>
        <w:t>názvu zákona</w:t>
      </w:r>
      <w:r w:rsidRPr="00441DD3">
        <w:rPr>
          <w:b/>
          <w:color w:val="000000"/>
        </w:rPr>
        <w:t xml:space="preserve"> </w:t>
      </w:r>
    </w:p>
    <w:p w:rsidR="00BD6978" w:rsidRDefault="00BD6978" w:rsidP="00BD6978">
      <w:pPr>
        <w:pStyle w:val="Odsekzoznamu"/>
        <w:spacing w:line="360" w:lineRule="auto"/>
        <w:jc w:val="both"/>
        <w:rPr>
          <w:color w:val="000000"/>
        </w:rPr>
      </w:pPr>
      <w:r w:rsidRPr="00BE7D3A">
        <w:rPr>
          <w:color w:val="000000"/>
        </w:rPr>
        <w:t xml:space="preserve">V názve návrhu zákona sa za prvé slová „neskorších predpisov“ vkladajú slová „v znení neskorších predpisov“. </w:t>
      </w:r>
    </w:p>
    <w:p w:rsidR="00BD6978" w:rsidRDefault="00BD6978" w:rsidP="00BD6978">
      <w:pPr>
        <w:pStyle w:val="Odsekzoznamu"/>
        <w:ind w:left="3969"/>
        <w:jc w:val="both"/>
        <w:rPr>
          <w:color w:val="000000"/>
        </w:rPr>
      </w:pPr>
    </w:p>
    <w:p w:rsidR="00BD6978" w:rsidRPr="00BE7D3A" w:rsidRDefault="00BD6978" w:rsidP="00BD6978">
      <w:pPr>
        <w:pStyle w:val="Odsekzoznamu"/>
        <w:ind w:left="3969"/>
        <w:jc w:val="both"/>
        <w:rPr>
          <w:color w:val="000000"/>
        </w:rPr>
      </w:pPr>
      <w:r>
        <w:rPr>
          <w:color w:val="000000"/>
        </w:rPr>
        <w:t xml:space="preserve">Pozmeňujúci návrh legislatívno-technicky koriguje názov zákona. </w:t>
      </w:r>
    </w:p>
    <w:p w:rsidR="00BD6978" w:rsidRPr="00441DD3" w:rsidRDefault="00BD6978" w:rsidP="00BD6978">
      <w:pPr>
        <w:pStyle w:val="Odsekzoznamu"/>
        <w:numPr>
          <w:ilvl w:val="0"/>
          <w:numId w:val="30"/>
        </w:numPr>
        <w:spacing w:line="360" w:lineRule="auto"/>
        <w:contextualSpacing/>
        <w:jc w:val="both"/>
        <w:rPr>
          <w:b/>
          <w:color w:val="000000"/>
        </w:rPr>
      </w:pPr>
      <w:r w:rsidRPr="00441DD3">
        <w:rPr>
          <w:b/>
          <w:color w:val="000000"/>
        </w:rPr>
        <w:t xml:space="preserve">K čl. I, 21. bodu </w:t>
      </w:r>
    </w:p>
    <w:p w:rsidR="00BD6978" w:rsidRDefault="00BD6978" w:rsidP="00BD6978">
      <w:pPr>
        <w:pStyle w:val="Odsekzoznamu"/>
        <w:spacing w:line="360" w:lineRule="auto"/>
        <w:jc w:val="both"/>
        <w:rPr>
          <w:color w:val="000000"/>
        </w:rPr>
      </w:pPr>
      <w:r>
        <w:rPr>
          <w:color w:val="000000"/>
        </w:rPr>
        <w:t>V čl. I, 21. bode sa slová „na konci sa vypúšťajú“ nahrádzajú slovami „vypúšťajú sa“.</w:t>
      </w:r>
    </w:p>
    <w:p w:rsidR="00BD6978" w:rsidRDefault="00BD6978" w:rsidP="00BD6978">
      <w:pPr>
        <w:pStyle w:val="Odsekzoznamu"/>
        <w:ind w:firstLine="3249"/>
        <w:jc w:val="both"/>
        <w:rPr>
          <w:color w:val="000000"/>
        </w:rPr>
      </w:pPr>
    </w:p>
    <w:p w:rsidR="00BD6978" w:rsidRDefault="00BD6978" w:rsidP="00BD6978">
      <w:pPr>
        <w:pStyle w:val="Odsekzoznamu"/>
        <w:ind w:firstLine="3249"/>
        <w:jc w:val="both"/>
        <w:rPr>
          <w:color w:val="000000"/>
        </w:rPr>
      </w:pPr>
      <w:r>
        <w:t xml:space="preserve">Pozmeňujúci návrh legislatívno-technickej povahy. </w:t>
      </w:r>
    </w:p>
    <w:p w:rsidR="00BD6978" w:rsidRDefault="00BD6978" w:rsidP="00BD6978">
      <w:pPr>
        <w:pStyle w:val="Odsekzoznamu"/>
        <w:ind w:firstLine="3249"/>
        <w:jc w:val="both"/>
        <w:rPr>
          <w:color w:val="000000"/>
        </w:rPr>
      </w:pPr>
    </w:p>
    <w:p w:rsidR="00BD6978" w:rsidRPr="00441DD3" w:rsidRDefault="00BD6978" w:rsidP="00BD6978">
      <w:pPr>
        <w:pStyle w:val="Odsekzoznamu"/>
        <w:numPr>
          <w:ilvl w:val="0"/>
          <w:numId w:val="30"/>
        </w:numPr>
        <w:spacing w:line="360" w:lineRule="auto"/>
        <w:contextualSpacing/>
        <w:jc w:val="both"/>
        <w:rPr>
          <w:b/>
          <w:color w:val="000000"/>
        </w:rPr>
      </w:pPr>
      <w:r w:rsidRPr="00441DD3">
        <w:rPr>
          <w:b/>
          <w:color w:val="000000"/>
        </w:rPr>
        <w:t xml:space="preserve">K čl. I, 23. bodu </w:t>
      </w:r>
    </w:p>
    <w:p w:rsidR="00BD6978" w:rsidRDefault="00BD6978" w:rsidP="00BD6978">
      <w:pPr>
        <w:pStyle w:val="Odsekzoznamu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 čl. I, 23. bode, § 8 ods. 16 poslednej vete sa za slová „podmienky na jeho vydanie“ vkladajú slová „podľa prvej vety“. </w:t>
      </w:r>
    </w:p>
    <w:p w:rsidR="00BD6978" w:rsidRDefault="00BD6978" w:rsidP="00BD6978">
      <w:pPr>
        <w:pStyle w:val="Odsekzoznamu"/>
        <w:ind w:left="3969"/>
        <w:jc w:val="both"/>
        <w:rPr>
          <w:color w:val="000000"/>
        </w:rPr>
      </w:pPr>
    </w:p>
    <w:p w:rsidR="00BD6978" w:rsidRDefault="00BD6978" w:rsidP="00BD6978">
      <w:pPr>
        <w:pStyle w:val="Odsekzoznamu"/>
        <w:ind w:left="3969"/>
        <w:jc w:val="both"/>
      </w:pPr>
      <w:r>
        <w:t xml:space="preserve">Pozmeňujúci návrh precizuje predmetné ustanovenie tak, aby bolo zrejmé, že sa vzťahuje výhradne na spotrebiteľa uvedeného v citovanom odseku. </w:t>
      </w:r>
    </w:p>
    <w:p w:rsidR="00BD6978" w:rsidRDefault="00BD6978" w:rsidP="00BD6978">
      <w:pPr>
        <w:pStyle w:val="Odsekzoznamu"/>
        <w:ind w:left="3969"/>
        <w:jc w:val="both"/>
        <w:rPr>
          <w:color w:val="000000"/>
        </w:rPr>
      </w:pPr>
    </w:p>
    <w:p w:rsidR="00BD6978" w:rsidRPr="00441DD3" w:rsidRDefault="00BD6978" w:rsidP="00BD6978">
      <w:pPr>
        <w:pStyle w:val="Odsekzoznamu"/>
        <w:numPr>
          <w:ilvl w:val="0"/>
          <w:numId w:val="30"/>
        </w:numPr>
        <w:spacing w:line="360" w:lineRule="auto"/>
        <w:contextualSpacing/>
        <w:jc w:val="both"/>
        <w:rPr>
          <w:b/>
          <w:color w:val="000000"/>
        </w:rPr>
      </w:pPr>
      <w:r w:rsidRPr="00441DD3">
        <w:rPr>
          <w:b/>
          <w:color w:val="000000"/>
        </w:rPr>
        <w:t xml:space="preserve">K čl. I, 32. bodu </w:t>
      </w:r>
    </w:p>
    <w:p w:rsidR="00BD6978" w:rsidRDefault="00BD6978" w:rsidP="00BD6978">
      <w:pPr>
        <w:pStyle w:val="Odsekzoznamu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 čl. I, 32. bode, § 15b sa vypúšťa odsek 4. </w:t>
      </w:r>
    </w:p>
    <w:p w:rsidR="00BD6978" w:rsidRDefault="00BD6978" w:rsidP="00BD6978">
      <w:pPr>
        <w:pStyle w:val="Odsekzoznamu"/>
        <w:spacing w:line="360" w:lineRule="auto"/>
        <w:jc w:val="both"/>
        <w:rPr>
          <w:color w:val="000000"/>
        </w:rPr>
      </w:pPr>
      <w:r w:rsidRPr="00542C5F">
        <w:rPr>
          <w:color w:val="000000"/>
        </w:rPr>
        <w:t xml:space="preserve">Doterajšie odseky 5 až 8 sa označujú ako odseky 4 až 7 a v odsekoch </w:t>
      </w:r>
      <w:r>
        <w:rPr>
          <w:color w:val="000000"/>
        </w:rPr>
        <w:t>7 a</w:t>
      </w:r>
      <w:r w:rsidRPr="00542C5F">
        <w:rPr>
          <w:color w:val="000000"/>
        </w:rPr>
        <w:t xml:space="preserve"> 8 sa slová  „odsek 6“ </w:t>
      </w:r>
      <w:r>
        <w:rPr>
          <w:color w:val="000000"/>
        </w:rPr>
        <w:t>nahrádzajú slovami „odseku 5“.</w:t>
      </w:r>
    </w:p>
    <w:p w:rsidR="00BD6978" w:rsidRDefault="00BD6978" w:rsidP="00BD6978">
      <w:pPr>
        <w:pStyle w:val="Odsekzoznamu"/>
        <w:ind w:left="3969"/>
        <w:jc w:val="both"/>
        <w:rPr>
          <w:color w:val="000000"/>
        </w:rPr>
      </w:pPr>
    </w:p>
    <w:p w:rsidR="00BD6978" w:rsidRDefault="00BD6978" w:rsidP="00BD6978">
      <w:pPr>
        <w:pStyle w:val="Odsekzoznamu"/>
        <w:ind w:left="3969"/>
        <w:jc w:val="both"/>
      </w:pPr>
      <w:r>
        <w:t xml:space="preserve">Pozmeňujúci návrh vypúšťa duplicitne uvedené ustanovenie, ktorého obsah je predmetom § 5 – Základ dane a výpočet dane, ktorý sa vzťahuje na celú druhú časť (Daň z elektriny) predmetného zákona, teda aj na novozavedený § 15b. </w:t>
      </w:r>
    </w:p>
    <w:p w:rsidR="00BD6978" w:rsidRDefault="00BD6978" w:rsidP="00BD6978">
      <w:pPr>
        <w:pStyle w:val="Odsekzoznamu"/>
        <w:ind w:left="3969"/>
        <w:jc w:val="both"/>
        <w:rPr>
          <w:color w:val="000000"/>
        </w:rPr>
      </w:pPr>
    </w:p>
    <w:p w:rsidR="00BD6978" w:rsidRPr="00441DD3" w:rsidRDefault="00BD6978" w:rsidP="00BD6978">
      <w:pPr>
        <w:pStyle w:val="Odsekzoznamu"/>
        <w:numPr>
          <w:ilvl w:val="0"/>
          <w:numId w:val="30"/>
        </w:numPr>
        <w:spacing w:line="360" w:lineRule="auto"/>
        <w:contextualSpacing/>
        <w:jc w:val="both"/>
        <w:rPr>
          <w:b/>
          <w:color w:val="000000"/>
        </w:rPr>
      </w:pPr>
      <w:r w:rsidRPr="00441DD3">
        <w:rPr>
          <w:b/>
          <w:color w:val="000000"/>
        </w:rPr>
        <w:t xml:space="preserve">K čl. I, 48. bodu </w:t>
      </w:r>
    </w:p>
    <w:p w:rsidR="00BD6978" w:rsidRDefault="00BD6978" w:rsidP="00BD6978">
      <w:pPr>
        <w:pStyle w:val="Odsekzoznamu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 čl. I, 48. bode, § 32 ods. 16 poslednej vete sa za slová „podmienky na jeho vydanie“ vkladajú slová „podľa prvej vety“. </w:t>
      </w:r>
    </w:p>
    <w:p w:rsidR="00BD6978" w:rsidRDefault="00BD6978" w:rsidP="00BD6978">
      <w:pPr>
        <w:pStyle w:val="Odsekzoznamu"/>
        <w:ind w:left="3969"/>
        <w:jc w:val="both"/>
        <w:rPr>
          <w:color w:val="000000"/>
        </w:rPr>
      </w:pPr>
    </w:p>
    <w:p w:rsidR="00BD6978" w:rsidRDefault="00BD6978" w:rsidP="00BD6978">
      <w:pPr>
        <w:pStyle w:val="Odsekzoznamu"/>
        <w:ind w:left="3969"/>
        <w:jc w:val="both"/>
      </w:pPr>
      <w:r>
        <w:t xml:space="preserve">Pozmeňujúci návrh precizuje predmetné ustanovenie tak, aby bolo zrejmé, že sa vzťahuje výhradne na spotrebiteľa uvedeného v citovanom odseku. </w:t>
      </w:r>
    </w:p>
    <w:p w:rsidR="00BD6978" w:rsidRDefault="00BD6978" w:rsidP="00BD6978">
      <w:pPr>
        <w:pStyle w:val="Odsekzoznamu"/>
        <w:ind w:left="3969"/>
        <w:jc w:val="both"/>
      </w:pPr>
    </w:p>
    <w:p w:rsidR="00BD6978" w:rsidRPr="00441DD3" w:rsidRDefault="00BD6978" w:rsidP="00BD6978">
      <w:pPr>
        <w:pStyle w:val="Odsekzoznamu"/>
        <w:numPr>
          <w:ilvl w:val="0"/>
          <w:numId w:val="30"/>
        </w:numPr>
        <w:spacing w:line="360" w:lineRule="auto"/>
        <w:contextualSpacing/>
        <w:jc w:val="both"/>
        <w:rPr>
          <w:b/>
          <w:color w:val="000000"/>
        </w:rPr>
      </w:pPr>
      <w:r w:rsidRPr="00441DD3">
        <w:rPr>
          <w:b/>
          <w:color w:val="000000"/>
        </w:rPr>
        <w:t xml:space="preserve">K čl. I, </w:t>
      </w:r>
      <w:r>
        <w:rPr>
          <w:b/>
          <w:color w:val="000000"/>
        </w:rPr>
        <w:t>nový bod</w:t>
      </w:r>
      <w:r w:rsidRPr="00441DD3">
        <w:rPr>
          <w:b/>
          <w:color w:val="000000"/>
        </w:rPr>
        <w:t xml:space="preserve"> </w:t>
      </w:r>
    </w:p>
    <w:p w:rsidR="00BD6978" w:rsidRPr="00661FA6" w:rsidRDefault="00BD6978" w:rsidP="00BD6978">
      <w:pPr>
        <w:pStyle w:val="Odsekzoznamu"/>
        <w:spacing w:line="360" w:lineRule="auto"/>
        <w:jc w:val="both"/>
        <w:rPr>
          <w:color w:val="000000"/>
        </w:rPr>
      </w:pPr>
      <w:r w:rsidRPr="00661FA6">
        <w:rPr>
          <w:color w:val="000000"/>
        </w:rPr>
        <w:t xml:space="preserve">V čl. I sa za 57. bod vkladá nový 58. bod, ktorý znie: </w:t>
      </w:r>
    </w:p>
    <w:p w:rsidR="00BD6978" w:rsidRPr="00661FA6" w:rsidRDefault="00BD6978" w:rsidP="00BD6978">
      <w:pPr>
        <w:pStyle w:val="Odsekzoznamu"/>
        <w:spacing w:line="360" w:lineRule="auto"/>
        <w:jc w:val="both"/>
        <w:rPr>
          <w:color w:val="000000"/>
        </w:rPr>
      </w:pPr>
      <w:r w:rsidRPr="00661FA6">
        <w:rPr>
          <w:color w:val="000000"/>
        </w:rPr>
        <w:t>„58. V § 42 ods. 1 sa vypúšťajú slová „ktorí majú povolenie podnikať v energe</w:t>
      </w:r>
      <w:r>
        <w:rPr>
          <w:color w:val="000000"/>
        </w:rPr>
        <w:t>tike podľa osobitného predpisu,</w:t>
      </w:r>
      <w:r w:rsidRPr="00661FA6">
        <w:rPr>
          <w:color w:val="000000"/>
          <w:vertAlign w:val="superscript"/>
        </w:rPr>
        <w:t>9</w:t>
      </w:r>
      <w:r w:rsidRPr="00661FA6">
        <w:rPr>
          <w:color w:val="000000"/>
        </w:rPr>
        <w:t>) a“.“.</w:t>
      </w:r>
    </w:p>
    <w:p w:rsidR="00BD6978" w:rsidRDefault="00BD6978" w:rsidP="00BD6978">
      <w:pPr>
        <w:pStyle w:val="Odsekzoznamu"/>
        <w:jc w:val="both"/>
        <w:rPr>
          <w:b/>
          <w:color w:val="000000"/>
        </w:rPr>
      </w:pPr>
    </w:p>
    <w:p w:rsidR="00BD6978" w:rsidRPr="00661FA6" w:rsidRDefault="00BD6978" w:rsidP="00BD6978">
      <w:pPr>
        <w:pStyle w:val="Odsekzoznamu"/>
        <w:spacing w:line="360" w:lineRule="auto"/>
        <w:jc w:val="both"/>
        <w:rPr>
          <w:color w:val="000000"/>
        </w:rPr>
      </w:pPr>
      <w:r w:rsidRPr="00661FA6">
        <w:rPr>
          <w:color w:val="000000"/>
        </w:rPr>
        <w:t>Nasledujúce body 58 až 61 sa primerane prečíslujú</w:t>
      </w:r>
      <w:r>
        <w:rPr>
          <w:color w:val="000000"/>
        </w:rPr>
        <w:t xml:space="preserve">, čo sa premietne aj do ustanovenia o účinnosti zákona (čl. III) pri spracúvaní čistopisu schváleného zákona. </w:t>
      </w:r>
    </w:p>
    <w:p w:rsidR="00BD6978" w:rsidRDefault="00BD6978" w:rsidP="00BD6978">
      <w:pPr>
        <w:pStyle w:val="Odsekzoznamu"/>
        <w:ind w:left="3969"/>
        <w:jc w:val="both"/>
        <w:rPr>
          <w:b/>
          <w:color w:val="000000"/>
        </w:rPr>
      </w:pPr>
    </w:p>
    <w:p w:rsidR="00BD6978" w:rsidRDefault="00BD6978" w:rsidP="00BD6978">
      <w:pPr>
        <w:pStyle w:val="Odsekzoznamu"/>
        <w:ind w:left="3969"/>
        <w:jc w:val="both"/>
      </w:pPr>
      <w:r>
        <w:t>Pozmeňujúci návrh novelizáciou predmetného ustanovenia reaguje na zmeny vykonané v č. I, 25., 31. a 51. bode návrhu zákona.</w:t>
      </w:r>
    </w:p>
    <w:p w:rsidR="00BD6978" w:rsidRDefault="00BD6978" w:rsidP="00BD6978">
      <w:pPr>
        <w:pStyle w:val="Odsekzoznamu"/>
        <w:jc w:val="both"/>
        <w:rPr>
          <w:b/>
          <w:color w:val="000000"/>
        </w:rPr>
      </w:pPr>
    </w:p>
    <w:p w:rsidR="00BD6978" w:rsidRPr="00441DD3" w:rsidRDefault="00BD6978" w:rsidP="00BD6978">
      <w:pPr>
        <w:pStyle w:val="Odsekzoznamu"/>
        <w:numPr>
          <w:ilvl w:val="0"/>
          <w:numId w:val="30"/>
        </w:numPr>
        <w:spacing w:line="360" w:lineRule="auto"/>
        <w:contextualSpacing/>
        <w:jc w:val="both"/>
        <w:rPr>
          <w:b/>
          <w:color w:val="000000"/>
        </w:rPr>
      </w:pPr>
      <w:r w:rsidRPr="00441DD3">
        <w:rPr>
          <w:b/>
          <w:color w:val="000000"/>
        </w:rPr>
        <w:t xml:space="preserve">K čl. I, </w:t>
      </w:r>
      <w:r>
        <w:rPr>
          <w:b/>
          <w:color w:val="000000"/>
        </w:rPr>
        <w:t>61</w:t>
      </w:r>
      <w:r w:rsidRPr="00441DD3">
        <w:rPr>
          <w:b/>
          <w:color w:val="000000"/>
        </w:rPr>
        <w:t xml:space="preserve">. bodu </w:t>
      </w:r>
    </w:p>
    <w:p w:rsidR="00BD6978" w:rsidRDefault="00BD6978" w:rsidP="00BD6978">
      <w:pPr>
        <w:pStyle w:val="Odsekzoznamu"/>
        <w:spacing w:line="360" w:lineRule="auto"/>
        <w:jc w:val="both"/>
        <w:rPr>
          <w:color w:val="000000"/>
        </w:rPr>
      </w:pPr>
      <w:r>
        <w:rPr>
          <w:color w:val="000000"/>
        </w:rPr>
        <w:t>V čl. I, 61. bode, v nadpise § 48g sa slová „1. decembra 2019“ nahrádzajú slovami „1. januára 2020“.</w:t>
      </w:r>
    </w:p>
    <w:p w:rsidR="00BD6978" w:rsidRDefault="00BD6978" w:rsidP="00BD6978">
      <w:pPr>
        <w:pStyle w:val="Odsekzoznamu"/>
        <w:ind w:left="3969"/>
        <w:jc w:val="both"/>
        <w:rPr>
          <w:color w:val="000000"/>
        </w:rPr>
      </w:pPr>
    </w:p>
    <w:p w:rsidR="00BD6978" w:rsidRDefault="00BD6978" w:rsidP="00BD6978">
      <w:pPr>
        <w:pStyle w:val="Odsekzoznamu"/>
        <w:ind w:left="3969"/>
        <w:jc w:val="both"/>
      </w:pPr>
      <w:r>
        <w:t xml:space="preserve">Pozmeňujúci návrh úpravou nadpisu prechodného ustanovenia reflektuje skutočnosť, že účinnosť ustanovení, na ktoré sa citované ustanovenia vzťahujú, je navrhovaná na 1. januára 2020. </w:t>
      </w:r>
    </w:p>
    <w:p w:rsidR="00BD6978" w:rsidRPr="000949BC" w:rsidRDefault="00BD6978" w:rsidP="00BD6978">
      <w:pPr>
        <w:jc w:val="both"/>
        <w:rPr>
          <w:color w:val="000000"/>
        </w:rPr>
      </w:pPr>
    </w:p>
    <w:p w:rsidR="00BD6978" w:rsidRPr="00441DD3" w:rsidRDefault="00BD6978" w:rsidP="00BD6978">
      <w:pPr>
        <w:pStyle w:val="Odsekzoznamu"/>
        <w:numPr>
          <w:ilvl w:val="0"/>
          <w:numId w:val="30"/>
        </w:numPr>
        <w:spacing w:line="360" w:lineRule="auto"/>
        <w:contextualSpacing/>
        <w:jc w:val="both"/>
        <w:rPr>
          <w:b/>
          <w:color w:val="000000"/>
        </w:rPr>
      </w:pPr>
      <w:r w:rsidRPr="00441DD3">
        <w:rPr>
          <w:b/>
          <w:color w:val="000000"/>
        </w:rPr>
        <w:t xml:space="preserve">K čl. II, 6. bodu </w:t>
      </w:r>
    </w:p>
    <w:p w:rsidR="00BD6978" w:rsidRDefault="00BD6978" w:rsidP="00BD6978">
      <w:pPr>
        <w:pStyle w:val="Odsekzoznamu"/>
        <w:spacing w:line="360" w:lineRule="auto"/>
        <w:jc w:val="both"/>
        <w:rPr>
          <w:color w:val="000000"/>
        </w:rPr>
      </w:pPr>
      <w:r>
        <w:rPr>
          <w:color w:val="000000"/>
        </w:rPr>
        <w:t>V čl. II, 6. bode, § 11 ods. 16 písmeno c) znie:</w:t>
      </w:r>
    </w:p>
    <w:p w:rsidR="00BD6978" w:rsidRDefault="00BD6978" w:rsidP="00BD6978">
      <w:pPr>
        <w:pStyle w:val="Odsekzoznamu"/>
        <w:spacing w:line="360" w:lineRule="auto"/>
        <w:jc w:val="both"/>
        <w:rPr>
          <w:color w:val="000000"/>
        </w:rPr>
      </w:pPr>
      <w:r>
        <w:rPr>
          <w:color w:val="000000"/>
        </w:rPr>
        <w:t>„c) zásoby daňovo zvýhodneného minerálneho oleja už nemôže použiť na účely uvedené v odbernom poukaze.“.</w:t>
      </w:r>
    </w:p>
    <w:p w:rsidR="00BD6978" w:rsidRDefault="00BD6978" w:rsidP="00BD6978">
      <w:pPr>
        <w:pStyle w:val="Odsekzoznamu"/>
        <w:tabs>
          <w:tab w:val="left" w:pos="3969"/>
        </w:tabs>
        <w:ind w:left="3969"/>
        <w:jc w:val="both"/>
        <w:rPr>
          <w:color w:val="000000"/>
        </w:rPr>
      </w:pPr>
    </w:p>
    <w:p w:rsidR="00BD6978" w:rsidRPr="008B6F8F" w:rsidRDefault="00BD6978" w:rsidP="00BD6978">
      <w:pPr>
        <w:pStyle w:val="Odsekzoznamu"/>
        <w:tabs>
          <w:tab w:val="left" w:pos="3969"/>
        </w:tabs>
        <w:ind w:left="3969"/>
        <w:jc w:val="both"/>
        <w:rPr>
          <w:color w:val="000000"/>
        </w:rPr>
      </w:pPr>
      <w:r>
        <w:t xml:space="preserve">Pozmeňujúci návrh pojmovo precizuje a zároveň zosúlaďuje znenie navrhovaného ustanovenia so znením § 11 ods. 17 (čl. II, 7. bod návrhu zákona). </w:t>
      </w:r>
    </w:p>
    <w:p w:rsidR="009164F7" w:rsidRDefault="009164F7" w:rsidP="00803A1C">
      <w:pPr>
        <w:jc w:val="both"/>
        <w:rPr>
          <w:u w:val="single"/>
        </w:rPr>
      </w:pPr>
    </w:p>
    <w:p w:rsidR="000869A7" w:rsidRDefault="000869A7" w:rsidP="000869A7">
      <w:pPr>
        <w:pStyle w:val="Odsekzoznamu"/>
        <w:numPr>
          <w:ilvl w:val="0"/>
          <w:numId w:val="30"/>
        </w:numPr>
        <w:jc w:val="both"/>
        <w:rPr>
          <w:b/>
        </w:rPr>
      </w:pPr>
      <w:r w:rsidRPr="000869A7">
        <w:rPr>
          <w:b/>
        </w:rPr>
        <w:t>K čl. III</w:t>
      </w:r>
    </w:p>
    <w:p w:rsidR="000869A7" w:rsidRDefault="000869A7" w:rsidP="000869A7">
      <w:pPr>
        <w:ind w:left="360"/>
        <w:jc w:val="both"/>
        <w:rPr>
          <w:b/>
        </w:rPr>
      </w:pPr>
    </w:p>
    <w:p w:rsidR="000869A7" w:rsidRPr="00C9619E" w:rsidRDefault="000869A7" w:rsidP="000869A7">
      <w:pPr>
        <w:pStyle w:val="Bezriadkovania"/>
        <w:ind w:firstLine="360"/>
        <w:jc w:val="both"/>
        <w:rPr>
          <w:rFonts w:ascii="Times New Roman" w:hAnsi="Times New Roman"/>
          <w:sz w:val="24"/>
          <w:szCs w:val="24"/>
        </w:rPr>
      </w:pPr>
      <w:r w:rsidRPr="00C9619E">
        <w:rPr>
          <w:rFonts w:ascii="Times New Roman" w:hAnsi="Times New Roman"/>
          <w:sz w:val="24"/>
          <w:szCs w:val="24"/>
        </w:rPr>
        <w:t>Za doterajší čl. I</w:t>
      </w:r>
      <w:r>
        <w:rPr>
          <w:rFonts w:ascii="Times New Roman" w:hAnsi="Times New Roman"/>
          <w:sz w:val="24"/>
          <w:szCs w:val="24"/>
        </w:rPr>
        <w:t>I</w:t>
      </w:r>
      <w:r w:rsidRPr="00C96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vkladá </w:t>
      </w:r>
      <w:r w:rsidRPr="00C9619E">
        <w:rPr>
          <w:rFonts w:ascii="Times New Roman" w:hAnsi="Times New Roman"/>
          <w:sz w:val="24"/>
          <w:szCs w:val="24"/>
        </w:rPr>
        <w:t>nový článok II</w:t>
      </w:r>
      <w:r>
        <w:rPr>
          <w:rFonts w:ascii="Times New Roman" w:hAnsi="Times New Roman"/>
          <w:sz w:val="24"/>
          <w:szCs w:val="24"/>
        </w:rPr>
        <w:t>I</w:t>
      </w:r>
      <w:r w:rsidRPr="00C9619E">
        <w:rPr>
          <w:rFonts w:ascii="Times New Roman" w:hAnsi="Times New Roman"/>
          <w:sz w:val="24"/>
          <w:szCs w:val="24"/>
        </w:rPr>
        <w:t>, ktorý znie:</w:t>
      </w:r>
    </w:p>
    <w:p w:rsidR="000869A7" w:rsidRDefault="000869A7" w:rsidP="000869A7">
      <w:pPr>
        <w:pStyle w:val="Bezriadkovania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9619E">
        <w:rPr>
          <w:rFonts w:ascii="Times New Roman" w:hAnsi="Times New Roman"/>
          <w:sz w:val="24"/>
          <w:szCs w:val="24"/>
        </w:rPr>
        <w:lastRenderedPageBreak/>
        <w:t>„Čl. I</w:t>
      </w:r>
      <w:r>
        <w:rPr>
          <w:rFonts w:ascii="Times New Roman" w:hAnsi="Times New Roman"/>
          <w:sz w:val="24"/>
          <w:szCs w:val="24"/>
        </w:rPr>
        <w:t>II</w:t>
      </w:r>
    </w:p>
    <w:p w:rsidR="000869A7" w:rsidRDefault="000869A7" w:rsidP="000869A7">
      <w:pPr>
        <w:pStyle w:val="Bezriadkovania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869A7" w:rsidRPr="00C9619E" w:rsidRDefault="000869A7" w:rsidP="000869A7">
      <w:pPr>
        <w:pStyle w:val="Bezriadkovania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9619E">
        <w:rPr>
          <w:rFonts w:ascii="Times New Roman" w:hAnsi="Times New Roman"/>
          <w:sz w:val="24"/>
          <w:szCs w:val="24"/>
        </w:rPr>
        <w:t>Zákon č. 309/2009 Z. z. o podpore obnoviteľných zdrojov energie a vysokoúčinnej kombinovanej výroby a o zmene a doplnení niektorých zákonov v znení zákona č. 492/2010 Z. z., zákona č. 558/2010 Z. z., zákona č. 136/2011 Z. z., zákona č. 189/2012 Z. z., zákona č. 373/2012 Z. z., zákona č. 30/2013 Z. z., zákona č. 218/2013 Z. z., zákona č. 382/2013 Z. z., zákona č. 321/2014 Z. z., zákona č. 173/2015 Z. z., zákona č. 181/2017 Z. z., zákona č. 268/2017 Z. z., zákona č. 309/2018 Z. z. a zákona č. 377/2018 Z. z. sa mení a dopĺňa takto:</w:t>
      </w:r>
    </w:p>
    <w:p w:rsidR="000869A7" w:rsidRDefault="000869A7" w:rsidP="000869A7">
      <w:pPr>
        <w:pStyle w:val="Bezriadkovania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869A7" w:rsidRPr="00C76E57" w:rsidRDefault="000869A7" w:rsidP="000869A7">
      <w:pPr>
        <w:pStyle w:val="Bezriadkovania"/>
        <w:numPr>
          <w:ilvl w:val="0"/>
          <w:numId w:val="32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6E57">
        <w:rPr>
          <w:rFonts w:ascii="Times New Roman" w:hAnsi="Times New Roman"/>
          <w:sz w:val="24"/>
          <w:szCs w:val="24"/>
        </w:rPr>
        <w:t>V § 14a odsek 3 znie:</w:t>
      </w:r>
    </w:p>
    <w:p w:rsidR="000869A7" w:rsidRPr="00C76E57" w:rsidRDefault="000869A7" w:rsidP="000869A7">
      <w:pPr>
        <w:pStyle w:val="Bezriadkovania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76E57">
        <w:rPr>
          <w:rFonts w:ascii="Times New Roman" w:hAnsi="Times New Roman"/>
          <w:bCs/>
          <w:sz w:val="24"/>
          <w:szCs w:val="24"/>
        </w:rPr>
        <w:t>„(3)</w:t>
      </w:r>
      <w:r w:rsidRPr="00C76E57">
        <w:rPr>
          <w:rFonts w:ascii="Times New Roman" w:hAnsi="Times New Roman"/>
          <w:sz w:val="24"/>
          <w:szCs w:val="24"/>
        </w:rPr>
        <w:t xml:space="preserve"> Právnická osoba alebo fyzická osoba podľa odseku 2 je povinná plnenie povinnosti podľa odseku 1 zabezpečiť za kalendárny rok. Energetický obsah </w:t>
      </w:r>
      <w:proofErr w:type="spellStart"/>
      <w:r w:rsidRPr="00C76E57">
        <w:rPr>
          <w:rFonts w:ascii="Times New Roman" w:hAnsi="Times New Roman"/>
          <w:bCs/>
          <w:sz w:val="24"/>
          <w:szCs w:val="24"/>
        </w:rPr>
        <w:t>biopaliva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z používaných kuchynských olejov a rastlinných tukov alebo živočíšnych tukov zaradených do kategórií 1 a 2 podľa osobitného predpisu</w:t>
      </w:r>
      <w:r w:rsidRPr="00C76E57">
        <w:rPr>
          <w:rFonts w:ascii="Times New Roman" w:hAnsi="Times New Roman"/>
          <w:sz w:val="24"/>
          <w:szCs w:val="24"/>
          <w:vertAlign w:val="superscript"/>
        </w:rPr>
        <w:t>17g</w:t>
      </w:r>
      <w:r w:rsidRPr="006F795A">
        <w:rPr>
          <w:rFonts w:ascii="Times New Roman" w:hAnsi="Times New Roman"/>
          <w:sz w:val="24"/>
          <w:szCs w:val="24"/>
        </w:rPr>
        <w:t>)</w:t>
      </w:r>
      <w:r w:rsidRPr="00C76E57">
        <w:rPr>
          <w:rFonts w:ascii="Times New Roman" w:hAnsi="Times New Roman"/>
          <w:sz w:val="24"/>
          <w:szCs w:val="24"/>
        </w:rPr>
        <w:t xml:space="preserve"> alebo z ich zmesí sa na účely odseku 1 do výpočtu referenčnej hodnoty započítava dvojnásobne. Právnická osoba alebo fyzická osoba podľa odseku 2 je povinná od 1. januára </w:t>
      </w:r>
      <w:r w:rsidRPr="00C76E57">
        <w:rPr>
          <w:rFonts w:ascii="Times New Roman" w:hAnsi="Times New Roman"/>
          <w:bCs/>
          <w:sz w:val="24"/>
          <w:szCs w:val="24"/>
        </w:rPr>
        <w:t xml:space="preserve">2020 </w:t>
      </w:r>
      <w:r w:rsidRPr="00C76E57">
        <w:rPr>
          <w:rFonts w:ascii="Times New Roman" w:hAnsi="Times New Roman"/>
          <w:sz w:val="24"/>
          <w:szCs w:val="24"/>
        </w:rPr>
        <w:t>uvádzať na trh s presnosťou podľa technickej normy</w:t>
      </w:r>
      <w:hyperlink w:anchor="13540403" w:history="1">
        <w:r w:rsidRPr="00C76E57">
          <w:rPr>
            <w:rStyle w:val="Odkaznavysvetlivku"/>
            <w:rFonts w:ascii="Times New Roman" w:hAnsi="Times New Roman"/>
            <w:sz w:val="24"/>
            <w:szCs w:val="24"/>
          </w:rPr>
          <w:t>17ga</w:t>
        </w:r>
        <w:r w:rsidRPr="006F795A">
          <w:rPr>
            <w:rStyle w:val="Odkaznavysvetlivku"/>
            <w:rFonts w:ascii="Times New Roman" w:hAnsi="Times New Roman"/>
            <w:sz w:val="24"/>
            <w:szCs w:val="24"/>
          </w:rPr>
          <w:t>)</w:t>
        </w:r>
      </w:hyperlink>
      <w:r w:rsidRPr="00C76E57">
        <w:rPr>
          <w:rFonts w:ascii="Times New Roman" w:hAnsi="Times New Roman"/>
          <w:sz w:val="24"/>
          <w:szCs w:val="24"/>
        </w:rPr>
        <w:t xml:space="preserve"> motorovú naftu s objemom </w:t>
      </w:r>
      <w:proofErr w:type="spellStart"/>
      <w:r w:rsidRPr="00C76E57">
        <w:rPr>
          <w:rFonts w:ascii="Times New Roman" w:hAnsi="Times New Roman"/>
          <w:sz w:val="24"/>
          <w:szCs w:val="24"/>
        </w:rPr>
        <w:t>biodieslu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v litri minimálne 6,9 % a motorový benzín s objemom </w:t>
      </w:r>
      <w:proofErr w:type="spellStart"/>
      <w:r w:rsidRPr="00C76E57">
        <w:rPr>
          <w:rFonts w:ascii="Times New Roman" w:hAnsi="Times New Roman"/>
          <w:sz w:val="24"/>
          <w:szCs w:val="24"/>
        </w:rPr>
        <w:t>bioetanolovej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zložky v litri minimálne </w:t>
      </w:r>
      <w:r w:rsidRPr="00C76E57">
        <w:rPr>
          <w:rFonts w:ascii="Times New Roman" w:hAnsi="Times New Roman"/>
          <w:bCs/>
          <w:sz w:val="24"/>
          <w:szCs w:val="24"/>
        </w:rPr>
        <w:t>9,0</w:t>
      </w:r>
      <w:r w:rsidRPr="00C76E57">
        <w:rPr>
          <w:rFonts w:ascii="Times New Roman" w:hAnsi="Times New Roman"/>
          <w:sz w:val="24"/>
          <w:szCs w:val="24"/>
        </w:rPr>
        <w:t xml:space="preserve"> %. Na účely tohto zákona sa </w:t>
      </w:r>
      <w:proofErr w:type="spellStart"/>
      <w:r w:rsidRPr="00C76E57">
        <w:rPr>
          <w:rFonts w:ascii="Times New Roman" w:hAnsi="Times New Roman"/>
          <w:sz w:val="24"/>
          <w:szCs w:val="24"/>
        </w:rPr>
        <w:t>bioetanolovou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zložkou rozumie </w:t>
      </w:r>
      <w:proofErr w:type="spellStart"/>
      <w:r w:rsidRPr="00C76E57">
        <w:rPr>
          <w:rFonts w:ascii="Times New Roman" w:hAnsi="Times New Roman"/>
          <w:sz w:val="24"/>
          <w:szCs w:val="24"/>
        </w:rPr>
        <w:t>bioetyltercbutyléter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alebo zmes </w:t>
      </w:r>
      <w:proofErr w:type="spellStart"/>
      <w:r w:rsidRPr="00C76E57">
        <w:rPr>
          <w:rFonts w:ascii="Times New Roman" w:hAnsi="Times New Roman"/>
          <w:sz w:val="24"/>
          <w:szCs w:val="24"/>
        </w:rPr>
        <w:t>bioetyltercbutyléteru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76E57">
        <w:rPr>
          <w:rFonts w:ascii="Times New Roman" w:hAnsi="Times New Roman"/>
          <w:sz w:val="24"/>
          <w:szCs w:val="24"/>
        </w:rPr>
        <w:t>bioetanolu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, pričom zmes musí obsahovať podiel </w:t>
      </w:r>
      <w:proofErr w:type="spellStart"/>
      <w:r w:rsidRPr="00C76E57">
        <w:rPr>
          <w:rFonts w:ascii="Times New Roman" w:hAnsi="Times New Roman"/>
          <w:sz w:val="24"/>
          <w:szCs w:val="24"/>
        </w:rPr>
        <w:t>bioetyltercbutyléteru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najmenej 3 %, čo predstavuje objem 1,41 % </w:t>
      </w:r>
      <w:proofErr w:type="spellStart"/>
      <w:r w:rsidRPr="00C76E57">
        <w:rPr>
          <w:rFonts w:ascii="Times New Roman" w:hAnsi="Times New Roman"/>
          <w:sz w:val="24"/>
          <w:szCs w:val="24"/>
        </w:rPr>
        <w:t>bioetanolovej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zložky. Objem </w:t>
      </w:r>
      <w:proofErr w:type="spellStart"/>
      <w:r w:rsidRPr="00C76E57">
        <w:rPr>
          <w:rFonts w:ascii="Times New Roman" w:hAnsi="Times New Roman"/>
          <w:sz w:val="24"/>
          <w:szCs w:val="24"/>
        </w:rPr>
        <w:t>bioetyltercbutyléteru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sa do objemu </w:t>
      </w:r>
      <w:proofErr w:type="spellStart"/>
      <w:r w:rsidRPr="00C76E57">
        <w:rPr>
          <w:rFonts w:ascii="Times New Roman" w:hAnsi="Times New Roman"/>
          <w:sz w:val="24"/>
          <w:szCs w:val="24"/>
        </w:rPr>
        <w:t>bioetanolovej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zložky zmesi započítava 47 % svojho objemu.“.</w:t>
      </w:r>
    </w:p>
    <w:p w:rsidR="000869A7" w:rsidRPr="00C76E57" w:rsidRDefault="000869A7" w:rsidP="000869A7">
      <w:pPr>
        <w:pStyle w:val="Bezriadkovania"/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869A7" w:rsidRPr="00C76E57" w:rsidRDefault="000869A7" w:rsidP="000869A7">
      <w:pPr>
        <w:shd w:val="clear" w:color="auto" w:fill="FFFFFF"/>
        <w:spacing w:line="240" w:lineRule="atLeast"/>
        <w:ind w:left="2977"/>
        <w:jc w:val="both"/>
      </w:pPr>
      <w:r w:rsidRPr="00C76E57">
        <w:t xml:space="preserve">Uvedenou zmenou sa zvyšuje podiel </w:t>
      </w:r>
      <w:proofErr w:type="spellStart"/>
      <w:r w:rsidRPr="00C76E57">
        <w:t>bioetanolovej</w:t>
      </w:r>
      <w:proofErr w:type="spellEnd"/>
      <w:r w:rsidRPr="00C76E57">
        <w:t xml:space="preserve"> zložky v benzíne na úroveň 9% obj</w:t>
      </w:r>
      <w:r>
        <w:t>emu</w:t>
      </w:r>
      <w:r w:rsidRPr="00C76E57">
        <w:t xml:space="preserve"> z dôvodu splnenia cieľa obsahu obnoviteľných zdrojov energie v doprave na úrovni 10% energ</w:t>
      </w:r>
      <w:r>
        <w:t>etických</w:t>
      </w:r>
      <w:r w:rsidRPr="00C76E57">
        <w:t xml:space="preserve"> v r. 2020. Predmetný cieľ je stanovený v Smernici EP a Rady 2009/28/ES z 23. apríla 2009 o podpore využívania energie z obnoviteľných zdrojov energie (ďalej len „Smernica“) a členské štáty ho majú povinnosť dosiahnuť. </w:t>
      </w:r>
    </w:p>
    <w:p w:rsidR="000869A7" w:rsidRPr="00C76E57" w:rsidRDefault="000869A7" w:rsidP="000869A7">
      <w:pPr>
        <w:shd w:val="clear" w:color="auto" w:fill="FFFFFF"/>
        <w:spacing w:line="240" w:lineRule="atLeast"/>
        <w:ind w:left="2977"/>
        <w:jc w:val="both"/>
      </w:pPr>
      <w:r w:rsidRPr="00C76E57">
        <w:t>Vyššie uvedený cieľ, stanovený Smernicou, je do národného právneho poriadku transponovaný v podobe ustanovenia § 6 ods. 3 Vyhlášky MH SR č. 373/2011 Z. z., ktorou sa vykonávajú niektoré ustanovenia zákona č. 309/2009 Z. z. o podpore obnoviteľných zdrojov energie a vysoko účinnej kombinovanej výroby, ktorý znie: „</w:t>
      </w:r>
      <w:r w:rsidRPr="00C76E57">
        <w:rPr>
          <w:i/>
          <w:iCs/>
        </w:rPr>
        <w:t>podiel energie z obnoviteľných zdrojov v doprave pre výpočet národného cieľa je najmenej 10% v roku 2020</w:t>
      </w:r>
      <w:r w:rsidRPr="00C76E57">
        <w:t xml:space="preserve">.“ Uvedené znamená, že Slovenská republika sa zaviazala dosiahnuť 10% </w:t>
      </w:r>
      <w:r>
        <w:t>obnoviteľných zdrojov energie (</w:t>
      </w:r>
      <w:r w:rsidRPr="00C76E57">
        <w:t>OZE</w:t>
      </w:r>
      <w:r>
        <w:t>)</w:t>
      </w:r>
      <w:r w:rsidRPr="00C76E57">
        <w:t xml:space="preserve"> v doprave v roku 2020.</w:t>
      </w:r>
    </w:p>
    <w:p w:rsidR="000869A7" w:rsidRDefault="000869A7" w:rsidP="000869A7">
      <w:pPr>
        <w:pStyle w:val="Bezriadkovania"/>
        <w:spacing w:line="240" w:lineRule="atLeast"/>
        <w:ind w:left="2977"/>
        <w:jc w:val="both"/>
        <w:rPr>
          <w:rFonts w:ascii="Times New Roman" w:hAnsi="Times New Roman"/>
          <w:sz w:val="24"/>
          <w:szCs w:val="24"/>
        </w:rPr>
      </w:pPr>
      <w:r w:rsidRPr="00C76E57">
        <w:rPr>
          <w:rFonts w:ascii="Times New Roman" w:hAnsi="Times New Roman"/>
          <w:sz w:val="24"/>
          <w:szCs w:val="24"/>
        </w:rPr>
        <w:t xml:space="preserve">Práve </w:t>
      </w:r>
      <w:proofErr w:type="spellStart"/>
      <w:r w:rsidRPr="00C76E57">
        <w:rPr>
          <w:rFonts w:ascii="Times New Roman" w:hAnsi="Times New Roman"/>
          <w:sz w:val="24"/>
          <w:szCs w:val="24"/>
        </w:rPr>
        <w:t>biopalivá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predstavujú v súčasnosti jediný okamžite dostupný a nákladovo efektívny spôsob zvýšenia podielu obnoviteľnej energie v doprave. Vzhľadom na to, že obsah </w:t>
      </w:r>
      <w:proofErr w:type="spellStart"/>
      <w:r w:rsidRPr="00C76E57">
        <w:rPr>
          <w:rFonts w:ascii="Times New Roman" w:hAnsi="Times New Roman"/>
          <w:sz w:val="24"/>
          <w:szCs w:val="24"/>
        </w:rPr>
        <w:t>biopalív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je v súčasnosti v motorovej nafte na hornej hranici technickej normy (B7) a v tomto segmente neexistuje dnes priestor na okamžitý rast obnoviteľnej zložky, zvýšenie podielu </w:t>
      </w:r>
      <w:proofErr w:type="spellStart"/>
      <w:r w:rsidRPr="00C76E57">
        <w:rPr>
          <w:rFonts w:ascii="Times New Roman" w:hAnsi="Times New Roman"/>
          <w:sz w:val="24"/>
          <w:szCs w:val="24"/>
        </w:rPr>
        <w:t>bioetanolovej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zložky v benzíne predstavuje najľahší spôsob zvýšenia obnoviteľnej energie v doprave bez významných nákladov na technické úpravy pri výrobe benzínu, jeho skladovaní, distribúcii alebo použití v motorových vozidlách.</w:t>
      </w:r>
    </w:p>
    <w:p w:rsidR="000869A7" w:rsidRPr="009110CC" w:rsidRDefault="000869A7" w:rsidP="000869A7">
      <w:pPr>
        <w:pStyle w:val="Bezriadkovania"/>
        <w:spacing w:line="240" w:lineRule="atLeast"/>
        <w:ind w:left="2977"/>
        <w:jc w:val="both"/>
        <w:rPr>
          <w:rFonts w:ascii="Times New Roman" w:hAnsi="Times New Roman"/>
          <w:bCs/>
          <w:sz w:val="24"/>
          <w:szCs w:val="24"/>
        </w:rPr>
      </w:pPr>
      <w:r w:rsidRPr="009110CC">
        <w:rPr>
          <w:rFonts w:ascii="Times New Roman" w:hAnsi="Times New Roman"/>
          <w:bCs/>
          <w:sz w:val="24"/>
          <w:szCs w:val="24"/>
        </w:rPr>
        <w:lastRenderedPageBreak/>
        <w:t xml:space="preserve">Zavedenie povinného podielu etanolu v benzíne na úrovni 9% objemu nemá žiadny vplyv na príjmovú ani výdavkovú časť štátneho rozpočtu pretože </w:t>
      </w:r>
      <w:proofErr w:type="spellStart"/>
      <w:r w:rsidRPr="009110CC">
        <w:rPr>
          <w:rFonts w:ascii="Times New Roman" w:hAnsi="Times New Roman"/>
          <w:bCs/>
          <w:sz w:val="24"/>
          <w:szCs w:val="24"/>
        </w:rPr>
        <w:t>biopalivo</w:t>
      </w:r>
      <w:proofErr w:type="spellEnd"/>
      <w:r w:rsidRPr="009110CC">
        <w:rPr>
          <w:rFonts w:ascii="Times New Roman" w:hAnsi="Times New Roman"/>
          <w:bCs/>
          <w:sz w:val="24"/>
          <w:szCs w:val="24"/>
        </w:rPr>
        <w:t xml:space="preserve"> zmiešané s benzínom je zdanené rovnakou sadzbou spotrebnej dane. Zavedenie rovnakej možnosti odložiť plnenie cieľov pokročilých </w:t>
      </w:r>
      <w:proofErr w:type="spellStart"/>
      <w:r w:rsidRPr="009110CC">
        <w:rPr>
          <w:rFonts w:ascii="Times New Roman" w:hAnsi="Times New Roman"/>
          <w:bCs/>
          <w:sz w:val="24"/>
          <w:szCs w:val="24"/>
        </w:rPr>
        <w:t>biopalív</w:t>
      </w:r>
      <w:proofErr w:type="spellEnd"/>
      <w:r w:rsidRPr="009110CC">
        <w:rPr>
          <w:rFonts w:ascii="Times New Roman" w:hAnsi="Times New Roman"/>
          <w:bCs/>
          <w:sz w:val="24"/>
          <w:szCs w:val="24"/>
        </w:rPr>
        <w:t xml:space="preserve"> v r. 2020 ako tomu je v aktuálnom roku 2019 z titulu nedostupnosti na trhu, ako aj zavedenie dvojitého započítavania energetického obsahu všetkých pokročilých </w:t>
      </w:r>
      <w:proofErr w:type="spellStart"/>
      <w:r w:rsidRPr="009110CC">
        <w:rPr>
          <w:rFonts w:ascii="Times New Roman" w:hAnsi="Times New Roman"/>
          <w:bCs/>
          <w:sz w:val="24"/>
          <w:szCs w:val="24"/>
        </w:rPr>
        <w:t>biopalív</w:t>
      </w:r>
      <w:proofErr w:type="spellEnd"/>
      <w:r w:rsidRPr="009110CC">
        <w:rPr>
          <w:rFonts w:ascii="Times New Roman" w:hAnsi="Times New Roman"/>
          <w:bCs/>
          <w:sz w:val="24"/>
          <w:szCs w:val="24"/>
        </w:rPr>
        <w:t> nemajú žiadny vplyv na príjmovú ani výdavkovú časť štátneho rozpočtu.</w:t>
      </w:r>
    </w:p>
    <w:p w:rsidR="000869A7" w:rsidRPr="00C76E57" w:rsidRDefault="000869A7" w:rsidP="000869A7">
      <w:pPr>
        <w:pStyle w:val="Obyajntext"/>
        <w:spacing w:line="240" w:lineRule="atLeas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9110CC">
        <w:rPr>
          <w:rFonts w:ascii="Times New Roman" w:hAnsi="Times New Roman" w:cs="Times New Roman"/>
          <w:sz w:val="24"/>
          <w:szCs w:val="24"/>
        </w:rPr>
        <w:t xml:space="preserve">Z hľadiska dopadu predmetnej novely na ceny pohonných látok je možné takmer s určitosťou konštatovať, že plošné zavedenie paliva E10 na trh v SR nebude mat vplyv na zvýšenie cien benzínu. Vplýva to z priaznivého vývoja cenovej hladiny dodávaného </w:t>
      </w:r>
      <w:proofErr w:type="spellStart"/>
      <w:r w:rsidRPr="009110CC">
        <w:rPr>
          <w:rFonts w:ascii="Times New Roman" w:hAnsi="Times New Roman" w:cs="Times New Roman"/>
          <w:sz w:val="24"/>
          <w:szCs w:val="24"/>
        </w:rPr>
        <w:t>biopaliva</w:t>
      </w:r>
      <w:proofErr w:type="spellEnd"/>
      <w:r w:rsidRPr="009110CC">
        <w:rPr>
          <w:rFonts w:ascii="Times New Roman" w:hAnsi="Times New Roman" w:cs="Times New Roman"/>
          <w:sz w:val="24"/>
          <w:szCs w:val="24"/>
        </w:rPr>
        <w:t xml:space="preserve">, čo pôsobí motivujúco pre maximálne dodržiavanie požadovaných objemových parametrov za účelom stabilizovania cenovej hladiny pohonných hmôt. Potvrdzuje to už aj súčasná situácia, kde pri existujúcom palive s parametrami 5 % ekvivalentu </w:t>
      </w:r>
      <w:proofErr w:type="spellStart"/>
      <w:r w:rsidRPr="009110CC">
        <w:rPr>
          <w:rFonts w:ascii="Times New Roman" w:hAnsi="Times New Roman" w:cs="Times New Roman"/>
          <w:sz w:val="24"/>
          <w:szCs w:val="24"/>
        </w:rPr>
        <w:t>bioetanolovej</w:t>
      </w:r>
      <w:proofErr w:type="spellEnd"/>
      <w:r w:rsidRPr="009110CC">
        <w:rPr>
          <w:rFonts w:ascii="Times New Roman" w:hAnsi="Times New Roman" w:cs="Times New Roman"/>
          <w:sz w:val="24"/>
          <w:szCs w:val="24"/>
        </w:rPr>
        <w:t xml:space="preserve"> zložky výrobcovia palív plnia hodnoty v maximálnej možnej výške, kvôli priaznivým ekonomickým ukazovateľom Takže zvýšenie hodnoty povinného primiešavania na úroveň 9%, v žiadnom prípade nebude mať nepriaznivý vplyv na cenu benzínu.</w:t>
      </w:r>
    </w:p>
    <w:p w:rsidR="000869A7" w:rsidRPr="00C76E57" w:rsidRDefault="000869A7" w:rsidP="000869A7">
      <w:pPr>
        <w:pStyle w:val="Bezriadkovania"/>
        <w:spacing w:line="240" w:lineRule="atLeast"/>
        <w:ind w:left="2977"/>
        <w:jc w:val="both"/>
        <w:rPr>
          <w:rFonts w:ascii="Times New Roman" w:hAnsi="Times New Roman"/>
          <w:sz w:val="24"/>
          <w:szCs w:val="24"/>
        </w:rPr>
      </w:pPr>
    </w:p>
    <w:p w:rsidR="000869A7" w:rsidRPr="00C76E57" w:rsidRDefault="000869A7" w:rsidP="000869A7">
      <w:pPr>
        <w:pStyle w:val="Bezriadkovania"/>
        <w:numPr>
          <w:ilvl w:val="0"/>
          <w:numId w:val="32"/>
        </w:numPr>
        <w:spacing w:line="24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76E57">
        <w:rPr>
          <w:rFonts w:ascii="Times New Roman" w:eastAsia="Times New Roman" w:hAnsi="Times New Roman"/>
          <w:sz w:val="24"/>
          <w:szCs w:val="24"/>
          <w:lang w:eastAsia="sk-SK"/>
        </w:rPr>
        <w:t>V § 14a odsek 11 znie:</w:t>
      </w:r>
    </w:p>
    <w:p w:rsidR="000869A7" w:rsidRPr="00C76E57" w:rsidRDefault="000869A7" w:rsidP="000869A7">
      <w:pPr>
        <w:spacing w:line="240" w:lineRule="atLeast"/>
        <w:jc w:val="both"/>
      </w:pPr>
      <w:r w:rsidRPr="00C76E57">
        <w:t xml:space="preserve">„(11) Na účely plnenia referenčnej hodnoty podľa odseku 1 sa energetický obsah pokročilých </w:t>
      </w:r>
      <w:proofErr w:type="spellStart"/>
      <w:r w:rsidRPr="00C76E57">
        <w:t>biopalív</w:t>
      </w:r>
      <w:proofErr w:type="spellEnd"/>
      <w:r w:rsidRPr="00C76E57">
        <w:t xml:space="preserve"> podľa prílohy 1a započítava dvojnásobne.“.</w:t>
      </w:r>
    </w:p>
    <w:p w:rsidR="000869A7" w:rsidRPr="00C76E57" w:rsidRDefault="000869A7" w:rsidP="000869A7">
      <w:pPr>
        <w:spacing w:line="240" w:lineRule="atLeast"/>
        <w:jc w:val="both"/>
      </w:pPr>
    </w:p>
    <w:p w:rsidR="000869A7" w:rsidRPr="00C76E57" w:rsidRDefault="000869A7" w:rsidP="000869A7">
      <w:pPr>
        <w:pStyle w:val="Bezriadkovania"/>
        <w:spacing w:line="240" w:lineRule="atLeast"/>
        <w:ind w:left="2977"/>
        <w:jc w:val="both"/>
        <w:rPr>
          <w:rFonts w:ascii="Times New Roman" w:hAnsi="Times New Roman"/>
          <w:sz w:val="24"/>
          <w:szCs w:val="24"/>
        </w:rPr>
      </w:pPr>
      <w:r w:rsidRPr="00C76E57">
        <w:rPr>
          <w:rFonts w:ascii="Times New Roman" w:hAnsi="Times New Roman"/>
          <w:sz w:val="24"/>
          <w:szCs w:val="24"/>
        </w:rPr>
        <w:t xml:space="preserve">Navrhuje sa, aby boli všetky pokročilé </w:t>
      </w:r>
      <w:proofErr w:type="spellStart"/>
      <w:r w:rsidRPr="00C76E57">
        <w:rPr>
          <w:rFonts w:ascii="Times New Roman" w:hAnsi="Times New Roman"/>
          <w:sz w:val="24"/>
          <w:szCs w:val="24"/>
        </w:rPr>
        <w:t>biopalivá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na účely plnenia cieľov v oblasti energetického podielu pre obnoviteľné zdroje v sektore dopravy boli započítavané dvojnásobne, čo je plne v súlade s pôvodnou smernicou ako i s revidovaným znením, a to so smernicou EP a Rady (EÚ) 2018/2001 o podpore obnoviteľných zdrojov energie.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E57">
        <w:rPr>
          <w:rFonts w:ascii="Times New Roman" w:hAnsi="Times New Roman"/>
          <w:sz w:val="24"/>
          <w:szCs w:val="24"/>
        </w:rPr>
        <w:t xml:space="preserve">Uvedená legislatívno-technická zmena teda reflektuje na správnu transpozíciu smernice 2009/28/ES z 23. apríla 2009 o podpore využívania energie z obnoviteľných zdrojov energie (ďalej len „Smernica“), a to konkrétne prílohy IX časť A. Smernice. </w:t>
      </w:r>
    </w:p>
    <w:p w:rsidR="000869A7" w:rsidRPr="00C76E57" w:rsidRDefault="000869A7" w:rsidP="000869A7">
      <w:pPr>
        <w:pStyle w:val="Bezriadkovania"/>
        <w:spacing w:line="240" w:lineRule="atLeast"/>
        <w:ind w:left="2977"/>
        <w:jc w:val="both"/>
        <w:rPr>
          <w:rFonts w:ascii="Times New Roman" w:hAnsi="Times New Roman"/>
          <w:sz w:val="24"/>
          <w:szCs w:val="24"/>
        </w:rPr>
      </w:pPr>
      <w:r w:rsidRPr="00C76E57">
        <w:rPr>
          <w:rFonts w:ascii="Times New Roman" w:hAnsi="Times New Roman"/>
          <w:sz w:val="24"/>
          <w:szCs w:val="24"/>
        </w:rPr>
        <w:t xml:space="preserve">V zmysle prílohy IX časť A. Smernice, sa suroviny a palivá uvedené v tejto časti prílohy Smernice považujú za dvojnásobok ich energetického obsahu. Príloha IX časť A. Smernice bola do národného právneho poriadku transponovaná v podobe prílohy č. 1a zákona č. 309/2009 Z. z., ktorá ustanovuje zoznam surovín a palív na výrobu pokročilého </w:t>
      </w:r>
      <w:proofErr w:type="spellStart"/>
      <w:r w:rsidRPr="00C76E57">
        <w:rPr>
          <w:rFonts w:ascii="Times New Roman" w:hAnsi="Times New Roman"/>
          <w:sz w:val="24"/>
          <w:szCs w:val="24"/>
        </w:rPr>
        <w:t>biopaliva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, avšak bez zmienky, že sa na tieto suroviny a palivá vzťahuje dvojnásobné započítanie ich energetického obsahu. </w:t>
      </w:r>
    </w:p>
    <w:p w:rsidR="000869A7" w:rsidRDefault="000869A7" w:rsidP="000869A7">
      <w:pPr>
        <w:pStyle w:val="Bezriadkovania"/>
        <w:spacing w:line="240" w:lineRule="atLeast"/>
        <w:ind w:left="2977"/>
        <w:jc w:val="both"/>
        <w:rPr>
          <w:rFonts w:ascii="Times New Roman" w:hAnsi="Times New Roman"/>
          <w:sz w:val="24"/>
          <w:szCs w:val="24"/>
        </w:rPr>
      </w:pPr>
      <w:r w:rsidRPr="00C76E57">
        <w:rPr>
          <w:rFonts w:ascii="Times New Roman" w:hAnsi="Times New Roman"/>
          <w:sz w:val="24"/>
          <w:szCs w:val="24"/>
        </w:rPr>
        <w:t xml:space="preserve">Dvojnásobné započítanie sa v zmysle prílohy IX časť A. Smernice nevzťahuje výlučne len na </w:t>
      </w:r>
      <w:proofErr w:type="spellStart"/>
      <w:r w:rsidRPr="00C76E57">
        <w:rPr>
          <w:rFonts w:ascii="Times New Roman" w:hAnsi="Times New Roman"/>
          <w:sz w:val="24"/>
          <w:szCs w:val="24"/>
        </w:rPr>
        <w:t>lignocelulózový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 etanol, ako to uvádza ust</w:t>
      </w:r>
      <w:r>
        <w:rPr>
          <w:rFonts w:ascii="Times New Roman" w:hAnsi="Times New Roman"/>
          <w:sz w:val="24"/>
          <w:szCs w:val="24"/>
        </w:rPr>
        <w:t>anovenie</w:t>
      </w:r>
      <w:r w:rsidRPr="00C76E57">
        <w:rPr>
          <w:rFonts w:ascii="Times New Roman" w:hAnsi="Times New Roman"/>
          <w:sz w:val="24"/>
          <w:szCs w:val="24"/>
        </w:rPr>
        <w:t xml:space="preserve"> § 14a ods. 11 zákona č. 309/2009 Z. z., ale aj na ostatné suroviny a palivá uvedené v prílohe 1 zákona </w:t>
      </w:r>
      <w:r w:rsidRPr="00C76E57">
        <w:rPr>
          <w:rFonts w:ascii="Times New Roman" w:hAnsi="Times New Roman"/>
          <w:sz w:val="24"/>
          <w:szCs w:val="24"/>
        </w:rPr>
        <w:lastRenderedPageBreak/>
        <w:t xml:space="preserve">č. 309/2009 Z. z., z ktorých môže byť vyrobené pokročilé </w:t>
      </w:r>
      <w:proofErr w:type="spellStart"/>
      <w:r w:rsidRPr="00C76E57">
        <w:rPr>
          <w:rFonts w:ascii="Times New Roman" w:hAnsi="Times New Roman"/>
          <w:sz w:val="24"/>
          <w:szCs w:val="24"/>
        </w:rPr>
        <w:t>biopalivo</w:t>
      </w:r>
      <w:proofErr w:type="spellEnd"/>
      <w:r w:rsidRPr="00C76E57">
        <w:rPr>
          <w:rFonts w:ascii="Times New Roman" w:hAnsi="Times New Roman"/>
          <w:sz w:val="24"/>
          <w:szCs w:val="24"/>
        </w:rPr>
        <w:t>.</w:t>
      </w:r>
    </w:p>
    <w:p w:rsidR="000869A7" w:rsidRDefault="000869A7" w:rsidP="000869A7">
      <w:pPr>
        <w:pStyle w:val="Bezriadkovania"/>
        <w:spacing w:line="240" w:lineRule="atLeast"/>
        <w:ind w:left="2977"/>
        <w:jc w:val="both"/>
        <w:rPr>
          <w:rFonts w:ascii="Times New Roman" w:hAnsi="Times New Roman"/>
          <w:sz w:val="24"/>
          <w:szCs w:val="24"/>
        </w:rPr>
      </w:pPr>
    </w:p>
    <w:p w:rsidR="000869A7" w:rsidRPr="00C76E57" w:rsidRDefault="000869A7" w:rsidP="000869A7">
      <w:pPr>
        <w:pStyle w:val="Bezriadkovania"/>
        <w:numPr>
          <w:ilvl w:val="0"/>
          <w:numId w:val="32"/>
        </w:numPr>
        <w:spacing w:line="24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76E57">
        <w:rPr>
          <w:rFonts w:ascii="Times New Roman" w:eastAsia="Times New Roman" w:hAnsi="Times New Roman"/>
          <w:sz w:val="24"/>
          <w:szCs w:val="24"/>
          <w:lang w:eastAsia="sk-SK"/>
        </w:rPr>
        <w:t>V § 16 ods. 2 písmeno f) znie:</w:t>
      </w:r>
    </w:p>
    <w:p w:rsidR="000869A7" w:rsidRPr="00C76E57" w:rsidRDefault="000869A7" w:rsidP="000869A7">
      <w:pPr>
        <w:spacing w:line="240" w:lineRule="atLeast"/>
        <w:jc w:val="both"/>
      </w:pPr>
      <w:r w:rsidRPr="00C76E57">
        <w:t xml:space="preserve">„f) za správny delikt podľa odseku 1 písm. </w:t>
      </w:r>
      <w:proofErr w:type="spellStart"/>
      <w:r w:rsidRPr="00C76E57">
        <w:t>af</w:t>
      </w:r>
      <w:proofErr w:type="spellEnd"/>
      <w:r w:rsidRPr="00C76E57">
        <w:t>), ktorá sa vypočíta ako súčin nedosiahnutého zníženia emisií skleníkových plynov podľa § 14c ods. 6 v kilogramoch CO</w:t>
      </w:r>
      <w:r w:rsidRPr="00C76E57">
        <w:rPr>
          <w:vertAlign w:val="subscript"/>
        </w:rPr>
        <w:t>2ekv</w:t>
      </w:r>
      <w:r w:rsidRPr="00C76E57">
        <w:t xml:space="preserve"> a sumy</w:t>
      </w:r>
    </w:p>
    <w:p w:rsidR="000869A7" w:rsidRPr="00C76E57" w:rsidRDefault="000869A7" w:rsidP="000869A7">
      <w:pPr>
        <w:pStyle w:val="Odsekzoznamu"/>
        <w:numPr>
          <w:ilvl w:val="0"/>
          <w:numId w:val="31"/>
        </w:numPr>
        <w:tabs>
          <w:tab w:val="left" w:pos="284"/>
        </w:tabs>
        <w:spacing w:line="240" w:lineRule="atLeast"/>
        <w:ind w:left="142" w:hanging="142"/>
        <w:contextualSpacing/>
        <w:jc w:val="both"/>
      </w:pPr>
      <w:r w:rsidRPr="00C76E57">
        <w:t>0,37 eura</w:t>
      </w:r>
      <w:r>
        <w:t>,</w:t>
      </w:r>
      <w:r w:rsidRPr="00C76E57">
        <w:rPr>
          <w:bCs/>
        </w:rPr>
        <w:t xml:space="preserve"> ak je dosiahnuté zníženie </w:t>
      </w:r>
      <w:r w:rsidRPr="00C76E57">
        <w:t xml:space="preserve">emisií skleníkových plynov od </w:t>
      </w:r>
      <w:r w:rsidRPr="00C76E57">
        <w:rPr>
          <w:bCs/>
        </w:rPr>
        <w:t>0% do 2% vrátane,</w:t>
      </w:r>
    </w:p>
    <w:p w:rsidR="000869A7" w:rsidRPr="00C76E57" w:rsidRDefault="000869A7" w:rsidP="000869A7">
      <w:pPr>
        <w:pStyle w:val="Odsekzoznamu"/>
        <w:numPr>
          <w:ilvl w:val="0"/>
          <w:numId w:val="31"/>
        </w:numPr>
        <w:tabs>
          <w:tab w:val="left" w:pos="284"/>
        </w:tabs>
        <w:spacing w:line="240" w:lineRule="atLeast"/>
        <w:ind w:left="142" w:hanging="142"/>
        <w:contextualSpacing/>
        <w:jc w:val="both"/>
      </w:pPr>
      <w:r w:rsidRPr="00C76E57">
        <w:rPr>
          <w:bCs/>
        </w:rPr>
        <w:t>0,185 eura</w:t>
      </w:r>
      <w:r>
        <w:rPr>
          <w:bCs/>
        </w:rPr>
        <w:t>,</w:t>
      </w:r>
      <w:r w:rsidRPr="00C76E57">
        <w:rPr>
          <w:bCs/>
        </w:rPr>
        <w:t xml:space="preserve"> ak je dosiahnuté zníženie emisií skleníkových plynov od 2,01% do 4% vrátane,</w:t>
      </w:r>
    </w:p>
    <w:p w:rsidR="000869A7" w:rsidRPr="00C76E57" w:rsidRDefault="000869A7" w:rsidP="000869A7">
      <w:pPr>
        <w:pStyle w:val="Odsekzoznamu"/>
        <w:numPr>
          <w:ilvl w:val="0"/>
          <w:numId w:val="31"/>
        </w:numPr>
        <w:tabs>
          <w:tab w:val="left" w:pos="284"/>
        </w:tabs>
        <w:spacing w:line="240" w:lineRule="atLeast"/>
        <w:ind w:left="142" w:hanging="142"/>
        <w:contextualSpacing/>
        <w:jc w:val="both"/>
      </w:pPr>
      <w:r w:rsidRPr="00C76E57">
        <w:rPr>
          <w:bCs/>
        </w:rPr>
        <w:t>0,015 eura</w:t>
      </w:r>
      <w:r>
        <w:rPr>
          <w:bCs/>
        </w:rPr>
        <w:t>,</w:t>
      </w:r>
      <w:r w:rsidRPr="00C76E57">
        <w:rPr>
          <w:bCs/>
        </w:rPr>
        <w:t xml:space="preserve"> ak je dosiahnuté zníženie emisií skleníkových plynov od 4,01% a viac.“.</w:t>
      </w:r>
      <w:r>
        <w:rPr>
          <w:bCs/>
        </w:rPr>
        <w:t>“.</w:t>
      </w:r>
    </w:p>
    <w:p w:rsidR="000869A7" w:rsidRPr="00C76E57" w:rsidRDefault="000869A7" w:rsidP="000869A7">
      <w:pPr>
        <w:tabs>
          <w:tab w:val="left" w:pos="3225"/>
        </w:tabs>
        <w:spacing w:line="240" w:lineRule="atLeast"/>
        <w:jc w:val="both"/>
        <w:rPr>
          <w:b/>
          <w:u w:val="single"/>
        </w:rPr>
      </w:pPr>
    </w:p>
    <w:p w:rsidR="000869A7" w:rsidRPr="00C76E57" w:rsidRDefault="000869A7" w:rsidP="000869A7">
      <w:pPr>
        <w:pStyle w:val="Bezriadkovania"/>
        <w:spacing w:line="240" w:lineRule="atLeast"/>
        <w:ind w:left="297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76E57">
        <w:rPr>
          <w:rFonts w:ascii="Times New Roman" w:hAnsi="Times New Roman"/>
          <w:sz w:val="24"/>
          <w:szCs w:val="24"/>
        </w:rPr>
        <w:t xml:space="preserve">Vzhľadom na to, že výrobcovia pohonných látok sú vystavení riziku enormných pokút v prípade nesplnenia energetického cieľa pre </w:t>
      </w:r>
      <w:proofErr w:type="spellStart"/>
      <w:r w:rsidRPr="00C76E57">
        <w:rPr>
          <w:rFonts w:ascii="Times New Roman" w:hAnsi="Times New Roman"/>
          <w:sz w:val="24"/>
          <w:szCs w:val="24"/>
        </w:rPr>
        <w:t>biopalivá</w:t>
      </w:r>
      <w:proofErr w:type="spellEnd"/>
      <w:r w:rsidRPr="00C76E57">
        <w:rPr>
          <w:rFonts w:ascii="Times New Roman" w:hAnsi="Times New Roman"/>
          <w:sz w:val="24"/>
          <w:szCs w:val="24"/>
        </w:rPr>
        <w:t xml:space="preserve">, minimálnych objemových ukazovateľov, ako i cieľa úspor emisií skleníkových plynov, navrhuje sa upraviť výšku pokuty za neplnenie cieľa úspory emisií skleníkových plynov v sektore dopravy tak, aby mohla byť zohľadnená úroveň dosiahnutého plnenia predmetného cieľa, teda čím nižšia úroveň plnenia tým vyššia pokuta. Minimálna sadzba je preto stanovená na úroveň stanovenú napríklad v Rakúsku.  </w:t>
      </w:r>
    </w:p>
    <w:p w:rsidR="000869A7" w:rsidRPr="00C76E57" w:rsidRDefault="000869A7" w:rsidP="000869A7">
      <w:pPr>
        <w:pStyle w:val="Bezriadkovania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69A7" w:rsidRPr="00C76E57" w:rsidRDefault="000869A7" w:rsidP="000869A7">
      <w:pPr>
        <w:spacing w:line="240" w:lineRule="atLeast"/>
        <w:jc w:val="both"/>
      </w:pPr>
      <w:bookmarkStart w:id="0" w:name="_GoBack"/>
      <w:bookmarkEnd w:id="0"/>
    </w:p>
    <w:p w:rsidR="000869A7" w:rsidRPr="00C76E57" w:rsidRDefault="000869A7" w:rsidP="000869A7">
      <w:pPr>
        <w:pStyle w:val="Bezriadkovania"/>
        <w:numPr>
          <w:ilvl w:val="0"/>
          <w:numId w:val="32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6E5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E57">
        <w:rPr>
          <w:rFonts w:ascii="Times New Roman" w:hAnsi="Times New Roman"/>
          <w:sz w:val="24"/>
          <w:szCs w:val="24"/>
        </w:rPr>
        <w:t>18j sa dopĺňa odsek</w:t>
      </w:r>
      <w:r>
        <w:rPr>
          <w:rFonts w:ascii="Times New Roman" w:hAnsi="Times New Roman"/>
          <w:sz w:val="24"/>
          <w:szCs w:val="24"/>
        </w:rPr>
        <w:t>mi</w:t>
      </w:r>
      <w:r w:rsidRPr="00C76E5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a 4</w:t>
      </w:r>
      <w:r w:rsidRPr="00C76E57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é</w:t>
      </w:r>
      <w:r w:rsidRPr="00C76E57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nejú</w:t>
      </w:r>
      <w:r w:rsidRPr="00C76E57">
        <w:rPr>
          <w:rFonts w:ascii="Times New Roman" w:hAnsi="Times New Roman"/>
          <w:sz w:val="24"/>
          <w:szCs w:val="24"/>
        </w:rPr>
        <w:t>:</w:t>
      </w:r>
    </w:p>
    <w:p w:rsidR="000869A7" w:rsidRDefault="000869A7" w:rsidP="000869A7">
      <w:pPr>
        <w:spacing w:line="240" w:lineRule="atLeast"/>
        <w:jc w:val="both"/>
      </w:pPr>
      <w:r w:rsidRPr="00C76E57">
        <w:t xml:space="preserve">„(3) Právnická osoba alebo fyzická osoba nie je povinná splniť povinnosť podľa § 14f ods. 2 písm. b), ak dôjde k nemožnosti splnenia povinnosti z dôvodu fyzickej nedostupnosti </w:t>
      </w:r>
      <w:proofErr w:type="spellStart"/>
      <w:r w:rsidRPr="00C76E57">
        <w:t>biopaliva</w:t>
      </w:r>
      <w:proofErr w:type="spellEnd"/>
      <w:r w:rsidRPr="00C76E57">
        <w:t xml:space="preserve"> v členských štátoch; túto skutočnosť je povinná </w:t>
      </w:r>
      <w:r>
        <w:t xml:space="preserve">písomne </w:t>
      </w:r>
      <w:r w:rsidRPr="00C76E57">
        <w:t>oznámiť ministerstvu do 30. júna 2020.</w:t>
      </w:r>
    </w:p>
    <w:p w:rsidR="000869A7" w:rsidRDefault="000869A7" w:rsidP="000869A7">
      <w:pPr>
        <w:pStyle w:val="Bezriadkovania"/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F795A">
        <w:rPr>
          <w:rFonts w:ascii="Times New Roman" w:hAnsi="Times New Roman"/>
          <w:sz w:val="24"/>
          <w:szCs w:val="24"/>
          <w:lang w:eastAsia="sk-SK"/>
        </w:rPr>
        <w:t xml:space="preserve">(4) Ak dôjde právnickou osobou alebo fyzickou osobou k nesplneniu povinnosti podľa § 14c ods. 6 do 31. decembra 2019, na konanie o uložení pokuty podľa § 16 </w:t>
      </w:r>
      <w:r w:rsidRPr="006F795A">
        <w:rPr>
          <w:rFonts w:ascii="Times New Roman" w:eastAsia="Times New Roman" w:hAnsi="Times New Roman"/>
          <w:sz w:val="24"/>
          <w:szCs w:val="24"/>
          <w:lang w:eastAsia="sk-SK"/>
        </w:rPr>
        <w:t xml:space="preserve">ods. 2 písmeno f) </w:t>
      </w:r>
      <w:r w:rsidRPr="006F795A">
        <w:rPr>
          <w:rFonts w:ascii="Times New Roman" w:hAnsi="Times New Roman"/>
          <w:sz w:val="24"/>
          <w:szCs w:val="24"/>
          <w:lang w:eastAsia="sk-SK"/>
        </w:rPr>
        <w:t>sa použijú ustanovenia podľa predpisu účinného do 31. decembra 2019.“.</w:t>
      </w:r>
    </w:p>
    <w:p w:rsidR="000869A7" w:rsidRPr="00C76E57" w:rsidRDefault="000869A7" w:rsidP="000869A7">
      <w:pPr>
        <w:spacing w:line="240" w:lineRule="atLeast"/>
        <w:jc w:val="both"/>
      </w:pPr>
    </w:p>
    <w:p w:rsidR="000869A7" w:rsidRPr="00C76E57" w:rsidRDefault="000869A7" w:rsidP="000869A7">
      <w:pPr>
        <w:spacing w:line="240" w:lineRule="atLeast"/>
        <w:ind w:left="2977"/>
        <w:jc w:val="both"/>
      </w:pPr>
    </w:p>
    <w:p w:rsidR="000869A7" w:rsidRDefault="000869A7" w:rsidP="000869A7">
      <w:pPr>
        <w:spacing w:line="240" w:lineRule="atLeast"/>
        <w:ind w:left="2977"/>
        <w:jc w:val="both"/>
      </w:pPr>
      <w:r w:rsidRPr="00C76E57">
        <w:t xml:space="preserve">Vzhľadom na to, že situácia v oblasti zabezpečovania trhu </w:t>
      </w:r>
      <w:proofErr w:type="spellStart"/>
      <w:r w:rsidRPr="00C76E57">
        <w:t>biopalivami</w:t>
      </w:r>
      <w:proofErr w:type="spellEnd"/>
      <w:r w:rsidRPr="00C76E57">
        <w:t xml:space="preserve"> druhej generácie sa nielen na Slovensku ale aj v ostatných krajinách regiónu zatiaľ vyvíja nepriaznivo, nie je možné kvôli fyzickej nedostupnosti plniť povinnosti vyplývajúce zo zákona. Navrhuje sa preto aplikovať ustanovenie, ktoré v danej situácii oslobodzuje od povinností uvádzať na trh pokročilé </w:t>
      </w:r>
      <w:proofErr w:type="spellStart"/>
      <w:r w:rsidRPr="00C76E57">
        <w:t>biopalivo</w:t>
      </w:r>
      <w:proofErr w:type="spellEnd"/>
      <w:r w:rsidRPr="00C76E57">
        <w:t xml:space="preserve">.  </w:t>
      </w:r>
    </w:p>
    <w:p w:rsidR="000869A7" w:rsidRDefault="000869A7" w:rsidP="000869A7">
      <w:pPr>
        <w:pStyle w:val="Bezriadkovania"/>
        <w:spacing w:line="240" w:lineRule="atLeast"/>
        <w:ind w:left="297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Súčasne sa navrhuje aj úprava </w:t>
      </w:r>
      <w:r>
        <w:rPr>
          <w:rFonts w:ascii="Times New Roman" w:hAnsi="Times New Roman"/>
          <w:sz w:val="24"/>
          <w:szCs w:val="24"/>
          <w:lang w:eastAsia="sk-SK"/>
        </w:rPr>
        <w:t>prechodného ustanovenia k ustanoveniam upravujúcim pokuty.</w:t>
      </w:r>
    </w:p>
    <w:p w:rsidR="000869A7" w:rsidRPr="00C76E57" w:rsidRDefault="000869A7" w:rsidP="000869A7">
      <w:pPr>
        <w:spacing w:line="240" w:lineRule="atLeast"/>
        <w:ind w:left="2977"/>
        <w:jc w:val="both"/>
      </w:pPr>
    </w:p>
    <w:p w:rsidR="000869A7" w:rsidRPr="00C9619E" w:rsidRDefault="000869A7" w:rsidP="000869A7">
      <w:pPr>
        <w:pStyle w:val="Bezriadkovania"/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9619E">
        <w:rPr>
          <w:rFonts w:ascii="Times New Roman" w:hAnsi="Times New Roman"/>
          <w:bCs/>
          <w:sz w:val="24"/>
          <w:szCs w:val="24"/>
        </w:rPr>
        <w:t xml:space="preserve">Účinnosť </w:t>
      </w:r>
      <w:r>
        <w:rPr>
          <w:rFonts w:ascii="Times New Roman" w:hAnsi="Times New Roman"/>
          <w:bCs/>
          <w:sz w:val="24"/>
          <w:szCs w:val="24"/>
        </w:rPr>
        <w:t xml:space="preserve">nového </w:t>
      </w:r>
      <w:r w:rsidRPr="00C9619E">
        <w:rPr>
          <w:rFonts w:ascii="Times New Roman" w:hAnsi="Times New Roman"/>
          <w:bCs/>
          <w:sz w:val="24"/>
          <w:szCs w:val="24"/>
        </w:rPr>
        <w:t>článku I</w:t>
      </w:r>
      <w:r>
        <w:rPr>
          <w:rFonts w:ascii="Times New Roman" w:hAnsi="Times New Roman"/>
          <w:bCs/>
          <w:sz w:val="24"/>
          <w:szCs w:val="24"/>
        </w:rPr>
        <w:t>II</w:t>
      </w:r>
      <w:r w:rsidRPr="00C9619E">
        <w:rPr>
          <w:rFonts w:ascii="Times New Roman" w:hAnsi="Times New Roman"/>
          <w:bCs/>
          <w:sz w:val="24"/>
          <w:szCs w:val="24"/>
        </w:rPr>
        <w:t xml:space="preserve"> sa navrhuje od 1. januára 2020</w:t>
      </w:r>
      <w:r>
        <w:rPr>
          <w:rFonts w:ascii="Times New Roman" w:hAnsi="Times New Roman"/>
          <w:bCs/>
          <w:sz w:val="24"/>
          <w:szCs w:val="24"/>
        </w:rPr>
        <w:t xml:space="preserve">, čo sa premietne v ustanovení o účinnosti pri spracúvaní čistopisu schváleného zákona. </w:t>
      </w:r>
    </w:p>
    <w:p w:rsidR="000869A7" w:rsidRPr="00C9619E" w:rsidRDefault="000869A7" w:rsidP="000869A7">
      <w:pPr>
        <w:pStyle w:val="Bezriadkovania"/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0869A7" w:rsidRDefault="000869A7" w:rsidP="000869A7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F74881">
        <w:rPr>
          <w:rFonts w:ascii="Times New Roman" w:hAnsi="Times New Roman"/>
          <w:sz w:val="24"/>
          <w:szCs w:val="24"/>
        </w:rPr>
        <w:t>Doterajš</w:t>
      </w:r>
      <w:r>
        <w:rPr>
          <w:rFonts w:ascii="Times New Roman" w:hAnsi="Times New Roman"/>
          <w:sz w:val="24"/>
          <w:szCs w:val="24"/>
        </w:rPr>
        <w:t>í</w:t>
      </w:r>
      <w:r w:rsidRPr="00C961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</w:t>
      </w:r>
      <w:r w:rsidRPr="00C9619E">
        <w:rPr>
          <w:rFonts w:ascii="Times New Roman" w:hAnsi="Times New Roman"/>
          <w:bCs/>
          <w:sz w:val="24"/>
          <w:szCs w:val="24"/>
        </w:rPr>
        <w:t xml:space="preserve">l. </w:t>
      </w:r>
      <w:r>
        <w:rPr>
          <w:rFonts w:ascii="Times New Roman" w:hAnsi="Times New Roman"/>
          <w:bCs/>
          <w:sz w:val="24"/>
          <w:szCs w:val="24"/>
        </w:rPr>
        <w:t>III</w:t>
      </w:r>
      <w:r w:rsidRPr="00C9619E">
        <w:rPr>
          <w:rFonts w:ascii="Times New Roman" w:hAnsi="Times New Roman"/>
          <w:bCs/>
          <w:sz w:val="24"/>
          <w:szCs w:val="24"/>
        </w:rPr>
        <w:t xml:space="preserve"> sa primerane prečísluj</w:t>
      </w:r>
      <w:r>
        <w:rPr>
          <w:rFonts w:ascii="Times New Roman" w:hAnsi="Times New Roman"/>
          <w:bCs/>
          <w:sz w:val="24"/>
          <w:szCs w:val="24"/>
        </w:rPr>
        <w:t xml:space="preserve">e. V súvislosti s vložením nového článku sa v čistopise schváleného zákona primerane upraví aj názov zákona. </w:t>
      </w:r>
    </w:p>
    <w:p w:rsidR="000869A7" w:rsidRDefault="000869A7" w:rsidP="000869A7">
      <w:pPr>
        <w:pStyle w:val="Bezriadkovania"/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0869A7" w:rsidRPr="000869A7" w:rsidRDefault="000869A7" w:rsidP="000869A7">
      <w:pPr>
        <w:ind w:left="360"/>
        <w:jc w:val="both"/>
        <w:rPr>
          <w:b/>
        </w:rPr>
      </w:pPr>
    </w:p>
    <w:sectPr w:rsidR="000869A7" w:rsidRPr="0008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6C02BD8"/>
    <w:multiLevelType w:val="hybridMultilevel"/>
    <w:tmpl w:val="E4B8F4E0"/>
    <w:lvl w:ilvl="0" w:tplc="041B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444" w:hanging="360"/>
      </w:pPr>
    </w:lvl>
    <w:lvl w:ilvl="2" w:tplc="041B001B" w:tentative="1">
      <w:start w:val="1"/>
      <w:numFmt w:val="lowerRoman"/>
      <w:lvlText w:val="%3."/>
      <w:lvlJc w:val="right"/>
      <w:pPr>
        <w:ind w:left="10164" w:hanging="180"/>
      </w:pPr>
    </w:lvl>
    <w:lvl w:ilvl="3" w:tplc="041B000F" w:tentative="1">
      <w:start w:val="1"/>
      <w:numFmt w:val="decimal"/>
      <w:lvlText w:val="%4."/>
      <w:lvlJc w:val="left"/>
      <w:pPr>
        <w:ind w:left="10884" w:hanging="360"/>
      </w:pPr>
    </w:lvl>
    <w:lvl w:ilvl="4" w:tplc="041B0019" w:tentative="1">
      <w:start w:val="1"/>
      <w:numFmt w:val="lowerLetter"/>
      <w:lvlText w:val="%5."/>
      <w:lvlJc w:val="left"/>
      <w:pPr>
        <w:ind w:left="11604" w:hanging="360"/>
      </w:pPr>
    </w:lvl>
    <w:lvl w:ilvl="5" w:tplc="041B001B" w:tentative="1">
      <w:start w:val="1"/>
      <w:numFmt w:val="lowerRoman"/>
      <w:lvlText w:val="%6."/>
      <w:lvlJc w:val="right"/>
      <w:pPr>
        <w:ind w:left="12324" w:hanging="180"/>
      </w:pPr>
    </w:lvl>
    <w:lvl w:ilvl="6" w:tplc="041B000F" w:tentative="1">
      <w:start w:val="1"/>
      <w:numFmt w:val="decimal"/>
      <w:lvlText w:val="%7."/>
      <w:lvlJc w:val="left"/>
      <w:pPr>
        <w:ind w:left="13044" w:hanging="360"/>
      </w:pPr>
    </w:lvl>
    <w:lvl w:ilvl="7" w:tplc="041B0019" w:tentative="1">
      <w:start w:val="1"/>
      <w:numFmt w:val="lowerLetter"/>
      <w:lvlText w:val="%8."/>
      <w:lvlJc w:val="left"/>
      <w:pPr>
        <w:ind w:left="13764" w:hanging="360"/>
      </w:pPr>
    </w:lvl>
    <w:lvl w:ilvl="8" w:tplc="041B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" w15:restartNumberingAfterBreak="0">
    <w:nsid w:val="095F2AB0"/>
    <w:multiLevelType w:val="hybridMultilevel"/>
    <w:tmpl w:val="5002E4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363D"/>
    <w:multiLevelType w:val="hybridMultilevel"/>
    <w:tmpl w:val="0F0C9268"/>
    <w:lvl w:ilvl="0" w:tplc="3CE45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5701"/>
    <w:multiLevelType w:val="hybridMultilevel"/>
    <w:tmpl w:val="600292A2"/>
    <w:lvl w:ilvl="0" w:tplc="6FAC9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4"/>
  </w:num>
  <w:num w:numId="5">
    <w:abstractNumId w:val="7"/>
  </w:num>
  <w:num w:numId="6">
    <w:abstractNumId w:val="4"/>
  </w:num>
  <w:num w:numId="7">
    <w:abstractNumId w:val="23"/>
  </w:num>
  <w:num w:numId="8">
    <w:abstractNumId w:val="3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17"/>
  </w:num>
  <w:num w:numId="13">
    <w:abstractNumId w:val="6"/>
  </w:num>
  <w:num w:numId="14">
    <w:abstractNumId w:val="11"/>
  </w:num>
  <w:num w:numId="15">
    <w:abstractNumId w:val="26"/>
  </w:num>
  <w:num w:numId="16">
    <w:abstractNumId w:val="13"/>
  </w:num>
  <w:num w:numId="17">
    <w:abstractNumId w:val="21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4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204AD"/>
    <w:rsid w:val="0003368B"/>
    <w:rsid w:val="00057C90"/>
    <w:rsid w:val="000678E9"/>
    <w:rsid w:val="000869A7"/>
    <w:rsid w:val="000A08EA"/>
    <w:rsid w:val="000B7B4B"/>
    <w:rsid w:val="000C7B41"/>
    <w:rsid w:val="000D6ACE"/>
    <w:rsid w:val="000D70D8"/>
    <w:rsid w:val="00110DFC"/>
    <w:rsid w:val="001129EA"/>
    <w:rsid w:val="00113CAC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771E3"/>
    <w:rsid w:val="002901FA"/>
    <w:rsid w:val="002E4760"/>
    <w:rsid w:val="002E759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24E6A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C363E"/>
    <w:rsid w:val="00613C95"/>
    <w:rsid w:val="0062474B"/>
    <w:rsid w:val="00674FC7"/>
    <w:rsid w:val="006757C1"/>
    <w:rsid w:val="006B6D45"/>
    <w:rsid w:val="006E1DB4"/>
    <w:rsid w:val="00720E42"/>
    <w:rsid w:val="007570FA"/>
    <w:rsid w:val="007739C1"/>
    <w:rsid w:val="007A42AF"/>
    <w:rsid w:val="007A5662"/>
    <w:rsid w:val="007B0CFB"/>
    <w:rsid w:val="007B2469"/>
    <w:rsid w:val="007E029F"/>
    <w:rsid w:val="007E0475"/>
    <w:rsid w:val="008018F6"/>
    <w:rsid w:val="00803A1C"/>
    <w:rsid w:val="00826B85"/>
    <w:rsid w:val="00844F66"/>
    <w:rsid w:val="00856F62"/>
    <w:rsid w:val="0087694C"/>
    <w:rsid w:val="00891BB1"/>
    <w:rsid w:val="00894CD4"/>
    <w:rsid w:val="00900583"/>
    <w:rsid w:val="00901424"/>
    <w:rsid w:val="009164F7"/>
    <w:rsid w:val="00946264"/>
    <w:rsid w:val="00977D3D"/>
    <w:rsid w:val="00992331"/>
    <w:rsid w:val="009C2138"/>
    <w:rsid w:val="009E3B1B"/>
    <w:rsid w:val="00A070FA"/>
    <w:rsid w:val="00A20FB1"/>
    <w:rsid w:val="00A23279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D6978"/>
    <w:rsid w:val="00BF09B1"/>
    <w:rsid w:val="00BF51B3"/>
    <w:rsid w:val="00BF7858"/>
    <w:rsid w:val="00C17AB4"/>
    <w:rsid w:val="00C46E57"/>
    <w:rsid w:val="00CB677A"/>
    <w:rsid w:val="00D24835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A4E15"/>
    <w:rsid w:val="00EF66C7"/>
    <w:rsid w:val="00F04944"/>
    <w:rsid w:val="00F12013"/>
    <w:rsid w:val="00F8266D"/>
    <w:rsid w:val="00F85664"/>
    <w:rsid w:val="00FA303E"/>
    <w:rsid w:val="00FB33A5"/>
    <w:rsid w:val="00FC5461"/>
    <w:rsid w:val="00FD7105"/>
    <w:rsid w:val="00FE2568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300B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086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027F-3EB5-4E9E-9B96-F0F73CA8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23</cp:revision>
  <cp:lastPrinted>2019-03-21T09:51:00Z</cp:lastPrinted>
  <dcterms:created xsi:type="dcterms:W3CDTF">2019-01-14T09:00:00Z</dcterms:created>
  <dcterms:modified xsi:type="dcterms:W3CDTF">2019-10-10T15:39:00Z</dcterms:modified>
</cp:coreProperties>
</file>