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0A4F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91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B71DE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1706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7E5B5B" w:rsidP="007E5B5B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846808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395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E445D2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  <w:b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2F3C68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2F3C68" w:rsidR="00697B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</w:t>
      </w:r>
      <w:r w:rsidR="007D6EE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</w:t>
      </w:r>
      <w:r w:rsidRPr="00842E51" w:rsidR="007D6EE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6EE7" w:rsidR="007D6EE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požiadavkách na bezpečnosť detského ihriska a o zmene a doplnení niektorých zákonov</w:t>
      </w:r>
      <w:r w:rsidRPr="00842E51" w:rsidR="007D6EE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1599)</w:t>
      </w:r>
    </w:p>
    <w:p w:rsidR="005C16A8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5C16A8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0F6EA8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0F6EA8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 </w:t>
      </w:r>
      <w:r w:rsidRPr="007D6EE7" w:rsidR="007D6EE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o </w:t>
      </w:r>
      <w:r w:rsidRPr="007D6EE7" w:rsidR="007D6EE7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základných požiadavkách na bezpečnosť detského ihriska a o zmene a doplnení niektorých zákonov </w:t>
      </w:r>
      <w:r w:rsidRPr="007D6EE7" w:rsidR="007D6EE7">
        <w:rPr>
          <w:rFonts w:ascii="AT*Toronto CE" w:eastAsia="Times New Roman" w:hAnsi="AT*Toronto CE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1599)</w:t>
      </w:r>
      <w:r w:rsidRPr="007D6EE7" w:rsidR="00F95756">
        <w:rPr>
          <w:rFonts w:ascii="AT*Toronto" w:eastAsia="Times New Roman" w:hAnsi="AT*Toronto" w:cs="Arial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2F3C68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color w:val="auto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0F6EA8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0F6EA8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 </w:t>
      </w:r>
      <w:r w:rsidRPr="007D6EE7" w:rsidR="007D6EE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o </w:t>
      </w:r>
      <w:r w:rsidRPr="007D6EE7" w:rsidR="007D6EE7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základných požiadavkách na bezpečnosť detského ihriska a o zmene a doplnení niektorých zákonov </w:t>
      </w:r>
      <w:r w:rsidRPr="007D6EE7" w:rsidR="007D6EE7">
        <w:rPr>
          <w:rFonts w:ascii="AT*Toronto CE" w:eastAsia="Times New Roman" w:hAnsi="AT*Toronto CE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1599)</w:t>
      </w:r>
      <w:r w:rsidRPr="005C16A8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242EDA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0F6E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</w: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9B3E0A" w:rsidRPr="009B3E0A" w:rsidP="00A3079F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bCs/>
        </w:rPr>
      </w:pPr>
      <w:r w:rsidRPr="00956C0E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956C0E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7D6EE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P. Pamulu </w:t>
      </w:r>
      <w:r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="007D6E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T. Jančulu</w:t>
      </w:r>
      <w:r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)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, aby v súlade s § 80 ods. 2 </w:t>
      </w:r>
      <w:r w:rsidRPr="00956C0E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956C0E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</w:p>
    <w:p w:rsidR="004533E2" w:rsidRPr="00A3079F" w:rsidP="009B3E0A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</w:p>
    <w:p w:rsidR="006E1A0A" w:rsidRPr="007F154D" w:rsidP="000B07F2">
      <w:pPr>
        <w:tabs>
          <w:tab w:val="left" w:pos="-1985"/>
          <w:tab w:val="left" w:pos="709"/>
          <w:tab w:val="left" w:pos="1077"/>
        </w:tabs>
        <w:bidi w:val="0"/>
        <w:ind w:left="4254" w:hanging="3540"/>
        <w:jc w:val="both"/>
        <w:rPr>
          <w:rFonts w:ascii="Times New Roman" w:eastAsia="Times New Roman" w:hAnsi="Times New Roman"/>
          <w:b/>
          <w:bCs/>
        </w:rPr>
      </w:pPr>
      <w:r w:rsidR="006E15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0B07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á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0B07F2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0A0F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E1A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0B07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predsedníčka</w:t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E1A0A" w:rsidRPr="000B07F2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0B07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Milan </w:t>
      </w:r>
      <w:r w:rsidRPr="000B07F2" w:rsidR="000B07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 o j š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0B07F2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0A60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p w:rsidR="007D6EE7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7D6EE7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2F3C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91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179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C1385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loha k </w:t>
      </w:r>
      <w:r w:rsidR="0084680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395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DC040C" w:rsidP="00E863A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0B07F2" w:rsidR="00E477B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0B07F2" w:rsidR="00697B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</w:t>
      </w:r>
      <w:r w:rsidRPr="00697BBD"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2E51" w:rsidR="007D6EE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základných požiadavkách na bezpečnosť detského ihriska a o zmene a doplnení niektorých zákonov (tlač 1599)</w:t>
      </w:r>
    </w:p>
    <w:p w:rsidR="00DC040C" w:rsidRPr="00DC040C" w:rsidP="00DC040C">
      <w:pPr>
        <w:bidi w:val="0"/>
        <w:jc w:val="left"/>
        <w:rPr>
          <w:rFonts w:ascii="Times New Roman" w:eastAsia="Times New Roman" w:hAnsi="Times New Roman" w:cs="Arial"/>
        </w:rPr>
      </w:pPr>
    </w:p>
    <w:p w:rsidR="00DC040C" w:rsidRPr="00DC040C" w:rsidP="00DC040C">
      <w:pPr>
        <w:bidi w:val="0"/>
        <w:jc w:val="left"/>
        <w:rPr>
          <w:rFonts w:ascii="Times New Roman" w:eastAsia="Times New Roman" w:hAnsi="Times New Roman" w:cs="Arial"/>
        </w:rPr>
      </w:pPr>
    </w:p>
    <w:p w:rsidR="00DC040C" w:rsidRPr="00F00C0D" w:rsidP="00DC040C">
      <w:pPr>
        <w:bidi w:val="0"/>
        <w:jc w:val="left"/>
        <w:rPr>
          <w:rFonts w:ascii="Times New Roman" w:eastAsia="Times New Roman" w:hAnsi="Times New Roman" w:cs="Arial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Slovo „ročný“ vo všetkých tvaroch sa v čl. I a čl. II nahrádza slovom „pravidelný“ v príslušnom tvare. 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Legislatívno-technická úprava v nadväznosti na návrh zmeny periodicity kontrol detských ihrísk z 12 mesiacov na 24 mesiacov.</w:t>
      </w:r>
    </w:p>
    <w:p w:rsidR="00552903" w:rsidRPr="00F00C0D" w:rsidP="00552903">
      <w:pPr>
        <w:bidi w:val="0"/>
        <w:spacing w:line="360" w:lineRule="auto"/>
        <w:ind w:left="1440"/>
        <w:jc w:val="left"/>
        <w:rPr>
          <w:rFonts w:ascii="Times New Roman" w:eastAsia="Times New Roman" w:hAnsi="Times New Roman"/>
          <w:b/>
        </w:rPr>
      </w:pPr>
    </w:p>
    <w:p w:rsidR="00552903" w:rsidRPr="00F00C0D" w:rsidP="00552903">
      <w:pPr>
        <w:pStyle w:val="Normlny1"/>
        <w:numPr>
          <w:numId w:val="20"/>
        </w:numPr>
        <w:bidi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3 ods. 7 druhá veta znie: „Oznam s upozornením musí byť čitateľný, nezmazateľný, odolný voči vplyvom vonkajšieho prostredia a vyhotovený v štátnom jazyku; tým nie je dotknuté používanie jazykov národnostných menšín podľa osobitného predpisu.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)“.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Poznámka pod čiarou k odkazu 6 znie: 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„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) § 4 ods. 6 zákona č. 184/1999 Z. z. o používaní jazykov národnostných menšín v znení zákona č. 204/2011 Z. z.“. 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Doterajšie odkazy a poznámky pod čiarou 6 až 27 sa označujú ako odkazy a poznámky pod čiarou 7 až 28.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Upravuje a dopĺňa sa formulácia ustanovenia tak, aby bolo zabezpečené právo príslušníkov národnostných menšín podľa </w:t>
        <w:br/>
        <w:t>§ 4 ods. 6 zákona o používaní jazykov národnostných menšín.</w:t>
      </w:r>
    </w:p>
    <w:p w:rsidR="00552903" w:rsidRPr="00F00C0D" w:rsidP="00552903">
      <w:pPr>
        <w:bidi w:val="0"/>
        <w:spacing w:line="360" w:lineRule="auto"/>
        <w:ind w:left="360"/>
        <w:jc w:val="left"/>
        <w:rPr>
          <w:rFonts w:ascii="Times New Roman" w:eastAsia="Times New Roman" w:hAnsi="Times New Roman"/>
          <w:b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4 ods. 1 písm. d), e), f) a g) sa vypúšťa slovo „ľahko“.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Za účelom posilnenia právnej istoty a predchádzania výkladovým nejasnostiam v aplikačnej praxi sa navrhuje v celom návrhu zákona vypustenie prívlastku „ľahko“ v spojení s požiadavkou na čitateľnosť.</w:t>
      </w: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V čl. I, § 5 odsek 2 znie: 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„(2) Označenie podľa odseku 1 musí byť dostatočne viditeľné, čitateľné, nezmazateľné a vyhotovené v štátnom jazyku; tým nie je dotknuté používanie jazykov národnostných menšín podľa osobitného predpisu.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vertAlign w:val="superscript"/>
          <w:rtl w:val="0"/>
          <w:cs w:val="0"/>
          <w:lang w:val="sk-SK" w:eastAsia="sk-SK" w:bidi="ar-SA"/>
        </w:rPr>
        <w:t>6</w:t>
      </w: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)“.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Zjednocuje sa požiadavka na označenie detského ihriska s požiadavkami na oznamy podľa čl. I § 4 ods. 1 písm. d) až g) návrhu zákona. Označenie detského ihriska má plniť trvalú informačnú funkciu a predstavovať základný zdroj informácií o detskom ihrisku, preto by malo byť vyhotovené a umiestnené tak, aby bolo pre verejnosť dostatočne viditeľné. Súčasne sa dopĺňa formulácia ustanovenia tak, aby bolo zabezpečené právo príslušníkov národnostných menšín podľa § 4 ods. 6 zákona o používaní jazykov národnostných menšín.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8 ods. 2 sa za slovo „vlastníka“ vkladajú slová „kontrolovaného detského ihriska“.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ab/>
        <w:t xml:space="preserve">Navrhovanou zmenou sa špecifikuje pojem „vlastník“ </w:t>
        <w:br/>
        <w:t>za účelom dosiahnutia zrozumiteľnosti a jednoznačnosti legislatívneho textu.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9 ods. 1 sa slová „12 mesiacov“ nahrádzajú slovami „24 mesiacov“.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Navrhuje sa predĺženie lehoty na výkon periodickej ročnej kontroly detských ihrísk za účelom zníženia regulačného zaťaženia bez ohrozenia cieľov návrhu zákona.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9 ods. 2 písm. b) sa za slovo „vlastník“ vkladajú slová „kontrolovaného detského ihriska“ a slová „vlastníkom alebo“ sa  nahrádza slovami „vlastníkom kontrolovaného detského ihriska alebo s“.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552903" w:rsidRPr="00F00C0D" w:rsidP="00552903">
      <w:pPr>
        <w:bidi w:val="0"/>
        <w:spacing w:line="360" w:lineRule="auto"/>
        <w:ind w:left="360"/>
        <w:jc w:val="left"/>
        <w:rPr>
          <w:rFonts w:ascii="Times New Roman" w:eastAsia="Times New Roman" w:hAnsi="Times New Roman"/>
          <w:b/>
        </w:rPr>
      </w:pPr>
    </w:p>
    <w:p w:rsidR="00DC040C" w:rsidRPr="00F00C0D" w:rsidP="00552903">
      <w:pPr>
        <w:numPr>
          <w:numId w:val="20"/>
        </w:numPr>
        <w:bidi w:val="0"/>
        <w:spacing w:line="360" w:lineRule="auto"/>
        <w:ind w:hanging="360"/>
        <w:jc w:val="left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10 ods. 6 písm. c) sa vypúšťajú slová „stratou alebo“.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hanging="720"/>
        <w:jc w:val="both"/>
        <w:rPr>
          <w:rFonts w:ascii="Times New Roman" w:eastAsia="Times New Roman" w:hAnsi="Times New Roman"/>
        </w:rPr>
      </w:pPr>
    </w:p>
    <w:p w:rsidR="00DC040C" w:rsidRPr="00F00C0D" w:rsidP="003D07E8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Pozmeňujúci legislatívno-technický návrh, ktorý pojmovo zosúlaďuje znenie ustanovenia v nadväznosti na § 231 písm. a) zákona č. 161/2015 Z. z. Civilný mimosporový poriadok.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11 ods. 5 sa vypúšťajú slová „postupom podľa osobitného predpisu vydaného podľa odseku 11“ a na konci sa pripája táto veta: „Orgán certifikujúci osoby postupuje pri výkone odbornej skúšky podľa osobitného predpisu vydaného podľa odseku 11.“.</w:t>
      </w: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Spresnenie ustanovenia za účelom dosiahnutia zrozumiteľnosti a jednoznačnosti.</w:t>
      </w:r>
    </w:p>
    <w:p w:rsidR="00552903" w:rsidRPr="00F00C0D" w:rsidP="00552903">
      <w:pPr>
        <w:tabs>
          <w:tab w:val="left" w:pos="284"/>
        </w:tabs>
        <w:bidi w:val="0"/>
        <w:spacing w:line="36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DC040C" w:rsidRPr="00F00C0D" w:rsidP="00552903">
      <w:pPr>
        <w:numPr>
          <w:numId w:val="20"/>
        </w:numPr>
        <w:tabs>
          <w:tab w:val="left" w:pos="284"/>
        </w:tabs>
        <w:bidi w:val="0"/>
        <w:spacing w:line="360" w:lineRule="auto"/>
        <w:ind w:hanging="360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12 ods. 2 písm. d) sa slová „identifikačné údaje“ nahrádzajú slovom „označenie“.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C040C" w:rsidRPr="00F00C0D" w:rsidP="003D07E8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Legislatívno-technický návrh, ktorý zosúlaďuje uvedené ustanovenie s čl. I, § 5 návrhu zákona.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12 ods. 6 sa za slovo „vlastníkovi“ vkladajú slová „kontrolovaného detského ihriska“.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1 písm. a) prvom bode a písm. b) prvom bode sa za slovo „vlastníkovi“ vkladajú slová „detského ihriska“.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1 písm. b) druhom bode sa vypúšťajú slová „§ 7 ods. 2,“.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Navrhuje sa vypustenie ustanovenia zo sankčných ustanovení z dôvodu nejednoznačne ustanovenej povinnosti bez označenia nositeľa povinnosti v čl. I § 7 ods. 2 návrhu zákona.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tabs>
          <w:tab w:val="left" w:pos="284"/>
        </w:tabs>
        <w:bidi w:val="0"/>
        <w:spacing w:line="36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DC040C" w:rsidRPr="00F00C0D" w:rsidP="00552903">
      <w:pPr>
        <w:numPr>
          <w:numId w:val="20"/>
        </w:numPr>
        <w:tabs>
          <w:tab w:val="left" w:pos="284"/>
        </w:tabs>
        <w:bidi w:val="0"/>
        <w:spacing w:line="360" w:lineRule="auto"/>
        <w:ind w:hanging="360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16 ods. 3 sa za slovo „ktorej“ vkladá slovo „mu“.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C040C" w:rsidRPr="00F00C0D" w:rsidP="00552903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Pozmeňujúci návrh gramatickej povahy.</w:t>
      </w:r>
    </w:p>
    <w:p w:rsidR="00DC040C" w:rsidRPr="00F00C0D" w:rsidP="00DC040C">
      <w:pPr>
        <w:tabs>
          <w:tab w:val="left" w:pos="284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16 ods. 5 sa za slovo „vlastník“ vkladajú slová „kontrolovaného detského ihriska“.</w:t>
      </w: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Navrhovanou zmenou sa špecifikuje pojem „vlastník“ za účelom dosiahnutia zrozumiteľnosti a jednoznačnosti legislatívneho textu.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numPr>
          <w:numId w:val="20"/>
        </w:num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V čl. I, § 17 ods. 1 sa slová „30. júna 2021“ nahrádzajú slovami „31. decembra 2021“.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52903" w:rsidRPr="00F00C0D" w:rsidP="00552903">
      <w:pPr>
        <w:pStyle w:val="Normlny1"/>
        <w:tabs>
          <w:tab w:val="left" w:pos="284"/>
          <w:tab w:val="left" w:pos="2835"/>
        </w:tabs>
        <w:bidi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>Predlžuje sa obdobie na zosúladenie starších detských ihrísk s návrhom zákona z dôvodu potreby zabezpečenia dostatočne dlhej lehoty na technické úpravy, ktoré si v prípade niektorých detských ihrísk môže nová právna úprava vyžiadať, a na následné kontroly detských ihrísk oprávnenými osobami. Predĺženie prechodného obdobia je odôvodnené tiež potrebou prvotného vyškolenia certifikovaných osôb, ktoré budú oprávnené vykonávať obhliadky pri ročných kontrolách detských ihrísk – čas, za ktorý bude certifikovaný dostatočný počet odborne spôsobilých osôb môže mať vplyv na včasnosť splnenia povinnosti vlastníkov detských ihrísk vykonať alebo zabezpečiť vykonanie prvej ročnej kontroly detského ihriska.</w:t>
      </w:r>
    </w:p>
    <w:p w:rsidR="00552903" w:rsidRPr="00F00C0D" w:rsidP="00552903">
      <w:pPr>
        <w:pStyle w:val="Normlny1"/>
        <w:tabs>
          <w:tab w:val="left" w:pos="284"/>
        </w:tabs>
        <w:bidi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00C0D">
        <w:rPr>
          <w:rFonts w:ascii="Times New Roman" w:eastAsia="Times New Roman" w:hAnsi="Times New Roman" w:cs="Times New Roman" w:hint="cs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C040C" w:rsidRPr="00F00C0D" w:rsidP="00552903">
      <w:pPr>
        <w:numPr>
          <w:numId w:val="20"/>
        </w:numPr>
        <w:tabs>
          <w:tab w:val="left" w:pos="284"/>
        </w:tabs>
        <w:bidi w:val="0"/>
        <w:spacing w:line="360" w:lineRule="auto"/>
        <w:ind w:hanging="360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III sa slová „písmenom l)“ nahrádzajú slovami „písmenom m)“ a súčasne sa vykoná preznačenie písmena „l“ na „m“. Poznámka pod čiarou k odkazu 9f sa nahrádza poznámkou pod čiarou k odkazu 9g) a súčasne sa vykoná preznačenie odkazu 9f na 9g.</w:t>
      </w:r>
    </w:p>
    <w:p w:rsidR="00DC040C" w:rsidRPr="00F00C0D" w:rsidP="00DC040C">
      <w:pPr>
        <w:pStyle w:val="ListParagraph"/>
        <w:tabs>
          <w:tab w:val="left" w:pos="284"/>
        </w:tabs>
        <w:bidi w:val="0"/>
        <w:ind w:left="4111"/>
        <w:jc w:val="both"/>
        <w:rPr>
          <w:rFonts w:ascii="Times New Roman" w:eastAsia="Times New Roman" w:hAnsi="Times New Roman"/>
        </w:rPr>
      </w:pPr>
    </w:p>
    <w:p w:rsidR="00DC040C" w:rsidRPr="00F00C0D" w:rsidP="00552903">
      <w:pPr>
        <w:pStyle w:val="ListParagraph"/>
        <w:tabs>
          <w:tab w:val="left" w:pos="284"/>
        </w:tabs>
        <w:bidi w:val="0"/>
        <w:ind w:left="2836"/>
        <w:jc w:val="both"/>
        <w:rPr>
          <w:rFonts w:ascii="Times New Roman" w:eastAsia="Times New Roman" w:hAnsi="Times New Roman"/>
        </w:rPr>
      </w:pP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 – technická úprava v nadväznosti na zákon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 zá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lohovaní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jednorazový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 obalov na ná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poje a o zmene a doplnení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niektorý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 zá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konov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(tlač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 xml:space="preserve"> 1521)</w:t>
      </w: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, ktorý v čl. II novelizuje zákon č.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128/2002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Z.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z.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tnej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kontrole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vnú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torné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ho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trhu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vo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veciach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ochrany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-4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spotrebiteľ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a a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o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zmene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a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doplnení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niektorý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ch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pacing w:val="67"/>
          <w:szCs w:val="24"/>
          <w:rtl w:val="0"/>
          <w:cs w:val="0"/>
          <w:lang w:val="sk-SK" w:eastAsia="sk-SK" w:bidi="ar-SA"/>
        </w:rPr>
        <w:t xml:space="preserve"> 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zá</w:t>
      </w:r>
      <w:r w:rsidRPr="00F00C0D">
        <w:rPr>
          <w:rStyle w:val="awspan1"/>
          <w:rFonts w:ascii="Times New Roman" w:eastAsia="MS Gothic" w:hAnsi="Times New Roman" w:cs="Times New Roman" w:hint="default"/>
          <w:noProof/>
          <w:szCs w:val="24"/>
          <w:rtl w:val="0"/>
          <w:cs w:val="0"/>
          <w:lang w:val="sk-SK" w:eastAsia="sk-SK" w:bidi="ar-SA"/>
        </w:rPr>
        <w:t>konov,</w:t>
      </w:r>
      <w:r w:rsidRPr="00F00C0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schválený Národnou radou Slovenskej republiky dňa 11. 9. 2019.   </w:t>
      </w:r>
    </w:p>
    <w:p w:rsidR="00132E0E" w:rsidRPr="00F00C0D" w:rsidP="00DC040C">
      <w:pPr>
        <w:bidi w:val="0"/>
        <w:jc w:val="left"/>
        <w:rPr>
          <w:rFonts w:ascii="Times New Roman" w:eastAsia="Times New Roman" w:hAnsi="Times New Roman" w:cs="Arial"/>
        </w:rPr>
      </w:pP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F00C0D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5">
    <w:nsid w:val="1C0F21C8"/>
    <w:multiLevelType w:val="multilevel"/>
    <w:tmpl w:val="DAE63B66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cs="Times New Roman" w:hint="cs"/>
        <w:b w:val="0"/>
        <w:i w:val="0"/>
        <w:color w:val="00000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232" w:firstLine="108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952" w:firstLine="19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672" w:firstLine="252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392" w:firstLine="324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112" w:firstLine="414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832" w:firstLine="468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552" w:firstLine="540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272" w:firstLine="6300"/>
      </w:pPr>
      <w:rPr>
        <w:rFonts w:cs="Times New Roman" w:hint="cs"/>
        <w:rtl w:val="0"/>
        <w:cs w:val="0"/>
      </w:rPr>
    </w:lvl>
  </w:abstractNum>
  <w:abstractNum w:abstractNumId="6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7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8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9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0">
    <w:nsid w:val="35182984"/>
    <w:multiLevelType w:val="hybridMultilevel"/>
    <w:tmpl w:val="068C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3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5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7"/>
  </w:num>
  <w:num w:numId="5">
    <w:abstractNumId w:val="13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  <w:style w:type="character" w:customStyle="1" w:styleId="awspan1">
    <w:name w:val="awspan1"/>
    <w:rsid w:val="00DC040C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5</Pages>
  <Words>1237</Words>
  <Characters>7057</Characters>
  <Application>Microsoft Office Word</Application>
  <DocSecurity>0</DocSecurity>
  <Lines>0</Lines>
  <Paragraphs>0</Paragraphs>
  <ScaleCrop>false</ScaleCrop>
  <Company>Kancelaria NR SR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11</cp:revision>
  <cp:lastPrinted>2019-03-21T10:49:00Z</cp:lastPrinted>
  <dcterms:created xsi:type="dcterms:W3CDTF">2019-10-01T09:32:00Z</dcterms:created>
  <dcterms:modified xsi:type="dcterms:W3CDTF">2019-10-10T17:35:00Z</dcterms:modified>
</cp:coreProperties>
</file>