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5C3C" w:rsidRDefault="00195C3C" w:rsidP="001E1F77">
      <w:pPr>
        <w:jc w:val="both"/>
      </w:pPr>
      <w:bookmarkStart w:id="0" w:name="_GoBack"/>
      <w:bookmarkEnd w:id="0"/>
    </w:p>
    <w:p w:rsidR="001E1F77" w:rsidRPr="00316C3B" w:rsidRDefault="00EC7F35" w:rsidP="001E1F77">
      <w:pPr>
        <w:jc w:val="center"/>
        <w:rPr>
          <w:b/>
          <w:bCs/>
          <w:sz w:val="28"/>
          <w:szCs w:val="28"/>
        </w:rPr>
      </w:pPr>
      <w:r w:rsidRPr="00316C3B">
        <w:rPr>
          <w:b/>
          <w:bCs/>
          <w:sz w:val="28"/>
          <w:szCs w:val="28"/>
        </w:rPr>
        <w:t xml:space="preserve">Dôvodová správa </w:t>
      </w:r>
    </w:p>
    <w:p w:rsidR="001E1F77" w:rsidRPr="00316C3B" w:rsidRDefault="001E1F77" w:rsidP="001E1F77">
      <w:pPr>
        <w:jc w:val="center"/>
        <w:rPr>
          <w:b/>
          <w:bCs/>
          <w:sz w:val="28"/>
          <w:szCs w:val="28"/>
          <w:highlight w:val="yellow"/>
        </w:rPr>
      </w:pPr>
    </w:p>
    <w:p w:rsidR="001E1F77" w:rsidRPr="00544D26" w:rsidRDefault="00544D26" w:rsidP="001E1F77">
      <w:pPr>
        <w:jc w:val="both"/>
        <w:rPr>
          <w:b/>
          <w:bCs/>
          <w:u w:val="single"/>
        </w:rPr>
      </w:pPr>
      <w:r w:rsidRPr="00544D26">
        <w:rPr>
          <w:b/>
          <w:bCs/>
          <w:u w:val="single"/>
        </w:rPr>
        <w:t xml:space="preserve">A. </w:t>
      </w:r>
      <w:r w:rsidR="00EC7F35" w:rsidRPr="00544D26">
        <w:rPr>
          <w:b/>
          <w:bCs/>
          <w:u w:val="single"/>
        </w:rPr>
        <w:t>Všeobecná časť</w:t>
      </w:r>
    </w:p>
    <w:p w:rsidR="00AD3DDF" w:rsidRPr="00AD3DDF" w:rsidRDefault="00AD3DDF" w:rsidP="001E1F77">
      <w:pPr>
        <w:jc w:val="both"/>
      </w:pPr>
    </w:p>
    <w:p w:rsidR="00A31E3F" w:rsidRPr="002F2CEC" w:rsidRDefault="00A31E3F" w:rsidP="00A31E3F">
      <w:pPr>
        <w:ind w:firstLine="708"/>
        <w:jc w:val="both"/>
      </w:pPr>
      <w:r w:rsidRPr="002F2CEC">
        <w:t>Od   1. januára 2009    je    zákonným    platidlom    v Slovenskej    republike    euro.    Jedným z praktických problémov, ktoré súv</w:t>
      </w:r>
      <w:r w:rsidR="00E72730" w:rsidRPr="002F2CEC">
        <w:t>iseli</w:t>
      </w:r>
      <w:r w:rsidRPr="002F2CEC">
        <w:t xml:space="preserve"> s nahradením slovenskej koruny eurom, </w:t>
      </w:r>
      <w:r w:rsidR="00E72730" w:rsidRPr="002F2CEC">
        <w:t xml:space="preserve">bolo a naďalej aj </w:t>
      </w:r>
      <w:r w:rsidRPr="002F2CEC">
        <w:t>je zvýšené množstvo mincí v obehu. Kým v predchádzajúcej mene existovali v záverečnom období jej platnosti mince v piatich nominálnych hodnotách (50 halierov, 1, 2, 5 a 10 korún), v prípade eura sú to mince až v 8 nominálnych hodnotách (1, 2, 5, 10, 20 a 50 centov, 1 a 2 eurá). Dve euromince s najvyššou nominálnou hodnotou (1 a 2 eurá) majú vyššiu hodnotu ako niekdajšie dve korunové bankovky s najnižšou nominálnou hodnotou (20 a 50 korún).</w:t>
      </w:r>
    </w:p>
    <w:p w:rsidR="00A31E3F" w:rsidRPr="002F2CEC" w:rsidRDefault="00A31E3F" w:rsidP="00A31E3F">
      <w:pPr>
        <w:ind w:firstLine="708"/>
        <w:jc w:val="both"/>
      </w:pPr>
    </w:p>
    <w:p w:rsidR="00A31E3F" w:rsidRPr="002F2CEC" w:rsidRDefault="00A31E3F" w:rsidP="00A31E3F">
      <w:pPr>
        <w:ind w:firstLine="708"/>
        <w:jc w:val="both"/>
      </w:pPr>
      <w:r w:rsidRPr="002F2CEC">
        <w:t>Okrem celkovo veľkého množstva mincí je praktickým problémom predovšetkým používanie centových mincí s najnižšou hodnotou, ktoré zbytočne zaťažujú obyvateľstvo, obchodníkov aj banky. Hodnota najnižšej novej mince (1 cent) je pritom nižšia než  bola hodnota najnižšej mince predchádzajúcej meny (50 halierov). Nezaokrúhľovanie</w:t>
      </w:r>
      <w:r w:rsidR="002F2CEC" w:rsidRPr="002F2CEC">
        <w:t xml:space="preserve"> cien bolo</w:t>
      </w:r>
      <w:r w:rsidRPr="002F2CEC">
        <w:t xml:space="preserve"> spôsobené  snahou,  aby  prechod  na  euro  nemal  za  následok  zvýšenie  cenovej   hladiny      a inflácie. Manipulácia s drobnými mincami je však nepraktická a zaťažujúca ako pre obyvateľov, tak pre obchod a vytvára konfliktnú situáciu aj medzi obchodom a bankami (bankové poplatky za výmenu euromincí).</w:t>
      </w:r>
    </w:p>
    <w:p w:rsidR="00A31E3F" w:rsidRPr="002F2CEC" w:rsidRDefault="00A31E3F" w:rsidP="00A31E3F">
      <w:pPr>
        <w:ind w:firstLine="708"/>
        <w:jc w:val="both"/>
      </w:pPr>
    </w:p>
    <w:p w:rsidR="00A31E3F" w:rsidRDefault="00A31E3F" w:rsidP="00A31E3F">
      <w:pPr>
        <w:ind w:firstLine="708"/>
        <w:jc w:val="both"/>
      </w:pPr>
      <w:r w:rsidRPr="002F2CEC">
        <w:t>Účelom predloženého návrhu zákona je dosiahnuť faktické  stiahnutie  najmenších  mincí (v nominálnej hodnote 1 a 2 centy) z obehu. Keďže Slovenská  republika  stratila  vstupom do eurozóny menovú suverenitu, nemôže používanie týchto mincí na svojom území úplne zakázať. Úpravou zákona o cenách však môže stanoviť také pravidlá zaokrúhľovania  cien, ktoré budú mať za následok faktické stiahnutie najmenších mincí z obehu. Pravidlá zaokrúhľovania boli do zákona č. 18/1996 Z. z. o cenách zakomponované prostredníctvom zákona č. 520/2003 Z. z.. Touto novelou sa zároveň vytvorili predpoklady pre neskoršie zrušenie mincí v nominálnej hodnote 10 a 20 halierov. Predložený návrh zákona predpokladá zmenu tejto úpravy tak, aby sa ceny nezaokrúhľovali na najnižšiu platnú mincu, ale  na  najnižšiu platnú väčšiu mincu,  pričom za väčšie mince sú podľa návrhu zákona určené mince    v nominálnej hodnote minimálne 5 centov. V takto  nastavenom  legislatívnom  prostredí  by síce jednocentové a dvojcentové mince ostali v platnosti a spotrebitelia  by  ich  mohli  používať, ale obchodníci by už fakticky nevydávali mince v nižšej nominálnej hodnote ako 5 centov,  čím  by  v priebehu   krátkej   doby   prišlo   k faktickému  stiahnutiu  jednocentových   a dvojcentových mincí z obehu.</w:t>
      </w:r>
    </w:p>
    <w:p w:rsidR="00A31E3F" w:rsidRDefault="00A31E3F" w:rsidP="00A31E3F">
      <w:pPr>
        <w:ind w:firstLine="708"/>
        <w:jc w:val="both"/>
      </w:pPr>
    </w:p>
    <w:p w:rsidR="000E1BE3" w:rsidRDefault="00A31E3F" w:rsidP="00A31E3F">
      <w:pPr>
        <w:ind w:firstLine="708"/>
        <w:jc w:val="both"/>
      </w:pPr>
      <w:r>
        <w:t>Vzhľadom  na  to,  že  pravidlá   zaokrúhľovania  predpokladajú  zaokrúhľovanie  nahor i nadol, nie je potrebné obávať sa, žeby toto opatrenie malo za následok relevantné zvýšenie inflácie.</w:t>
      </w:r>
    </w:p>
    <w:p w:rsidR="007E43A7" w:rsidRDefault="007E43A7" w:rsidP="00A31E3F">
      <w:pPr>
        <w:ind w:firstLine="708"/>
        <w:jc w:val="both"/>
      </w:pPr>
    </w:p>
    <w:p w:rsidR="007E43A7" w:rsidRPr="002F2CEC" w:rsidRDefault="007E43A7" w:rsidP="007E43A7">
      <w:pPr>
        <w:ind w:firstLine="708"/>
        <w:jc w:val="both"/>
      </w:pPr>
      <w:r w:rsidRPr="002F2CEC">
        <w:t xml:space="preserve">V auguste 2019 sa guvernér Národnej banky Slovenska (NBS) Peter </w:t>
      </w:r>
      <w:proofErr w:type="spellStart"/>
      <w:r w:rsidRPr="002F2CEC">
        <w:t>Kažimír</w:t>
      </w:r>
      <w:proofErr w:type="spellEnd"/>
      <w:r w:rsidRPr="002F2CEC">
        <w:t xml:space="preserve"> v komentári „Prečo sa netreba báť rušenia drobných </w:t>
      </w:r>
      <w:proofErr w:type="spellStart"/>
      <w:r w:rsidRPr="002F2CEC">
        <w:t>eurocentových</w:t>
      </w:r>
      <w:proofErr w:type="spellEnd"/>
      <w:r w:rsidRPr="002F2CEC">
        <w:t xml:space="preserve"> mincí“ vyjadril, že ideu faktického zrušenia obehu drobných </w:t>
      </w:r>
      <w:proofErr w:type="spellStart"/>
      <w:r w:rsidRPr="002F2CEC">
        <w:t>eurocentových</w:t>
      </w:r>
      <w:proofErr w:type="spellEnd"/>
      <w:r w:rsidRPr="002F2CEC">
        <w:t xml:space="preserve"> mincí osobne podporuje, pričom medzi jeho argumentmi uvádza, že </w:t>
      </w:r>
      <w:r w:rsidRPr="002F2CEC">
        <w:rPr>
          <w:i/>
        </w:rPr>
        <w:t xml:space="preserve">„pred 16 rokmi došlo k zrušeniu 10 a 20 </w:t>
      </w:r>
      <w:proofErr w:type="spellStart"/>
      <w:r w:rsidRPr="002F2CEC">
        <w:rPr>
          <w:i/>
        </w:rPr>
        <w:t>haliernikov</w:t>
      </w:r>
      <w:proofErr w:type="spellEnd"/>
      <w:r w:rsidRPr="002F2CEC">
        <w:rPr>
          <w:i/>
        </w:rPr>
        <w:t xml:space="preserve"> bez toho, aby to spôsobilo cenový šok a bez toho, aby sme znevýhodnili zraniteľnejšie skupiny. Podpora pre tento krok je u nás štvrtá najvyššia spomedzi všetkých členských krajín eurozóny. Prepočty hovoria jasne. Obmedzenie obehu týchto „krpcov“ výrazne zníži náklady na </w:t>
      </w:r>
      <w:r w:rsidRPr="002F2CEC">
        <w:rPr>
          <w:i/>
        </w:rPr>
        <w:lastRenderedPageBreak/>
        <w:t>samotnú distribúciu a obeh mincí. Ušetrí nám to milióny eur, ktoré vieme efektívne a zmysluplne využiť v prospech verejnosti. To, čo je tu pre každého občana najdôležitejšie, špeciálne pre nízko príjmové skupiny, je vplyv na ceny. Analýza Národnej banky Slovenska z januára tohto roku dospela k záveru, že v dôsledku zaokrúhľovania budú dôsledky na naše nákupy minimálne. Vplyv na slovenské domácnosti nám vychádza niekde okolo pol centa až cent mesačne. Belgicko vyčíslilo úsporu spojenú s týmto obmedzením na 44 miliónov eur a to je suma, s ktorou vieme čosi robiť. Investovať ju do vzdelávania mládeže, zvyšovať finančnú gramotnosť verejnosti a pod. Čím vzdelanejší budeme v oblasti financií, investovania, narábania s peniazmi, tým lepšie pre nás a tým lepšie aj pre stabilitu finančného sektora u nás.“</w:t>
      </w:r>
    </w:p>
    <w:p w:rsidR="00A31E3F" w:rsidRPr="002F2CEC" w:rsidRDefault="00A31E3F" w:rsidP="00A31E3F">
      <w:pPr>
        <w:ind w:firstLine="708"/>
        <w:jc w:val="both"/>
      </w:pPr>
    </w:p>
    <w:p w:rsidR="00DA2B76" w:rsidRPr="002F2CEC" w:rsidRDefault="00DA2B76" w:rsidP="00DA2B76">
      <w:pPr>
        <w:ind w:firstLine="708"/>
        <w:jc w:val="both"/>
      </w:pPr>
      <w:r w:rsidRPr="002F2CEC">
        <w:t>Podľa prieskumov má u nás až 89 % opýtaných problém s používaním jednocentových mincí a až 86 % respondentov aj s dvojcentovými mincami. Naopak 20-centové a 50-centové mince občanom Slovenska nevadia. Na otázku, či by sa dokázali vzdať tých najmenších mincí a súhlasili so zaokrúhľovaním cien, odpovedalo kladne až 74 % opýtaných na Slovensku, čo je spolu s Holandskom tretie najvyššie číslo v rámci Eurozóny (viď graf).</w:t>
      </w:r>
    </w:p>
    <w:p w:rsidR="00DA2B76" w:rsidRPr="00DA2B76" w:rsidRDefault="00DA2B76" w:rsidP="00DA2B76">
      <w:pPr>
        <w:ind w:firstLine="708"/>
        <w:jc w:val="both"/>
        <w:rPr>
          <w:highlight w:val="green"/>
        </w:rPr>
      </w:pPr>
      <w:r w:rsidRPr="00DA2B76">
        <w:rPr>
          <w:noProof/>
          <w:highlight w:val="green"/>
        </w:rPr>
        <w:drawing>
          <wp:inline distT="0" distB="0" distL="0" distR="0">
            <wp:extent cx="5760720" cy="2797621"/>
            <wp:effectExtent l="19050" t="0" r="0" b="0"/>
            <wp:docPr id="1" name="Obrázok 1" descr="https://www.startitup.sk/wp-content/uploads/2018/10/snimk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tartitup.sk/wp-content/uploads/2018/10/snimka-2.jpg"/>
                    <pic:cNvPicPr>
                      <a:picLocks noChangeAspect="1" noChangeArrowheads="1"/>
                    </pic:cNvPicPr>
                  </pic:nvPicPr>
                  <pic:blipFill>
                    <a:blip r:embed="rId5" cstate="print"/>
                    <a:srcRect/>
                    <a:stretch>
                      <a:fillRect/>
                    </a:stretch>
                  </pic:blipFill>
                  <pic:spPr bwMode="auto">
                    <a:xfrm>
                      <a:off x="0" y="0"/>
                      <a:ext cx="5760720" cy="2797621"/>
                    </a:xfrm>
                    <a:prstGeom prst="rect">
                      <a:avLst/>
                    </a:prstGeom>
                    <a:noFill/>
                    <a:ln w="9525">
                      <a:noFill/>
                      <a:miter lim="800000"/>
                      <a:headEnd/>
                      <a:tailEnd/>
                    </a:ln>
                  </pic:spPr>
                </pic:pic>
              </a:graphicData>
            </a:graphic>
          </wp:inline>
        </w:drawing>
      </w:r>
    </w:p>
    <w:p w:rsidR="00DA2B76" w:rsidRPr="002F2CEC" w:rsidRDefault="00DA2B76" w:rsidP="00DA2B76">
      <w:pPr>
        <w:ind w:firstLine="708"/>
        <w:jc w:val="both"/>
      </w:pPr>
      <w:r w:rsidRPr="002F2CEC">
        <w:t xml:space="preserve">Zdroj: </w:t>
      </w:r>
      <w:proofErr w:type="spellStart"/>
      <w:r w:rsidRPr="002F2CEC">
        <w:t>Eurobarometer</w:t>
      </w:r>
      <w:proofErr w:type="spellEnd"/>
      <w:r w:rsidRPr="002F2CEC">
        <w:t xml:space="preserve"> 2018, </w:t>
      </w:r>
      <w:hyperlink r:id="rId6" w:history="1">
        <w:r w:rsidRPr="002F2CEC">
          <w:rPr>
            <w:rStyle w:val="Hypertextovprepojenie"/>
          </w:rPr>
          <w:t>https://europa.eu/cultural-heritage/news/eurobarometer-2018-results-have-been-published_en</w:t>
        </w:r>
      </w:hyperlink>
      <w:r w:rsidRPr="002F2CEC">
        <w:t xml:space="preserve"> </w:t>
      </w:r>
    </w:p>
    <w:p w:rsidR="00DA2B76" w:rsidRPr="002F2CEC" w:rsidRDefault="00DA2B76" w:rsidP="00A31E3F">
      <w:pPr>
        <w:ind w:firstLine="708"/>
        <w:jc w:val="both"/>
      </w:pPr>
    </w:p>
    <w:p w:rsidR="00B530FE" w:rsidRDefault="00B530FE" w:rsidP="00B530FE">
      <w:pPr>
        <w:ind w:firstLine="539"/>
        <w:jc w:val="both"/>
      </w:pPr>
      <w:r w:rsidRPr="002F2CEC">
        <w:t>Najmenšie centové euromince v hotovostnom peňažnom obehu už obmedzilo päť krajín eurozóny, a to Fínsko, Holandsko, Belgicko, Írsko a od 1. januára 2018 aj Taliansko.</w:t>
      </w:r>
    </w:p>
    <w:p w:rsidR="00B530FE" w:rsidRDefault="00B530FE" w:rsidP="00632F87">
      <w:pPr>
        <w:ind w:firstLine="539"/>
        <w:jc w:val="both"/>
      </w:pPr>
    </w:p>
    <w:p w:rsidR="00632F87" w:rsidRPr="00316C3B" w:rsidRDefault="00EC7F35" w:rsidP="00632F87">
      <w:pPr>
        <w:ind w:firstLine="539"/>
        <w:jc w:val="both"/>
      </w:pPr>
      <w:r w:rsidRPr="003F5E2C">
        <w:t xml:space="preserve">Návrh zákona </w:t>
      </w:r>
      <w:r w:rsidR="003F5E2C" w:rsidRPr="003F5E2C">
        <w:t>bude mať pozitívny</w:t>
      </w:r>
      <w:r w:rsidRPr="003F5E2C">
        <w:t xml:space="preserve"> dopad na verejné rozpočty, neprináša nárok na pracovné sily a nemá vplyv na zamestnanosť a tvorbu pracovných miest, na životné prostredie, ani na podnikateľské prostredie</w:t>
      </w:r>
      <w:r w:rsidR="00D21E1F" w:rsidRPr="003F5E2C">
        <w:t>, nebude mať ani vplyv na manželstvo, rodičovstvo a rodinu a ani sociálne vplyvy</w:t>
      </w:r>
      <w:r w:rsidRPr="003F5E2C">
        <w:t>.</w:t>
      </w:r>
      <w:r w:rsidRPr="00316C3B">
        <w:t xml:space="preserve"> </w:t>
      </w:r>
    </w:p>
    <w:p w:rsidR="00B45510" w:rsidRPr="00316C3B" w:rsidRDefault="00B45510" w:rsidP="00632F87">
      <w:pPr>
        <w:pStyle w:val="Zkladntext2"/>
        <w:ind w:firstLine="539"/>
        <w:jc w:val="both"/>
        <w:rPr>
          <w:rFonts w:eastAsia="MS Mincho"/>
        </w:rPr>
      </w:pPr>
    </w:p>
    <w:p w:rsidR="001D6B23" w:rsidRPr="00316C3B" w:rsidRDefault="00EC7F35" w:rsidP="003B1663">
      <w:pPr>
        <w:pStyle w:val="Zkladntext2"/>
        <w:ind w:firstLine="539"/>
        <w:jc w:val="both"/>
        <w:rPr>
          <w:b/>
          <w:bCs/>
        </w:rPr>
      </w:pPr>
      <w:r w:rsidRPr="00316C3B">
        <w:rPr>
          <w:rFonts w:eastAsia="MS Mincho"/>
        </w:rPr>
        <w:tab/>
        <w:t xml:space="preserve">Návrh zákona je v  súlade s  Ústavou Slovenskej republiky, jej zákonmi a medzinárodnými zmluvami, ktorými je Slovenská republika viazaná. </w:t>
      </w:r>
      <w:r w:rsidR="00637C74" w:rsidRPr="00316C3B">
        <w:br w:type="page"/>
      </w:r>
    </w:p>
    <w:p w:rsidR="001F3091" w:rsidRPr="0035486F" w:rsidRDefault="00EC7F35" w:rsidP="001F3091">
      <w:pPr>
        <w:jc w:val="center"/>
        <w:rPr>
          <w:b/>
          <w:bCs/>
        </w:rPr>
      </w:pPr>
      <w:r w:rsidRPr="0035486F">
        <w:rPr>
          <w:b/>
          <w:bCs/>
        </w:rPr>
        <w:lastRenderedPageBreak/>
        <w:t>DOLOŽKA  ZLUČITEĽNOSTI</w:t>
      </w:r>
    </w:p>
    <w:p w:rsidR="001F3091" w:rsidRPr="0035486F" w:rsidRDefault="00EC7F35" w:rsidP="001F3091">
      <w:pPr>
        <w:jc w:val="center"/>
        <w:rPr>
          <w:b/>
          <w:bCs/>
        </w:rPr>
      </w:pPr>
      <w:r w:rsidRPr="0035486F">
        <w:rPr>
          <w:b/>
          <w:bCs/>
        </w:rPr>
        <w:t>právneho predpisu s právom Európskej únie</w:t>
      </w:r>
    </w:p>
    <w:p w:rsidR="001F3091" w:rsidRPr="0035486F" w:rsidRDefault="001F3091" w:rsidP="001F3091">
      <w:pPr>
        <w:jc w:val="center"/>
      </w:pPr>
    </w:p>
    <w:p w:rsidR="000F5062" w:rsidRDefault="00EC7F35" w:rsidP="000F5062">
      <w:pPr>
        <w:jc w:val="both"/>
      </w:pPr>
      <w:r w:rsidRPr="0035486F">
        <w:rPr>
          <w:b/>
        </w:rPr>
        <w:t>1. Predkladateľ</w:t>
      </w:r>
      <w:r w:rsidR="001D6B23" w:rsidRPr="0035486F">
        <w:rPr>
          <w:b/>
        </w:rPr>
        <w:t xml:space="preserve"> návrhu</w:t>
      </w:r>
      <w:r w:rsidRPr="0035486F">
        <w:rPr>
          <w:b/>
        </w:rPr>
        <w:t xml:space="preserve"> právneho predpisu:</w:t>
      </w:r>
      <w:r w:rsidRPr="0035486F">
        <w:t xml:space="preserve"> </w:t>
      </w:r>
      <w:r w:rsidR="002B1EC2">
        <w:t>poslan</w:t>
      </w:r>
      <w:r w:rsidR="00710E27" w:rsidRPr="0035486F">
        <w:t>c</w:t>
      </w:r>
      <w:r w:rsidR="002B1EC2">
        <w:t>i</w:t>
      </w:r>
      <w:r w:rsidRPr="0035486F">
        <w:t xml:space="preserve"> Národnej rady Slovenskej republiky</w:t>
      </w:r>
      <w:r w:rsidR="001D6B23" w:rsidRPr="0035486F">
        <w:t xml:space="preserve"> </w:t>
      </w:r>
      <w:r w:rsidR="00D21E1F">
        <w:t xml:space="preserve">Ondrej Dostál, </w:t>
      </w:r>
      <w:r w:rsidR="000F5062">
        <w:t>Radovan Pavelka, Marián Viskupič, Martin Klus a Peter Osuský</w:t>
      </w:r>
    </w:p>
    <w:p w:rsidR="000F5062" w:rsidRDefault="000F5062" w:rsidP="00D21E1F">
      <w:pPr>
        <w:jc w:val="both"/>
      </w:pPr>
    </w:p>
    <w:p w:rsidR="001F3091" w:rsidRDefault="001F3091" w:rsidP="000F5062">
      <w:pPr>
        <w:jc w:val="both"/>
      </w:pPr>
      <w:r w:rsidRPr="0035486F">
        <w:rPr>
          <w:b/>
        </w:rPr>
        <w:t>2. Názov návrhu právneho predpisu:</w:t>
      </w:r>
      <w:r w:rsidR="00EC7F35" w:rsidRPr="0035486F">
        <w:t xml:space="preserve"> </w:t>
      </w:r>
      <w:r w:rsidR="00B918C6" w:rsidRPr="0035486F">
        <w:t xml:space="preserve">Návrh </w:t>
      </w:r>
      <w:r w:rsidR="0035486F" w:rsidRPr="0035486F">
        <w:t xml:space="preserve">zákona, </w:t>
      </w:r>
      <w:r w:rsidR="000F5062">
        <w:t>ktorým sa mení a dopĺňa zákon Národnej rady Slovenskej republiky č. 18/1996 Z. z. o cenách v znení neskorších predpisov.</w:t>
      </w:r>
    </w:p>
    <w:p w:rsidR="000F5062" w:rsidRPr="007E4CAC" w:rsidRDefault="000F5062" w:rsidP="000F5062">
      <w:pPr>
        <w:jc w:val="both"/>
      </w:pPr>
    </w:p>
    <w:p w:rsidR="001F3091" w:rsidRPr="00E931E5" w:rsidRDefault="00EC7F35" w:rsidP="001F3091">
      <w:pPr>
        <w:jc w:val="both"/>
        <w:rPr>
          <w:b/>
        </w:rPr>
      </w:pPr>
      <w:r w:rsidRPr="00E931E5">
        <w:rPr>
          <w:b/>
        </w:rPr>
        <w:t>3. Problematika návrhu právneho predpisu:</w:t>
      </w:r>
    </w:p>
    <w:p w:rsidR="007E4CAC" w:rsidRPr="00E931E5" w:rsidRDefault="007E4CAC" w:rsidP="001F3091">
      <w:pPr>
        <w:ind w:firstLine="360"/>
        <w:jc w:val="both"/>
        <w:rPr>
          <w:b/>
          <w:bCs/>
          <w:i/>
        </w:rPr>
      </w:pPr>
    </w:p>
    <w:p w:rsidR="007E4CAC" w:rsidRPr="00E931E5" w:rsidRDefault="007E4CAC" w:rsidP="001F3091">
      <w:pPr>
        <w:ind w:firstLine="360"/>
        <w:jc w:val="both"/>
        <w:rPr>
          <w:b/>
          <w:bCs/>
          <w:i/>
        </w:rPr>
      </w:pPr>
      <w:r w:rsidRPr="00E931E5">
        <w:rPr>
          <w:b/>
          <w:bCs/>
          <w:i/>
        </w:rPr>
        <w:t xml:space="preserve">a) v primárnom práve </w:t>
      </w:r>
    </w:p>
    <w:p w:rsidR="007E4CAC" w:rsidRPr="00E931E5" w:rsidRDefault="007E4CAC" w:rsidP="001F3091">
      <w:pPr>
        <w:ind w:firstLine="360"/>
        <w:jc w:val="both"/>
        <w:rPr>
          <w:bCs/>
        </w:rPr>
      </w:pPr>
      <w:r w:rsidRPr="00E931E5">
        <w:rPr>
          <w:bCs/>
        </w:rPr>
        <w:t xml:space="preserve"> - čl. 4 Zmluvy o založení Európskeho spoločenstva v platnom znení (Ú. v. EÚ C 321E, 29. 12. 2006).   </w:t>
      </w:r>
    </w:p>
    <w:p w:rsidR="007E4CAC" w:rsidRPr="00E931E5" w:rsidRDefault="007E4CAC" w:rsidP="001F3091">
      <w:pPr>
        <w:ind w:firstLine="360"/>
        <w:jc w:val="both"/>
        <w:rPr>
          <w:bCs/>
        </w:rPr>
      </w:pPr>
      <w:r w:rsidRPr="00E931E5">
        <w:rPr>
          <w:bCs/>
        </w:rPr>
        <w:t xml:space="preserve"> - čl. 105 a 106 Zmluvy o založení Európskeho spoločenstva v platnom znení (Ú. v. EÚ C 321E, 29. 12. 2006).   </w:t>
      </w:r>
    </w:p>
    <w:p w:rsidR="007E4CAC" w:rsidRPr="00E931E5" w:rsidRDefault="007E4CAC" w:rsidP="001F3091">
      <w:pPr>
        <w:ind w:firstLine="360"/>
        <w:jc w:val="both"/>
        <w:rPr>
          <w:bCs/>
        </w:rPr>
      </w:pPr>
    </w:p>
    <w:p w:rsidR="007E4CAC" w:rsidRPr="00E931E5" w:rsidRDefault="007E4CAC" w:rsidP="001F3091">
      <w:pPr>
        <w:ind w:firstLine="360"/>
        <w:jc w:val="both"/>
        <w:rPr>
          <w:b/>
          <w:bCs/>
          <w:i/>
        </w:rPr>
      </w:pPr>
      <w:r w:rsidRPr="00E931E5">
        <w:rPr>
          <w:b/>
          <w:bCs/>
          <w:i/>
        </w:rPr>
        <w:t xml:space="preserve">b) v sekundárnom práve </w:t>
      </w:r>
    </w:p>
    <w:p w:rsidR="007E4CAC" w:rsidRDefault="007E4CAC" w:rsidP="001F3091">
      <w:pPr>
        <w:ind w:firstLine="360"/>
        <w:jc w:val="both"/>
        <w:rPr>
          <w:bCs/>
        </w:rPr>
      </w:pPr>
      <w:r w:rsidRPr="00E931E5">
        <w:rPr>
          <w:bCs/>
        </w:rPr>
        <w:t>- v nariadení Rady (ES) č. 1103/97 zo 17. júna 1997 o určitých ustanoveniach týkajúcich sa zavedenia eura v platnom znení (Ú. v. ES L 162, 19. 6. 1997; Mimoriadne vydanie Ú. v. EÚ, 10/zv. 01),</w:t>
      </w:r>
    </w:p>
    <w:p w:rsidR="007E4CAC" w:rsidRDefault="007E4CAC" w:rsidP="001F3091">
      <w:pPr>
        <w:ind w:firstLine="360"/>
        <w:jc w:val="both"/>
        <w:rPr>
          <w:bCs/>
        </w:rPr>
      </w:pPr>
    </w:p>
    <w:p w:rsidR="007E4CAC" w:rsidRPr="007E4CAC" w:rsidRDefault="007E4CAC" w:rsidP="001F3091">
      <w:pPr>
        <w:ind w:firstLine="360"/>
        <w:jc w:val="both"/>
        <w:rPr>
          <w:b/>
          <w:bCs/>
          <w:i/>
        </w:rPr>
      </w:pPr>
      <w:r w:rsidRPr="007E4CAC">
        <w:rPr>
          <w:b/>
          <w:bCs/>
          <w:i/>
        </w:rPr>
        <w:t>c) v judikatúre Súdneho dvora Európskych spoločenstiev</w:t>
      </w:r>
    </w:p>
    <w:p w:rsidR="00E931E5" w:rsidRDefault="00E931E5" w:rsidP="00E931E5">
      <w:pPr>
        <w:ind w:firstLine="360"/>
        <w:jc w:val="both"/>
        <w:rPr>
          <w:bCs/>
        </w:rPr>
      </w:pPr>
      <w:r>
        <w:rPr>
          <w:bCs/>
        </w:rPr>
        <w:t xml:space="preserve">- </w:t>
      </w:r>
      <w:r w:rsidRPr="00E931E5">
        <w:rPr>
          <w:bCs/>
        </w:rPr>
        <w:t xml:space="preserve">ROZSUDOK SÚDNEHO DVORA (veľká komora) zo 14. septembra 2004 vo veci C-19/03 (návrh na začatie konania o prejudiciálnej otázke podaný </w:t>
      </w:r>
      <w:proofErr w:type="spellStart"/>
      <w:r w:rsidRPr="00E931E5">
        <w:rPr>
          <w:bCs/>
        </w:rPr>
        <w:t>Landgericht</w:t>
      </w:r>
      <w:proofErr w:type="spellEnd"/>
      <w:r w:rsidRPr="00E931E5">
        <w:rPr>
          <w:bCs/>
        </w:rPr>
        <w:t xml:space="preserve"> </w:t>
      </w:r>
      <w:proofErr w:type="spellStart"/>
      <w:r w:rsidRPr="00E931E5">
        <w:rPr>
          <w:bCs/>
        </w:rPr>
        <w:t>München</w:t>
      </w:r>
      <w:proofErr w:type="spellEnd"/>
      <w:r w:rsidRPr="00E931E5">
        <w:rPr>
          <w:bCs/>
        </w:rPr>
        <w:t xml:space="preserve"> I): </w:t>
      </w:r>
      <w:proofErr w:type="spellStart"/>
      <w:r w:rsidRPr="00E931E5">
        <w:rPr>
          <w:bCs/>
        </w:rPr>
        <w:t>VerbraucherZentrale</w:t>
      </w:r>
      <w:proofErr w:type="spellEnd"/>
      <w:r w:rsidRPr="00E931E5">
        <w:rPr>
          <w:bCs/>
        </w:rPr>
        <w:t xml:space="preserve"> Hamburg </w:t>
      </w:r>
      <w:proofErr w:type="spellStart"/>
      <w:r w:rsidRPr="00E931E5">
        <w:rPr>
          <w:bCs/>
        </w:rPr>
        <w:t>eV</w:t>
      </w:r>
      <w:proofErr w:type="spellEnd"/>
      <w:r w:rsidRPr="00E931E5">
        <w:rPr>
          <w:bCs/>
        </w:rPr>
        <w:t xml:space="preserve"> proti O2 (</w:t>
      </w:r>
      <w:proofErr w:type="spellStart"/>
      <w:r w:rsidRPr="00E931E5">
        <w:rPr>
          <w:bCs/>
        </w:rPr>
        <w:t>Germany</w:t>
      </w:r>
      <w:proofErr w:type="spellEnd"/>
      <w:r w:rsidRPr="00E931E5">
        <w:rPr>
          <w:bCs/>
        </w:rPr>
        <w:t xml:space="preserve">) </w:t>
      </w:r>
      <w:proofErr w:type="spellStart"/>
      <w:r w:rsidRPr="00E931E5">
        <w:rPr>
          <w:bCs/>
        </w:rPr>
        <w:t>GmbH</w:t>
      </w:r>
      <w:proofErr w:type="spellEnd"/>
      <w:r w:rsidRPr="00E931E5">
        <w:rPr>
          <w:bCs/>
        </w:rPr>
        <w:t xml:space="preserve"> &amp; Co. OHG (Hospodárska a menová politika — Nariadenie (ES) č. 1103/97 — Zavedenie eura — Prepočítanie medzi jednotkami vnútroštátnych mien a jednotkami euro — Zaokrúhlenie peňažných čiastok na zaplatenie alebo účtovanie po ich prepočítaní — Zmluva uzavretá v sektore telekomunikácií —„Pojem peňažnej čiastky na zaplatenie alebo účtovanie“ — Minútová tarifikácia telefonických hovorov) (2004/C 284/05)</w:t>
      </w:r>
      <w:r w:rsidR="007E4CAC" w:rsidRPr="007E4CAC">
        <w:rPr>
          <w:bCs/>
        </w:rPr>
        <w:t xml:space="preserve"> </w:t>
      </w:r>
    </w:p>
    <w:p w:rsidR="007E4CAC" w:rsidRDefault="007E4CAC" w:rsidP="001F3091">
      <w:pPr>
        <w:ind w:firstLine="360"/>
        <w:jc w:val="both"/>
        <w:rPr>
          <w:b/>
          <w:bCs/>
          <w:highlight w:val="red"/>
        </w:rPr>
      </w:pPr>
    </w:p>
    <w:p w:rsidR="007E4CAC" w:rsidRPr="00F129DD" w:rsidRDefault="007E4CAC" w:rsidP="007E4CAC">
      <w:pPr>
        <w:keepNext/>
        <w:tabs>
          <w:tab w:val="left" w:pos="340"/>
        </w:tabs>
        <w:jc w:val="both"/>
        <w:rPr>
          <w:b/>
          <w:bCs/>
        </w:rPr>
      </w:pPr>
      <w:r>
        <w:rPr>
          <w:b/>
          <w:bCs/>
        </w:rPr>
        <w:t xml:space="preserve">4. </w:t>
      </w:r>
      <w:r w:rsidRPr="00F129DD">
        <w:rPr>
          <w:b/>
          <w:bCs/>
        </w:rPr>
        <w:t>Záväzky Slovenskej republiky vo vzťahu k Európskej únii:</w:t>
      </w:r>
    </w:p>
    <w:p w:rsidR="007E4CAC" w:rsidRDefault="007E4CAC" w:rsidP="007E4CAC">
      <w:pPr>
        <w:pStyle w:val="Zkladntext"/>
        <w:keepNext/>
        <w:numPr>
          <w:ilvl w:val="1"/>
          <w:numId w:val="6"/>
        </w:numPr>
        <w:tabs>
          <w:tab w:val="left" w:pos="360"/>
        </w:tabs>
        <w:spacing w:after="0"/>
        <w:ind w:left="714" w:hanging="357"/>
        <w:jc w:val="both"/>
      </w:pPr>
      <w:r w:rsidRPr="00F129DD">
        <w:t xml:space="preserve">Bezpredmetné. </w:t>
      </w:r>
    </w:p>
    <w:p w:rsidR="007E4CAC" w:rsidRDefault="007E4CAC" w:rsidP="007E4CAC">
      <w:pPr>
        <w:pStyle w:val="Zkladntext"/>
        <w:keepNext/>
        <w:numPr>
          <w:ilvl w:val="1"/>
          <w:numId w:val="6"/>
        </w:numPr>
        <w:tabs>
          <w:tab w:val="left" w:pos="360"/>
        </w:tabs>
        <w:spacing w:after="0"/>
        <w:ind w:left="714" w:hanging="357"/>
        <w:jc w:val="both"/>
      </w:pPr>
      <w:r w:rsidRPr="00F129DD">
        <w:t xml:space="preserve">Bezpredmetné. </w:t>
      </w:r>
    </w:p>
    <w:p w:rsidR="007E4CAC" w:rsidRDefault="007E4CAC" w:rsidP="007E4CAC">
      <w:pPr>
        <w:pStyle w:val="Zkladntext"/>
        <w:keepNext/>
        <w:numPr>
          <w:ilvl w:val="1"/>
          <w:numId w:val="6"/>
        </w:numPr>
        <w:tabs>
          <w:tab w:val="left" w:pos="360"/>
        </w:tabs>
        <w:spacing w:after="0"/>
        <w:ind w:left="714" w:hanging="357"/>
        <w:jc w:val="both"/>
      </w:pPr>
      <w:r w:rsidRPr="00F129DD">
        <w:t xml:space="preserve">Bezpredmetné. </w:t>
      </w:r>
    </w:p>
    <w:p w:rsidR="007E4CAC" w:rsidRDefault="007E4CAC" w:rsidP="007E4CAC">
      <w:pPr>
        <w:pStyle w:val="Zkladntext"/>
        <w:keepNext/>
        <w:numPr>
          <w:ilvl w:val="1"/>
          <w:numId w:val="6"/>
        </w:numPr>
        <w:tabs>
          <w:tab w:val="left" w:pos="360"/>
        </w:tabs>
        <w:spacing w:after="0"/>
        <w:ind w:left="714" w:hanging="357"/>
        <w:jc w:val="both"/>
      </w:pPr>
      <w:r w:rsidRPr="00F129DD">
        <w:t xml:space="preserve">Bezpredmetné. </w:t>
      </w:r>
    </w:p>
    <w:p w:rsidR="007E4CAC" w:rsidRPr="00F129DD" w:rsidRDefault="007E4CAC" w:rsidP="007E4CAC">
      <w:pPr>
        <w:pStyle w:val="Zkladntext"/>
        <w:tabs>
          <w:tab w:val="left" w:pos="360"/>
        </w:tabs>
        <w:spacing w:after="0"/>
        <w:ind w:left="714"/>
      </w:pPr>
    </w:p>
    <w:p w:rsidR="007E4CAC" w:rsidRPr="00F129DD" w:rsidRDefault="007E4CAC" w:rsidP="007E4CAC">
      <w:pPr>
        <w:keepNext/>
        <w:jc w:val="both"/>
        <w:rPr>
          <w:b/>
          <w:bCs/>
        </w:rPr>
      </w:pPr>
      <w:r>
        <w:rPr>
          <w:b/>
          <w:bCs/>
        </w:rPr>
        <w:t xml:space="preserve">5. </w:t>
      </w:r>
      <w:r w:rsidRPr="00F129DD">
        <w:rPr>
          <w:b/>
          <w:bCs/>
        </w:rPr>
        <w:t>Stupeň zlučiteľnosti návrhu zákona s právom Európskej únie:</w:t>
      </w:r>
    </w:p>
    <w:p w:rsidR="007E4CAC" w:rsidRPr="00F129DD" w:rsidRDefault="007E4CAC" w:rsidP="007E4CAC">
      <w:pPr>
        <w:ind w:left="357"/>
      </w:pPr>
      <w:r w:rsidRPr="00F129DD">
        <w:t>Úplný.</w:t>
      </w:r>
    </w:p>
    <w:p w:rsidR="001F3091" w:rsidRDefault="001F3091" w:rsidP="001F3091">
      <w:pPr>
        <w:jc w:val="both"/>
        <w:rPr>
          <w:rFonts w:ascii="Arial" w:hAnsi="Arial" w:cs="Arial"/>
          <w:color w:val="000080"/>
          <w:sz w:val="20"/>
          <w:szCs w:val="20"/>
        </w:rPr>
      </w:pPr>
    </w:p>
    <w:p w:rsidR="00251550" w:rsidRDefault="00251550" w:rsidP="001F3091">
      <w:pPr>
        <w:jc w:val="both"/>
        <w:rPr>
          <w:rFonts w:ascii="Arial" w:hAnsi="Arial" w:cs="Arial"/>
          <w:color w:val="000080"/>
          <w:sz w:val="20"/>
          <w:szCs w:val="20"/>
        </w:rPr>
      </w:pPr>
    </w:p>
    <w:p w:rsidR="00251550" w:rsidRPr="0035486F" w:rsidRDefault="00251550" w:rsidP="001F3091">
      <w:pPr>
        <w:jc w:val="both"/>
        <w:rPr>
          <w:rFonts w:ascii="Arial" w:hAnsi="Arial" w:cs="Arial"/>
          <w:color w:val="000080"/>
          <w:sz w:val="20"/>
          <w:szCs w:val="20"/>
        </w:rPr>
      </w:pPr>
    </w:p>
    <w:p w:rsidR="001F3091" w:rsidRPr="0035486F" w:rsidRDefault="00EC7F35" w:rsidP="001F3091">
      <w:pPr>
        <w:pStyle w:val="Normlnywebov"/>
        <w:spacing w:before="0" w:beforeAutospacing="0" w:after="0" w:afterAutospacing="0"/>
        <w:ind w:right="-108"/>
        <w:jc w:val="center"/>
      </w:pPr>
      <w:r w:rsidRPr="0035486F">
        <w:rPr>
          <w:b/>
          <w:bCs/>
        </w:rPr>
        <w:t>DOLOŽKA VYBRANÝCH VPLYVOV</w:t>
      </w:r>
    </w:p>
    <w:p w:rsidR="001F3091" w:rsidRDefault="001F3091" w:rsidP="001F3091">
      <w:pPr>
        <w:pStyle w:val="Normlnywebov"/>
        <w:spacing w:before="0" w:beforeAutospacing="0" w:after="0" w:afterAutospacing="0"/>
        <w:ind w:right="-108"/>
        <w:jc w:val="center"/>
      </w:pPr>
    </w:p>
    <w:p w:rsidR="00251550" w:rsidRPr="0035486F" w:rsidRDefault="00251550" w:rsidP="001F3091">
      <w:pPr>
        <w:pStyle w:val="Normlnywebov"/>
        <w:spacing w:before="0" w:beforeAutospacing="0" w:after="0" w:afterAutospacing="0"/>
        <w:ind w:right="-108"/>
        <w:jc w:val="center"/>
      </w:pPr>
    </w:p>
    <w:p w:rsidR="001F3091" w:rsidRPr="0035486F" w:rsidRDefault="00EC7F35" w:rsidP="001F3091">
      <w:pPr>
        <w:rPr>
          <w:b/>
          <w:bCs/>
        </w:rPr>
      </w:pPr>
      <w:r w:rsidRPr="0035486F">
        <w:rPr>
          <w:b/>
          <w:bCs/>
        </w:rPr>
        <w:t xml:space="preserve">A.1. Názov materiálu: </w:t>
      </w:r>
    </w:p>
    <w:p w:rsidR="000F5062" w:rsidRDefault="004524CB" w:rsidP="000F5062">
      <w:r w:rsidRPr="0035486F">
        <w:t xml:space="preserve">Návrh zákona, </w:t>
      </w:r>
      <w:r w:rsidR="000F5062">
        <w:t xml:space="preserve">ktorým sa mení a dopĺňa zákon Národnej rady Slovenskej republiky </w:t>
      </w:r>
    </w:p>
    <w:p w:rsidR="000F5062" w:rsidRPr="00376E6E" w:rsidRDefault="000F5062" w:rsidP="000F5062">
      <w:r>
        <w:t>č. 18/1996 Z. z. o cenách v znení neskorších predpisov</w:t>
      </w:r>
      <w:r w:rsidRPr="00EB1B2C">
        <w:t>.</w:t>
      </w:r>
    </w:p>
    <w:p w:rsidR="00B918C6" w:rsidRDefault="00B918C6" w:rsidP="004524CB">
      <w:pPr>
        <w:jc w:val="both"/>
        <w:rPr>
          <w:b/>
          <w:bCs/>
        </w:rPr>
      </w:pPr>
    </w:p>
    <w:p w:rsidR="007827C1" w:rsidRPr="0035486F" w:rsidRDefault="007827C1" w:rsidP="004524CB">
      <w:pPr>
        <w:jc w:val="both"/>
        <w:rPr>
          <w:b/>
          <w:bCs/>
        </w:rPr>
      </w:pPr>
    </w:p>
    <w:p w:rsidR="001F3091" w:rsidRPr="0035486F" w:rsidRDefault="00EC7F35" w:rsidP="001F3091">
      <w:pPr>
        <w:pStyle w:val="Normlnywebov"/>
        <w:spacing w:before="0" w:beforeAutospacing="0" w:after="0" w:afterAutospacing="0"/>
      </w:pPr>
      <w:r w:rsidRPr="0035486F">
        <w:rPr>
          <w:b/>
          <w:bCs/>
        </w:rPr>
        <w:lastRenderedPageBreak/>
        <w:t>A.2. Vplyvy:</w:t>
      </w:r>
    </w:p>
    <w:p w:rsidR="001F3091" w:rsidRPr="0035486F" w:rsidRDefault="00EC7F35" w:rsidP="001F3091">
      <w:pPr>
        <w:pStyle w:val="Normlnywebov"/>
        <w:spacing w:before="0" w:beforeAutospacing="0" w:after="0" w:afterAutospacing="0"/>
      </w:pPr>
      <w:r w:rsidRPr="0035486F">
        <w:t> </w:t>
      </w:r>
    </w:p>
    <w:tbl>
      <w:tblPr>
        <w:tblW w:w="7564" w:type="dxa"/>
        <w:tblCellMar>
          <w:left w:w="0" w:type="dxa"/>
          <w:right w:w="0" w:type="dxa"/>
        </w:tblCellMar>
        <w:tblLook w:val="04A0" w:firstRow="1" w:lastRow="0" w:firstColumn="1" w:lastColumn="0" w:noHBand="0" w:noVBand="1"/>
      </w:tblPr>
      <w:tblGrid>
        <w:gridCol w:w="3726"/>
        <w:gridCol w:w="1242"/>
        <w:gridCol w:w="1260"/>
        <w:gridCol w:w="1336"/>
      </w:tblGrid>
      <w:tr w:rsidR="00AE655B">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35486F" w:rsidRDefault="00EC7F35" w:rsidP="00BB5497">
            <w:pPr>
              <w:pStyle w:val="Normlnywebov"/>
              <w:spacing w:before="0" w:beforeAutospacing="0" w:after="0" w:afterAutospacing="0"/>
            </w:pPr>
            <w:r w:rsidRPr="0035486F">
              <w:t> </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1F3091" w:rsidRPr="0035486F" w:rsidRDefault="00EC7F35" w:rsidP="00BB5497">
            <w:pPr>
              <w:pStyle w:val="Normlnywebov"/>
              <w:spacing w:before="0" w:beforeAutospacing="0" w:after="0" w:afterAutospacing="0"/>
              <w:jc w:val="center"/>
            </w:pPr>
            <w:r w:rsidRPr="0035486F">
              <w:t>Pozitívne</w:t>
            </w:r>
            <w:r w:rsidRPr="0035486F">
              <w:rPr>
                <w:sz w:val="16"/>
                <w:szCs w:val="16"/>
                <w:vertAlign w:val="superscript"/>
              </w:rPr>
              <w:t>*</w:t>
            </w:r>
            <w:r w:rsidRPr="0035486F">
              <w:t xml:space="preserve">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1F3091" w:rsidRPr="0035486F" w:rsidRDefault="00EC7F35" w:rsidP="00BB5497">
            <w:pPr>
              <w:pStyle w:val="Normlnywebov"/>
              <w:spacing w:before="0" w:beforeAutospacing="0" w:after="0" w:afterAutospacing="0"/>
              <w:jc w:val="center"/>
            </w:pPr>
            <w:r w:rsidRPr="0035486F">
              <w:t>Žiadne</w:t>
            </w:r>
            <w:r w:rsidRPr="0035486F">
              <w:rPr>
                <w:sz w:val="16"/>
                <w:szCs w:val="16"/>
                <w:vertAlign w:val="superscript"/>
              </w:rPr>
              <w:t>*</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1F3091" w:rsidRPr="0035486F" w:rsidRDefault="00EC7F35" w:rsidP="00BB5497">
            <w:pPr>
              <w:pStyle w:val="Normlnywebov"/>
              <w:spacing w:before="0" w:beforeAutospacing="0" w:after="0" w:afterAutospacing="0"/>
              <w:jc w:val="center"/>
            </w:pPr>
            <w:r w:rsidRPr="0035486F">
              <w:t>Negatívne</w:t>
            </w:r>
            <w:r w:rsidRPr="0035486F">
              <w:rPr>
                <w:sz w:val="16"/>
                <w:szCs w:val="16"/>
                <w:vertAlign w:val="superscript"/>
              </w:rPr>
              <w:t>*</w:t>
            </w:r>
          </w:p>
        </w:tc>
      </w:tr>
      <w:tr w:rsidR="00AE655B">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35486F" w:rsidRDefault="00EC7F35" w:rsidP="00BB5497">
            <w:pPr>
              <w:pStyle w:val="Normlnywebov"/>
              <w:spacing w:before="0" w:beforeAutospacing="0" w:after="0" w:afterAutospacing="0"/>
            </w:pPr>
            <w:r w:rsidRPr="0035486F">
              <w:rPr>
                <w:sz w:val="22"/>
                <w:szCs w:val="22"/>
              </w:rPr>
              <w:t>1. Vplyvy na rozpočet verejnej správy</w:t>
            </w:r>
          </w:p>
          <w:p w:rsidR="001F3091" w:rsidRPr="0035486F" w:rsidRDefault="00EC7F35" w:rsidP="00BB5497">
            <w:pPr>
              <w:pStyle w:val="Normlnywebov"/>
              <w:spacing w:before="0" w:beforeAutospacing="0" w:after="0" w:afterAutospacing="0"/>
            </w:pPr>
            <w:r w:rsidRPr="0035486F">
              <w:rPr>
                <w:i/>
                <w:iCs/>
                <w:sz w:val="22"/>
                <w:szCs w:val="22"/>
              </w:rPr>
              <w:t> </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35486F" w:rsidRDefault="00EC7F35" w:rsidP="00BB5497">
            <w:pPr>
              <w:pStyle w:val="Normlnywebov"/>
              <w:spacing w:before="0" w:beforeAutospacing="0" w:after="0" w:afterAutospacing="0"/>
              <w:jc w:val="center"/>
            </w:pPr>
            <w:r w:rsidRPr="0035486F">
              <w:t> </w:t>
            </w:r>
            <w:r w:rsidR="00FE291B">
              <w:t>X</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35486F" w:rsidRDefault="001F3091" w:rsidP="00BB5497">
            <w:pPr>
              <w:pStyle w:val="Normlnywebov"/>
              <w:spacing w:before="0" w:beforeAutospacing="0" w:after="0" w:afterAutospacing="0"/>
              <w:jc w:val="center"/>
            </w:pPr>
          </w:p>
          <w:p w:rsidR="001F3091" w:rsidRPr="0035486F" w:rsidRDefault="001F3091" w:rsidP="00BB5497">
            <w:pPr>
              <w:pStyle w:val="Normlnywebov"/>
              <w:spacing w:before="0" w:beforeAutospacing="0" w:after="0" w:afterAutospacing="0"/>
              <w:jc w:val="center"/>
            </w:pP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35486F" w:rsidRDefault="00EC7F35" w:rsidP="00BB5497">
            <w:pPr>
              <w:pStyle w:val="Normlnywebov"/>
              <w:spacing w:before="0" w:beforeAutospacing="0" w:after="0" w:afterAutospacing="0"/>
              <w:jc w:val="center"/>
            </w:pPr>
            <w:r w:rsidRPr="0035486F">
              <w:t> </w:t>
            </w:r>
          </w:p>
        </w:tc>
      </w:tr>
      <w:tr w:rsidR="00AE655B">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35486F" w:rsidRDefault="00EC7F35" w:rsidP="00BB5497">
            <w:pPr>
              <w:pStyle w:val="Normlnywebov"/>
              <w:spacing w:before="0" w:beforeAutospacing="0" w:after="0" w:afterAutospacing="0"/>
            </w:pPr>
            <w:r w:rsidRPr="0035486F">
              <w:rPr>
                <w:sz w:val="22"/>
                <w:szCs w:val="22"/>
              </w:rPr>
              <w:t>2. Vplyvy na podnikateľské prostredie – dochádza k zvýšeniu regulačného zaťaženia?</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35486F" w:rsidRDefault="00EC7F35" w:rsidP="00BB5497">
            <w:pPr>
              <w:pStyle w:val="Normlnywebov"/>
              <w:spacing w:before="0" w:beforeAutospacing="0" w:after="0" w:afterAutospacing="0"/>
              <w:jc w:val="center"/>
            </w:pPr>
            <w:r w:rsidRPr="0035486F">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35486F" w:rsidRDefault="001F3091" w:rsidP="00BB5497">
            <w:pPr>
              <w:pStyle w:val="Normlnywebov"/>
              <w:spacing w:before="0" w:beforeAutospacing="0" w:after="0" w:afterAutospacing="0"/>
              <w:jc w:val="center"/>
            </w:pPr>
          </w:p>
          <w:p w:rsidR="001F3091" w:rsidRPr="0035486F" w:rsidRDefault="00EC7F35" w:rsidP="00BB5497">
            <w:pPr>
              <w:pStyle w:val="Normlnywebov"/>
              <w:spacing w:before="0" w:beforeAutospacing="0" w:after="0" w:afterAutospacing="0"/>
              <w:jc w:val="center"/>
            </w:pPr>
            <w:r w:rsidRPr="0035486F">
              <w:t> </w:t>
            </w:r>
            <w:r w:rsidRPr="00FE291B">
              <w:t>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35486F" w:rsidRDefault="00EC7F35" w:rsidP="00BB5497">
            <w:pPr>
              <w:pStyle w:val="Normlnywebov"/>
              <w:spacing w:before="0" w:beforeAutospacing="0" w:after="0" w:afterAutospacing="0"/>
              <w:jc w:val="center"/>
            </w:pPr>
            <w:r w:rsidRPr="0035486F">
              <w:t> </w:t>
            </w:r>
          </w:p>
        </w:tc>
      </w:tr>
      <w:tr w:rsidR="00AE655B">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35486F" w:rsidRDefault="00EC7F35" w:rsidP="00BB5497">
            <w:pPr>
              <w:pStyle w:val="Normlnywebov"/>
              <w:spacing w:before="0" w:beforeAutospacing="0" w:after="0" w:afterAutospacing="0"/>
            </w:pPr>
            <w:r w:rsidRPr="0035486F">
              <w:rPr>
                <w:sz w:val="22"/>
                <w:szCs w:val="22"/>
              </w:rPr>
              <w:t xml:space="preserve">3, Sociálne vplyvy </w:t>
            </w:r>
          </w:p>
          <w:p w:rsidR="001F3091" w:rsidRPr="0035486F" w:rsidRDefault="00EC7F35" w:rsidP="00BB5497">
            <w:pPr>
              <w:pStyle w:val="Normlnywebov"/>
              <w:spacing w:before="0" w:beforeAutospacing="0" w:after="0" w:afterAutospacing="0"/>
            </w:pPr>
            <w:r w:rsidRPr="0035486F">
              <w:rPr>
                <w:sz w:val="22"/>
                <w:szCs w:val="22"/>
              </w:rPr>
              <w:t>– vplyvy  na hospodárenie obyvateľstva,</w:t>
            </w:r>
          </w:p>
          <w:p w:rsidR="001F3091" w:rsidRPr="0035486F" w:rsidRDefault="00EC7F35" w:rsidP="00BB5497">
            <w:pPr>
              <w:pStyle w:val="Normlnywebov"/>
              <w:spacing w:before="0" w:beforeAutospacing="0" w:after="0" w:afterAutospacing="0"/>
            </w:pPr>
            <w:r w:rsidRPr="0035486F">
              <w:rPr>
                <w:sz w:val="22"/>
                <w:szCs w:val="22"/>
              </w:rPr>
              <w:t xml:space="preserve">-sociálnu </w:t>
            </w:r>
            <w:proofErr w:type="spellStart"/>
            <w:r w:rsidRPr="0035486F">
              <w:rPr>
                <w:sz w:val="22"/>
                <w:szCs w:val="22"/>
              </w:rPr>
              <w:t>exklúziu</w:t>
            </w:r>
            <w:proofErr w:type="spellEnd"/>
            <w:r w:rsidRPr="0035486F">
              <w:rPr>
                <w:sz w:val="22"/>
                <w:szCs w:val="22"/>
              </w:rPr>
              <w:t>,</w:t>
            </w:r>
          </w:p>
          <w:p w:rsidR="001F3091" w:rsidRPr="0035486F" w:rsidRDefault="00EC7F35" w:rsidP="00BB5497">
            <w:pPr>
              <w:pStyle w:val="Normlnywebov"/>
              <w:spacing w:before="0" w:beforeAutospacing="0" w:after="0" w:afterAutospacing="0"/>
            </w:pPr>
            <w:r w:rsidRPr="0035486F">
              <w:rPr>
                <w:sz w:val="22"/>
                <w:szCs w:val="22"/>
              </w:rPr>
              <w:t>- rovnosť príležitostí a rodovú rovnosť a vplyvy na zamestnanosť</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35486F" w:rsidRDefault="00EC7F35" w:rsidP="00BB5497">
            <w:pPr>
              <w:pStyle w:val="Normlnywebov"/>
              <w:spacing w:before="0" w:beforeAutospacing="0" w:after="0" w:afterAutospacing="0"/>
              <w:jc w:val="center"/>
            </w:pPr>
            <w:r w:rsidRPr="0035486F">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35486F" w:rsidRDefault="001F3091" w:rsidP="00BB5497">
            <w:pPr>
              <w:pStyle w:val="Normlnywebov"/>
              <w:spacing w:before="0" w:beforeAutospacing="0" w:after="0" w:afterAutospacing="0"/>
              <w:jc w:val="center"/>
            </w:pPr>
          </w:p>
          <w:p w:rsidR="001F3091" w:rsidRPr="0035486F" w:rsidRDefault="001F3091" w:rsidP="00BB5497">
            <w:pPr>
              <w:pStyle w:val="Normlnywebov"/>
              <w:spacing w:before="0" w:beforeAutospacing="0" w:after="0" w:afterAutospacing="0"/>
              <w:jc w:val="center"/>
            </w:pPr>
          </w:p>
          <w:p w:rsidR="001F3091" w:rsidRPr="0035486F" w:rsidRDefault="00EC7F35" w:rsidP="00BB5497">
            <w:pPr>
              <w:pStyle w:val="Normlnywebov"/>
              <w:spacing w:before="0" w:beforeAutospacing="0" w:after="0" w:afterAutospacing="0"/>
              <w:jc w:val="center"/>
            </w:pPr>
            <w:r w:rsidRPr="0035486F">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35486F" w:rsidRDefault="00EC7F35" w:rsidP="00BB5497">
            <w:pPr>
              <w:pStyle w:val="Normlnywebov"/>
              <w:spacing w:before="0" w:beforeAutospacing="0" w:after="0" w:afterAutospacing="0"/>
              <w:jc w:val="center"/>
            </w:pPr>
            <w:r w:rsidRPr="0035486F">
              <w:t> </w:t>
            </w:r>
          </w:p>
        </w:tc>
      </w:tr>
      <w:tr w:rsidR="00AE655B">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35486F" w:rsidRDefault="00EC7F35" w:rsidP="00BB5497">
            <w:pPr>
              <w:pStyle w:val="Normlnywebov"/>
              <w:spacing w:before="0" w:beforeAutospacing="0" w:after="0" w:afterAutospacing="0"/>
            </w:pPr>
            <w:r w:rsidRPr="0035486F">
              <w:rPr>
                <w:sz w:val="22"/>
                <w:szCs w:val="22"/>
              </w:rPr>
              <w:t>4. Vplyvy na životné prostredie</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35486F" w:rsidRDefault="00EC7F35" w:rsidP="00BB5497">
            <w:pPr>
              <w:pStyle w:val="Normlnywebov"/>
              <w:spacing w:before="0" w:beforeAutospacing="0" w:after="0" w:afterAutospacing="0"/>
              <w:jc w:val="center"/>
            </w:pPr>
            <w:r w:rsidRPr="0035486F">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35486F" w:rsidRDefault="00EC7F35" w:rsidP="00BB5497">
            <w:pPr>
              <w:pStyle w:val="Normlnywebov"/>
              <w:spacing w:before="0" w:beforeAutospacing="0" w:after="0" w:afterAutospacing="0"/>
              <w:jc w:val="center"/>
            </w:pPr>
            <w:r w:rsidRPr="0035486F">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35486F" w:rsidRDefault="00EC7F35" w:rsidP="00BB5497">
            <w:pPr>
              <w:pStyle w:val="Normlnywebov"/>
              <w:spacing w:before="0" w:beforeAutospacing="0" w:after="0" w:afterAutospacing="0"/>
              <w:jc w:val="center"/>
            </w:pPr>
            <w:r w:rsidRPr="0035486F">
              <w:t> </w:t>
            </w:r>
          </w:p>
        </w:tc>
      </w:tr>
      <w:tr w:rsidR="00AE655B">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35486F" w:rsidRDefault="00EC7F35" w:rsidP="00BB5497">
            <w:pPr>
              <w:pStyle w:val="Normlnywebov"/>
              <w:spacing w:before="0" w:beforeAutospacing="0" w:after="0" w:afterAutospacing="0"/>
            </w:pPr>
            <w:r w:rsidRPr="0035486F">
              <w:rPr>
                <w:sz w:val="22"/>
                <w:szCs w:val="22"/>
              </w:rPr>
              <w:t>5. Vplyvy na informatizáciu spoločnosti</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35486F" w:rsidRDefault="00EC7F35" w:rsidP="00BB5497">
            <w:pPr>
              <w:pStyle w:val="Normlnywebov"/>
              <w:spacing w:before="0" w:beforeAutospacing="0" w:after="0" w:afterAutospacing="0"/>
              <w:jc w:val="center"/>
            </w:pPr>
            <w:r w:rsidRPr="0035486F">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35486F" w:rsidRDefault="001F3091" w:rsidP="00BB5497">
            <w:pPr>
              <w:pStyle w:val="Normlnywebov"/>
              <w:spacing w:before="0" w:beforeAutospacing="0" w:after="0" w:afterAutospacing="0"/>
              <w:jc w:val="center"/>
            </w:pPr>
          </w:p>
          <w:p w:rsidR="001F3091" w:rsidRPr="0035486F" w:rsidRDefault="00EC7F35" w:rsidP="00BB5497">
            <w:pPr>
              <w:pStyle w:val="Normlnywebov"/>
              <w:spacing w:before="0" w:beforeAutospacing="0" w:after="0" w:afterAutospacing="0"/>
              <w:jc w:val="center"/>
            </w:pPr>
            <w:r w:rsidRPr="0035486F">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35486F" w:rsidRDefault="00EC7F35" w:rsidP="00BB5497">
            <w:pPr>
              <w:pStyle w:val="Normlnywebov"/>
              <w:spacing w:before="0" w:beforeAutospacing="0" w:after="0" w:afterAutospacing="0"/>
              <w:jc w:val="center"/>
            </w:pPr>
            <w:r w:rsidRPr="0035486F">
              <w:t> </w:t>
            </w:r>
          </w:p>
        </w:tc>
      </w:tr>
    </w:tbl>
    <w:p w:rsidR="001F3091" w:rsidRPr="0035486F" w:rsidRDefault="00EC7F35" w:rsidP="001F3091">
      <w:pPr>
        <w:pStyle w:val="Normlnywebov"/>
        <w:spacing w:before="0" w:beforeAutospacing="0" w:after="0" w:afterAutospacing="0"/>
        <w:jc w:val="both"/>
      </w:pPr>
      <w:r w:rsidRPr="0035486F">
        <w:rPr>
          <w:b/>
          <w:bCs/>
          <w:sz w:val="16"/>
          <w:szCs w:val="16"/>
        </w:rPr>
        <w:t>*</w:t>
      </w:r>
      <w:r w:rsidRPr="0035486F">
        <w:rPr>
          <w:sz w:val="16"/>
          <w:szCs w:val="16"/>
        </w:rPr>
        <w:t xml:space="preserve"> Predkladateľ označí znakom x zodpovedajúci vplyv (pozitívny, negatívny, žiadny), ktorý návrh prináša v každej oblasti posudzovania vplyvov. Návrh môže mať v jednej oblasti zároveň pozitívny aj negatívny vplyv, v tom prípade predkladateľ označí obe možnosti. Bližšie vysvetlenie označených vplyvov bude obsahovať analýza vplyvov. Isté vysvetlenie, či bilanciu vplyvov (sumárne zhodnotenie, ktorý vplyv v danej oblasti prevažuje) môže predkladateľ uviesť v poznámke.</w:t>
      </w:r>
    </w:p>
    <w:p w:rsidR="001F3091" w:rsidRDefault="001F3091" w:rsidP="001F3091"/>
    <w:p w:rsidR="00FE291B" w:rsidRPr="00FE291B" w:rsidRDefault="00FE291B" w:rsidP="003F5E2C">
      <w:pPr>
        <w:jc w:val="both"/>
      </w:pPr>
      <w:r w:rsidRPr="00FE291B">
        <w:rPr>
          <w:b/>
        </w:rPr>
        <w:t>Poznámka:</w:t>
      </w:r>
      <w:r w:rsidRPr="00FE291B">
        <w:t xml:space="preserve"> Z analýz Národnej banky Slovenska z januára tohto roku vyplýva že v dôsledku zaokrúhľovania budú dôsledky na obyvateľov a podnikateľov zanedbateľné. Vplyv na slovenské domácnosti vychádza podľa NBS približne pol centa až cent mesačne. Skúsenosti krajín, ktoré sa vybrali cestou obmedzenia obehu drobných </w:t>
      </w:r>
      <w:proofErr w:type="spellStart"/>
      <w:r w:rsidRPr="00FE291B">
        <w:t>eurocentových</w:t>
      </w:r>
      <w:proofErr w:type="spellEnd"/>
      <w:r w:rsidRPr="00FE291B">
        <w:t xml:space="preserve"> mincí vyplýva, že úspory verejnej správy spojené s týmto opatrením sú v desiatkach miliónov eur  (Zdroj: ANALYTICKÝ KOMENTÁR Č. 64, 29. JANUÁRA 2019, dostupné na </w:t>
      </w:r>
      <w:hyperlink r:id="rId7" w:history="1">
        <w:r w:rsidRPr="00FE291B">
          <w:rPr>
            <w:rStyle w:val="Hypertextovprepojenie"/>
          </w:rPr>
          <w:t>https://www.nbs.sk/_img/Documents/_komentare/AnalytickeKomentare/2019/AK64_Zaobideme_za_bez_1-a-2-centovych_minci.pdf</w:t>
        </w:r>
      </w:hyperlink>
      <w:r w:rsidRPr="00FE291B">
        <w:t xml:space="preserve">). </w:t>
      </w:r>
    </w:p>
    <w:p w:rsidR="00FE291B" w:rsidRDefault="00FE291B">
      <w:pPr>
        <w:rPr>
          <w:highlight w:val="yellow"/>
        </w:rPr>
      </w:pPr>
    </w:p>
    <w:p w:rsidR="00FE291B" w:rsidRDefault="00FE291B">
      <w:pPr>
        <w:rPr>
          <w:highlight w:val="yellow"/>
        </w:rPr>
      </w:pPr>
    </w:p>
    <w:p w:rsidR="00FE291B" w:rsidRDefault="00FE291B">
      <w:pPr>
        <w:rPr>
          <w:highlight w:val="yellow"/>
        </w:rPr>
      </w:pPr>
    </w:p>
    <w:p w:rsidR="00FE291B" w:rsidRDefault="00FE291B">
      <w:pPr>
        <w:rPr>
          <w:highlight w:val="yellow"/>
        </w:rPr>
      </w:pPr>
      <w:r>
        <w:rPr>
          <w:highlight w:val="yellow"/>
        </w:rPr>
        <w:br w:type="page"/>
      </w:r>
    </w:p>
    <w:p w:rsidR="00FE291B" w:rsidRDefault="00FE291B">
      <w:pPr>
        <w:rPr>
          <w:highlight w:val="yellow"/>
        </w:rPr>
      </w:pPr>
    </w:p>
    <w:p w:rsidR="001D6B23" w:rsidRPr="00316C3B" w:rsidRDefault="001D6B23" w:rsidP="001D6B23">
      <w:pPr>
        <w:jc w:val="both"/>
        <w:rPr>
          <w:highlight w:val="yellow"/>
        </w:rPr>
      </w:pPr>
    </w:p>
    <w:p w:rsidR="001D6B23" w:rsidRPr="00544D26" w:rsidRDefault="00544D26" w:rsidP="001D6B23">
      <w:pPr>
        <w:jc w:val="both"/>
        <w:rPr>
          <w:b/>
          <w:bCs/>
          <w:u w:val="single"/>
        </w:rPr>
      </w:pPr>
      <w:r w:rsidRPr="00544D26">
        <w:rPr>
          <w:b/>
          <w:bCs/>
          <w:u w:val="single"/>
        </w:rPr>
        <w:t xml:space="preserve">B. </w:t>
      </w:r>
      <w:r w:rsidR="00EC7F35" w:rsidRPr="00544D26">
        <w:rPr>
          <w:b/>
          <w:bCs/>
          <w:u w:val="single"/>
        </w:rPr>
        <w:t>Osobitná časť</w:t>
      </w:r>
    </w:p>
    <w:p w:rsidR="001D6B23" w:rsidRPr="00544D26" w:rsidRDefault="001D6B23" w:rsidP="001D6B23">
      <w:pPr>
        <w:jc w:val="both"/>
        <w:rPr>
          <w:b/>
        </w:rPr>
      </w:pPr>
    </w:p>
    <w:p w:rsidR="001D6B23" w:rsidRPr="00544D26" w:rsidRDefault="00EC7F35" w:rsidP="001D6B23">
      <w:pPr>
        <w:jc w:val="both"/>
        <w:rPr>
          <w:b/>
        </w:rPr>
      </w:pPr>
      <w:r w:rsidRPr="00544D26">
        <w:rPr>
          <w:b/>
        </w:rPr>
        <w:t>K čl. I</w:t>
      </w:r>
    </w:p>
    <w:p w:rsidR="001D6B23" w:rsidRDefault="001D6B23" w:rsidP="001D6B23">
      <w:pPr>
        <w:jc w:val="both"/>
        <w:rPr>
          <w:b/>
          <w:u w:val="single"/>
        </w:rPr>
      </w:pPr>
    </w:p>
    <w:p w:rsidR="000F5062" w:rsidRPr="000F5062" w:rsidRDefault="000F5062" w:rsidP="000F5062">
      <w:pPr>
        <w:jc w:val="both"/>
        <w:rPr>
          <w:b/>
        </w:rPr>
      </w:pPr>
      <w:r w:rsidRPr="000F5062">
        <w:rPr>
          <w:b/>
        </w:rPr>
        <w:t>K bodu 1</w:t>
      </w:r>
    </w:p>
    <w:p w:rsidR="000F5062" w:rsidRDefault="000F5062" w:rsidP="002F2CEC">
      <w:pPr>
        <w:ind w:firstLine="708"/>
        <w:jc w:val="both"/>
      </w:pPr>
      <w:r>
        <w:t>Do definície základných pojmov sa navrhuje doplniť definíciu „väčšej mince“ ako mince v nominálnej hodnote minimálne 5 centov.</w:t>
      </w:r>
    </w:p>
    <w:p w:rsidR="000F5062" w:rsidRDefault="000F5062" w:rsidP="000F5062">
      <w:pPr>
        <w:jc w:val="both"/>
      </w:pPr>
    </w:p>
    <w:p w:rsidR="000F5062" w:rsidRPr="000F5062" w:rsidRDefault="000F5062" w:rsidP="000F5062">
      <w:pPr>
        <w:jc w:val="both"/>
        <w:rPr>
          <w:b/>
        </w:rPr>
      </w:pPr>
      <w:r w:rsidRPr="000F5062">
        <w:rPr>
          <w:b/>
        </w:rPr>
        <w:t>K bodu 2</w:t>
      </w:r>
    </w:p>
    <w:p w:rsidR="000F5062" w:rsidRDefault="000F5062" w:rsidP="002F2CEC">
      <w:pPr>
        <w:ind w:firstLine="708"/>
        <w:jc w:val="both"/>
      </w:pPr>
      <w:r>
        <w:t>Zaokrúhľovanie cien v hotovostných platbách je v platnom znení zákona č. 18/1996 Z. z. o cenách upravené v § 3 ods. 4 tak, že sa cena zaokrúhľuje tak, aby ju bolo možné zaplatiť platnými bankovkami a mincami: „Celkový zvyšok nezaokrúhlenej ceny, ktorý je nižší ako polovica nominálnej hodnoty najnižšej platnej mince, sa zaokrúhľuje nadol a celkový zvyšok platby, ktorý sa rovná polovici alebo je vyšší ako polovica nominálnej hodnoty  najnižšej  platnej mince, sa zaokrúhľuje nahor.  Ak je platená cena súčtom cien  za viac kusov  tohto  istého tovaru alebo viac kusov rôznych tovarov, zaokrúhľuje sa takto  až  celková  suma  platenej ceny.“</w:t>
      </w:r>
    </w:p>
    <w:p w:rsidR="00D21E1F" w:rsidRDefault="000F5062" w:rsidP="002F2CEC">
      <w:pPr>
        <w:ind w:firstLine="708"/>
        <w:jc w:val="both"/>
      </w:pPr>
      <w:r>
        <w:t>Navrhovaná úprava ponecháva v platnosti doterajší mechanizmus zaokrúhľovania, stanovuje však, že sa ceny v hotovostnom styku nemajú zaokrúhľovať na hodnotu „najnižšej platnej mince“, čiže na 1 cent, ale na hodnotu „najnižšej väčšej platnej mince“, čiže v zmysle úpravy navrhnutej v prvom bode na 5 centov.</w:t>
      </w:r>
      <w:r w:rsidR="000E1BE3">
        <w:t xml:space="preserve"> </w:t>
      </w:r>
    </w:p>
    <w:p w:rsidR="000E1BE3" w:rsidRPr="00544D26" w:rsidRDefault="000E1BE3" w:rsidP="001D6B23">
      <w:pPr>
        <w:jc w:val="both"/>
        <w:rPr>
          <w:b/>
          <w:u w:val="single"/>
        </w:rPr>
      </w:pPr>
    </w:p>
    <w:p w:rsidR="00D42644" w:rsidRPr="00D42644" w:rsidRDefault="00EC7F35" w:rsidP="001D6B23">
      <w:pPr>
        <w:jc w:val="both"/>
        <w:rPr>
          <w:b/>
        </w:rPr>
      </w:pPr>
      <w:r>
        <w:rPr>
          <w:b/>
        </w:rPr>
        <w:t xml:space="preserve">K čl. </w:t>
      </w:r>
      <w:r w:rsidR="002B1EC2">
        <w:rPr>
          <w:b/>
        </w:rPr>
        <w:t>I</w:t>
      </w:r>
      <w:r>
        <w:rPr>
          <w:b/>
        </w:rPr>
        <w:t>I</w:t>
      </w:r>
    </w:p>
    <w:p w:rsidR="00D42644" w:rsidRDefault="00D42644" w:rsidP="001D6B23">
      <w:pPr>
        <w:jc w:val="both"/>
      </w:pPr>
    </w:p>
    <w:p w:rsidR="001D6B23" w:rsidRDefault="00EC7F35" w:rsidP="001D6B23">
      <w:pPr>
        <w:ind w:firstLine="708"/>
        <w:jc w:val="both"/>
      </w:pPr>
      <w:r w:rsidRPr="00544D26">
        <w:t>Navrhuje sa stanoviť účinnosť zákona</w:t>
      </w:r>
      <w:r w:rsidR="00D21E1F">
        <w:t xml:space="preserve"> </w:t>
      </w:r>
      <w:r w:rsidR="000F5062">
        <w:t>od 1. januára nasledujúceho kalendárneho roka</w:t>
      </w:r>
      <w:r w:rsidR="00D21E1F">
        <w:t xml:space="preserve">. </w:t>
      </w:r>
    </w:p>
    <w:p w:rsidR="00377EAC" w:rsidRDefault="00377EAC" w:rsidP="007B019B">
      <w:pPr>
        <w:jc w:val="both"/>
      </w:pPr>
    </w:p>
    <w:p w:rsidR="007B019B" w:rsidRDefault="007B019B" w:rsidP="007B019B">
      <w:pPr>
        <w:jc w:val="both"/>
      </w:pPr>
    </w:p>
    <w:p w:rsidR="00632F87" w:rsidRDefault="00632F87" w:rsidP="001D6B23">
      <w:pPr>
        <w:jc w:val="both"/>
      </w:pPr>
    </w:p>
    <w:sectPr w:rsidR="00632F87" w:rsidSect="00B31CF4">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3915E0"/>
    <w:multiLevelType w:val="hybridMultilevel"/>
    <w:tmpl w:val="A71A07D8"/>
    <w:lvl w:ilvl="0" w:tplc="D58010BA">
      <w:start w:val="1"/>
      <w:numFmt w:val="decimal"/>
      <w:lvlText w:val="%1."/>
      <w:lvlJc w:val="left"/>
      <w:pPr>
        <w:tabs>
          <w:tab w:val="num" w:pos="720"/>
        </w:tabs>
        <w:ind w:left="720" w:hanging="360"/>
      </w:pPr>
      <w:rPr>
        <w:rFonts w:cs="Times New Roman" w:hint="default"/>
        <w:rtl w:val="0"/>
        <w:cs w:val="0"/>
      </w:rPr>
    </w:lvl>
    <w:lvl w:ilvl="1" w:tplc="18806D08">
      <w:start w:val="1"/>
      <w:numFmt w:val="lowerLetter"/>
      <w:lvlText w:val="%2."/>
      <w:lvlJc w:val="left"/>
      <w:pPr>
        <w:tabs>
          <w:tab w:val="num" w:pos="1440"/>
        </w:tabs>
        <w:ind w:left="1440" w:hanging="360"/>
      </w:pPr>
      <w:rPr>
        <w:rFonts w:cs="Times New Roman"/>
        <w:rtl w:val="0"/>
        <w:cs w:val="0"/>
      </w:rPr>
    </w:lvl>
    <w:lvl w:ilvl="2" w:tplc="4372CA54">
      <w:start w:val="1"/>
      <w:numFmt w:val="lowerRoman"/>
      <w:lvlText w:val="%3."/>
      <w:lvlJc w:val="right"/>
      <w:pPr>
        <w:tabs>
          <w:tab w:val="num" w:pos="2160"/>
        </w:tabs>
        <w:ind w:left="2160" w:hanging="180"/>
      </w:pPr>
      <w:rPr>
        <w:rFonts w:cs="Times New Roman"/>
        <w:rtl w:val="0"/>
        <w:cs w:val="0"/>
      </w:rPr>
    </w:lvl>
    <w:lvl w:ilvl="3" w:tplc="7414898E">
      <w:start w:val="1"/>
      <w:numFmt w:val="decimal"/>
      <w:lvlText w:val="%4."/>
      <w:lvlJc w:val="left"/>
      <w:pPr>
        <w:tabs>
          <w:tab w:val="num" w:pos="2880"/>
        </w:tabs>
        <w:ind w:left="2880" w:hanging="360"/>
      </w:pPr>
      <w:rPr>
        <w:rFonts w:cs="Times New Roman"/>
        <w:rtl w:val="0"/>
        <w:cs w:val="0"/>
      </w:rPr>
    </w:lvl>
    <w:lvl w:ilvl="4" w:tplc="6F2421DE">
      <w:start w:val="1"/>
      <w:numFmt w:val="lowerLetter"/>
      <w:lvlText w:val="%5."/>
      <w:lvlJc w:val="left"/>
      <w:pPr>
        <w:tabs>
          <w:tab w:val="num" w:pos="3600"/>
        </w:tabs>
        <w:ind w:left="3600" w:hanging="360"/>
      </w:pPr>
      <w:rPr>
        <w:rFonts w:cs="Times New Roman"/>
        <w:rtl w:val="0"/>
        <w:cs w:val="0"/>
      </w:rPr>
    </w:lvl>
    <w:lvl w:ilvl="5" w:tplc="84286D94">
      <w:start w:val="1"/>
      <w:numFmt w:val="lowerRoman"/>
      <w:lvlText w:val="%6."/>
      <w:lvlJc w:val="right"/>
      <w:pPr>
        <w:tabs>
          <w:tab w:val="num" w:pos="4320"/>
        </w:tabs>
        <w:ind w:left="4320" w:hanging="180"/>
      </w:pPr>
      <w:rPr>
        <w:rFonts w:cs="Times New Roman"/>
        <w:rtl w:val="0"/>
        <w:cs w:val="0"/>
      </w:rPr>
    </w:lvl>
    <w:lvl w:ilvl="6" w:tplc="278C6EAE">
      <w:start w:val="1"/>
      <w:numFmt w:val="decimal"/>
      <w:lvlText w:val="%7."/>
      <w:lvlJc w:val="left"/>
      <w:pPr>
        <w:tabs>
          <w:tab w:val="num" w:pos="5040"/>
        </w:tabs>
        <w:ind w:left="5040" w:hanging="360"/>
      </w:pPr>
      <w:rPr>
        <w:rFonts w:cs="Times New Roman"/>
        <w:rtl w:val="0"/>
        <w:cs w:val="0"/>
      </w:rPr>
    </w:lvl>
    <w:lvl w:ilvl="7" w:tplc="9BB2957A">
      <w:start w:val="1"/>
      <w:numFmt w:val="lowerLetter"/>
      <w:lvlText w:val="%8."/>
      <w:lvlJc w:val="left"/>
      <w:pPr>
        <w:tabs>
          <w:tab w:val="num" w:pos="5760"/>
        </w:tabs>
        <w:ind w:left="5760" w:hanging="360"/>
      </w:pPr>
      <w:rPr>
        <w:rFonts w:cs="Times New Roman"/>
        <w:rtl w:val="0"/>
        <w:cs w:val="0"/>
      </w:rPr>
    </w:lvl>
    <w:lvl w:ilvl="8" w:tplc="0700E022">
      <w:start w:val="1"/>
      <w:numFmt w:val="lowerRoman"/>
      <w:lvlText w:val="%9."/>
      <w:lvlJc w:val="right"/>
      <w:pPr>
        <w:tabs>
          <w:tab w:val="num" w:pos="6480"/>
        </w:tabs>
        <w:ind w:left="6480" w:hanging="180"/>
      </w:pPr>
      <w:rPr>
        <w:rFonts w:cs="Times New Roman"/>
        <w:rtl w:val="0"/>
        <w:cs w:val="0"/>
      </w:rPr>
    </w:lvl>
  </w:abstractNum>
  <w:abstractNum w:abstractNumId="1" w15:restartNumberingAfterBreak="0">
    <w:nsid w:val="24034D4F"/>
    <w:multiLevelType w:val="hybridMultilevel"/>
    <w:tmpl w:val="F21EF5BE"/>
    <w:lvl w:ilvl="0" w:tplc="C60A2BCA">
      <w:start w:val="1"/>
      <w:numFmt w:val="decimal"/>
      <w:lvlText w:val="(%1)"/>
      <w:lvlJc w:val="left"/>
      <w:pPr>
        <w:tabs>
          <w:tab w:val="num" w:pos="720"/>
        </w:tabs>
        <w:ind w:left="720" w:hanging="360"/>
      </w:pPr>
      <w:rPr>
        <w:rFonts w:ascii="Times New Roman" w:eastAsia="Times New Roman" w:hAnsi="Times New Roman" w:cs="Times New Roman"/>
        <w:rtl w:val="0"/>
        <w:cs w:val="0"/>
      </w:rPr>
    </w:lvl>
    <w:lvl w:ilvl="1" w:tplc="51AC8942">
      <w:start w:val="1"/>
      <w:numFmt w:val="lowerLetter"/>
      <w:lvlText w:val="%2."/>
      <w:lvlJc w:val="left"/>
      <w:pPr>
        <w:tabs>
          <w:tab w:val="num" w:pos="1440"/>
        </w:tabs>
        <w:ind w:left="1440" w:hanging="360"/>
      </w:pPr>
      <w:rPr>
        <w:rFonts w:cs="Times New Roman"/>
        <w:rtl w:val="0"/>
        <w:cs w:val="0"/>
      </w:rPr>
    </w:lvl>
    <w:lvl w:ilvl="2" w:tplc="463610B4">
      <w:start w:val="1"/>
      <w:numFmt w:val="lowerRoman"/>
      <w:lvlText w:val="%3."/>
      <w:lvlJc w:val="right"/>
      <w:pPr>
        <w:tabs>
          <w:tab w:val="num" w:pos="2160"/>
        </w:tabs>
        <w:ind w:left="2160" w:hanging="180"/>
      </w:pPr>
      <w:rPr>
        <w:rFonts w:cs="Times New Roman"/>
        <w:rtl w:val="0"/>
        <w:cs w:val="0"/>
      </w:rPr>
    </w:lvl>
    <w:lvl w:ilvl="3" w:tplc="22EE4908">
      <w:start w:val="1"/>
      <w:numFmt w:val="decimal"/>
      <w:lvlText w:val="%4."/>
      <w:lvlJc w:val="left"/>
      <w:pPr>
        <w:tabs>
          <w:tab w:val="num" w:pos="2880"/>
        </w:tabs>
        <w:ind w:left="2880" w:hanging="360"/>
      </w:pPr>
      <w:rPr>
        <w:rFonts w:cs="Times New Roman"/>
        <w:rtl w:val="0"/>
        <w:cs w:val="0"/>
      </w:rPr>
    </w:lvl>
    <w:lvl w:ilvl="4" w:tplc="1804B776">
      <w:start w:val="1"/>
      <w:numFmt w:val="lowerLetter"/>
      <w:lvlText w:val="%5."/>
      <w:lvlJc w:val="left"/>
      <w:pPr>
        <w:tabs>
          <w:tab w:val="num" w:pos="3600"/>
        </w:tabs>
        <w:ind w:left="3600" w:hanging="360"/>
      </w:pPr>
      <w:rPr>
        <w:rFonts w:cs="Times New Roman"/>
        <w:rtl w:val="0"/>
        <w:cs w:val="0"/>
      </w:rPr>
    </w:lvl>
    <w:lvl w:ilvl="5" w:tplc="AB6606B2">
      <w:start w:val="1"/>
      <w:numFmt w:val="lowerRoman"/>
      <w:lvlText w:val="%6."/>
      <w:lvlJc w:val="right"/>
      <w:pPr>
        <w:tabs>
          <w:tab w:val="num" w:pos="4320"/>
        </w:tabs>
        <w:ind w:left="4320" w:hanging="180"/>
      </w:pPr>
      <w:rPr>
        <w:rFonts w:cs="Times New Roman"/>
        <w:rtl w:val="0"/>
        <w:cs w:val="0"/>
      </w:rPr>
    </w:lvl>
    <w:lvl w:ilvl="6" w:tplc="42BCA4EC">
      <w:start w:val="1"/>
      <w:numFmt w:val="decimal"/>
      <w:lvlText w:val="%7."/>
      <w:lvlJc w:val="left"/>
      <w:pPr>
        <w:tabs>
          <w:tab w:val="num" w:pos="5040"/>
        </w:tabs>
        <w:ind w:left="5040" w:hanging="360"/>
      </w:pPr>
      <w:rPr>
        <w:rFonts w:cs="Times New Roman"/>
        <w:rtl w:val="0"/>
        <w:cs w:val="0"/>
      </w:rPr>
    </w:lvl>
    <w:lvl w:ilvl="7" w:tplc="7F50A160">
      <w:start w:val="1"/>
      <w:numFmt w:val="lowerLetter"/>
      <w:lvlText w:val="%8."/>
      <w:lvlJc w:val="left"/>
      <w:pPr>
        <w:tabs>
          <w:tab w:val="num" w:pos="5760"/>
        </w:tabs>
        <w:ind w:left="5760" w:hanging="360"/>
      </w:pPr>
      <w:rPr>
        <w:rFonts w:cs="Times New Roman"/>
        <w:rtl w:val="0"/>
        <w:cs w:val="0"/>
      </w:rPr>
    </w:lvl>
    <w:lvl w:ilvl="8" w:tplc="7BBAF7D6">
      <w:start w:val="1"/>
      <w:numFmt w:val="lowerRoman"/>
      <w:lvlText w:val="%9."/>
      <w:lvlJc w:val="right"/>
      <w:pPr>
        <w:tabs>
          <w:tab w:val="num" w:pos="6480"/>
        </w:tabs>
        <w:ind w:left="6480" w:hanging="180"/>
      </w:pPr>
      <w:rPr>
        <w:rFonts w:cs="Times New Roman"/>
        <w:rtl w:val="0"/>
        <w:cs w:val="0"/>
      </w:rPr>
    </w:lvl>
  </w:abstractNum>
  <w:abstractNum w:abstractNumId="2" w15:restartNumberingAfterBreak="0">
    <w:nsid w:val="40C0347C"/>
    <w:multiLevelType w:val="hybridMultilevel"/>
    <w:tmpl w:val="482629E6"/>
    <w:lvl w:ilvl="0" w:tplc="063A3FDC">
      <w:numFmt w:val="bullet"/>
      <w:lvlText w:val="-"/>
      <w:lvlJc w:val="left"/>
      <w:pPr>
        <w:ind w:left="720" w:hanging="360"/>
      </w:pPr>
      <w:rPr>
        <w:rFonts w:ascii="Times New Roman" w:eastAsia="Times New Roman" w:hAnsi="Times New Roman" w:hint="default"/>
      </w:rPr>
    </w:lvl>
    <w:lvl w:ilvl="1" w:tplc="672C6614">
      <w:start w:val="1"/>
      <w:numFmt w:val="bullet"/>
      <w:lvlText w:val="o"/>
      <w:lvlJc w:val="left"/>
      <w:pPr>
        <w:ind w:left="1440" w:hanging="360"/>
      </w:pPr>
      <w:rPr>
        <w:rFonts w:ascii="Courier New" w:hAnsi="Courier New" w:hint="default"/>
      </w:rPr>
    </w:lvl>
    <w:lvl w:ilvl="2" w:tplc="6AE42380">
      <w:start w:val="1"/>
      <w:numFmt w:val="bullet"/>
      <w:lvlText w:val=""/>
      <w:lvlJc w:val="left"/>
      <w:pPr>
        <w:ind w:left="2160" w:hanging="360"/>
      </w:pPr>
      <w:rPr>
        <w:rFonts w:ascii="Wingdings" w:hAnsi="Wingdings" w:hint="default"/>
      </w:rPr>
    </w:lvl>
    <w:lvl w:ilvl="3" w:tplc="49A009B4">
      <w:start w:val="1"/>
      <w:numFmt w:val="bullet"/>
      <w:lvlText w:val=""/>
      <w:lvlJc w:val="left"/>
      <w:pPr>
        <w:ind w:left="2880" w:hanging="360"/>
      </w:pPr>
      <w:rPr>
        <w:rFonts w:ascii="Symbol" w:hAnsi="Symbol" w:hint="default"/>
      </w:rPr>
    </w:lvl>
    <w:lvl w:ilvl="4" w:tplc="B78AD58A">
      <w:start w:val="1"/>
      <w:numFmt w:val="bullet"/>
      <w:lvlText w:val="o"/>
      <w:lvlJc w:val="left"/>
      <w:pPr>
        <w:ind w:left="3600" w:hanging="360"/>
      </w:pPr>
      <w:rPr>
        <w:rFonts w:ascii="Courier New" w:hAnsi="Courier New" w:hint="default"/>
      </w:rPr>
    </w:lvl>
    <w:lvl w:ilvl="5" w:tplc="A2089B7A">
      <w:start w:val="1"/>
      <w:numFmt w:val="bullet"/>
      <w:lvlText w:val=""/>
      <w:lvlJc w:val="left"/>
      <w:pPr>
        <w:ind w:left="4320" w:hanging="360"/>
      </w:pPr>
      <w:rPr>
        <w:rFonts w:ascii="Wingdings" w:hAnsi="Wingdings" w:hint="default"/>
      </w:rPr>
    </w:lvl>
    <w:lvl w:ilvl="6" w:tplc="07021910">
      <w:start w:val="1"/>
      <w:numFmt w:val="bullet"/>
      <w:lvlText w:val=""/>
      <w:lvlJc w:val="left"/>
      <w:pPr>
        <w:ind w:left="5040" w:hanging="360"/>
      </w:pPr>
      <w:rPr>
        <w:rFonts w:ascii="Symbol" w:hAnsi="Symbol" w:hint="default"/>
      </w:rPr>
    </w:lvl>
    <w:lvl w:ilvl="7" w:tplc="E496E21E">
      <w:start w:val="1"/>
      <w:numFmt w:val="bullet"/>
      <w:lvlText w:val="o"/>
      <w:lvlJc w:val="left"/>
      <w:pPr>
        <w:ind w:left="5760" w:hanging="360"/>
      </w:pPr>
      <w:rPr>
        <w:rFonts w:ascii="Courier New" w:hAnsi="Courier New" w:hint="default"/>
      </w:rPr>
    </w:lvl>
    <w:lvl w:ilvl="8" w:tplc="274CD6E2">
      <w:start w:val="1"/>
      <w:numFmt w:val="bullet"/>
      <w:lvlText w:val=""/>
      <w:lvlJc w:val="left"/>
      <w:pPr>
        <w:ind w:left="6480" w:hanging="360"/>
      </w:pPr>
      <w:rPr>
        <w:rFonts w:ascii="Wingdings" w:hAnsi="Wingdings" w:hint="default"/>
      </w:rPr>
    </w:lvl>
  </w:abstractNum>
  <w:abstractNum w:abstractNumId="3" w15:restartNumberingAfterBreak="0">
    <w:nsid w:val="414C3DC0"/>
    <w:multiLevelType w:val="hybridMultilevel"/>
    <w:tmpl w:val="C6AEB13A"/>
    <w:lvl w:ilvl="0" w:tplc="26C6F140">
      <w:start w:val="1"/>
      <w:numFmt w:val="decimal"/>
      <w:lvlText w:val="%1."/>
      <w:lvlJc w:val="left"/>
      <w:pPr>
        <w:ind w:left="720" w:hanging="360"/>
      </w:pPr>
      <w:rPr>
        <w:rFonts w:cs="Times New Roman" w:hint="default"/>
        <w:b/>
      </w:rPr>
    </w:lvl>
    <w:lvl w:ilvl="1" w:tplc="041B0017">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544241A9"/>
    <w:multiLevelType w:val="hybridMultilevel"/>
    <w:tmpl w:val="9C5C1C1C"/>
    <w:lvl w:ilvl="0" w:tplc="3592831E">
      <w:numFmt w:val="bullet"/>
      <w:lvlText w:val="-"/>
      <w:lvlJc w:val="left"/>
      <w:pPr>
        <w:ind w:left="720" w:hanging="360"/>
      </w:pPr>
      <w:rPr>
        <w:rFonts w:ascii="Times New Roman" w:eastAsia="Times New Roman" w:hAnsi="Times New Roman" w:hint="default"/>
      </w:rPr>
    </w:lvl>
    <w:lvl w:ilvl="1" w:tplc="7AE2CE5E">
      <w:start w:val="1"/>
      <w:numFmt w:val="bullet"/>
      <w:lvlText w:val="o"/>
      <w:lvlJc w:val="left"/>
      <w:pPr>
        <w:ind w:left="1440" w:hanging="360"/>
      </w:pPr>
      <w:rPr>
        <w:rFonts w:ascii="Courier New" w:hAnsi="Courier New" w:hint="default"/>
      </w:rPr>
    </w:lvl>
    <w:lvl w:ilvl="2" w:tplc="A468BEF4">
      <w:start w:val="1"/>
      <w:numFmt w:val="bullet"/>
      <w:lvlText w:val=""/>
      <w:lvlJc w:val="left"/>
      <w:pPr>
        <w:ind w:left="2160" w:hanging="360"/>
      </w:pPr>
      <w:rPr>
        <w:rFonts w:ascii="Wingdings" w:hAnsi="Wingdings" w:hint="default"/>
      </w:rPr>
    </w:lvl>
    <w:lvl w:ilvl="3" w:tplc="2DF45C44">
      <w:start w:val="1"/>
      <w:numFmt w:val="bullet"/>
      <w:lvlText w:val=""/>
      <w:lvlJc w:val="left"/>
      <w:pPr>
        <w:ind w:left="2880" w:hanging="360"/>
      </w:pPr>
      <w:rPr>
        <w:rFonts w:ascii="Symbol" w:hAnsi="Symbol" w:hint="default"/>
      </w:rPr>
    </w:lvl>
    <w:lvl w:ilvl="4" w:tplc="37CE4DB2">
      <w:start w:val="1"/>
      <w:numFmt w:val="bullet"/>
      <w:lvlText w:val="o"/>
      <w:lvlJc w:val="left"/>
      <w:pPr>
        <w:ind w:left="3600" w:hanging="360"/>
      </w:pPr>
      <w:rPr>
        <w:rFonts w:ascii="Courier New" w:hAnsi="Courier New" w:hint="default"/>
      </w:rPr>
    </w:lvl>
    <w:lvl w:ilvl="5" w:tplc="2332929E">
      <w:start w:val="1"/>
      <w:numFmt w:val="bullet"/>
      <w:lvlText w:val=""/>
      <w:lvlJc w:val="left"/>
      <w:pPr>
        <w:ind w:left="4320" w:hanging="360"/>
      </w:pPr>
      <w:rPr>
        <w:rFonts w:ascii="Wingdings" w:hAnsi="Wingdings" w:hint="default"/>
      </w:rPr>
    </w:lvl>
    <w:lvl w:ilvl="6" w:tplc="4026814A">
      <w:start w:val="1"/>
      <w:numFmt w:val="bullet"/>
      <w:lvlText w:val=""/>
      <w:lvlJc w:val="left"/>
      <w:pPr>
        <w:ind w:left="5040" w:hanging="360"/>
      </w:pPr>
      <w:rPr>
        <w:rFonts w:ascii="Symbol" w:hAnsi="Symbol" w:hint="default"/>
      </w:rPr>
    </w:lvl>
    <w:lvl w:ilvl="7" w:tplc="83F03596">
      <w:start w:val="1"/>
      <w:numFmt w:val="bullet"/>
      <w:lvlText w:val="o"/>
      <w:lvlJc w:val="left"/>
      <w:pPr>
        <w:ind w:left="5760" w:hanging="360"/>
      </w:pPr>
      <w:rPr>
        <w:rFonts w:ascii="Courier New" w:hAnsi="Courier New" w:hint="default"/>
      </w:rPr>
    </w:lvl>
    <w:lvl w:ilvl="8" w:tplc="1E0400B2">
      <w:start w:val="1"/>
      <w:numFmt w:val="bullet"/>
      <w:lvlText w:val=""/>
      <w:lvlJc w:val="left"/>
      <w:pPr>
        <w:ind w:left="6480" w:hanging="360"/>
      </w:pPr>
      <w:rPr>
        <w:rFonts w:ascii="Wingdings" w:hAnsi="Wingdings" w:hint="default"/>
      </w:rPr>
    </w:lvl>
  </w:abstractNum>
  <w:abstractNum w:abstractNumId="5" w15:restartNumberingAfterBreak="0">
    <w:nsid w:val="7C645C37"/>
    <w:multiLevelType w:val="hybridMultilevel"/>
    <w:tmpl w:val="35F080D8"/>
    <w:lvl w:ilvl="0" w:tplc="AE7C7BDE">
      <w:start w:val="36"/>
      <w:numFmt w:val="decimal"/>
      <w:lvlText w:val="%1."/>
      <w:lvlJc w:val="left"/>
      <w:pPr>
        <w:tabs>
          <w:tab w:val="num" w:pos="720"/>
        </w:tabs>
        <w:ind w:left="720" w:hanging="360"/>
      </w:pPr>
      <w:rPr>
        <w:rFonts w:cs="Times New Roman"/>
        <w:rtl w:val="0"/>
        <w:cs w:val="0"/>
      </w:rPr>
    </w:lvl>
    <w:lvl w:ilvl="1" w:tplc="84589E60">
      <w:start w:val="1"/>
      <w:numFmt w:val="lowerLetter"/>
      <w:lvlText w:val="%2)"/>
      <w:lvlJc w:val="left"/>
      <w:pPr>
        <w:tabs>
          <w:tab w:val="num" w:pos="1440"/>
        </w:tabs>
        <w:ind w:left="1440" w:hanging="360"/>
      </w:pPr>
      <w:rPr>
        <w:rFonts w:ascii="Times New Roman" w:eastAsia="Times New Roman" w:hAnsi="Times New Roman" w:cs="Times New Roman"/>
        <w:rtl w:val="0"/>
        <w:cs w:val="0"/>
      </w:rPr>
    </w:lvl>
    <w:lvl w:ilvl="2" w:tplc="637040A6">
      <w:start w:val="1"/>
      <w:numFmt w:val="lowerRoman"/>
      <w:lvlText w:val="%3."/>
      <w:lvlJc w:val="right"/>
      <w:pPr>
        <w:tabs>
          <w:tab w:val="num" w:pos="2160"/>
        </w:tabs>
        <w:ind w:left="2160" w:hanging="180"/>
      </w:pPr>
      <w:rPr>
        <w:rFonts w:cs="Times New Roman"/>
        <w:rtl w:val="0"/>
        <w:cs w:val="0"/>
      </w:rPr>
    </w:lvl>
    <w:lvl w:ilvl="3" w:tplc="A1968876">
      <w:start w:val="1"/>
      <w:numFmt w:val="decimal"/>
      <w:lvlText w:val="%4."/>
      <w:lvlJc w:val="left"/>
      <w:pPr>
        <w:tabs>
          <w:tab w:val="num" w:pos="2880"/>
        </w:tabs>
        <w:ind w:left="2880" w:hanging="360"/>
      </w:pPr>
      <w:rPr>
        <w:rFonts w:cs="Times New Roman"/>
        <w:rtl w:val="0"/>
        <w:cs w:val="0"/>
      </w:rPr>
    </w:lvl>
    <w:lvl w:ilvl="4" w:tplc="81F63326">
      <w:start w:val="1"/>
      <w:numFmt w:val="decimal"/>
      <w:lvlText w:val="%5."/>
      <w:lvlJc w:val="left"/>
      <w:pPr>
        <w:tabs>
          <w:tab w:val="num" w:pos="3600"/>
        </w:tabs>
        <w:ind w:left="3600" w:hanging="360"/>
      </w:pPr>
      <w:rPr>
        <w:rFonts w:cs="Times New Roman"/>
        <w:rtl w:val="0"/>
        <w:cs w:val="0"/>
      </w:rPr>
    </w:lvl>
    <w:lvl w:ilvl="5" w:tplc="AD2AAE26">
      <w:start w:val="1"/>
      <w:numFmt w:val="decimal"/>
      <w:lvlText w:val="%6."/>
      <w:lvlJc w:val="left"/>
      <w:pPr>
        <w:tabs>
          <w:tab w:val="num" w:pos="4320"/>
        </w:tabs>
        <w:ind w:left="4320" w:hanging="360"/>
      </w:pPr>
      <w:rPr>
        <w:rFonts w:cs="Times New Roman"/>
        <w:rtl w:val="0"/>
        <w:cs w:val="0"/>
      </w:rPr>
    </w:lvl>
    <w:lvl w:ilvl="6" w:tplc="75D62F42">
      <w:start w:val="1"/>
      <w:numFmt w:val="decimal"/>
      <w:lvlText w:val="%7."/>
      <w:lvlJc w:val="left"/>
      <w:pPr>
        <w:tabs>
          <w:tab w:val="num" w:pos="5040"/>
        </w:tabs>
        <w:ind w:left="5040" w:hanging="360"/>
      </w:pPr>
      <w:rPr>
        <w:rFonts w:cs="Times New Roman"/>
        <w:rtl w:val="0"/>
        <w:cs w:val="0"/>
      </w:rPr>
    </w:lvl>
    <w:lvl w:ilvl="7" w:tplc="6ECCFC7C">
      <w:start w:val="1"/>
      <w:numFmt w:val="decimal"/>
      <w:lvlText w:val="%8."/>
      <w:lvlJc w:val="left"/>
      <w:pPr>
        <w:tabs>
          <w:tab w:val="num" w:pos="5760"/>
        </w:tabs>
        <w:ind w:left="5760" w:hanging="360"/>
      </w:pPr>
      <w:rPr>
        <w:rFonts w:cs="Times New Roman"/>
        <w:rtl w:val="0"/>
        <w:cs w:val="0"/>
      </w:rPr>
    </w:lvl>
    <w:lvl w:ilvl="8" w:tplc="CB506C36">
      <w:start w:val="1"/>
      <w:numFmt w:val="decimal"/>
      <w:lvlText w:val="%9."/>
      <w:lvlJc w:val="left"/>
      <w:pPr>
        <w:tabs>
          <w:tab w:val="num" w:pos="6480"/>
        </w:tabs>
        <w:ind w:left="6480" w:hanging="360"/>
      </w:pPr>
      <w:rPr>
        <w:rFonts w:cs="Times New Roman"/>
        <w:rtl w:val="0"/>
        <w:cs w:val="0"/>
      </w:rPr>
    </w:lvl>
  </w:abstractNum>
  <w:num w:numId="1">
    <w:abstractNumId w:val="1"/>
  </w:num>
  <w:num w:numId="2">
    <w:abstractNumId w:val="0"/>
  </w:num>
  <w:num w:numId="3">
    <w:abstractNumId w:val="5"/>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2"/>
    <w:compatSetting w:name="useWord2013TrackBottomHyphenation" w:uri="http://schemas.microsoft.com/office/word" w:val="1"/>
  </w:compat>
  <w:rsids>
    <w:rsidRoot w:val="00195C3C"/>
    <w:rsid w:val="00007346"/>
    <w:rsid w:val="00014ED6"/>
    <w:rsid w:val="00050159"/>
    <w:rsid w:val="00072B24"/>
    <w:rsid w:val="00081DD5"/>
    <w:rsid w:val="00097D9D"/>
    <w:rsid w:val="000B3E0C"/>
    <w:rsid w:val="000D7795"/>
    <w:rsid w:val="000E126D"/>
    <w:rsid w:val="000E1BE3"/>
    <w:rsid w:val="000F5062"/>
    <w:rsid w:val="00141D1D"/>
    <w:rsid w:val="00147003"/>
    <w:rsid w:val="00161291"/>
    <w:rsid w:val="00174D48"/>
    <w:rsid w:val="00177F33"/>
    <w:rsid w:val="00183AFA"/>
    <w:rsid w:val="00195C3C"/>
    <w:rsid w:val="001B1D0D"/>
    <w:rsid w:val="001B6737"/>
    <w:rsid w:val="001B7FEC"/>
    <w:rsid w:val="001C167E"/>
    <w:rsid w:val="001D2D9F"/>
    <w:rsid w:val="001D68BF"/>
    <w:rsid w:val="001D6B23"/>
    <w:rsid w:val="001E1570"/>
    <w:rsid w:val="001E1F77"/>
    <w:rsid w:val="001E20C0"/>
    <w:rsid w:val="001F3091"/>
    <w:rsid w:val="001F5CF4"/>
    <w:rsid w:val="00213144"/>
    <w:rsid w:val="0023751B"/>
    <w:rsid w:val="00244912"/>
    <w:rsid w:val="00244D16"/>
    <w:rsid w:val="00251550"/>
    <w:rsid w:val="002708BA"/>
    <w:rsid w:val="00296758"/>
    <w:rsid w:val="002B1EC2"/>
    <w:rsid w:val="002B6F82"/>
    <w:rsid w:val="002F2CEC"/>
    <w:rsid w:val="002F7A9D"/>
    <w:rsid w:val="0030411D"/>
    <w:rsid w:val="00315F76"/>
    <w:rsid w:val="00316C3B"/>
    <w:rsid w:val="003234A8"/>
    <w:rsid w:val="0033168E"/>
    <w:rsid w:val="003418FE"/>
    <w:rsid w:val="0035486F"/>
    <w:rsid w:val="00377EAC"/>
    <w:rsid w:val="00382101"/>
    <w:rsid w:val="00384972"/>
    <w:rsid w:val="00386598"/>
    <w:rsid w:val="003B1263"/>
    <w:rsid w:val="003B1663"/>
    <w:rsid w:val="003F5985"/>
    <w:rsid w:val="003F5E2C"/>
    <w:rsid w:val="00402495"/>
    <w:rsid w:val="00407BFC"/>
    <w:rsid w:val="00451E12"/>
    <w:rsid w:val="00452013"/>
    <w:rsid w:val="004524CB"/>
    <w:rsid w:val="00492F91"/>
    <w:rsid w:val="00494166"/>
    <w:rsid w:val="004B4897"/>
    <w:rsid w:val="004C16D2"/>
    <w:rsid w:val="004F3431"/>
    <w:rsid w:val="005044C5"/>
    <w:rsid w:val="0050700B"/>
    <w:rsid w:val="00544D26"/>
    <w:rsid w:val="00560F42"/>
    <w:rsid w:val="005A189A"/>
    <w:rsid w:val="005A20EF"/>
    <w:rsid w:val="005D2607"/>
    <w:rsid w:val="005E54A0"/>
    <w:rsid w:val="00601431"/>
    <w:rsid w:val="00632F87"/>
    <w:rsid w:val="00637C74"/>
    <w:rsid w:val="006E7BDA"/>
    <w:rsid w:val="007066A3"/>
    <w:rsid w:val="00710E27"/>
    <w:rsid w:val="00711853"/>
    <w:rsid w:val="00717A7E"/>
    <w:rsid w:val="007370C7"/>
    <w:rsid w:val="00761784"/>
    <w:rsid w:val="00780E14"/>
    <w:rsid w:val="007819BF"/>
    <w:rsid w:val="007827C1"/>
    <w:rsid w:val="007B019B"/>
    <w:rsid w:val="007D4AE6"/>
    <w:rsid w:val="007E43A7"/>
    <w:rsid w:val="007E4CAC"/>
    <w:rsid w:val="00801267"/>
    <w:rsid w:val="008321A4"/>
    <w:rsid w:val="008447AD"/>
    <w:rsid w:val="008A1E82"/>
    <w:rsid w:val="008E097B"/>
    <w:rsid w:val="009005AE"/>
    <w:rsid w:val="00906EE3"/>
    <w:rsid w:val="009303B3"/>
    <w:rsid w:val="00934CF9"/>
    <w:rsid w:val="009445FD"/>
    <w:rsid w:val="0095221D"/>
    <w:rsid w:val="009526CF"/>
    <w:rsid w:val="009874E5"/>
    <w:rsid w:val="009A35DB"/>
    <w:rsid w:val="009B4837"/>
    <w:rsid w:val="009B7793"/>
    <w:rsid w:val="009E4666"/>
    <w:rsid w:val="00A1133B"/>
    <w:rsid w:val="00A20E8D"/>
    <w:rsid w:val="00A30C39"/>
    <w:rsid w:val="00A31E3F"/>
    <w:rsid w:val="00AB063D"/>
    <w:rsid w:val="00AD3DDF"/>
    <w:rsid w:val="00AE645A"/>
    <w:rsid w:val="00AE655B"/>
    <w:rsid w:val="00AE7640"/>
    <w:rsid w:val="00B12C46"/>
    <w:rsid w:val="00B24E2E"/>
    <w:rsid w:val="00B31CF4"/>
    <w:rsid w:val="00B3281A"/>
    <w:rsid w:val="00B331F8"/>
    <w:rsid w:val="00B45510"/>
    <w:rsid w:val="00B45834"/>
    <w:rsid w:val="00B530FE"/>
    <w:rsid w:val="00B53C4C"/>
    <w:rsid w:val="00B566F8"/>
    <w:rsid w:val="00B709FB"/>
    <w:rsid w:val="00B80A26"/>
    <w:rsid w:val="00B86A75"/>
    <w:rsid w:val="00B918C6"/>
    <w:rsid w:val="00B95024"/>
    <w:rsid w:val="00BA0DE1"/>
    <w:rsid w:val="00BB5497"/>
    <w:rsid w:val="00BC3BDF"/>
    <w:rsid w:val="00C00742"/>
    <w:rsid w:val="00C456E0"/>
    <w:rsid w:val="00C53849"/>
    <w:rsid w:val="00C72868"/>
    <w:rsid w:val="00C900AE"/>
    <w:rsid w:val="00CA1BFD"/>
    <w:rsid w:val="00CB28CE"/>
    <w:rsid w:val="00CD578F"/>
    <w:rsid w:val="00D21E1F"/>
    <w:rsid w:val="00D37C1B"/>
    <w:rsid w:val="00D42644"/>
    <w:rsid w:val="00D50934"/>
    <w:rsid w:val="00D54F12"/>
    <w:rsid w:val="00D74EE2"/>
    <w:rsid w:val="00D879D1"/>
    <w:rsid w:val="00DA2B76"/>
    <w:rsid w:val="00DA2BF8"/>
    <w:rsid w:val="00E0274C"/>
    <w:rsid w:val="00E02B7F"/>
    <w:rsid w:val="00E1510A"/>
    <w:rsid w:val="00E20247"/>
    <w:rsid w:val="00E2296C"/>
    <w:rsid w:val="00E7037B"/>
    <w:rsid w:val="00E72730"/>
    <w:rsid w:val="00E931E5"/>
    <w:rsid w:val="00E93632"/>
    <w:rsid w:val="00E93CA7"/>
    <w:rsid w:val="00E97946"/>
    <w:rsid w:val="00EA0BB2"/>
    <w:rsid w:val="00EB1B2C"/>
    <w:rsid w:val="00EB36D2"/>
    <w:rsid w:val="00EC3C21"/>
    <w:rsid w:val="00EC7F35"/>
    <w:rsid w:val="00ED1F9E"/>
    <w:rsid w:val="00ED5A12"/>
    <w:rsid w:val="00F12022"/>
    <w:rsid w:val="00F21F8C"/>
    <w:rsid w:val="00F242A8"/>
    <w:rsid w:val="00F701FC"/>
    <w:rsid w:val="00FB083E"/>
    <w:rsid w:val="00FB29FB"/>
    <w:rsid w:val="00FC14AE"/>
    <w:rsid w:val="00FC7C43"/>
    <w:rsid w:val="00FD0B43"/>
    <w:rsid w:val="00FE0F18"/>
    <w:rsid w:val="00FE291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E06914E-A358-4003-8103-9B32B0BF2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y">
    <w:name w:val="Normal"/>
    <w:qFormat/>
    <w:rsid w:val="00097D9D"/>
    <w:rPr>
      <w:sz w:val="24"/>
      <w:szCs w:val="24"/>
      <w:lang w:val="sk-SK"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apple-style-span">
    <w:name w:val="apple-style-span"/>
    <w:basedOn w:val="Predvolenpsmoodseku"/>
    <w:uiPriority w:val="99"/>
    <w:rsid w:val="00195C3C"/>
    <w:rPr>
      <w:rFonts w:cs="Times New Roman"/>
      <w:rtl w:val="0"/>
      <w:cs w:val="0"/>
    </w:rPr>
  </w:style>
  <w:style w:type="character" w:customStyle="1" w:styleId="NzovChar7">
    <w:name w:val="Názov Char7"/>
    <w:basedOn w:val="Predvolenpsmoodseku"/>
    <w:uiPriority w:val="10"/>
    <w:rsid w:val="00492F91"/>
    <w:rPr>
      <w:rFonts w:ascii="Cambria" w:hAnsi="Cambria" w:cs="Times New Roman"/>
      <w:b/>
      <w:bCs/>
      <w:kern w:val="28"/>
      <w:sz w:val="32"/>
      <w:szCs w:val="32"/>
      <w:rtl w:val="0"/>
      <w:cs w:val="0"/>
    </w:rPr>
  </w:style>
  <w:style w:type="paragraph" w:styleId="Nzov">
    <w:name w:val="Title"/>
    <w:basedOn w:val="Normlny"/>
    <w:link w:val="NzovChar"/>
    <w:uiPriority w:val="99"/>
    <w:qFormat/>
    <w:rsid w:val="00FC14AE"/>
    <w:pPr>
      <w:jc w:val="center"/>
    </w:pPr>
    <w:rPr>
      <w:rFonts w:ascii="Arial Narrow" w:hAnsi="Arial Narrow" w:cs="Arial Narrow"/>
      <w:b/>
      <w:bCs/>
      <w:u w:val="single"/>
      <w:lang w:eastAsia="cs-CZ"/>
    </w:rPr>
  </w:style>
  <w:style w:type="character" w:customStyle="1" w:styleId="NzovChar">
    <w:name w:val="Názov Char"/>
    <w:basedOn w:val="Predvolenpsmoodseku"/>
    <w:link w:val="Nzov"/>
    <w:uiPriority w:val="10"/>
    <w:locked/>
    <w:rsid w:val="00492F91"/>
    <w:rPr>
      <w:rFonts w:ascii="Cambria" w:hAnsi="Cambria" w:cs="Times New Roman"/>
      <w:b/>
      <w:bCs/>
      <w:kern w:val="28"/>
      <w:sz w:val="32"/>
      <w:szCs w:val="32"/>
      <w:rtl w:val="0"/>
      <w:cs w:val="0"/>
    </w:rPr>
  </w:style>
  <w:style w:type="character" w:customStyle="1" w:styleId="NzovChar6">
    <w:name w:val="Názov Char6"/>
    <w:basedOn w:val="Predvolenpsmoodseku"/>
    <w:uiPriority w:val="10"/>
    <w:rsid w:val="00492F91"/>
    <w:rPr>
      <w:rFonts w:ascii="Cambria" w:hAnsi="Cambria" w:cs="Times New Roman"/>
      <w:b/>
      <w:bCs/>
      <w:kern w:val="28"/>
      <w:sz w:val="32"/>
      <w:szCs w:val="32"/>
      <w:rtl w:val="0"/>
      <w:cs w:val="0"/>
    </w:rPr>
  </w:style>
  <w:style w:type="character" w:customStyle="1" w:styleId="NzovChar5">
    <w:name w:val="Názov Char5"/>
    <w:basedOn w:val="Predvolenpsmoodseku"/>
    <w:uiPriority w:val="10"/>
    <w:rsid w:val="00492F91"/>
    <w:rPr>
      <w:rFonts w:ascii="Cambria" w:hAnsi="Cambria" w:cs="Times New Roman"/>
      <w:b/>
      <w:bCs/>
      <w:kern w:val="28"/>
      <w:sz w:val="32"/>
      <w:szCs w:val="32"/>
      <w:rtl w:val="0"/>
      <w:cs w:val="0"/>
    </w:rPr>
  </w:style>
  <w:style w:type="character" w:customStyle="1" w:styleId="NzovChar4">
    <w:name w:val="Názov Char4"/>
    <w:basedOn w:val="Predvolenpsmoodseku"/>
    <w:uiPriority w:val="10"/>
    <w:rsid w:val="00492F91"/>
    <w:rPr>
      <w:rFonts w:ascii="Cambria" w:hAnsi="Cambria" w:cs="Times New Roman"/>
      <w:b/>
      <w:bCs/>
      <w:kern w:val="28"/>
      <w:sz w:val="32"/>
      <w:szCs w:val="32"/>
      <w:rtl w:val="0"/>
      <w:cs w:val="0"/>
    </w:rPr>
  </w:style>
  <w:style w:type="character" w:customStyle="1" w:styleId="NzovChar3">
    <w:name w:val="Názov Char3"/>
    <w:basedOn w:val="Predvolenpsmoodseku"/>
    <w:uiPriority w:val="10"/>
    <w:rsid w:val="00492F91"/>
    <w:rPr>
      <w:rFonts w:ascii="Cambria" w:hAnsi="Cambria" w:cs="Times New Roman"/>
      <w:b/>
      <w:bCs/>
      <w:kern w:val="28"/>
      <w:sz w:val="32"/>
      <w:szCs w:val="32"/>
      <w:rtl w:val="0"/>
      <w:cs w:val="0"/>
    </w:rPr>
  </w:style>
  <w:style w:type="character" w:customStyle="1" w:styleId="NzovChar2">
    <w:name w:val="Názov Char2"/>
    <w:basedOn w:val="Predvolenpsmoodseku"/>
    <w:uiPriority w:val="10"/>
    <w:rsid w:val="00492F91"/>
    <w:rPr>
      <w:rFonts w:ascii="Cambria" w:hAnsi="Cambria" w:cs="Times New Roman"/>
      <w:b/>
      <w:bCs/>
      <w:kern w:val="28"/>
      <w:sz w:val="32"/>
      <w:szCs w:val="32"/>
      <w:rtl w:val="0"/>
      <w:cs w:val="0"/>
    </w:rPr>
  </w:style>
  <w:style w:type="paragraph" w:styleId="Zkladntext2">
    <w:name w:val="Body Text 2"/>
    <w:basedOn w:val="Normlny"/>
    <w:link w:val="Zkladntext2Char"/>
    <w:uiPriority w:val="99"/>
    <w:rsid w:val="00632F87"/>
    <w:pPr>
      <w:jc w:val="center"/>
    </w:pPr>
    <w:rPr>
      <w:lang w:eastAsia="cs-CZ"/>
    </w:rPr>
  </w:style>
  <w:style w:type="character" w:customStyle="1" w:styleId="Zkladntext2Char">
    <w:name w:val="Základný text 2 Char"/>
    <w:basedOn w:val="Predvolenpsmoodseku"/>
    <w:link w:val="Zkladntext2"/>
    <w:uiPriority w:val="99"/>
    <w:semiHidden/>
    <w:locked/>
    <w:rsid w:val="00492F91"/>
    <w:rPr>
      <w:rFonts w:cs="Times New Roman"/>
      <w:sz w:val="24"/>
      <w:szCs w:val="24"/>
      <w:rtl w:val="0"/>
      <w:cs w:val="0"/>
    </w:rPr>
  </w:style>
  <w:style w:type="paragraph" w:styleId="Normlnywebov">
    <w:name w:val="Normal (Web)"/>
    <w:basedOn w:val="Normlny"/>
    <w:uiPriority w:val="99"/>
    <w:rsid w:val="001F3091"/>
    <w:pPr>
      <w:spacing w:before="100" w:beforeAutospacing="1" w:after="100" w:afterAutospacing="1"/>
    </w:pPr>
  </w:style>
  <w:style w:type="paragraph" w:customStyle="1" w:styleId="listparagraph">
    <w:name w:val="listparagraph"/>
    <w:basedOn w:val="Normlny"/>
    <w:uiPriority w:val="99"/>
    <w:rsid w:val="001F3091"/>
    <w:pPr>
      <w:ind w:left="720"/>
    </w:pPr>
  </w:style>
  <w:style w:type="paragraph" w:styleId="Zkladntext">
    <w:name w:val="Body Text"/>
    <w:basedOn w:val="Normlny"/>
    <w:link w:val="ZkladntextChar"/>
    <w:uiPriority w:val="99"/>
    <w:semiHidden/>
    <w:unhideWhenUsed/>
    <w:rsid w:val="000F5062"/>
    <w:pPr>
      <w:spacing w:after="120"/>
    </w:pPr>
  </w:style>
  <w:style w:type="character" w:customStyle="1" w:styleId="ZkladntextChar">
    <w:name w:val="Základný text Char"/>
    <w:basedOn w:val="Predvolenpsmoodseku"/>
    <w:link w:val="Zkladntext"/>
    <w:uiPriority w:val="99"/>
    <w:semiHidden/>
    <w:rsid w:val="000F5062"/>
    <w:rPr>
      <w:sz w:val="24"/>
      <w:szCs w:val="24"/>
      <w:lang w:val="sk-SK" w:eastAsia="sk-SK"/>
    </w:rPr>
  </w:style>
  <w:style w:type="paragraph" w:styleId="Textbubliny">
    <w:name w:val="Balloon Text"/>
    <w:basedOn w:val="Normlny"/>
    <w:link w:val="TextbublinyChar"/>
    <w:uiPriority w:val="99"/>
    <w:semiHidden/>
    <w:unhideWhenUsed/>
    <w:rsid w:val="00DA2B76"/>
    <w:rPr>
      <w:rFonts w:ascii="Tahoma" w:hAnsi="Tahoma" w:cs="Tahoma"/>
      <w:sz w:val="16"/>
      <w:szCs w:val="16"/>
    </w:rPr>
  </w:style>
  <w:style w:type="character" w:customStyle="1" w:styleId="TextbublinyChar">
    <w:name w:val="Text bubliny Char"/>
    <w:basedOn w:val="Predvolenpsmoodseku"/>
    <w:link w:val="Textbubliny"/>
    <w:uiPriority w:val="99"/>
    <w:semiHidden/>
    <w:rsid w:val="00DA2B76"/>
    <w:rPr>
      <w:rFonts w:ascii="Tahoma" w:hAnsi="Tahoma" w:cs="Tahoma"/>
      <w:sz w:val="16"/>
      <w:szCs w:val="16"/>
      <w:lang w:val="sk-SK" w:eastAsia="sk-SK"/>
    </w:rPr>
  </w:style>
  <w:style w:type="character" w:styleId="Hypertextovprepojenie">
    <w:name w:val="Hyperlink"/>
    <w:basedOn w:val="Predvolenpsmoodseku"/>
    <w:uiPriority w:val="99"/>
    <w:unhideWhenUsed/>
    <w:rsid w:val="00DA2B76"/>
    <w:rPr>
      <w:color w:val="0563C1" w:themeColor="hyperlink"/>
      <w:u w:val="single"/>
    </w:rPr>
  </w:style>
  <w:style w:type="paragraph" w:styleId="Odsekzoznamu">
    <w:name w:val="List Paragraph"/>
    <w:basedOn w:val="Normlny"/>
    <w:uiPriority w:val="34"/>
    <w:qFormat/>
    <w:rsid w:val="007E4C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026146">
      <w:bodyDiv w:val="1"/>
      <w:marLeft w:val="0"/>
      <w:marRight w:val="0"/>
      <w:marTop w:val="0"/>
      <w:marBottom w:val="0"/>
      <w:divBdr>
        <w:top w:val="none" w:sz="0" w:space="0" w:color="auto"/>
        <w:left w:val="none" w:sz="0" w:space="0" w:color="auto"/>
        <w:bottom w:val="none" w:sz="0" w:space="0" w:color="auto"/>
        <w:right w:val="none" w:sz="0" w:space="0" w:color="auto"/>
      </w:divBdr>
      <w:divsChild>
        <w:div w:id="2094810394">
          <w:marLeft w:val="0"/>
          <w:marRight w:val="0"/>
          <w:marTop w:val="0"/>
          <w:marBottom w:val="0"/>
          <w:divBdr>
            <w:top w:val="none" w:sz="0" w:space="0" w:color="auto"/>
            <w:left w:val="none" w:sz="0" w:space="0" w:color="auto"/>
            <w:bottom w:val="none" w:sz="0" w:space="0" w:color="auto"/>
            <w:right w:val="none" w:sz="0" w:space="0" w:color="auto"/>
          </w:divBdr>
        </w:div>
        <w:div w:id="73819895">
          <w:marLeft w:val="0"/>
          <w:marRight w:val="0"/>
          <w:marTop w:val="0"/>
          <w:marBottom w:val="0"/>
          <w:divBdr>
            <w:top w:val="none" w:sz="0" w:space="0" w:color="auto"/>
            <w:left w:val="none" w:sz="0" w:space="0" w:color="auto"/>
            <w:bottom w:val="none" w:sz="0" w:space="0" w:color="auto"/>
            <w:right w:val="none" w:sz="0" w:space="0" w:color="auto"/>
          </w:divBdr>
        </w:div>
        <w:div w:id="1206019092">
          <w:marLeft w:val="0"/>
          <w:marRight w:val="0"/>
          <w:marTop w:val="0"/>
          <w:marBottom w:val="0"/>
          <w:divBdr>
            <w:top w:val="none" w:sz="0" w:space="0" w:color="auto"/>
            <w:left w:val="none" w:sz="0" w:space="0" w:color="auto"/>
            <w:bottom w:val="none" w:sz="0" w:space="0" w:color="auto"/>
            <w:right w:val="none" w:sz="0" w:space="0" w:color="auto"/>
          </w:divBdr>
        </w:div>
        <w:div w:id="6442772">
          <w:marLeft w:val="0"/>
          <w:marRight w:val="0"/>
          <w:marTop w:val="0"/>
          <w:marBottom w:val="0"/>
          <w:divBdr>
            <w:top w:val="none" w:sz="0" w:space="0" w:color="auto"/>
            <w:left w:val="none" w:sz="0" w:space="0" w:color="auto"/>
            <w:bottom w:val="none" w:sz="0" w:space="0" w:color="auto"/>
            <w:right w:val="none" w:sz="0" w:space="0" w:color="auto"/>
          </w:divBdr>
        </w:div>
        <w:div w:id="1094670348">
          <w:marLeft w:val="0"/>
          <w:marRight w:val="0"/>
          <w:marTop w:val="0"/>
          <w:marBottom w:val="0"/>
          <w:divBdr>
            <w:top w:val="none" w:sz="0" w:space="0" w:color="auto"/>
            <w:left w:val="none" w:sz="0" w:space="0" w:color="auto"/>
            <w:bottom w:val="none" w:sz="0" w:space="0" w:color="auto"/>
            <w:right w:val="none" w:sz="0" w:space="0" w:color="auto"/>
          </w:divBdr>
        </w:div>
        <w:div w:id="200292648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bs.sk/_img/Documents/_komentare/AnalytickeKomentare/2019/AK64_Zaobideme_za_bez_1-a-2-centovych_minci.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opa.eu/cultural-heritage/news/eurobarometer-2018-results-have-been-published_en"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1533</Words>
  <Characters>8741</Characters>
  <Application>Microsoft Office Word</Application>
  <DocSecurity>0</DocSecurity>
  <Lines>72</Lines>
  <Paragraphs>20</Paragraphs>
  <ScaleCrop>false</ScaleCrop>
  <HeadingPairs>
    <vt:vector size="2" baseType="variant">
      <vt:variant>
        <vt:lpstr>Názov</vt:lpstr>
      </vt:variant>
      <vt:variant>
        <vt:i4>1</vt:i4>
      </vt:variant>
    </vt:vector>
  </HeadingPairs>
  <TitlesOfParts>
    <vt:vector size="1" baseType="lpstr">
      <vt:lpstr>V § 30 odseky 1 a 2 znejú:</vt:lpstr>
    </vt:vector>
  </TitlesOfParts>
  <Company>Konzervatívny inštitút M. R. Štefánika</Company>
  <LinksUpToDate>false</LinksUpToDate>
  <CharactersWithSpaces>10254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 30 odseky 1 a 2 znejú:</dc:title>
  <dc:creator>Ondrej Dostál</dc:creator>
  <cp:lastModifiedBy>Veronika Pitoňáková</cp:lastModifiedBy>
  <cp:revision>2</cp:revision>
  <cp:lastPrinted>2010-08-16T14:49:00Z</cp:lastPrinted>
  <dcterms:created xsi:type="dcterms:W3CDTF">2019-09-27T13:45:00Z</dcterms:created>
  <dcterms:modified xsi:type="dcterms:W3CDTF">2019-09-27T13:45:00Z</dcterms:modified>
</cp:coreProperties>
</file>