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87" w:rsidRPr="009C0176" w:rsidRDefault="008A7787">
      <w:pPr>
        <w:spacing w:before="120" w:line="276" w:lineRule="auto"/>
        <w:jc w:val="center"/>
        <w:rPr>
          <w:rFonts w:ascii="Book Antiqua" w:hAnsi="Book Antiqua"/>
          <w:sz w:val="22"/>
          <w:szCs w:val="22"/>
        </w:rPr>
      </w:pPr>
      <w:bookmarkStart w:id="0" w:name="_GoBack"/>
      <w:bookmarkEnd w:id="0"/>
      <w:r w:rsidRPr="009C0176">
        <w:rPr>
          <w:rFonts w:ascii="Book Antiqua" w:hAnsi="Book Antiqua"/>
          <w:b/>
          <w:sz w:val="22"/>
          <w:szCs w:val="22"/>
        </w:rPr>
        <w:t>DÔVODOVÁ SPRÁVA</w:t>
      </w:r>
    </w:p>
    <w:p w:rsidR="008A7787" w:rsidRPr="009C0176" w:rsidRDefault="008A7787" w:rsidP="00E16397">
      <w:pPr>
        <w:keepNext/>
        <w:tabs>
          <w:tab w:val="left" w:pos="432"/>
          <w:tab w:val="left" w:pos="864"/>
        </w:tabs>
        <w:spacing w:line="276" w:lineRule="auto"/>
        <w:rPr>
          <w:rFonts w:ascii="Book Antiqua" w:hAnsi="Book Antiqua"/>
          <w:sz w:val="22"/>
          <w:szCs w:val="22"/>
        </w:rPr>
      </w:pPr>
    </w:p>
    <w:p w:rsidR="008A7787" w:rsidRPr="009C0176" w:rsidRDefault="008A7787" w:rsidP="00E16397">
      <w:pPr>
        <w:keepNext/>
        <w:tabs>
          <w:tab w:val="left" w:pos="432"/>
          <w:tab w:val="left" w:pos="864"/>
        </w:tabs>
        <w:spacing w:line="276" w:lineRule="auto"/>
        <w:rPr>
          <w:rFonts w:ascii="Book Antiqua" w:hAnsi="Book Antiqua"/>
          <w:sz w:val="22"/>
          <w:szCs w:val="22"/>
        </w:rPr>
      </w:pPr>
      <w:r w:rsidRPr="009C0176">
        <w:rPr>
          <w:rFonts w:ascii="Book Antiqua" w:hAnsi="Book Antiqua"/>
          <w:b/>
          <w:sz w:val="22"/>
          <w:szCs w:val="22"/>
        </w:rPr>
        <w:t>A. Všeobecná časť</w:t>
      </w:r>
    </w:p>
    <w:p w:rsidR="00176788" w:rsidRPr="009C0176" w:rsidRDefault="00176788" w:rsidP="00176788">
      <w:pPr>
        <w:spacing w:before="120" w:line="276" w:lineRule="auto"/>
        <w:ind w:firstLine="708"/>
        <w:jc w:val="both"/>
        <w:rPr>
          <w:rFonts w:ascii="Book Antiqua" w:hAnsi="Book Antiqua"/>
          <w:sz w:val="22"/>
          <w:szCs w:val="22"/>
        </w:rPr>
      </w:pPr>
      <w:r w:rsidRPr="009C0176">
        <w:rPr>
          <w:rFonts w:ascii="Book Antiqua" w:hAnsi="Book Antiqua"/>
          <w:sz w:val="22"/>
          <w:szCs w:val="22"/>
        </w:rPr>
        <w:t xml:space="preserve">Návrh zákona, </w:t>
      </w:r>
      <w:r w:rsidRPr="007C64EF">
        <w:rPr>
          <w:rFonts w:ascii="Book Antiqua" w:hAnsi="Book Antiqua"/>
          <w:sz w:val="22"/>
          <w:szCs w:val="22"/>
        </w:rPr>
        <w:t xml:space="preserve">ktorým sa mení a dopĺňa zákon Národnej rady Slovenskej republiky </w:t>
      </w:r>
      <w:r>
        <w:rPr>
          <w:rFonts w:ascii="Book Antiqua" w:hAnsi="Book Antiqua"/>
          <w:sz w:val="22"/>
          <w:szCs w:val="22"/>
        </w:rPr>
        <w:t xml:space="preserve">  </w:t>
      </w:r>
      <w:r w:rsidRPr="007C64EF">
        <w:rPr>
          <w:rFonts w:ascii="Book Antiqua" w:hAnsi="Book Antiqua"/>
          <w:sz w:val="22"/>
          <w:szCs w:val="22"/>
        </w:rPr>
        <w:t>č. 120/1993 Z. z. o platových pomeroch niektorých ústavných činiteľov v znení neskorších predpisov</w:t>
      </w:r>
      <w:r w:rsidRPr="00B604AD">
        <w:rPr>
          <w:rFonts w:ascii="Book Antiqua" w:hAnsi="Book Antiqua"/>
          <w:sz w:val="22"/>
          <w:szCs w:val="22"/>
        </w:rPr>
        <w:t xml:space="preserve"> (ďalej len „návrh záko</w:t>
      </w:r>
      <w:r>
        <w:rPr>
          <w:rFonts w:ascii="Book Antiqua" w:hAnsi="Book Antiqua"/>
          <w:sz w:val="22"/>
          <w:szCs w:val="22"/>
        </w:rPr>
        <w:t>na“) predkladá skupina poslancov</w:t>
      </w:r>
      <w:r w:rsidRPr="00B604AD">
        <w:rPr>
          <w:rFonts w:ascii="Book Antiqua" w:hAnsi="Book Antiqua"/>
          <w:sz w:val="22"/>
          <w:szCs w:val="22"/>
        </w:rPr>
        <w:t xml:space="preserve"> Národnej rady Slovenskej republiky</w:t>
      </w:r>
      <w:r>
        <w:rPr>
          <w:rFonts w:ascii="Book Antiqua" w:hAnsi="Book Antiqua"/>
          <w:sz w:val="22"/>
          <w:szCs w:val="22"/>
        </w:rPr>
        <w:t>.</w:t>
      </w:r>
    </w:p>
    <w:p w:rsidR="00176788" w:rsidRPr="009C0176" w:rsidRDefault="00176788" w:rsidP="00176788">
      <w:pPr>
        <w:spacing w:before="120" w:line="276" w:lineRule="auto"/>
        <w:ind w:firstLine="708"/>
        <w:jc w:val="both"/>
        <w:rPr>
          <w:rFonts w:ascii="Book Antiqua" w:hAnsi="Book Antiqua"/>
          <w:sz w:val="22"/>
          <w:szCs w:val="22"/>
        </w:rPr>
      </w:pPr>
      <w:r w:rsidRPr="009C0176">
        <w:rPr>
          <w:rFonts w:ascii="Book Antiqua" w:hAnsi="Book Antiqua"/>
          <w:b/>
          <w:sz w:val="22"/>
          <w:szCs w:val="22"/>
        </w:rPr>
        <w:t xml:space="preserve">Cieľom návrhu zákona je </w:t>
      </w:r>
      <w:r>
        <w:rPr>
          <w:rFonts w:ascii="Book Antiqua" w:hAnsi="Book Antiqua"/>
          <w:b/>
          <w:sz w:val="22"/>
          <w:szCs w:val="22"/>
        </w:rPr>
        <w:t xml:space="preserve">zrušenie nároku poslancov Národnej rady Slovenskej republiky na plat po zániku ich poslaneckého mandátu.   </w:t>
      </w:r>
    </w:p>
    <w:p w:rsidR="00176788" w:rsidRDefault="00176788" w:rsidP="00176788">
      <w:pPr>
        <w:spacing w:before="120" w:line="276" w:lineRule="auto"/>
        <w:ind w:firstLine="708"/>
        <w:jc w:val="both"/>
        <w:rPr>
          <w:rFonts w:ascii="Book Antiqua" w:hAnsi="Book Antiqua"/>
          <w:sz w:val="22"/>
          <w:szCs w:val="22"/>
        </w:rPr>
      </w:pPr>
      <w:r>
        <w:rPr>
          <w:rFonts w:ascii="Book Antiqua" w:hAnsi="Book Antiqua"/>
          <w:sz w:val="22"/>
          <w:szCs w:val="22"/>
        </w:rPr>
        <w:t xml:space="preserve">Podľa platného znenia zákona </w:t>
      </w:r>
      <w:r w:rsidRPr="007C64EF">
        <w:rPr>
          <w:rFonts w:ascii="Book Antiqua" w:hAnsi="Book Antiqua"/>
          <w:sz w:val="22"/>
          <w:szCs w:val="22"/>
        </w:rPr>
        <w:t>Národnej rady Slovenskej republiky č. 120/1993 Z. z. o platových pomeroch niektorých ústavných činiteľov v znení neskorších predpisov</w:t>
      </w:r>
      <w:r>
        <w:rPr>
          <w:rFonts w:ascii="Book Antiqua" w:hAnsi="Book Antiqua"/>
          <w:sz w:val="22"/>
          <w:szCs w:val="22"/>
        </w:rPr>
        <w:t xml:space="preserve"> patrí poslancovi Národnej rady Slovenskej republiky (ďalej len „poslanec“) po zániku poslaneckého mandátu plat ešte počas dvoch mesiacov, </w:t>
      </w:r>
      <w:r w:rsidRPr="007C64EF">
        <w:rPr>
          <w:rFonts w:ascii="Book Antiqua" w:hAnsi="Book Antiqua"/>
          <w:sz w:val="22"/>
          <w:szCs w:val="22"/>
        </w:rPr>
        <w:t xml:space="preserve">ak vykonával mandát poslanca najmenej päť mesiacov a menej ako päť rokov, alebo </w:t>
      </w:r>
      <w:r>
        <w:rPr>
          <w:rFonts w:ascii="Book Antiqua" w:hAnsi="Book Antiqua"/>
          <w:sz w:val="22"/>
          <w:szCs w:val="22"/>
        </w:rPr>
        <w:t xml:space="preserve">počas </w:t>
      </w:r>
      <w:r w:rsidRPr="007C64EF">
        <w:rPr>
          <w:rFonts w:ascii="Book Antiqua" w:hAnsi="Book Antiqua"/>
          <w:sz w:val="22"/>
          <w:szCs w:val="22"/>
        </w:rPr>
        <w:t>troch mesiacov, ak vykonával mandát poslanca aspoň päť rokov</w:t>
      </w:r>
      <w:r>
        <w:rPr>
          <w:rFonts w:ascii="Book Antiqua" w:hAnsi="Book Antiqua"/>
          <w:sz w:val="22"/>
          <w:szCs w:val="22"/>
        </w:rPr>
        <w:t>.</w:t>
      </w:r>
    </w:p>
    <w:p w:rsidR="00176788" w:rsidRDefault="00176788" w:rsidP="00176788">
      <w:pPr>
        <w:spacing w:before="120" w:line="276" w:lineRule="auto"/>
        <w:ind w:firstLine="708"/>
        <w:jc w:val="both"/>
        <w:rPr>
          <w:rFonts w:ascii="Book Antiqua" w:hAnsi="Book Antiqua"/>
          <w:sz w:val="22"/>
          <w:szCs w:val="22"/>
        </w:rPr>
      </w:pPr>
      <w:r>
        <w:rPr>
          <w:rFonts w:ascii="Book Antiqua" w:hAnsi="Book Antiqua"/>
          <w:sz w:val="22"/>
          <w:szCs w:val="22"/>
        </w:rPr>
        <w:t xml:space="preserve">Hradenie takýchto finančných nárokov z verejných prostriedkov však nemá opodstatnenie, keďže po zániku poslaneckého mandátu už poslanec funkciu nevykonáva a preto nie je dôvod, aby – aj na rozdiel napr. od svojich asistentov - naďalej poberal plat. Rovnako to platí aj pre náhradníkov zvolených poslancov. </w:t>
      </w:r>
      <w:r w:rsidRPr="006310A9">
        <w:rPr>
          <w:rFonts w:ascii="Book Antiqua" w:hAnsi="Book Antiqua"/>
          <w:sz w:val="22"/>
          <w:szCs w:val="22"/>
        </w:rPr>
        <w:t>P</w:t>
      </w:r>
      <w:r w:rsidRPr="00E41F09">
        <w:rPr>
          <w:rFonts w:ascii="Book Antiqua" w:hAnsi="Book Antiqua"/>
          <w:sz w:val="22"/>
          <w:szCs w:val="22"/>
        </w:rPr>
        <w:t>oslanci Národnej rady Slovenskej republiky</w:t>
      </w:r>
      <w:r w:rsidRPr="006310A9">
        <w:rPr>
          <w:rFonts w:ascii="Book Antiqua" w:hAnsi="Book Antiqua"/>
          <w:sz w:val="22"/>
          <w:szCs w:val="22"/>
        </w:rPr>
        <w:t xml:space="preserve">, rovnako ako </w:t>
      </w:r>
      <w:r w:rsidRPr="00E41F09">
        <w:rPr>
          <w:rFonts w:ascii="Book Antiqua" w:hAnsi="Book Antiqua"/>
          <w:sz w:val="22"/>
          <w:szCs w:val="22"/>
        </w:rPr>
        <w:t>ich náhradníci</w:t>
      </w:r>
      <w:r w:rsidRPr="006310A9">
        <w:rPr>
          <w:rFonts w:ascii="Book Antiqua" w:hAnsi="Book Antiqua"/>
          <w:sz w:val="22"/>
          <w:szCs w:val="22"/>
        </w:rPr>
        <w:t>,</w:t>
      </w:r>
      <w:r w:rsidRPr="00233862">
        <w:rPr>
          <w:rFonts w:ascii="Book Antiqua" w:hAnsi="Book Antiqua"/>
          <w:sz w:val="22"/>
          <w:szCs w:val="22"/>
        </w:rPr>
        <w:t xml:space="preserve"> vedia pr</w:t>
      </w:r>
      <w:r w:rsidRPr="00E41F09">
        <w:rPr>
          <w:rFonts w:ascii="Book Antiqua" w:hAnsi="Book Antiqua"/>
          <w:sz w:val="22"/>
          <w:szCs w:val="22"/>
        </w:rPr>
        <w:t xml:space="preserve">i ujatí sa svojej funkcie vopred, že sú zvolení, resp. že budú vykonávať svoj mandát </w:t>
      </w:r>
      <w:r w:rsidRPr="006310A9">
        <w:rPr>
          <w:rFonts w:ascii="Book Antiqua" w:hAnsi="Book Antiqua"/>
          <w:sz w:val="22"/>
          <w:szCs w:val="22"/>
        </w:rPr>
        <w:t xml:space="preserve">na dobu určitú, t.j. </w:t>
      </w:r>
      <w:r w:rsidRPr="00233862">
        <w:rPr>
          <w:rFonts w:ascii="Book Antiqua" w:hAnsi="Book Antiqua"/>
          <w:sz w:val="22"/>
          <w:szCs w:val="22"/>
        </w:rPr>
        <w:t>najviac na obdobie 4 rokov</w:t>
      </w:r>
      <w:r w:rsidRPr="00E41F09">
        <w:rPr>
          <w:rFonts w:ascii="Book Antiqua" w:hAnsi="Book Antiqua"/>
          <w:sz w:val="22"/>
          <w:szCs w:val="22"/>
        </w:rPr>
        <w:t>, a rovnako ako ich mandát nesmie presiahnuť toto obdobie</w:t>
      </w:r>
      <w:r>
        <w:rPr>
          <w:rFonts w:ascii="Book Antiqua" w:hAnsi="Book Antiqua"/>
          <w:sz w:val="22"/>
          <w:szCs w:val="22"/>
        </w:rPr>
        <w:t xml:space="preserve"> v zmysle čl. 73 ods. 1 Ústavy Slovenskej republiky, nemali by presahovať toto obdobie ani plat, paušálne náhrady a iné požitky, ktoré súvisia s výkonom ich funkcie. Ak si svoj mandát počas 4 rokov vykonávali čestne, poctivo a poriadne, ľudia ich zvolia za poslancov Národnej rady Slovenskej republiky opätovne, s čím budú spojené aj ich platové náležitosti.</w:t>
      </w:r>
    </w:p>
    <w:p w:rsidR="00176788" w:rsidRDefault="00176788" w:rsidP="00176788">
      <w:pPr>
        <w:spacing w:before="120" w:line="276" w:lineRule="auto"/>
        <w:ind w:firstLine="708"/>
        <w:jc w:val="both"/>
        <w:rPr>
          <w:rFonts w:ascii="Book Antiqua" w:hAnsi="Book Antiqua"/>
          <w:sz w:val="22"/>
          <w:szCs w:val="22"/>
        </w:rPr>
      </w:pPr>
      <w:r>
        <w:rPr>
          <w:rFonts w:ascii="Book Antiqua" w:hAnsi="Book Antiqua"/>
          <w:sz w:val="22"/>
          <w:szCs w:val="22"/>
        </w:rPr>
        <w:t>Ak poslanec Národnej rady Slovenskej republiky znovu zvolený nebude a bude mať problé</w:t>
      </w:r>
      <w:r w:rsidR="008622D1">
        <w:rPr>
          <w:rFonts w:ascii="Book Antiqua" w:hAnsi="Book Antiqua"/>
          <w:sz w:val="22"/>
          <w:szCs w:val="22"/>
        </w:rPr>
        <w:t xml:space="preserve">m nájsť si nové zamestnanie, </w:t>
      </w:r>
      <w:r>
        <w:rPr>
          <w:rFonts w:ascii="Book Antiqua" w:hAnsi="Book Antiqua"/>
          <w:sz w:val="22"/>
          <w:szCs w:val="22"/>
        </w:rPr>
        <w:t>môže sa ako každý občan uchádzať o pomoc na úrade práce. Po splnení zákonných podmienok bude exposlancovi po dobu 6 mesiacov vyplácaná podpora v nezamestnanosti vo výške odvodenej od jeho predchádzajúceho nadpriemerného platu poslanca, ktorý bol od januára 2019 zvýšený o vyše 30% (t.j. výška po</w:t>
      </w:r>
      <w:r w:rsidR="00113E7A">
        <w:rPr>
          <w:rFonts w:ascii="Book Antiqua" w:hAnsi="Book Antiqua"/>
          <w:sz w:val="22"/>
          <w:szCs w:val="22"/>
        </w:rPr>
        <w:t>dpory dosahuje</w:t>
      </w:r>
      <w:r>
        <w:rPr>
          <w:rFonts w:ascii="Book Antiqua" w:hAnsi="Book Antiqua"/>
          <w:sz w:val="22"/>
          <w:szCs w:val="22"/>
        </w:rPr>
        <w:t xml:space="preserve"> </w:t>
      </w:r>
      <w:r w:rsidR="00113E7A">
        <w:rPr>
          <w:rFonts w:ascii="Book Antiqua" w:hAnsi="Book Antiqua"/>
          <w:sz w:val="22"/>
          <w:szCs w:val="22"/>
        </w:rPr>
        <w:t xml:space="preserve">takmer </w:t>
      </w:r>
      <w:r>
        <w:rPr>
          <w:rFonts w:ascii="Book Antiqua" w:hAnsi="Book Antiqua"/>
          <w:sz w:val="22"/>
          <w:szCs w:val="22"/>
        </w:rPr>
        <w:t>tisíc eur mesačne).</w:t>
      </w:r>
    </w:p>
    <w:p w:rsidR="00176788" w:rsidRPr="00394456" w:rsidRDefault="00176788" w:rsidP="00176788">
      <w:pPr>
        <w:spacing w:before="120" w:line="276" w:lineRule="auto"/>
        <w:ind w:right="-1" w:firstLine="720"/>
        <w:jc w:val="both"/>
        <w:rPr>
          <w:rFonts w:ascii="Book Antiqua" w:hAnsi="Book Antiqua"/>
          <w:sz w:val="22"/>
          <w:szCs w:val="22"/>
          <w:shd w:val="clear" w:color="auto" w:fill="FFFFFF"/>
        </w:rPr>
      </w:pPr>
      <w:r w:rsidRPr="00394456">
        <w:rPr>
          <w:rFonts w:ascii="Book Antiqua" w:hAnsi="Book Antiqua"/>
          <w:sz w:val="22"/>
          <w:szCs w:val="22"/>
        </w:rPr>
        <w:t>Návrh zákona má pozitívny vpl</w:t>
      </w:r>
      <w:r>
        <w:rPr>
          <w:rFonts w:ascii="Book Antiqua" w:hAnsi="Book Antiqua"/>
          <w:sz w:val="22"/>
          <w:szCs w:val="22"/>
        </w:rPr>
        <w:t xml:space="preserve">yv </w:t>
      </w:r>
      <w:r w:rsidRPr="00394456">
        <w:rPr>
          <w:rFonts w:ascii="Book Antiqua" w:hAnsi="Book Antiqua"/>
          <w:sz w:val="22"/>
          <w:szCs w:val="22"/>
        </w:rPr>
        <w:t>na rozpočet verejnej správy</w:t>
      </w:r>
      <w:r>
        <w:rPr>
          <w:rFonts w:ascii="Book Antiqua" w:hAnsi="Book Antiqua"/>
          <w:sz w:val="22"/>
          <w:szCs w:val="22"/>
        </w:rPr>
        <w:t>. Nemá vplyv na podnikateľské prostredie, životné prostredie alebo informatizáciu a nepredpokladajú sa ani sociálne vplyvy.</w:t>
      </w:r>
    </w:p>
    <w:p w:rsidR="00176788" w:rsidRDefault="00176788" w:rsidP="00176788">
      <w:pPr>
        <w:spacing w:before="120" w:line="276" w:lineRule="auto"/>
        <w:ind w:firstLine="708"/>
        <w:jc w:val="both"/>
        <w:rPr>
          <w:rFonts w:ascii="Book Antiqua" w:hAnsi="Book Antiqua"/>
          <w:sz w:val="22"/>
          <w:szCs w:val="22"/>
        </w:rPr>
      </w:pPr>
      <w:r w:rsidRPr="00E358BF">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A7787" w:rsidRPr="009C0176" w:rsidRDefault="008A7787" w:rsidP="008622D1">
      <w:pPr>
        <w:spacing w:before="120" w:line="276" w:lineRule="auto"/>
        <w:rPr>
          <w:rFonts w:ascii="Book Antiqua" w:hAnsi="Book Antiqua"/>
          <w:sz w:val="22"/>
          <w:szCs w:val="22"/>
        </w:rPr>
      </w:pPr>
    </w:p>
    <w:p w:rsidR="008A7787" w:rsidRPr="009C0176" w:rsidRDefault="008A7787">
      <w:pPr>
        <w:pageBreakBefore/>
        <w:spacing w:before="120" w:line="276" w:lineRule="auto"/>
        <w:jc w:val="both"/>
        <w:rPr>
          <w:rFonts w:ascii="Book Antiqua" w:hAnsi="Book Antiqua"/>
          <w:sz w:val="22"/>
          <w:szCs w:val="22"/>
        </w:rPr>
      </w:pPr>
      <w:r w:rsidRPr="009C0176">
        <w:rPr>
          <w:rFonts w:ascii="Book Antiqua" w:hAnsi="Book Antiqua"/>
          <w:b/>
          <w:sz w:val="22"/>
          <w:szCs w:val="22"/>
        </w:rPr>
        <w:lastRenderedPageBreak/>
        <w:t>B. Osobitná časť</w:t>
      </w: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sz w:val="22"/>
          <w:szCs w:val="22"/>
        </w:rPr>
        <w:t> </w:t>
      </w: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b/>
          <w:sz w:val="22"/>
          <w:szCs w:val="22"/>
        </w:rPr>
        <w:t>K Čl. I</w:t>
      </w: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sz w:val="22"/>
          <w:szCs w:val="22"/>
          <w:u w:val="single"/>
        </w:rPr>
        <w:t xml:space="preserve">K bodu 1 </w:t>
      </w:r>
    </w:p>
    <w:p w:rsidR="00907797" w:rsidRDefault="00907797" w:rsidP="00907797">
      <w:pPr>
        <w:spacing w:before="120" w:line="276" w:lineRule="auto"/>
        <w:ind w:firstLine="708"/>
        <w:jc w:val="both"/>
        <w:rPr>
          <w:rFonts w:ascii="Book Antiqua" w:hAnsi="Book Antiqua"/>
          <w:sz w:val="22"/>
          <w:szCs w:val="22"/>
        </w:rPr>
      </w:pPr>
      <w:r>
        <w:rPr>
          <w:rFonts w:ascii="Book Antiqua" w:hAnsi="Book Antiqua"/>
          <w:sz w:val="22"/>
          <w:szCs w:val="22"/>
        </w:rPr>
        <w:t xml:space="preserve">Podľa súčasne platného znenia zákona </w:t>
      </w:r>
      <w:r w:rsidRPr="007C64EF">
        <w:rPr>
          <w:rFonts w:ascii="Book Antiqua" w:hAnsi="Book Antiqua"/>
          <w:sz w:val="22"/>
          <w:szCs w:val="22"/>
        </w:rPr>
        <w:t xml:space="preserve">Národnej rady Slovenskej republiky </w:t>
      </w:r>
      <w:r w:rsidR="00BE626E">
        <w:rPr>
          <w:rFonts w:ascii="Book Antiqua" w:hAnsi="Book Antiqua"/>
          <w:sz w:val="22"/>
          <w:szCs w:val="22"/>
        </w:rPr>
        <w:t xml:space="preserve">          </w:t>
      </w:r>
      <w:r w:rsidRPr="007C64EF">
        <w:rPr>
          <w:rFonts w:ascii="Book Antiqua" w:hAnsi="Book Antiqua"/>
          <w:sz w:val="22"/>
          <w:szCs w:val="22"/>
        </w:rPr>
        <w:t>č. 120/1993 Z. z. o platových pomeroch niektorých ústavných činiteľov v znení neskorších predpisov</w:t>
      </w:r>
      <w:r>
        <w:rPr>
          <w:rFonts w:ascii="Book Antiqua" w:hAnsi="Book Antiqua"/>
          <w:sz w:val="22"/>
          <w:szCs w:val="22"/>
        </w:rPr>
        <w:t xml:space="preserve"> patrí poslancovi Národnej rady Slovenskej republiky (ďalej len „poslanec“) po zániku poslaneckého mandátu ešte plat počas dvoch mesiacov, </w:t>
      </w:r>
      <w:r w:rsidRPr="007C64EF">
        <w:rPr>
          <w:rFonts w:ascii="Book Antiqua" w:hAnsi="Book Antiqua"/>
          <w:sz w:val="22"/>
          <w:szCs w:val="22"/>
        </w:rPr>
        <w:t>ak vykonával mandát poslanca najmenej päť mesiacov a menej ako päť rokov, alebo troch mesiacov, ak vykonával mandát poslanca aspoň päť rokov</w:t>
      </w:r>
      <w:r>
        <w:rPr>
          <w:rFonts w:ascii="Book Antiqua" w:hAnsi="Book Antiqua"/>
          <w:sz w:val="22"/>
          <w:szCs w:val="22"/>
        </w:rPr>
        <w:t>.</w:t>
      </w:r>
    </w:p>
    <w:p w:rsidR="00907797" w:rsidRDefault="00907797" w:rsidP="00907797">
      <w:pPr>
        <w:spacing w:before="120" w:line="276" w:lineRule="auto"/>
        <w:ind w:firstLine="708"/>
        <w:jc w:val="both"/>
        <w:rPr>
          <w:rFonts w:ascii="Book Antiqua" w:hAnsi="Book Antiqua"/>
          <w:sz w:val="22"/>
          <w:szCs w:val="22"/>
        </w:rPr>
      </w:pPr>
      <w:r>
        <w:rPr>
          <w:rFonts w:ascii="Book Antiqua" w:hAnsi="Book Antiqua"/>
          <w:sz w:val="22"/>
          <w:szCs w:val="22"/>
        </w:rPr>
        <w:t>Hradenie takýchto finančných nárokov z verejný</w:t>
      </w:r>
      <w:r w:rsidR="006B6DA8">
        <w:rPr>
          <w:rFonts w:ascii="Book Antiqua" w:hAnsi="Book Antiqua"/>
          <w:sz w:val="22"/>
          <w:szCs w:val="22"/>
        </w:rPr>
        <w:t>ch prostriedkov však nemá</w:t>
      </w:r>
      <w:r>
        <w:rPr>
          <w:rFonts w:ascii="Book Antiqua" w:hAnsi="Book Antiqua"/>
          <w:sz w:val="22"/>
          <w:szCs w:val="22"/>
        </w:rPr>
        <w:t xml:space="preserve"> opodstatnenie, keďže po zániku poslaneckého mandátu už poslanec funkciu nevykonáva a preto nie je dôvod, aby naďalej poberal plat. </w:t>
      </w:r>
    </w:p>
    <w:p w:rsidR="006B6DA8" w:rsidRDefault="008622D1" w:rsidP="006B6DA8">
      <w:pPr>
        <w:spacing w:before="120" w:line="276" w:lineRule="auto"/>
        <w:ind w:firstLine="708"/>
        <w:jc w:val="both"/>
        <w:rPr>
          <w:rFonts w:ascii="Book Antiqua" w:hAnsi="Book Antiqua"/>
          <w:sz w:val="22"/>
          <w:szCs w:val="22"/>
        </w:rPr>
      </w:pPr>
      <w:r>
        <w:rPr>
          <w:rFonts w:ascii="Book Antiqua" w:hAnsi="Book Antiqua"/>
          <w:sz w:val="22"/>
          <w:szCs w:val="22"/>
        </w:rPr>
        <w:t xml:space="preserve">Tento nárok nemožno obhájiť ani porovnaním s inštitútom odstupného v zmysle Zákonníka práce, keďže zmyslom odstupného </w:t>
      </w:r>
      <w:r w:rsidRPr="00560B18">
        <w:rPr>
          <w:rFonts w:ascii="Book Antiqua" w:hAnsi="Book Antiqua"/>
          <w:sz w:val="22"/>
          <w:szCs w:val="22"/>
        </w:rPr>
        <w:t>je určitá satisfakcia poskytovaná zamestnancovi zo strany zamestnávateľa za to, že s ním končí pracovný pomer skôr ako účastníci v pracovnej zmluve p</w:t>
      </w:r>
      <w:r>
        <w:rPr>
          <w:rFonts w:ascii="Book Antiqua" w:hAnsi="Book Antiqua"/>
          <w:sz w:val="22"/>
          <w:szCs w:val="22"/>
        </w:rPr>
        <w:t>ôvodne p</w:t>
      </w:r>
      <w:r w:rsidRPr="00560B18">
        <w:rPr>
          <w:rFonts w:ascii="Book Antiqua" w:hAnsi="Book Antiqua"/>
          <w:sz w:val="22"/>
          <w:szCs w:val="22"/>
        </w:rPr>
        <w:t xml:space="preserve">redpokladali a že ku skončeniu pracovného pomeru v prevažnej miere nedochádza z dôvodov spočívajúcich v osobe zamestnanca, ale v osobe zamestnávateľa </w:t>
      </w:r>
      <w:r>
        <w:rPr>
          <w:rFonts w:ascii="Book Antiqua" w:hAnsi="Book Antiqua"/>
          <w:sz w:val="22"/>
          <w:szCs w:val="22"/>
        </w:rPr>
        <w:t>(</w:t>
      </w:r>
      <w:r w:rsidRPr="00560B18">
        <w:rPr>
          <w:rFonts w:ascii="Book Antiqua" w:hAnsi="Book Antiqua"/>
          <w:sz w:val="22"/>
          <w:szCs w:val="22"/>
        </w:rPr>
        <w:t xml:space="preserve">zväčša </w:t>
      </w:r>
      <w:r>
        <w:rPr>
          <w:rFonts w:ascii="Book Antiqua" w:hAnsi="Book Antiqua"/>
          <w:sz w:val="22"/>
          <w:szCs w:val="22"/>
        </w:rPr>
        <w:t xml:space="preserve">jeho </w:t>
      </w:r>
      <w:r w:rsidRPr="00560B18">
        <w:rPr>
          <w:rFonts w:ascii="Book Antiqua" w:hAnsi="Book Antiqua"/>
          <w:sz w:val="22"/>
          <w:szCs w:val="22"/>
        </w:rPr>
        <w:t>hospodársk</w:t>
      </w:r>
      <w:r>
        <w:rPr>
          <w:rFonts w:ascii="Book Antiqua" w:hAnsi="Book Antiqua"/>
          <w:sz w:val="22"/>
          <w:szCs w:val="22"/>
        </w:rPr>
        <w:t>e</w:t>
      </w:r>
      <w:r w:rsidRPr="00560B18">
        <w:rPr>
          <w:rFonts w:ascii="Book Antiqua" w:hAnsi="Book Antiqua"/>
          <w:sz w:val="22"/>
          <w:szCs w:val="22"/>
        </w:rPr>
        <w:t xml:space="preserve"> problém</w:t>
      </w:r>
      <w:r>
        <w:rPr>
          <w:rFonts w:ascii="Book Antiqua" w:hAnsi="Book Antiqua"/>
          <w:sz w:val="22"/>
          <w:szCs w:val="22"/>
        </w:rPr>
        <w:t>y</w:t>
      </w:r>
      <w:r w:rsidRPr="00560B18">
        <w:rPr>
          <w:rFonts w:ascii="Book Antiqua" w:hAnsi="Book Antiqua"/>
          <w:sz w:val="22"/>
          <w:szCs w:val="22"/>
        </w:rPr>
        <w:t xml:space="preserve"> ktoré vo vzťahu k zamestnancovi vystupujú ako ním nezavinené sociálne riziko.</w:t>
      </w:r>
      <w:r>
        <w:rPr>
          <w:rFonts w:ascii="Book Antiqua" w:hAnsi="Book Antiqua"/>
          <w:sz w:val="22"/>
          <w:szCs w:val="22"/>
        </w:rPr>
        <w:t xml:space="preserve">) Avšak zánik poslaneckého mandátu je spravidla od počiatku očakávaná udalosť, čím sa výkon funkcie poslanca približuje k postaveniu zamestnanca na dobu určitú v zmysle Zákonníka práce, pričom zamestnanec nárok na ďalšie platy po uplynutí doby určitej, nemá. Nárok poslanca na plat po zániku poslaneckého mandátu má preto skôr charakter neodôvodneného „zlatého padáku“, než charakter odstupného. </w:t>
      </w:r>
      <w:r w:rsidR="00907797">
        <w:rPr>
          <w:rFonts w:ascii="Book Antiqua" w:hAnsi="Book Antiqua"/>
          <w:sz w:val="22"/>
          <w:szCs w:val="22"/>
        </w:rPr>
        <w:t xml:space="preserve">     </w:t>
      </w:r>
    </w:p>
    <w:p w:rsidR="00907797" w:rsidRDefault="00907797" w:rsidP="006B6DA8">
      <w:pPr>
        <w:spacing w:before="120" w:line="276" w:lineRule="auto"/>
        <w:ind w:firstLine="708"/>
        <w:jc w:val="both"/>
        <w:rPr>
          <w:rFonts w:ascii="Book Antiqua" w:hAnsi="Book Antiqua"/>
          <w:sz w:val="22"/>
          <w:szCs w:val="22"/>
        </w:rPr>
      </w:pPr>
      <w:r>
        <w:rPr>
          <w:rFonts w:ascii="Book Antiqua" w:hAnsi="Book Antiqua"/>
          <w:sz w:val="22"/>
          <w:szCs w:val="22"/>
        </w:rPr>
        <w:t>Navyše pracovný alebo obdobný pracovný vzťah poslanca nemožno skončiť proti jeho vôli, a to ani počas 12 mesiacov po zániku poslaneckého mandátu (</w:t>
      </w:r>
      <w:r w:rsidRPr="00CA37B4">
        <w:rPr>
          <w:rFonts w:ascii="Book Antiqua" w:hAnsi="Book Antiqua"/>
          <w:sz w:val="22"/>
          <w:szCs w:val="22"/>
        </w:rPr>
        <w:t>len s pre</w:t>
      </w:r>
      <w:r w:rsidR="008622D1">
        <w:rPr>
          <w:rFonts w:ascii="Book Antiqua" w:hAnsi="Book Antiqua"/>
          <w:sz w:val="22"/>
          <w:szCs w:val="22"/>
        </w:rPr>
        <w:t>dchádzajúcim súhlasom predsedu N</w:t>
      </w:r>
      <w:r w:rsidRPr="00CA37B4">
        <w:rPr>
          <w:rFonts w:ascii="Book Antiqua" w:hAnsi="Book Antiqua"/>
          <w:sz w:val="22"/>
          <w:szCs w:val="22"/>
        </w:rPr>
        <w:t>árodnej rady</w:t>
      </w:r>
      <w:r w:rsidR="008622D1">
        <w:rPr>
          <w:rFonts w:ascii="Book Antiqua" w:hAnsi="Book Antiqua"/>
          <w:sz w:val="22"/>
          <w:szCs w:val="22"/>
        </w:rPr>
        <w:t xml:space="preserve"> Slovenskej republiky</w:t>
      </w:r>
      <w:r w:rsidRPr="00CA37B4">
        <w:rPr>
          <w:rFonts w:ascii="Book Antiqua" w:hAnsi="Book Antiqua"/>
          <w:sz w:val="22"/>
          <w:szCs w:val="22"/>
        </w:rPr>
        <w:t>, ktorý ho môže udeliť po predchádzajúcom prerokovaní v Mandátovom a imunitnom výbore Národnej rady Slovenskej republiky</w:t>
      </w:r>
      <w:r>
        <w:rPr>
          <w:rFonts w:ascii="Book Antiqua" w:hAnsi="Book Antiqua"/>
          <w:sz w:val="22"/>
          <w:szCs w:val="22"/>
        </w:rPr>
        <w:t>). Pri niektorých povolaniach, napríklad v prípa</w:t>
      </w:r>
      <w:r w:rsidR="003546A1">
        <w:rPr>
          <w:rFonts w:ascii="Book Antiqua" w:hAnsi="Book Antiqua"/>
          <w:sz w:val="22"/>
          <w:szCs w:val="22"/>
        </w:rPr>
        <w:t xml:space="preserve">de funkcie sudcov, sa </w:t>
      </w:r>
      <w:r>
        <w:rPr>
          <w:rFonts w:ascii="Book Antiqua" w:hAnsi="Book Antiqua"/>
          <w:sz w:val="22"/>
          <w:szCs w:val="22"/>
        </w:rPr>
        <w:t xml:space="preserve">sudcovská funkcia počas vykonávania poslaneckého mandátu iba prerušuje a po zániku mandátu sa </w:t>
      </w:r>
      <w:r w:rsidR="003546A1">
        <w:rPr>
          <w:rFonts w:ascii="Book Antiqua" w:hAnsi="Book Antiqua"/>
          <w:sz w:val="22"/>
          <w:szCs w:val="22"/>
        </w:rPr>
        <w:t xml:space="preserve">každý sudca </w:t>
      </w:r>
      <w:r>
        <w:rPr>
          <w:rFonts w:ascii="Book Antiqua" w:hAnsi="Book Antiqua"/>
          <w:sz w:val="22"/>
          <w:szCs w:val="22"/>
        </w:rPr>
        <w:t xml:space="preserve">môže opäť ujať </w:t>
      </w:r>
      <w:r w:rsidR="003546A1">
        <w:rPr>
          <w:rFonts w:ascii="Book Antiqua" w:hAnsi="Book Antiqua"/>
          <w:sz w:val="22"/>
          <w:szCs w:val="22"/>
        </w:rPr>
        <w:t xml:space="preserve">svojej </w:t>
      </w:r>
      <w:r>
        <w:rPr>
          <w:rFonts w:ascii="Book Antiqua" w:hAnsi="Book Antiqua"/>
          <w:sz w:val="22"/>
          <w:szCs w:val="22"/>
        </w:rPr>
        <w:t>pôvodnej funkcie. Poslanec teda disponuje výrazne väčšími sociálnymi istotami po zániku poslaneckého mandátu, než zamestnanec po strate zamestnania a na poberanie platu po zániku poslaneckého mandátu preto nie je dôvod.</w:t>
      </w:r>
      <w:r w:rsidR="003546A1">
        <w:rPr>
          <w:rFonts w:ascii="Book Antiqua" w:hAnsi="Book Antiqua"/>
          <w:sz w:val="22"/>
          <w:szCs w:val="22"/>
        </w:rPr>
        <w:t xml:space="preserve"> To sa rovnako týka aj náhradníkov poslancov.</w:t>
      </w:r>
      <w:r>
        <w:rPr>
          <w:rFonts w:ascii="Book Antiqua" w:hAnsi="Book Antiqua"/>
          <w:sz w:val="22"/>
          <w:szCs w:val="22"/>
        </w:rPr>
        <w:t xml:space="preserve"> </w:t>
      </w:r>
    </w:p>
    <w:p w:rsidR="00245599" w:rsidRDefault="00C80EB5" w:rsidP="008622D1">
      <w:pPr>
        <w:spacing w:before="120" w:line="276" w:lineRule="auto"/>
        <w:ind w:firstLine="708"/>
        <w:jc w:val="both"/>
        <w:rPr>
          <w:rFonts w:ascii="Book Antiqua" w:hAnsi="Book Antiqua"/>
          <w:sz w:val="22"/>
          <w:szCs w:val="22"/>
        </w:rPr>
      </w:pPr>
      <w:r w:rsidRPr="00C80EB5">
        <w:rPr>
          <w:rFonts w:ascii="Book Antiqua" w:hAnsi="Book Antiqua"/>
          <w:sz w:val="22"/>
          <w:szCs w:val="22"/>
        </w:rPr>
        <w:t xml:space="preserve">A nakoniec je potrebné uviesť, že aj </w:t>
      </w:r>
      <w:r w:rsidR="00245599" w:rsidRPr="00C80EB5">
        <w:rPr>
          <w:rFonts w:ascii="Book Antiqua" w:hAnsi="Book Antiqua"/>
          <w:sz w:val="22"/>
          <w:szCs w:val="22"/>
        </w:rPr>
        <w:t xml:space="preserve">v prípadoch, ak poslanec </w:t>
      </w:r>
      <w:r w:rsidRPr="00C80EB5">
        <w:rPr>
          <w:rFonts w:ascii="Book Antiqua" w:hAnsi="Book Antiqua"/>
          <w:sz w:val="22"/>
          <w:szCs w:val="22"/>
        </w:rPr>
        <w:t>z</w:t>
      </w:r>
      <w:r w:rsidR="00245599" w:rsidRPr="00C80EB5">
        <w:rPr>
          <w:rFonts w:ascii="Book Antiqua" w:hAnsi="Book Antiqua"/>
          <w:sz w:val="22"/>
          <w:szCs w:val="22"/>
        </w:rPr>
        <w:t>ostane po zániku poslaneckého mandátu bez práce, ne</w:t>
      </w:r>
      <w:r w:rsidRPr="00C80EB5">
        <w:rPr>
          <w:rFonts w:ascii="Book Antiqua" w:hAnsi="Book Antiqua"/>
          <w:sz w:val="22"/>
          <w:szCs w:val="22"/>
        </w:rPr>
        <w:t>z</w:t>
      </w:r>
      <w:r w:rsidR="00245599" w:rsidRPr="00C80EB5">
        <w:rPr>
          <w:rFonts w:ascii="Book Antiqua" w:hAnsi="Book Antiqua"/>
          <w:sz w:val="22"/>
          <w:szCs w:val="22"/>
        </w:rPr>
        <w:t>ost</w:t>
      </w:r>
      <w:r w:rsidRPr="00C80EB5">
        <w:rPr>
          <w:rFonts w:ascii="Book Antiqua" w:hAnsi="Book Antiqua"/>
          <w:sz w:val="22"/>
          <w:szCs w:val="22"/>
        </w:rPr>
        <w:t>ane bez príjmu, pretože má nárok počas 6 mesiacov na poberanie dávky</w:t>
      </w:r>
      <w:r w:rsidR="00245599" w:rsidRPr="00C80EB5">
        <w:rPr>
          <w:rFonts w:ascii="Book Antiqua" w:hAnsi="Book Antiqua"/>
          <w:sz w:val="22"/>
          <w:szCs w:val="22"/>
        </w:rPr>
        <w:t xml:space="preserve"> v nezamestnanosti, </w:t>
      </w:r>
      <w:r w:rsidR="00406EFD" w:rsidRPr="00C80EB5">
        <w:rPr>
          <w:rFonts w:ascii="Book Antiqua" w:hAnsi="Book Antiqua"/>
          <w:sz w:val="22"/>
          <w:szCs w:val="22"/>
        </w:rPr>
        <w:t>ktorá mu bude</w:t>
      </w:r>
      <w:r w:rsidR="00245599" w:rsidRPr="00C80EB5">
        <w:rPr>
          <w:rFonts w:ascii="Book Antiqua" w:hAnsi="Book Antiqua"/>
          <w:sz w:val="22"/>
          <w:szCs w:val="22"/>
        </w:rPr>
        <w:t xml:space="preserve"> </w:t>
      </w:r>
      <w:r w:rsidR="00406EFD" w:rsidRPr="00C80EB5">
        <w:rPr>
          <w:rFonts w:ascii="Book Antiqua" w:hAnsi="Book Antiqua"/>
          <w:sz w:val="22"/>
          <w:szCs w:val="22"/>
        </w:rPr>
        <w:t>vzhľadom na výšku poslaneckého pla</w:t>
      </w:r>
      <w:r w:rsidR="00245599" w:rsidRPr="00C80EB5">
        <w:rPr>
          <w:rFonts w:ascii="Book Antiqua" w:hAnsi="Book Antiqua"/>
          <w:sz w:val="22"/>
          <w:szCs w:val="22"/>
        </w:rPr>
        <w:t>t</w:t>
      </w:r>
      <w:r w:rsidR="00406EFD" w:rsidRPr="00C80EB5">
        <w:rPr>
          <w:rFonts w:ascii="Book Antiqua" w:hAnsi="Book Antiqua"/>
          <w:sz w:val="22"/>
          <w:szCs w:val="22"/>
        </w:rPr>
        <w:t>u</w:t>
      </w:r>
      <w:r w:rsidR="00245599" w:rsidRPr="00C80EB5">
        <w:rPr>
          <w:rFonts w:ascii="Book Antiqua" w:hAnsi="Book Antiqua"/>
          <w:sz w:val="22"/>
          <w:szCs w:val="22"/>
        </w:rPr>
        <w:t xml:space="preserve"> </w:t>
      </w:r>
      <w:r w:rsidR="00406EFD" w:rsidRPr="00C80EB5">
        <w:rPr>
          <w:rFonts w:ascii="Book Antiqua" w:hAnsi="Book Antiqua"/>
          <w:sz w:val="22"/>
          <w:szCs w:val="22"/>
        </w:rPr>
        <w:t xml:space="preserve">poskytovaná </w:t>
      </w:r>
      <w:r w:rsidR="00245599" w:rsidRPr="00C80EB5">
        <w:rPr>
          <w:rFonts w:ascii="Book Antiqua" w:hAnsi="Book Antiqua"/>
          <w:sz w:val="22"/>
          <w:szCs w:val="22"/>
        </w:rPr>
        <w:t>v maximálnej výške</w:t>
      </w:r>
      <w:r w:rsidR="00406EFD" w:rsidRPr="00C80EB5">
        <w:rPr>
          <w:rFonts w:ascii="Book Antiqua" w:hAnsi="Book Antiqua"/>
          <w:sz w:val="22"/>
          <w:szCs w:val="22"/>
        </w:rPr>
        <w:t>, teda 941</w:t>
      </w:r>
      <w:r w:rsidR="00245599" w:rsidRPr="00C80EB5">
        <w:rPr>
          <w:rFonts w:ascii="Book Antiqua" w:hAnsi="Book Antiqua"/>
          <w:sz w:val="22"/>
          <w:szCs w:val="22"/>
        </w:rPr>
        <w:t xml:space="preserve"> až </w:t>
      </w:r>
      <w:r w:rsidR="00406EFD" w:rsidRPr="00C80EB5">
        <w:rPr>
          <w:rFonts w:ascii="Book Antiqua" w:hAnsi="Book Antiqua"/>
          <w:sz w:val="22"/>
          <w:szCs w:val="22"/>
        </w:rPr>
        <w:t>972 eur mesačne (v závislosti na počte dní v danom mesiaci). Nárok na poberanie platu po zániku poslaneckého mandátu</w:t>
      </w:r>
      <w:r w:rsidR="00245599" w:rsidRPr="00C80EB5">
        <w:rPr>
          <w:rFonts w:ascii="Book Antiqua" w:hAnsi="Book Antiqua"/>
          <w:sz w:val="22"/>
          <w:szCs w:val="22"/>
        </w:rPr>
        <w:t xml:space="preserve"> </w:t>
      </w:r>
      <w:r w:rsidR="00406EFD" w:rsidRPr="00C80EB5">
        <w:rPr>
          <w:rFonts w:ascii="Book Antiqua" w:hAnsi="Book Antiqua"/>
          <w:sz w:val="22"/>
          <w:szCs w:val="22"/>
        </w:rPr>
        <w:t>preto nemožno odôvodniť ani úplnou stratou príjmu.</w:t>
      </w:r>
    </w:p>
    <w:p w:rsidR="008A7787" w:rsidRPr="009C0176" w:rsidRDefault="008A7787" w:rsidP="00907797">
      <w:pPr>
        <w:spacing w:before="120" w:line="276" w:lineRule="auto"/>
        <w:jc w:val="both"/>
        <w:rPr>
          <w:rFonts w:ascii="Book Antiqua" w:hAnsi="Book Antiqua"/>
          <w:sz w:val="22"/>
          <w:szCs w:val="22"/>
        </w:rPr>
      </w:pPr>
      <w:r w:rsidRPr="009C0176">
        <w:rPr>
          <w:rFonts w:ascii="Book Antiqua" w:hAnsi="Book Antiqua"/>
          <w:sz w:val="22"/>
          <w:szCs w:val="22"/>
          <w:u w:val="single"/>
        </w:rPr>
        <w:lastRenderedPageBreak/>
        <w:t>K bodu 2</w:t>
      </w:r>
    </w:p>
    <w:p w:rsidR="008A7787" w:rsidRPr="00D60065" w:rsidRDefault="008A7787" w:rsidP="004E317A">
      <w:pPr>
        <w:spacing w:before="120" w:line="276" w:lineRule="auto"/>
        <w:jc w:val="both"/>
        <w:rPr>
          <w:rFonts w:ascii="Book Antiqua" w:hAnsi="Book Antiqua"/>
          <w:sz w:val="22"/>
          <w:szCs w:val="22"/>
        </w:rPr>
      </w:pPr>
      <w:r w:rsidRPr="009C0176">
        <w:rPr>
          <w:rFonts w:ascii="Book Antiqua" w:hAnsi="Book Antiqua"/>
          <w:sz w:val="22"/>
          <w:szCs w:val="22"/>
        </w:rPr>
        <w:tab/>
      </w:r>
      <w:r w:rsidR="004E317A">
        <w:rPr>
          <w:rFonts w:ascii="Book Antiqua" w:hAnsi="Book Antiqua"/>
          <w:sz w:val="22"/>
          <w:szCs w:val="22"/>
        </w:rPr>
        <w:t xml:space="preserve">V prechodnom ustanovení sa </w:t>
      </w:r>
      <w:r w:rsidR="00C80EB5">
        <w:rPr>
          <w:rFonts w:ascii="Book Antiqua" w:hAnsi="Book Antiqua"/>
          <w:sz w:val="22"/>
          <w:szCs w:val="22"/>
        </w:rPr>
        <w:t>u</w:t>
      </w:r>
      <w:r w:rsidR="004E317A">
        <w:rPr>
          <w:rFonts w:ascii="Book Antiqua" w:hAnsi="Book Antiqua"/>
          <w:sz w:val="22"/>
          <w:szCs w:val="22"/>
        </w:rPr>
        <w:t>stanovuje, že nové pravidlá týkajúce sa</w:t>
      </w:r>
      <w:r w:rsidR="00DB300C">
        <w:rPr>
          <w:rFonts w:ascii="Book Antiqua" w:hAnsi="Book Antiqua"/>
          <w:sz w:val="22"/>
          <w:szCs w:val="22"/>
        </w:rPr>
        <w:t xml:space="preserve"> zrušenia</w:t>
      </w:r>
      <w:r w:rsidR="004E317A">
        <w:rPr>
          <w:rFonts w:ascii="Book Antiqua" w:hAnsi="Book Antiqua"/>
          <w:sz w:val="22"/>
          <w:szCs w:val="22"/>
        </w:rPr>
        <w:t> platu poslanca po zániku poslaneckého mandátu sa</w:t>
      </w:r>
      <w:r w:rsidR="00C80EB5">
        <w:rPr>
          <w:rFonts w:ascii="Book Antiqua" w:hAnsi="Book Antiqua"/>
          <w:sz w:val="22"/>
          <w:szCs w:val="22"/>
        </w:rPr>
        <w:t xml:space="preserve"> prvýkrát použijú už aj na poslancov zvolených v tomto</w:t>
      </w:r>
      <w:r w:rsidR="00DB300C">
        <w:rPr>
          <w:rFonts w:ascii="Book Antiqua" w:hAnsi="Book Antiqua"/>
          <w:sz w:val="22"/>
          <w:szCs w:val="22"/>
        </w:rPr>
        <w:t xml:space="preserve"> volebnom období</w:t>
      </w:r>
      <w:r w:rsidR="00C80EB5">
        <w:rPr>
          <w:rFonts w:ascii="Book Antiqua" w:hAnsi="Book Antiqua"/>
          <w:sz w:val="22"/>
          <w:szCs w:val="22"/>
        </w:rPr>
        <w:t>, resp. ich náhradníkov</w:t>
      </w:r>
      <w:r w:rsidR="00DB300C">
        <w:rPr>
          <w:rFonts w:ascii="Book Antiqua" w:hAnsi="Book Antiqua"/>
          <w:sz w:val="22"/>
          <w:szCs w:val="22"/>
        </w:rPr>
        <w:t>.</w:t>
      </w:r>
      <w:r w:rsidR="004E317A">
        <w:rPr>
          <w:rFonts w:ascii="Book Antiqua" w:hAnsi="Book Antiqua"/>
          <w:sz w:val="22"/>
          <w:szCs w:val="22"/>
        </w:rPr>
        <w:t xml:space="preserve">  </w:t>
      </w:r>
    </w:p>
    <w:p w:rsidR="00C80EB5" w:rsidRDefault="00C80EB5">
      <w:pPr>
        <w:spacing w:before="120" w:line="276" w:lineRule="auto"/>
        <w:jc w:val="both"/>
        <w:rPr>
          <w:rFonts w:ascii="Book Antiqua" w:hAnsi="Book Antiqua"/>
          <w:b/>
          <w:sz w:val="22"/>
          <w:szCs w:val="22"/>
        </w:rPr>
      </w:pPr>
    </w:p>
    <w:p w:rsidR="008A7787" w:rsidRPr="009C0176" w:rsidRDefault="00DB300C">
      <w:pPr>
        <w:spacing w:before="120" w:line="276" w:lineRule="auto"/>
        <w:jc w:val="both"/>
        <w:rPr>
          <w:rFonts w:ascii="Book Antiqua" w:hAnsi="Book Antiqua"/>
          <w:sz w:val="22"/>
          <w:szCs w:val="22"/>
        </w:rPr>
      </w:pPr>
      <w:r>
        <w:rPr>
          <w:rFonts w:ascii="Book Antiqua" w:hAnsi="Book Antiqua"/>
          <w:b/>
          <w:sz w:val="22"/>
          <w:szCs w:val="22"/>
        </w:rPr>
        <w:t>K Čl. II</w:t>
      </w:r>
    </w:p>
    <w:p w:rsidR="00DB300C" w:rsidRPr="00971B96" w:rsidRDefault="00DB300C" w:rsidP="003546A1">
      <w:pPr>
        <w:spacing w:before="120" w:line="276" w:lineRule="auto"/>
        <w:ind w:firstLine="720"/>
        <w:jc w:val="both"/>
        <w:rPr>
          <w:rFonts w:ascii="Book Antiqua" w:hAnsi="Book Antiqua"/>
          <w:sz w:val="22"/>
          <w:szCs w:val="22"/>
        </w:rPr>
      </w:pPr>
      <w:r w:rsidRPr="00971B96">
        <w:rPr>
          <w:rFonts w:ascii="Book Antiqua" w:hAnsi="Book Antiqua"/>
          <w:bCs/>
          <w:sz w:val="22"/>
          <w:szCs w:val="22"/>
        </w:rPr>
        <w:t xml:space="preserve">Navrhuje sa účinnosť predkladaného návrhu zákona so zohľadnením potrebnej dĺžky </w:t>
      </w:r>
      <w:proofErr w:type="spellStart"/>
      <w:r w:rsidRPr="00971B96">
        <w:rPr>
          <w:rFonts w:ascii="Book Antiqua" w:hAnsi="Book Antiqua"/>
          <w:bCs/>
          <w:sz w:val="22"/>
          <w:szCs w:val="22"/>
        </w:rPr>
        <w:t>legisvakačnej</w:t>
      </w:r>
      <w:proofErr w:type="spellEnd"/>
      <w:r w:rsidRPr="00971B96">
        <w:rPr>
          <w:rFonts w:ascii="Book Antiqua" w:hAnsi="Book Antiqua"/>
          <w:bCs/>
          <w:sz w:val="22"/>
          <w:szCs w:val="22"/>
        </w:rPr>
        <w:t xml:space="preserve"> lehoty na</w:t>
      </w:r>
      <w:r w:rsidRPr="00971B96">
        <w:rPr>
          <w:rFonts w:ascii="Book Antiqua" w:hAnsi="Book Antiqua"/>
          <w:sz w:val="22"/>
          <w:szCs w:val="22"/>
        </w:rPr>
        <w:t xml:space="preserve"> 1. </w:t>
      </w:r>
      <w:r>
        <w:rPr>
          <w:rFonts w:ascii="Book Antiqua" w:hAnsi="Book Antiqua"/>
          <w:sz w:val="22"/>
          <w:szCs w:val="22"/>
        </w:rPr>
        <w:t>januára</w:t>
      </w:r>
      <w:r w:rsidRPr="00971B96">
        <w:rPr>
          <w:rFonts w:ascii="Book Antiqua" w:hAnsi="Book Antiqua"/>
          <w:sz w:val="22"/>
          <w:szCs w:val="22"/>
        </w:rPr>
        <w:t xml:space="preserve"> 2020.</w:t>
      </w:r>
    </w:p>
    <w:p w:rsidR="008A7787" w:rsidRPr="009C0176" w:rsidRDefault="008A7787">
      <w:pPr>
        <w:pageBreakBefore/>
        <w:spacing w:before="120" w:line="276" w:lineRule="auto"/>
        <w:jc w:val="center"/>
        <w:rPr>
          <w:rFonts w:ascii="Book Antiqua" w:hAnsi="Book Antiqua"/>
          <w:sz w:val="22"/>
          <w:szCs w:val="22"/>
        </w:rPr>
      </w:pPr>
      <w:r w:rsidRPr="009C0176">
        <w:rPr>
          <w:rFonts w:ascii="Book Antiqua" w:hAnsi="Book Antiqua"/>
          <w:b/>
          <w:sz w:val="22"/>
          <w:szCs w:val="22"/>
        </w:rPr>
        <w:lastRenderedPageBreak/>
        <w:t>DOLOŽKA ZLUČITEĽNOSTI</w:t>
      </w:r>
    </w:p>
    <w:p w:rsidR="008A7787" w:rsidRPr="009C0176" w:rsidRDefault="008A7787">
      <w:pPr>
        <w:spacing w:before="120" w:line="276" w:lineRule="auto"/>
        <w:jc w:val="center"/>
        <w:rPr>
          <w:rFonts w:ascii="Book Antiqua" w:hAnsi="Book Antiqua"/>
          <w:sz w:val="22"/>
          <w:szCs w:val="22"/>
        </w:rPr>
      </w:pPr>
      <w:r w:rsidRPr="009C0176">
        <w:rPr>
          <w:rFonts w:ascii="Book Antiqua" w:hAnsi="Book Antiqua"/>
          <w:b/>
          <w:sz w:val="22"/>
          <w:szCs w:val="22"/>
        </w:rPr>
        <w:t>návrhu zákona</w:t>
      </w:r>
      <w:r w:rsidRPr="009C0176">
        <w:rPr>
          <w:rFonts w:ascii="Book Antiqua" w:hAnsi="Book Antiqua"/>
          <w:sz w:val="22"/>
          <w:szCs w:val="22"/>
        </w:rPr>
        <w:t xml:space="preserve"> </w:t>
      </w:r>
      <w:r w:rsidRPr="009C0176">
        <w:rPr>
          <w:rFonts w:ascii="Book Antiqua" w:hAnsi="Book Antiqua"/>
          <w:b/>
          <w:sz w:val="22"/>
          <w:szCs w:val="22"/>
        </w:rPr>
        <w:t>s právom Európskej únie</w:t>
      </w:r>
    </w:p>
    <w:p w:rsidR="008A7787" w:rsidRPr="009C0176" w:rsidRDefault="008A7787">
      <w:pPr>
        <w:spacing w:before="120" w:line="276" w:lineRule="auto"/>
        <w:jc w:val="both"/>
        <w:rPr>
          <w:rFonts w:ascii="Book Antiqua" w:hAnsi="Book Antiqua"/>
          <w:sz w:val="22"/>
          <w:szCs w:val="22"/>
        </w:rPr>
      </w:pP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b/>
          <w:sz w:val="22"/>
          <w:szCs w:val="22"/>
        </w:rPr>
        <w:t>1. Navrhovateľ zákona:</w:t>
      </w:r>
      <w:r w:rsidR="006227D0">
        <w:rPr>
          <w:rFonts w:ascii="Book Antiqua" w:hAnsi="Book Antiqua"/>
          <w:sz w:val="22"/>
          <w:szCs w:val="22"/>
        </w:rPr>
        <w:t xml:space="preserve"> </w:t>
      </w:r>
      <w:r w:rsidR="00C41190">
        <w:rPr>
          <w:rFonts w:ascii="Book Antiqua" w:hAnsi="Book Antiqua"/>
          <w:sz w:val="22"/>
          <w:szCs w:val="22"/>
        </w:rPr>
        <w:t>skupina poslancov</w:t>
      </w:r>
      <w:r w:rsidR="005809CB">
        <w:rPr>
          <w:rFonts w:ascii="Book Antiqua" w:hAnsi="Book Antiqua"/>
          <w:sz w:val="22"/>
          <w:szCs w:val="22"/>
        </w:rPr>
        <w:t xml:space="preserve"> Národnej rady Slovenskej republiky</w:t>
      </w:r>
      <w:r w:rsidR="006227D0">
        <w:rPr>
          <w:rFonts w:ascii="Book Antiqua" w:hAnsi="Book Antiqua"/>
          <w:sz w:val="22"/>
          <w:szCs w:val="22"/>
        </w:rPr>
        <w:t xml:space="preserve"> </w:t>
      </w:r>
    </w:p>
    <w:p w:rsidR="008A7787" w:rsidRPr="009C0176" w:rsidRDefault="008A7787">
      <w:pPr>
        <w:spacing w:before="120" w:line="276" w:lineRule="auto"/>
        <w:jc w:val="both"/>
        <w:rPr>
          <w:rFonts w:ascii="Book Antiqua" w:hAnsi="Book Antiqua"/>
          <w:sz w:val="22"/>
          <w:szCs w:val="22"/>
        </w:rPr>
      </w:pP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b/>
          <w:sz w:val="22"/>
          <w:szCs w:val="22"/>
        </w:rPr>
        <w:t>2. Názov návrhu zákona:</w:t>
      </w:r>
      <w:r w:rsidR="005809CB">
        <w:rPr>
          <w:rFonts w:ascii="Book Antiqua" w:hAnsi="Book Antiqua"/>
          <w:sz w:val="22"/>
          <w:szCs w:val="22"/>
        </w:rPr>
        <w:t xml:space="preserve"> </w:t>
      </w:r>
      <w:r w:rsidR="005809CB" w:rsidRPr="00994624">
        <w:rPr>
          <w:rFonts w:ascii="Book Antiqua" w:hAnsi="Book Antiqua"/>
          <w:sz w:val="22"/>
          <w:szCs w:val="22"/>
        </w:rPr>
        <w:t>n</w:t>
      </w:r>
      <w:r w:rsidRPr="00994624">
        <w:rPr>
          <w:rFonts w:ascii="Book Antiqua" w:hAnsi="Book Antiqua"/>
          <w:sz w:val="22"/>
          <w:szCs w:val="22"/>
        </w:rPr>
        <w:t xml:space="preserve">ávrh zákona, </w:t>
      </w:r>
      <w:r w:rsidR="00DB300C" w:rsidRPr="00DB300C">
        <w:rPr>
          <w:rFonts w:ascii="Book Antiqua" w:hAnsi="Book Antiqua"/>
          <w:sz w:val="22"/>
          <w:szCs w:val="22"/>
        </w:rPr>
        <w:t>ktor</w:t>
      </w:r>
      <w:r w:rsidR="00DB300C" w:rsidRPr="00DB300C">
        <w:rPr>
          <w:rFonts w:ascii="Book Antiqua" w:hAnsi="Book Antiqua" w:hint="eastAsia"/>
          <w:sz w:val="22"/>
          <w:szCs w:val="22"/>
        </w:rPr>
        <w:t>ý</w:t>
      </w:r>
      <w:r w:rsidR="00DB300C" w:rsidRPr="00DB300C">
        <w:rPr>
          <w:rFonts w:ascii="Book Antiqua" w:hAnsi="Book Antiqua"/>
          <w:sz w:val="22"/>
          <w:szCs w:val="22"/>
        </w:rPr>
        <w:t>m sa men</w:t>
      </w:r>
      <w:r w:rsidR="00DB300C" w:rsidRPr="00DB300C">
        <w:rPr>
          <w:rFonts w:ascii="Book Antiqua" w:hAnsi="Book Antiqua" w:hint="eastAsia"/>
          <w:sz w:val="22"/>
          <w:szCs w:val="22"/>
        </w:rPr>
        <w:t>í</w:t>
      </w:r>
      <w:r w:rsidR="00DB300C" w:rsidRPr="00DB300C">
        <w:rPr>
          <w:rFonts w:ascii="Book Antiqua" w:hAnsi="Book Antiqua"/>
          <w:sz w:val="22"/>
          <w:szCs w:val="22"/>
        </w:rPr>
        <w:t xml:space="preserve"> a dop</w:t>
      </w:r>
      <w:r w:rsidR="00DB300C" w:rsidRPr="00DB300C">
        <w:rPr>
          <w:rFonts w:ascii="Book Antiqua" w:hAnsi="Book Antiqua" w:hint="eastAsia"/>
          <w:sz w:val="22"/>
          <w:szCs w:val="22"/>
        </w:rPr>
        <w:t>ĺň</w:t>
      </w:r>
      <w:r w:rsidR="00DB300C" w:rsidRPr="00DB300C">
        <w:rPr>
          <w:rFonts w:ascii="Book Antiqua" w:hAnsi="Book Antiqua"/>
          <w:sz w:val="22"/>
          <w:szCs w:val="22"/>
        </w:rPr>
        <w:t>a z</w:t>
      </w:r>
      <w:r w:rsidR="00DB300C" w:rsidRPr="00DB300C">
        <w:rPr>
          <w:rFonts w:ascii="Book Antiqua" w:hAnsi="Book Antiqua" w:hint="eastAsia"/>
          <w:sz w:val="22"/>
          <w:szCs w:val="22"/>
        </w:rPr>
        <w:t>á</w:t>
      </w:r>
      <w:r w:rsidR="00DB300C" w:rsidRPr="00DB300C">
        <w:rPr>
          <w:rFonts w:ascii="Book Antiqua" w:hAnsi="Book Antiqua"/>
          <w:sz w:val="22"/>
          <w:szCs w:val="22"/>
        </w:rPr>
        <w:t>kon N</w:t>
      </w:r>
      <w:r w:rsidR="00DB300C" w:rsidRPr="00DB300C">
        <w:rPr>
          <w:rFonts w:ascii="Book Antiqua" w:hAnsi="Book Antiqua" w:hint="eastAsia"/>
          <w:sz w:val="22"/>
          <w:szCs w:val="22"/>
        </w:rPr>
        <w:t>á</w:t>
      </w:r>
      <w:r w:rsidR="00DB300C" w:rsidRPr="00DB300C">
        <w:rPr>
          <w:rFonts w:ascii="Book Antiqua" w:hAnsi="Book Antiqua"/>
          <w:sz w:val="22"/>
          <w:szCs w:val="22"/>
        </w:rPr>
        <w:t xml:space="preserve">rodnej rady Slovenskej republiky </w:t>
      </w:r>
      <w:r w:rsidR="00DB300C" w:rsidRPr="00DB300C">
        <w:rPr>
          <w:rFonts w:ascii="Book Antiqua" w:hAnsi="Book Antiqua" w:hint="eastAsia"/>
          <w:sz w:val="22"/>
          <w:szCs w:val="22"/>
        </w:rPr>
        <w:t>č</w:t>
      </w:r>
      <w:r w:rsidR="00DB300C" w:rsidRPr="00DB300C">
        <w:rPr>
          <w:rFonts w:ascii="Book Antiqua" w:hAnsi="Book Antiqua"/>
          <w:sz w:val="22"/>
          <w:szCs w:val="22"/>
        </w:rPr>
        <w:t>. 120/1993 Z. z. o platov</w:t>
      </w:r>
      <w:r w:rsidR="00DB300C" w:rsidRPr="00DB300C">
        <w:rPr>
          <w:rFonts w:ascii="Book Antiqua" w:hAnsi="Book Antiqua" w:hint="eastAsia"/>
          <w:sz w:val="22"/>
          <w:szCs w:val="22"/>
        </w:rPr>
        <w:t>ý</w:t>
      </w:r>
      <w:r w:rsidR="00DB300C" w:rsidRPr="00DB300C">
        <w:rPr>
          <w:rFonts w:ascii="Book Antiqua" w:hAnsi="Book Antiqua"/>
          <w:sz w:val="22"/>
          <w:szCs w:val="22"/>
        </w:rPr>
        <w:t>ch pomeroch niektor</w:t>
      </w:r>
      <w:r w:rsidR="00DB300C" w:rsidRPr="00DB300C">
        <w:rPr>
          <w:rFonts w:ascii="Book Antiqua" w:hAnsi="Book Antiqua" w:hint="eastAsia"/>
          <w:sz w:val="22"/>
          <w:szCs w:val="22"/>
        </w:rPr>
        <w:t>ý</w:t>
      </w:r>
      <w:r w:rsidR="00DB300C" w:rsidRPr="00DB300C">
        <w:rPr>
          <w:rFonts w:ascii="Book Antiqua" w:hAnsi="Book Antiqua"/>
          <w:sz w:val="22"/>
          <w:szCs w:val="22"/>
        </w:rPr>
        <w:t xml:space="preserve">ch </w:t>
      </w:r>
      <w:r w:rsidR="00DB300C" w:rsidRPr="00DB300C">
        <w:rPr>
          <w:rFonts w:ascii="Book Antiqua" w:hAnsi="Book Antiqua" w:hint="eastAsia"/>
          <w:sz w:val="22"/>
          <w:szCs w:val="22"/>
        </w:rPr>
        <w:t>ú</w:t>
      </w:r>
      <w:r w:rsidR="00DB300C" w:rsidRPr="00DB300C">
        <w:rPr>
          <w:rFonts w:ascii="Book Antiqua" w:hAnsi="Book Antiqua"/>
          <w:sz w:val="22"/>
          <w:szCs w:val="22"/>
        </w:rPr>
        <w:t>stavn</w:t>
      </w:r>
      <w:r w:rsidR="00DB300C" w:rsidRPr="00DB300C">
        <w:rPr>
          <w:rFonts w:ascii="Book Antiqua" w:hAnsi="Book Antiqua" w:hint="eastAsia"/>
          <w:sz w:val="22"/>
          <w:szCs w:val="22"/>
        </w:rPr>
        <w:t>ý</w:t>
      </w:r>
      <w:r w:rsidR="00DB300C" w:rsidRPr="00DB300C">
        <w:rPr>
          <w:rFonts w:ascii="Book Antiqua" w:hAnsi="Book Antiqua"/>
          <w:sz w:val="22"/>
          <w:szCs w:val="22"/>
        </w:rPr>
        <w:t xml:space="preserve">ch </w:t>
      </w:r>
      <w:r w:rsidR="00DB300C" w:rsidRPr="00DB300C">
        <w:rPr>
          <w:rFonts w:ascii="Book Antiqua" w:hAnsi="Book Antiqua" w:hint="eastAsia"/>
          <w:sz w:val="22"/>
          <w:szCs w:val="22"/>
        </w:rPr>
        <w:t>č</w:t>
      </w:r>
      <w:r w:rsidR="00DB300C" w:rsidRPr="00DB300C">
        <w:rPr>
          <w:rFonts w:ascii="Book Antiqua" w:hAnsi="Book Antiqua"/>
          <w:sz w:val="22"/>
          <w:szCs w:val="22"/>
        </w:rPr>
        <w:t>inite</w:t>
      </w:r>
      <w:r w:rsidR="00DB300C" w:rsidRPr="00DB300C">
        <w:rPr>
          <w:rFonts w:ascii="Book Antiqua" w:hAnsi="Book Antiqua" w:hint="eastAsia"/>
          <w:sz w:val="22"/>
          <w:szCs w:val="22"/>
        </w:rPr>
        <w:t>ľ</w:t>
      </w:r>
      <w:r w:rsidR="00DB300C" w:rsidRPr="00DB300C">
        <w:rPr>
          <w:rFonts w:ascii="Book Antiqua" w:hAnsi="Book Antiqua"/>
          <w:sz w:val="22"/>
          <w:szCs w:val="22"/>
        </w:rPr>
        <w:t>ov v znen</w:t>
      </w:r>
      <w:r w:rsidR="00DB300C" w:rsidRPr="00DB300C">
        <w:rPr>
          <w:rFonts w:ascii="Book Antiqua" w:hAnsi="Book Antiqua" w:hint="eastAsia"/>
          <w:sz w:val="22"/>
          <w:szCs w:val="22"/>
        </w:rPr>
        <w:t>í</w:t>
      </w:r>
      <w:r w:rsidR="00DB300C" w:rsidRPr="00DB300C">
        <w:rPr>
          <w:rFonts w:ascii="Book Antiqua" w:hAnsi="Book Antiqua"/>
          <w:sz w:val="22"/>
          <w:szCs w:val="22"/>
        </w:rPr>
        <w:t xml:space="preserve"> neskor</w:t>
      </w:r>
      <w:r w:rsidR="00DB300C" w:rsidRPr="00DB300C">
        <w:rPr>
          <w:rFonts w:ascii="Book Antiqua" w:hAnsi="Book Antiqua" w:hint="eastAsia"/>
          <w:sz w:val="22"/>
          <w:szCs w:val="22"/>
        </w:rPr>
        <w:t>ší</w:t>
      </w:r>
      <w:r w:rsidR="00DB300C" w:rsidRPr="00DB300C">
        <w:rPr>
          <w:rFonts w:ascii="Book Antiqua" w:hAnsi="Book Antiqua"/>
          <w:sz w:val="22"/>
          <w:szCs w:val="22"/>
        </w:rPr>
        <w:t>ch predpisov</w:t>
      </w:r>
    </w:p>
    <w:p w:rsidR="008A7787" w:rsidRPr="009C0176" w:rsidRDefault="008A7787">
      <w:pPr>
        <w:spacing w:before="120" w:line="276" w:lineRule="auto"/>
        <w:jc w:val="both"/>
        <w:rPr>
          <w:rFonts w:ascii="Book Antiqua" w:hAnsi="Book Antiqua"/>
          <w:sz w:val="22"/>
          <w:szCs w:val="22"/>
        </w:rPr>
      </w:pPr>
    </w:p>
    <w:p w:rsidR="00DB300C" w:rsidRDefault="00DB300C" w:rsidP="00DB300C">
      <w:pPr>
        <w:pStyle w:val="Normlnywebov"/>
        <w:spacing w:before="120" w:after="0"/>
        <w:jc w:val="both"/>
      </w:pPr>
      <w:r>
        <w:rPr>
          <w:rFonts w:ascii="Book Antiqua" w:hAnsi="Book Antiqua" w:cs="Book Antiqua"/>
          <w:b/>
          <w:bCs/>
          <w:sz w:val="22"/>
          <w:szCs w:val="22"/>
        </w:rPr>
        <w:t>3. Predmet návrhu zákona:</w:t>
      </w:r>
    </w:p>
    <w:p w:rsidR="00DB300C" w:rsidRDefault="00DB300C" w:rsidP="00DB300C">
      <w:pPr>
        <w:pStyle w:val="Vchodzie"/>
        <w:numPr>
          <w:ilvl w:val="0"/>
          <w:numId w:val="6"/>
        </w:numPr>
        <w:spacing w:before="120" w:after="200" w:line="276" w:lineRule="auto"/>
        <w:ind w:firstLine="0"/>
        <w:jc w:val="both"/>
      </w:pPr>
      <w:r>
        <w:rPr>
          <w:rFonts w:ascii="Book Antiqua" w:hAnsi="Book Antiqua"/>
          <w:sz w:val="22"/>
          <w:szCs w:val="22"/>
        </w:rPr>
        <w:t>nie je upravený v primárnom práve Európskej únie</w:t>
      </w:r>
      <w:r w:rsidR="003546A1">
        <w:rPr>
          <w:rFonts w:ascii="Book Antiqua" w:hAnsi="Book Antiqua"/>
          <w:sz w:val="22"/>
          <w:szCs w:val="22"/>
        </w:rPr>
        <w:t>,</w:t>
      </w:r>
    </w:p>
    <w:p w:rsidR="00DB300C" w:rsidRDefault="00DB300C" w:rsidP="00DB300C">
      <w:pPr>
        <w:pStyle w:val="Normlnywebov"/>
        <w:numPr>
          <w:ilvl w:val="0"/>
          <w:numId w:val="6"/>
        </w:numPr>
        <w:spacing w:before="120" w:after="0" w:line="276" w:lineRule="auto"/>
        <w:ind w:firstLine="0"/>
        <w:jc w:val="both"/>
      </w:pPr>
      <w:r>
        <w:rPr>
          <w:rFonts w:ascii="Book Antiqua" w:hAnsi="Book Antiqua" w:cs="Book Antiqua"/>
          <w:bCs/>
          <w:sz w:val="22"/>
          <w:szCs w:val="22"/>
        </w:rPr>
        <w:t>nie je upravený v sekundárnom práve Európskej únie,</w:t>
      </w:r>
    </w:p>
    <w:p w:rsidR="00DB300C" w:rsidRDefault="00DB300C" w:rsidP="00DB300C">
      <w:pPr>
        <w:pStyle w:val="Normlnywebov"/>
        <w:numPr>
          <w:ilvl w:val="0"/>
          <w:numId w:val="6"/>
        </w:numPr>
        <w:spacing w:before="120" w:after="0" w:line="276" w:lineRule="auto"/>
        <w:ind w:firstLine="0"/>
        <w:jc w:val="both"/>
      </w:pPr>
      <w:r>
        <w:rPr>
          <w:rFonts w:ascii="Book Antiqua" w:hAnsi="Book Antiqua" w:cs="Book Antiqua"/>
          <w:bCs/>
          <w:sz w:val="22"/>
          <w:szCs w:val="22"/>
        </w:rPr>
        <w:t>nie je obsiahnutý v judikatúre Súdneho dvora Európskej únie.</w:t>
      </w:r>
      <w:r>
        <w:rPr>
          <w:rFonts w:ascii="Book Antiqua" w:hAnsi="Book Antiqua" w:cs="Book Antiqua"/>
          <w:sz w:val="22"/>
          <w:szCs w:val="22"/>
        </w:rPr>
        <w:t> </w:t>
      </w:r>
    </w:p>
    <w:p w:rsidR="00DB300C" w:rsidRDefault="00DB300C" w:rsidP="00DB300C">
      <w:pPr>
        <w:pStyle w:val="Normlnywebov"/>
        <w:spacing w:before="120" w:after="0"/>
        <w:jc w:val="both"/>
        <w:rPr>
          <w:rFonts w:ascii="Book Antiqua" w:hAnsi="Book Antiqua" w:cs="Book Antiqua"/>
          <w:b/>
          <w:bCs/>
          <w:sz w:val="22"/>
          <w:szCs w:val="22"/>
        </w:rPr>
      </w:pPr>
    </w:p>
    <w:p w:rsidR="00DB300C" w:rsidRDefault="00DB300C" w:rsidP="00DB300C">
      <w:pPr>
        <w:pStyle w:val="Normlnywebov"/>
        <w:spacing w:before="120" w:after="0"/>
        <w:jc w:val="both"/>
        <w:rPr>
          <w:rFonts w:ascii="Book Antiqua" w:hAnsi="Book Antiqua" w:cs="Book Antiqua"/>
          <w:b/>
          <w:bCs/>
          <w:sz w:val="22"/>
          <w:szCs w:val="22"/>
        </w:rPr>
      </w:pPr>
      <w:r>
        <w:rPr>
          <w:rStyle w:val="awspan"/>
          <w:rFonts w:ascii="Palatino Linotype" w:hAnsi="Palatino Linotype"/>
          <w:b/>
          <w:bCs/>
          <w:color w:val="000000"/>
          <w:sz w:val="22"/>
          <w:szCs w:val="22"/>
        </w:rPr>
        <w:t>Vzhľadom</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na</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to,</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že</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predmet</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návrhu</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zákona</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nie</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je</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upravený</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v práve</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Európskej</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únie,</w:t>
      </w:r>
      <w:r>
        <w:rPr>
          <w:rStyle w:val="awspan"/>
          <w:rFonts w:ascii="Palatino Linotype" w:hAnsi="Palatino Linotype"/>
          <w:b/>
          <w:bCs/>
          <w:color w:val="000000"/>
          <w:spacing w:val="29"/>
          <w:sz w:val="22"/>
          <w:szCs w:val="22"/>
        </w:rPr>
        <w:t xml:space="preserve"> </w:t>
      </w:r>
      <w:r>
        <w:rPr>
          <w:rStyle w:val="awspan"/>
          <w:rFonts w:ascii="Palatino Linotype" w:hAnsi="Palatino Linotype"/>
          <w:b/>
          <w:bCs/>
          <w:color w:val="000000"/>
          <w:sz w:val="22"/>
          <w:szCs w:val="22"/>
        </w:rPr>
        <w:t>je bezpredmetné vyjadrovať sa k bodom 4. a 5.</w:t>
      </w:r>
    </w:p>
    <w:p w:rsidR="008A7787" w:rsidRPr="009C0176" w:rsidRDefault="008A7787">
      <w:pPr>
        <w:spacing w:before="120" w:line="276" w:lineRule="auto"/>
        <w:jc w:val="center"/>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8A7787" w:rsidRPr="009C0176" w:rsidRDefault="008A7787">
      <w:pPr>
        <w:spacing w:before="120" w:line="276" w:lineRule="auto"/>
        <w:rPr>
          <w:rFonts w:ascii="Book Antiqua" w:hAnsi="Book Antiqua"/>
          <w:sz w:val="22"/>
          <w:szCs w:val="22"/>
        </w:rPr>
      </w:pPr>
    </w:p>
    <w:p w:rsidR="005809CB" w:rsidRDefault="005809CB">
      <w:pPr>
        <w:spacing w:before="120" w:line="276" w:lineRule="auto"/>
        <w:jc w:val="center"/>
        <w:rPr>
          <w:rFonts w:ascii="Book Antiqua" w:hAnsi="Book Antiqua"/>
          <w:b/>
          <w:sz w:val="22"/>
          <w:szCs w:val="22"/>
        </w:rPr>
      </w:pPr>
    </w:p>
    <w:p w:rsidR="005809CB" w:rsidRDefault="005809CB">
      <w:pPr>
        <w:spacing w:before="120" w:line="276" w:lineRule="auto"/>
        <w:jc w:val="center"/>
        <w:rPr>
          <w:rFonts w:ascii="Book Antiqua" w:hAnsi="Book Antiqua"/>
          <w:b/>
          <w:sz w:val="22"/>
          <w:szCs w:val="22"/>
        </w:rPr>
      </w:pPr>
    </w:p>
    <w:p w:rsidR="005809CB" w:rsidRDefault="005809CB">
      <w:pPr>
        <w:spacing w:before="120" w:line="276" w:lineRule="auto"/>
        <w:jc w:val="center"/>
        <w:rPr>
          <w:rFonts w:ascii="Book Antiqua" w:hAnsi="Book Antiqua"/>
          <w:b/>
          <w:sz w:val="22"/>
          <w:szCs w:val="22"/>
        </w:rPr>
      </w:pPr>
    </w:p>
    <w:p w:rsidR="008A7787" w:rsidRPr="009C0176" w:rsidRDefault="008A7787">
      <w:pPr>
        <w:spacing w:before="120" w:line="276" w:lineRule="auto"/>
        <w:jc w:val="center"/>
        <w:rPr>
          <w:rFonts w:ascii="Book Antiqua" w:hAnsi="Book Antiqua"/>
          <w:sz w:val="22"/>
          <w:szCs w:val="22"/>
        </w:rPr>
      </w:pPr>
      <w:r w:rsidRPr="009C0176">
        <w:rPr>
          <w:rFonts w:ascii="Book Antiqua" w:hAnsi="Book Antiqua"/>
          <w:b/>
          <w:sz w:val="22"/>
          <w:szCs w:val="22"/>
        </w:rPr>
        <w:lastRenderedPageBreak/>
        <w:t>DOLOŽKA</w:t>
      </w:r>
    </w:p>
    <w:p w:rsidR="008A7787" w:rsidRPr="009C0176" w:rsidRDefault="008A7787">
      <w:pPr>
        <w:spacing w:before="120" w:line="276" w:lineRule="auto"/>
        <w:jc w:val="center"/>
        <w:rPr>
          <w:rFonts w:ascii="Book Antiqua" w:hAnsi="Book Antiqua"/>
          <w:sz w:val="22"/>
          <w:szCs w:val="22"/>
        </w:rPr>
      </w:pPr>
      <w:r w:rsidRPr="009C0176">
        <w:rPr>
          <w:rFonts w:ascii="Book Antiqua" w:hAnsi="Book Antiqua"/>
          <w:b/>
          <w:sz w:val="22"/>
          <w:szCs w:val="22"/>
        </w:rPr>
        <w:t>vybraných vplyvov</w:t>
      </w:r>
    </w:p>
    <w:p w:rsidR="008A7787" w:rsidRPr="009C0176" w:rsidRDefault="008A7787">
      <w:pPr>
        <w:spacing w:before="120" w:line="276" w:lineRule="auto"/>
        <w:rPr>
          <w:rFonts w:ascii="Book Antiqua" w:hAnsi="Book Antiqua"/>
          <w:sz w:val="22"/>
          <w:szCs w:val="22"/>
        </w:rPr>
      </w:pPr>
      <w:r w:rsidRPr="009C0176">
        <w:rPr>
          <w:rFonts w:ascii="Book Antiqua" w:hAnsi="Book Antiqua"/>
          <w:sz w:val="22"/>
          <w:szCs w:val="22"/>
        </w:rPr>
        <w:t> </w:t>
      </w:r>
    </w:p>
    <w:p w:rsidR="003546A1" w:rsidRPr="003546A1" w:rsidRDefault="008A7787">
      <w:pPr>
        <w:spacing w:before="120" w:line="276" w:lineRule="auto"/>
        <w:jc w:val="both"/>
        <w:rPr>
          <w:rFonts w:ascii="Book Antiqua" w:hAnsi="Book Antiqua"/>
          <w:sz w:val="22"/>
          <w:szCs w:val="22"/>
        </w:rPr>
      </w:pPr>
      <w:r w:rsidRPr="009C0176">
        <w:rPr>
          <w:rFonts w:ascii="Book Antiqua" w:hAnsi="Book Antiqua"/>
          <w:b/>
          <w:sz w:val="22"/>
          <w:szCs w:val="22"/>
        </w:rPr>
        <w:t xml:space="preserve">A.1. </w:t>
      </w:r>
      <w:r w:rsidRPr="00994624">
        <w:rPr>
          <w:rFonts w:ascii="Book Antiqua" w:hAnsi="Book Antiqua"/>
          <w:b/>
          <w:sz w:val="22"/>
          <w:szCs w:val="22"/>
        </w:rPr>
        <w:t xml:space="preserve">Názov materiálu: </w:t>
      </w:r>
      <w:r w:rsidR="00DB300C" w:rsidRPr="00994624">
        <w:rPr>
          <w:rFonts w:ascii="Book Antiqua" w:hAnsi="Book Antiqua"/>
          <w:sz w:val="22"/>
          <w:szCs w:val="22"/>
        </w:rPr>
        <w:t xml:space="preserve">návrh zákona, </w:t>
      </w:r>
      <w:r w:rsidR="00DB300C" w:rsidRPr="00DB300C">
        <w:rPr>
          <w:rFonts w:ascii="Book Antiqua" w:hAnsi="Book Antiqua"/>
          <w:sz w:val="22"/>
          <w:szCs w:val="22"/>
        </w:rPr>
        <w:t>ktor</w:t>
      </w:r>
      <w:r w:rsidR="00DB300C" w:rsidRPr="00DB300C">
        <w:rPr>
          <w:rFonts w:ascii="Book Antiqua" w:hAnsi="Book Antiqua" w:hint="eastAsia"/>
          <w:sz w:val="22"/>
          <w:szCs w:val="22"/>
        </w:rPr>
        <w:t>ý</w:t>
      </w:r>
      <w:r w:rsidR="00DB300C" w:rsidRPr="00DB300C">
        <w:rPr>
          <w:rFonts w:ascii="Book Antiqua" w:hAnsi="Book Antiqua"/>
          <w:sz w:val="22"/>
          <w:szCs w:val="22"/>
        </w:rPr>
        <w:t>m sa men</w:t>
      </w:r>
      <w:r w:rsidR="00DB300C" w:rsidRPr="00DB300C">
        <w:rPr>
          <w:rFonts w:ascii="Book Antiqua" w:hAnsi="Book Antiqua" w:hint="eastAsia"/>
          <w:sz w:val="22"/>
          <w:szCs w:val="22"/>
        </w:rPr>
        <w:t>í</w:t>
      </w:r>
      <w:r w:rsidR="00DB300C" w:rsidRPr="00DB300C">
        <w:rPr>
          <w:rFonts w:ascii="Book Antiqua" w:hAnsi="Book Antiqua"/>
          <w:sz w:val="22"/>
          <w:szCs w:val="22"/>
        </w:rPr>
        <w:t xml:space="preserve"> a dop</w:t>
      </w:r>
      <w:r w:rsidR="00DB300C" w:rsidRPr="00DB300C">
        <w:rPr>
          <w:rFonts w:ascii="Book Antiqua" w:hAnsi="Book Antiqua" w:hint="eastAsia"/>
          <w:sz w:val="22"/>
          <w:szCs w:val="22"/>
        </w:rPr>
        <w:t>ĺň</w:t>
      </w:r>
      <w:r w:rsidR="00DB300C" w:rsidRPr="00DB300C">
        <w:rPr>
          <w:rFonts w:ascii="Book Antiqua" w:hAnsi="Book Antiqua"/>
          <w:sz w:val="22"/>
          <w:szCs w:val="22"/>
        </w:rPr>
        <w:t>a z</w:t>
      </w:r>
      <w:r w:rsidR="00DB300C" w:rsidRPr="00DB300C">
        <w:rPr>
          <w:rFonts w:ascii="Book Antiqua" w:hAnsi="Book Antiqua" w:hint="eastAsia"/>
          <w:sz w:val="22"/>
          <w:szCs w:val="22"/>
        </w:rPr>
        <w:t>á</w:t>
      </w:r>
      <w:r w:rsidR="00DB300C" w:rsidRPr="00DB300C">
        <w:rPr>
          <w:rFonts w:ascii="Book Antiqua" w:hAnsi="Book Antiqua"/>
          <w:sz w:val="22"/>
          <w:szCs w:val="22"/>
        </w:rPr>
        <w:t>kon N</w:t>
      </w:r>
      <w:r w:rsidR="00DB300C" w:rsidRPr="00DB300C">
        <w:rPr>
          <w:rFonts w:ascii="Book Antiqua" w:hAnsi="Book Antiqua" w:hint="eastAsia"/>
          <w:sz w:val="22"/>
          <w:szCs w:val="22"/>
        </w:rPr>
        <w:t>á</w:t>
      </w:r>
      <w:r w:rsidR="00DB300C" w:rsidRPr="00DB300C">
        <w:rPr>
          <w:rFonts w:ascii="Book Antiqua" w:hAnsi="Book Antiqua"/>
          <w:sz w:val="22"/>
          <w:szCs w:val="22"/>
        </w:rPr>
        <w:t xml:space="preserve">rodnej rady Slovenskej republiky </w:t>
      </w:r>
      <w:r w:rsidR="00DB300C" w:rsidRPr="00DB300C">
        <w:rPr>
          <w:rFonts w:ascii="Book Antiqua" w:hAnsi="Book Antiqua" w:hint="eastAsia"/>
          <w:sz w:val="22"/>
          <w:szCs w:val="22"/>
        </w:rPr>
        <w:t>č</w:t>
      </w:r>
      <w:r w:rsidR="00DB300C" w:rsidRPr="00DB300C">
        <w:rPr>
          <w:rFonts w:ascii="Book Antiqua" w:hAnsi="Book Antiqua"/>
          <w:sz w:val="22"/>
          <w:szCs w:val="22"/>
        </w:rPr>
        <w:t>. 120/1993 Z. z. o platov</w:t>
      </w:r>
      <w:r w:rsidR="00DB300C" w:rsidRPr="00DB300C">
        <w:rPr>
          <w:rFonts w:ascii="Book Antiqua" w:hAnsi="Book Antiqua" w:hint="eastAsia"/>
          <w:sz w:val="22"/>
          <w:szCs w:val="22"/>
        </w:rPr>
        <w:t>ý</w:t>
      </w:r>
      <w:r w:rsidR="00DB300C" w:rsidRPr="00DB300C">
        <w:rPr>
          <w:rFonts w:ascii="Book Antiqua" w:hAnsi="Book Antiqua"/>
          <w:sz w:val="22"/>
          <w:szCs w:val="22"/>
        </w:rPr>
        <w:t>ch pomeroch niektor</w:t>
      </w:r>
      <w:r w:rsidR="00DB300C" w:rsidRPr="00DB300C">
        <w:rPr>
          <w:rFonts w:ascii="Book Antiqua" w:hAnsi="Book Antiqua" w:hint="eastAsia"/>
          <w:sz w:val="22"/>
          <w:szCs w:val="22"/>
        </w:rPr>
        <w:t>ý</w:t>
      </w:r>
      <w:r w:rsidR="00DB300C" w:rsidRPr="00DB300C">
        <w:rPr>
          <w:rFonts w:ascii="Book Antiqua" w:hAnsi="Book Antiqua"/>
          <w:sz w:val="22"/>
          <w:szCs w:val="22"/>
        </w:rPr>
        <w:t xml:space="preserve">ch </w:t>
      </w:r>
      <w:r w:rsidR="00DB300C" w:rsidRPr="00DB300C">
        <w:rPr>
          <w:rFonts w:ascii="Book Antiqua" w:hAnsi="Book Antiqua" w:hint="eastAsia"/>
          <w:sz w:val="22"/>
          <w:szCs w:val="22"/>
        </w:rPr>
        <w:t>ú</w:t>
      </w:r>
      <w:r w:rsidR="00DB300C" w:rsidRPr="00DB300C">
        <w:rPr>
          <w:rFonts w:ascii="Book Antiqua" w:hAnsi="Book Antiqua"/>
          <w:sz w:val="22"/>
          <w:szCs w:val="22"/>
        </w:rPr>
        <w:t>stavn</w:t>
      </w:r>
      <w:r w:rsidR="00DB300C" w:rsidRPr="00DB300C">
        <w:rPr>
          <w:rFonts w:ascii="Book Antiqua" w:hAnsi="Book Antiqua" w:hint="eastAsia"/>
          <w:sz w:val="22"/>
          <w:szCs w:val="22"/>
        </w:rPr>
        <w:t>ý</w:t>
      </w:r>
      <w:r w:rsidR="00DB300C" w:rsidRPr="00DB300C">
        <w:rPr>
          <w:rFonts w:ascii="Book Antiqua" w:hAnsi="Book Antiqua"/>
          <w:sz w:val="22"/>
          <w:szCs w:val="22"/>
        </w:rPr>
        <w:t xml:space="preserve">ch </w:t>
      </w:r>
      <w:r w:rsidR="00DB300C" w:rsidRPr="00DB300C">
        <w:rPr>
          <w:rFonts w:ascii="Book Antiqua" w:hAnsi="Book Antiqua" w:hint="eastAsia"/>
          <w:sz w:val="22"/>
          <w:szCs w:val="22"/>
        </w:rPr>
        <w:t>č</w:t>
      </w:r>
      <w:r w:rsidR="00DB300C" w:rsidRPr="00DB300C">
        <w:rPr>
          <w:rFonts w:ascii="Book Antiqua" w:hAnsi="Book Antiqua"/>
          <w:sz w:val="22"/>
          <w:szCs w:val="22"/>
        </w:rPr>
        <w:t>inite</w:t>
      </w:r>
      <w:r w:rsidR="00DB300C" w:rsidRPr="00DB300C">
        <w:rPr>
          <w:rFonts w:ascii="Book Antiqua" w:hAnsi="Book Antiqua" w:hint="eastAsia"/>
          <w:sz w:val="22"/>
          <w:szCs w:val="22"/>
        </w:rPr>
        <w:t>ľ</w:t>
      </w:r>
      <w:r w:rsidR="00DB300C" w:rsidRPr="00DB300C">
        <w:rPr>
          <w:rFonts w:ascii="Book Antiqua" w:hAnsi="Book Antiqua"/>
          <w:sz w:val="22"/>
          <w:szCs w:val="22"/>
        </w:rPr>
        <w:t>ov v znen</w:t>
      </w:r>
      <w:r w:rsidR="00DB300C" w:rsidRPr="00DB300C">
        <w:rPr>
          <w:rFonts w:ascii="Book Antiqua" w:hAnsi="Book Antiqua" w:hint="eastAsia"/>
          <w:sz w:val="22"/>
          <w:szCs w:val="22"/>
        </w:rPr>
        <w:t>í</w:t>
      </w:r>
      <w:r w:rsidR="00DB300C" w:rsidRPr="00DB300C">
        <w:rPr>
          <w:rFonts w:ascii="Book Antiqua" w:hAnsi="Book Antiqua"/>
          <w:sz w:val="22"/>
          <w:szCs w:val="22"/>
        </w:rPr>
        <w:t xml:space="preserve"> neskor</w:t>
      </w:r>
      <w:r w:rsidR="00DB300C" w:rsidRPr="00DB300C">
        <w:rPr>
          <w:rFonts w:ascii="Book Antiqua" w:hAnsi="Book Antiqua" w:hint="eastAsia"/>
          <w:sz w:val="22"/>
          <w:szCs w:val="22"/>
        </w:rPr>
        <w:t>ší</w:t>
      </w:r>
      <w:r w:rsidR="00DB300C" w:rsidRPr="00DB300C">
        <w:rPr>
          <w:rFonts w:ascii="Book Antiqua" w:hAnsi="Book Antiqua"/>
          <w:sz w:val="22"/>
          <w:szCs w:val="22"/>
        </w:rPr>
        <w:t>ch predpisov</w:t>
      </w: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b/>
          <w:sz w:val="22"/>
          <w:szCs w:val="22"/>
        </w:rPr>
        <w:t>Termín začatia a ukončenia PPK:</w:t>
      </w:r>
      <w:r w:rsidR="005809CB">
        <w:rPr>
          <w:rFonts w:ascii="Book Antiqua" w:hAnsi="Book Antiqua"/>
          <w:sz w:val="22"/>
          <w:szCs w:val="22"/>
        </w:rPr>
        <w:t xml:space="preserve"> </w:t>
      </w:r>
      <w:r w:rsidRPr="009C0176">
        <w:rPr>
          <w:rFonts w:ascii="Book Antiqua" w:hAnsi="Book Antiqua"/>
          <w:i/>
          <w:sz w:val="22"/>
          <w:szCs w:val="22"/>
        </w:rPr>
        <w:t>bezpredmetné</w:t>
      </w:r>
    </w:p>
    <w:p w:rsidR="005809CB" w:rsidRDefault="005809CB" w:rsidP="005809CB">
      <w:pPr>
        <w:pStyle w:val="Normlnywebov"/>
        <w:spacing w:before="120" w:after="0" w:line="276" w:lineRule="auto"/>
        <w:jc w:val="both"/>
        <w:rPr>
          <w:rFonts w:ascii="Book Antiqua" w:hAnsi="Book Antiqua" w:cs="Book Antiqua"/>
          <w:sz w:val="22"/>
          <w:szCs w:val="22"/>
        </w:rPr>
      </w:pPr>
    </w:p>
    <w:p w:rsidR="005809CB" w:rsidRDefault="005809CB" w:rsidP="005809CB">
      <w:pPr>
        <w:pStyle w:val="Normlnywebov"/>
        <w:spacing w:before="120" w:after="0" w:line="276" w:lineRule="auto"/>
        <w:jc w:val="both"/>
        <w:rPr>
          <w:rFonts w:ascii="Book Antiqua" w:hAnsi="Book Antiqua" w:cs="Book Antiqua"/>
          <w:color w:val="000000"/>
          <w:sz w:val="22"/>
          <w:szCs w:val="22"/>
        </w:rPr>
      </w:pPr>
      <w:r>
        <w:rPr>
          <w:rFonts w:ascii="Book Antiqua" w:hAnsi="Book Antiqua" w:cs="Book Antiqua"/>
          <w:b/>
          <w:bCs/>
          <w:color w:val="000000"/>
          <w:sz w:val="22"/>
          <w:szCs w:val="22"/>
        </w:rPr>
        <w:t>A.2. Vplyvy:</w:t>
      </w:r>
    </w:p>
    <w:tbl>
      <w:tblPr>
        <w:tblW w:w="0" w:type="auto"/>
        <w:tblInd w:w="-7" w:type="dxa"/>
        <w:tblLayout w:type="fixed"/>
        <w:tblCellMar>
          <w:left w:w="0" w:type="dxa"/>
          <w:right w:w="0" w:type="dxa"/>
        </w:tblCellMar>
        <w:tblLook w:val="0000" w:firstRow="0" w:lastRow="0" w:firstColumn="0" w:lastColumn="0" w:noHBand="0" w:noVBand="0"/>
      </w:tblPr>
      <w:tblGrid>
        <w:gridCol w:w="5518"/>
        <w:gridCol w:w="1192"/>
        <w:gridCol w:w="1181"/>
        <w:gridCol w:w="1212"/>
      </w:tblGrid>
      <w:tr w:rsidR="005809CB" w:rsidTr="005C0FAC">
        <w:tc>
          <w:tcPr>
            <w:tcW w:w="5518"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 </w:t>
            </w:r>
          </w:p>
        </w:tc>
        <w:tc>
          <w:tcPr>
            <w:tcW w:w="1192"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Pozitívne </w:t>
            </w:r>
          </w:p>
        </w:tc>
        <w:tc>
          <w:tcPr>
            <w:tcW w:w="1181"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Žiadne </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Negatívne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tcBorders>
            <w:vAlign w:val="center"/>
          </w:tcPr>
          <w:p w:rsidR="005809CB" w:rsidRDefault="000C11EF" w:rsidP="005C0FAC">
            <w:pPr>
              <w:pStyle w:val="Normlnywebov"/>
              <w:spacing w:before="120" w:after="0" w:line="276" w:lineRule="auto"/>
              <w:jc w:val="center"/>
              <w:rPr>
                <w:rFonts w:ascii="Book Antiqua" w:hAnsi="Book Antiqua" w:cs="Book Antiqua"/>
                <w:sz w:val="22"/>
                <w:szCs w:val="22"/>
              </w:rPr>
            </w:pPr>
            <w:r>
              <w:rPr>
                <w:rFonts w:ascii="Book Antiqua" w:hAnsi="Book Antiqua" w:cs="Book Antiqua"/>
                <w:color w:val="000000"/>
                <w:sz w:val="22"/>
                <w:szCs w:val="22"/>
              </w:rPr>
              <w:t>x</w:t>
            </w:r>
            <w:r w:rsidR="005809CB">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jc w:val="center"/>
              <w:rPr>
                <w:rFonts w:ascii="Book Antiqua" w:hAnsi="Book Antiqua" w:cs="Book Antiqua"/>
                <w:color w:val="000000"/>
                <w:sz w:val="22"/>
                <w:szCs w:val="22"/>
              </w:rPr>
            </w:pP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rPr>
                <w:rFonts w:ascii="Book Antiqua" w:hAnsi="Book Antiqua" w:cs="Book Antiqua"/>
                <w:color w:val="000000"/>
                <w:sz w:val="22"/>
                <w:szCs w:val="22"/>
              </w:rPr>
            </w:pPr>
            <w:r w:rsidRPr="003546A1">
              <w:rPr>
                <w:rFonts w:ascii="Book Antiqua" w:hAnsi="Book Antiqua" w:cs="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rPr>
                <w:rFonts w:ascii="Book Antiqua" w:hAnsi="Book Antiqua" w:cs="Book Antiqua"/>
                <w:sz w:val="22"/>
                <w:szCs w:val="22"/>
              </w:rPr>
            </w:pPr>
            <w:r w:rsidRPr="003546A1">
              <w:rPr>
                <w:rFonts w:ascii="Book Antiqua" w:hAnsi="Book Antiqua" w:cs="Book Antiqua"/>
                <w:color w:val="000000"/>
                <w:sz w:val="22"/>
                <w:szCs w:val="22"/>
              </w:rPr>
              <w:t>3. Sociálne vplyvy</w:t>
            </w:r>
          </w:p>
        </w:tc>
        <w:tc>
          <w:tcPr>
            <w:tcW w:w="1192"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sz w:val="22"/>
                <w:szCs w:val="22"/>
              </w:rPr>
            </w:pPr>
          </w:p>
        </w:tc>
        <w:tc>
          <w:tcPr>
            <w:tcW w:w="1181" w:type="dxa"/>
            <w:tcBorders>
              <w:top w:val="single" w:sz="6" w:space="0" w:color="000000"/>
              <w:left w:val="single" w:sz="6" w:space="0" w:color="000000"/>
              <w:bottom w:val="single" w:sz="6" w:space="0" w:color="000000"/>
            </w:tcBorders>
            <w:vAlign w:val="center"/>
          </w:tcPr>
          <w:p w:rsidR="005809CB" w:rsidRPr="003546A1" w:rsidRDefault="00DB300C" w:rsidP="005C0FAC">
            <w:pPr>
              <w:pStyle w:val="Normlnywebov"/>
              <w:snapToGrid w:val="0"/>
              <w:spacing w:before="120" w:after="0" w:line="276" w:lineRule="auto"/>
              <w:jc w:val="center"/>
              <w:rPr>
                <w:rFonts w:ascii="Book Antiqua" w:hAnsi="Book Antiqua" w:cs="Book Antiqua"/>
                <w:sz w:val="22"/>
                <w:szCs w:val="22"/>
              </w:rPr>
            </w:pPr>
            <w:r w:rsidRPr="003546A1">
              <w:rPr>
                <w:rFonts w:ascii="Book Antiqua" w:hAnsi="Book Antiqua" w:cs="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pPr>
            <w:r>
              <w:rPr>
                <w:rFonts w:ascii="Book Antiqua" w:hAnsi="Book Antiqua" w:cs="Book Antiqua"/>
                <w:color w:val="000000"/>
                <w:sz w:val="22"/>
                <w:szCs w:val="22"/>
              </w:rPr>
              <w:t>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rPr>
                <w:rFonts w:ascii="Book Antiqua" w:hAnsi="Book Antiqua" w:cs="Book Antiqua"/>
                <w:color w:val="000000"/>
                <w:sz w:val="22"/>
                <w:szCs w:val="22"/>
              </w:rPr>
            </w:pPr>
            <w:r w:rsidRPr="003546A1">
              <w:rPr>
                <w:rFonts w:ascii="Book Antiqua" w:hAnsi="Book Antiqua" w:cs="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sz w:val="22"/>
                <w:szCs w:val="22"/>
              </w:rPr>
            </w:pPr>
          </w:p>
        </w:tc>
        <w:tc>
          <w:tcPr>
            <w:tcW w:w="1181" w:type="dxa"/>
            <w:tcBorders>
              <w:top w:val="single" w:sz="6" w:space="0" w:color="000000"/>
              <w:left w:val="single" w:sz="6" w:space="0" w:color="000000"/>
              <w:bottom w:val="single" w:sz="6" w:space="0" w:color="000000"/>
            </w:tcBorders>
            <w:vAlign w:val="center"/>
          </w:tcPr>
          <w:p w:rsidR="005809CB" w:rsidRPr="003546A1" w:rsidRDefault="00DB300C" w:rsidP="005C0FAC">
            <w:pPr>
              <w:pStyle w:val="Normlnywebov"/>
              <w:snapToGrid w:val="0"/>
              <w:spacing w:before="120" w:after="0" w:line="276" w:lineRule="auto"/>
              <w:jc w:val="center"/>
              <w:rPr>
                <w:rFonts w:ascii="Book Antiqua" w:hAnsi="Book Antiqua" w:cs="Book Antiqua"/>
                <w:sz w:val="22"/>
                <w:szCs w:val="22"/>
              </w:rPr>
            </w:pPr>
            <w:r w:rsidRPr="003546A1">
              <w:rPr>
                <w:rFonts w:ascii="Book Antiqua" w:hAnsi="Book Antiqua" w:cs="Book Antiqua"/>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rPr>
                <w:rFonts w:ascii="Book Antiqua" w:hAnsi="Book Antiqua" w:cs="Book Antiqua"/>
                <w:color w:val="000000"/>
                <w:sz w:val="22"/>
                <w:szCs w:val="22"/>
              </w:rPr>
            </w:pPr>
            <w:r w:rsidRPr="003546A1">
              <w:rPr>
                <w:rFonts w:ascii="Book Antiqua" w:hAnsi="Book Antiqua" w:cs="Book Antiqua"/>
                <w:color w:val="000000"/>
                <w:sz w:val="22"/>
                <w:szCs w:val="22"/>
              </w:rPr>
              <w:t xml:space="preserve">– sociálnu </w:t>
            </w:r>
            <w:proofErr w:type="spellStart"/>
            <w:r w:rsidRPr="003546A1">
              <w:rPr>
                <w:rFonts w:ascii="Book Antiqua" w:hAnsi="Book Antiqua" w:cs="Book Antiqua"/>
                <w:color w:val="000000"/>
                <w:sz w:val="22"/>
                <w:szCs w:val="22"/>
              </w:rPr>
              <w:t>exklúziu</w:t>
            </w:r>
            <w:proofErr w:type="spellEnd"/>
            <w:r w:rsidRPr="003546A1">
              <w:rPr>
                <w:rFonts w:ascii="Book Antiqua" w:hAnsi="Book Antiqua" w:cs="Book Antiqua"/>
                <w:color w:val="000000"/>
                <w:sz w:val="22"/>
                <w:szCs w:val="22"/>
              </w:rPr>
              <w:t>,</w:t>
            </w:r>
          </w:p>
        </w:tc>
        <w:tc>
          <w:tcPr>
            <w:tcW w:w="1192"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rPr>
                <w:rFonts w:ascii="Book Antiqua" w:hAnsi="Book Antiqua" w:cs="Book Antiqua"/>
                <w:color w:val="000000"/>
                <w:sz w:val="22"/>
                <w:szCs w:val="22"/>
              </w:rPr>
            </w:pPr>
            <w:r w:rsidRPr="003546A1">
              <w:rPr>
                <w:rFonts w:ascii="Book Antiqua" w:hAnsi="Book Antiqua" w:cs="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rPr>
                <w:rFonts w:ascii="Book Antiqua" w:hAnsi="Book Antiqua" w:cs="Book Antiqua"/>
                <w:color w:val="000000"/>
                <w:sz w:val="22"/>
                <w:szCs w:val="22"/>
              </w:rPr>
            </w:pPr>
            <w:r w:rsidRPr="003546A1">
              <w:rPr>
                <w:rFonts w:ascii="Book Antiqua" w:hAnsi="Book Antiqua" w:cs="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5809CB" w:rsidRPr="003546A1" w:rsidRDefault="005809CB" w:rsidP="005C0FAC">
            <w:pPr>
              <w:pStyle w:val="Normlnywebov"/>
              <w:spacing w:before="120" w:after="0" w:line="276" w:lineRule="auto"/>
              <w:jc w:val="center"/>
              <w:rPr>
                <w:rFonts w:ascii="Book Antiqua" w:hAnsi="Book Antiqua" w:cs="Book Antiqua"/>
                <w:color w:val="000000"/>
                <w:sz w:val="22"/>
                <w:szCs w:val="22"/>
              </w:rPr>
            </w:pPr>
            <w:r w:rsidRPr="003546A1">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w:t>
            </w:r>
          </w:p>
        </w:tc>
      </w:tr>
      <w:tr w:rsidR="005809CB" w:rsidTr="005C0FAC">
        <w:tc>
          <w:tcPr>
            <w:tcW w:w="5518"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rPr>
                <w:rFonts w:ascii="Book Antiqua" w:hAnsi="Book Antiqua" w:cs="Book Antiqua"/>
                <w:color w:val="000000"/>
                <w:sz w:val="22"/>
                <w:szCs w:val="22"/>
              </w:rPr>
            </w:pPr>
            <w:r>
              <w:rPr>
                <w:rFonts w:ascii="Book Antiqua" w:hAnsi="Book Antiqua" w:cs="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 </w:t>
            </w:r>
          </w:p>
        </w:tc>
        <w:tc>
          <w:tcPr>
            <w:tcW w:w="1181" w:type="dxa"/>
            <w:tcBorders>
              <w:top w:val="single" w:sz="6" w:space="0" w:color="000000"/>
              <w:left w:val="single" w:sz="6" w:space="0" w:color="000000"/>
              <w:bottom w:val="single" w:sz="6" w:space="0" w:color="000000"/>
            </w:tcBorders>
            <w:vAlign w:val="center"/>
          </w:tcPr>
          <w:p w:rsidR="005809CB" w:rsidRDefault="005809CB" w:rsidP="005C0FAC">
            <w:pPr>
              <w:pStyle w:val="Normlnywebov"/>
              <w:spacing w:before="120" w:after="0" w:line="276" w:lineRule="auto"/>
              <w:jc w:val="center"/>
              <w:rPr>
                <w:rFonts w:ascii="Book Antiqua" w:hAnsi="Book Antiqua" w:cs="Book Antiqua"/>
                <w:color w:val="000000"/>
                <w:sz w:val="22"/>
                <w:szCs w:val="22"/>
              </w:rPr>
            </w:pPr>
            <w:r>
              <w:rPr>
                <w:rFonts w:ascii="Book Antiqua" w:hAnsi="Book Antiqua" w:cs="Book Antiqua"/>
                <w:color w:val="000000"/>
                <w:sz w:val="22"/>
                <w:szCs w:val="22"/>
              </w:rPr>
              <w:t>x</w:t>
            </w:r>
          </w:p>
        </w:tc>
        <w:tc>
          <w:tcPr>
            <w:tcW w:w="1212" w:type="dxa"/>
            <w:tcBorders>
              <w:top w:val="single" w:sz="6" w:space="0" w:color="000000"/>
              <w:left w:val="single" w:sz="6" w:space="0" w:color="000000"/>
              <w:bottom w:val="single" w:sz="6" w:space="0" w:color="000000"/>
              <w:right w:val="single" w:sz="6" w:space="0" w:color="000000"/>
            </w:tcBorders>
            <w:vAlign w:val="center"/>
          </w:tcPr>
          <w:p w:rsidR="005809CB" w:rsidRDefault="005809CB" w:rsidP="005C0FAC">
            <w:pPr>
              <w:pStyle w:val="Normlnywebov"/>
              <w:spacing w:before="120" w:after="0" w:line="276" w:lineRule="auto"/>
              <w:jc w:val="center"/>
            </w:pPr>
            <w:r>
              <w:rPr>
                <w:rFonts w:ascii="Book Antiqua" w:hAnsi="Book Antiqua" w:cs="Book Antiqua"/>
                <w:color w:val="000000"/>
                <w:sz w:val="22"/>
                <w:szCs w:val="22"/>
              </w:rPr>
              <w:t> </w:t>
            </w:r>
          </w:p>
        </w:tc>
      </w:tr>
    </w:tbl>
    <w:p w:rsidR="008A7787" w:rsidRPr="00C80EB5" w:rsidRDefault="005809CB" w:rsidP="00C80EB5">
      <w:pPr>
        <w:pStyle w:val="Normlnywebov"/>
        <w:spacing w:before="120" w:after="0" w:line="276" w:lineRule="auto"/>
        <w:rPr>
          <w:rFonts w:ascii="Book Antiqua" w:hAnsi="Book Antiqua" w:cs="Book Antiqua"/>
          <w:b/>
          <w:bCs/>
          <w:color w:val="000000"/>
          <w:sz w:val="22"/>
          <w:szCs w:val="22"/>
        </w:rPr>
      </w:pPr>
      <w:r>
        <w:rPr>
          <w:rFonts w:ascii="Book Antiqua" w:hAnsi="Book Antiqua" w:cs="Book Antiqua"/>
          <w:color w:val="000000"/>
          <w:sz w:val="22"/>
          <w:szCs w:val="22"/>
        </w:rPr>
        <w:t> </w:t>
      </w:r>
      <w:r w:rsidR="008A7787" w:rsidRPr="00C80EB5">
        <w:rPr>
          <w:rFonts w:ascii="Book Antiqua" w:hAnsi="Book Antiqua"/>
          <w:b/>
          <w:sz w:val="22"/>
          <w:szCs w:val="22"/>
        </w:rPr>
        <w:t>A.3. Poznámky</w:t>
      </w:r>
    </w:p>
    <w:p w:rsidR="000C11EF" w:rsidRDefault="003546A1">
      <w:pPr>
        <w:spacing w:before="120" w:line="276" w:lineRule="auto"/>
        <w:jc w:val="both"/>
        <w:rPr>
          <w:rFonts w:ascii="Book Antiqua" w:hAnsi="Book Antiqua"/>
          <w:sz w:val="22"/>
          <w:szCs w:val="22"/>
        </w:rPr>
      </w:pPr>
      <w:r w:rsidRPr="00C80EB5">
        <w:rPr>
          <w:rFonts w:ascii="Book Antiqua" w:hAnsi="Book Antiqua"/>
          <w:sz w:val="22"/>
          <w:szCs w:val="22"/>
        </w:rPr>
        <w:t xml:space="preserve">Predpokladá sa pozitívny dopad na rozpočet verejnej správy. Ak vychádzame z toho, že </w:t>
      </w:r>
      <w:r w:rsidR="00406EFD" w:rsidRPr="00C80EB5">
        <w:rPr>
          <w:rFonts w:ascii="Book Antiqua" w:hAnsi="Book Antiqua"/>
          <w:sz w:val="22"/>
          <w:szCs w:val="22"/>
        </w:rPr>
        <w:t>hrubý mesačný plat</w:t>
      </w:r>
      <w:r w:rsidRPr="00C80EB5">
        <w:rPr>
          <w:rFonts w:ascii="Book Antiqua" w:hAnsi="Book Antiqua"/>
          <w:sz w:val="22"/>
          <w:szCs w:val="22"/>
        </w:rPr>
        <w:t xml:space="preserve"> poslanca</w:t>
      </w:r>
      <w:r w:rsidR="00406EFD" w:rsidRPr="00C80EB5">
        <w:rPr>
          <w:rFonts w:ascii="Book Antiqua" w:hAnsi="Book Antiqua"/>
          <w:sz w:val="22"/>
          <w:szCs w:val="22"/>
        </w:rPr>
        <w:t xml:space="preserve"> (bez funkčných príplatkov, paušálnych náhrad a náhrad ďalších výdavkov) v súčasnosti predstavuje sumu 3039 eur</w:t>
      </w:r>
      <w:r w:rsidR="00133939" w:rsidRPr="00C80EB5">
        <w:rPr>
          <w:rFonts w:ascii="Book Antiqua" w:hAnsi="Book Antiqua"/>
          <w:sz w:val="22"/>
          <w:szCs w:val="22"/>
        </w:rPr>
        <w:t>,</w:t>
      </w:r>
      <w:r w:rsidRPr="00C80EB5">
        <w:rPr>
          <w:rFonts w:ascii="Book Antiqua" w:hAnsi="Book Antiqua"/>
          <w:sz w:val="22"/>
          <w:szCs w:val="22"/>
        </w:rPr>
        <w:t xml:space="preserve"> </w:t>
      </w:r>
      <w:r w:rsidR="00133939" w:rsidRPr="00C80EB5">
        <w:rPr>
          <w:rFonts w:ascii="Book Antiqua" w:hAnsi="Book Antiqua"/>
          <w:sz w:val="22"/>
          <w:szCs w:val="22"/>
        </w:rPr>
        <w:t xml:space="preserve">štátny rozpočet môže ušetriť na nároku poslancov na plat po zániku poslaneckého mandátu </w:t>
      </w:r>
      <w:r w:rsidR="00C80EB5" w:rsidRPr="00C80EB5">
        <w:rPr>
          <w:rFonts w:ascii="Book Antiqua" w:hAnsi="Book Antiqua"/>
          <w:sz w:val="22"/>
          <w:szCs w:val="22"/>
        </w:rPr>
        <w:t xml:space="preserve">(t.j. na zrušení odstupného pre poslancov) </w:t>
      </w:r>
      <w:r w:rsidR="00133939" w:rsidRPr="00C80EB5">
        <w:rPr>
          <w:rFonts w:ascii="Book Antiqua" w:hAnsi="Book Antiqua"/>
          <w:sz w:val="22"/>
          <w:szCs w:val="22"/>
        </w:rPr>
        <w:t>až 1 367 550 eur</w:t>
      </w:r>
      <w:r w:rsidR="00C80EB5" w:rsidRPr="00C80EB5">
        <w:rPr>
          <w:rFonts w:ascii="Book Antiqua" w:hAnsi="Book Antiqua"/>
          <w:sz w:val="22"/>
          <w:szCs w:val="22"/>
        </w:rPr>
        <w:t xml:space="preserve"> v príslušnom období, ktorým je zvyčajne 4-ročné volebné obdobie</w:t>
      </w:r>
      <w:r w:rsidR="00133939" w:rsidRPr="00C80EB5">
        <w:rPr>
          <w:rFonts w:ascii="Book Antiqua" w:hAnsi="Book Antiqua"/>
          <w:sz w:val="22"/>
          <w:szCs w:val="22"/>
        </w:rPr>
        <w:t>.</w:t>
      </w:r>
      <w:r w:rsidR="00C80EB5" w:rsidRPr="00C80EB5">
        <w:rPr>
          <w:rFonts w:ascii="Book Antiqua" w:hAnsi="Book Antiqua"/>
          <w:sz w:val="22"/>
          <w:szCs w:val="22"/>
        </w:rPr>
        <w:t xml:space="preserve"> Návrh zákona nemá vplyv na podnikateľské prostredie, životné prostredie alebo informatizáciu a nepredpokladajú sa ani sociálne vplyvy.</w:t>
      </w:r>
    </w:p>
    <w:p w:rsidR="00C80EB5" w:rsidRDefault="00C80EB5">
      <w:pPr>
        <w:spacing w:before="120" w:line="276" w:lineRule="auto"/>
        <w:jc w:val="both"/>
        <w:rPr>
          <w:rFonts w:ascii="Book Antiqua" w:hAnsi="Book Antiqua"/>
          <w:sz w:val="22"/>
          <w:szCs w:val="22"/>
        </w:rPr>
      </w:pP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b/>
          <w:sz w:val="22"/>
          <w:szCs w:val="22"/>
        </w:rPr>
        <w:t>A.4. Alternatívne riešenia</w:t>
      </w: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i/>
          <w:sz w:val="22"/>
          <w:szCs w:val="22"/>
        </w:rPr>
        <w:t>bezpredmetné</w:t>
      </w:r>
    </w:p>
    <w:p w:rsidR="008A7787" w:rsidRPr="009C0176" w:rsidRDefault="008A7787">
      <w:pPr>
        <w:spacing w:before="120" w:line="276" w:lineRule="auto"/>
        <w:jc w:val="both"/>
        <w:rPr>
          <w:rFonts w:ascii="Book Antiqua" w:hAnsi="Book Antiqua"/>
          <w:sz w:val="22"/>
          <w:szCs w:val="22"/>
        </w:rPr>
      </w:pPr>
    </w:p>
    <w:p w:rsidR="008A7787" w:rsidRPr="009C0176" w:rsidRDefault="008A7787">
      <w:pPr>
        <w:spacing w:before="120" w:line="276" w:lineRule="auto"/>
        <w:jc w:val="both"/>
        <w:rPr>
          <w:rFonts w:ascii="Book Antiqua" w:hAnsi="Book Antiqua"/>
          <w:sz w:val="22"/>
          <w:szCs w:val="22"/>
        </w:rPr>
      </w:pPr>
      <w:r w:rsidRPr="009C0176">
        <w:rPr>
          <w:rFonts w:ascii="Book Antiqua" w:hAnsi="Book Antiqua"/>
          <w:b/>
          <w:sz w:val="22"/>
          <w:szCs w:val="22"/>
        </w:rPr>
        <w:t>A.5. Stanovisko gestorov</w:t>
      </w:r>
    </w:p>
    <w:p w:rsidR="008A7787" w:rsidRPr="009C0176" w:rsidRDefault="008A7787" w:rsidP="003546A1">
      <w:pPr>
        <w:spacing w:before="120" w:line="276" w:lineRule="auto"/>
        <w:jc w:val="both"/>
        <w:rPr>
          <w:rFonts w:ascii="Book Antiqua" w:hAnsi="Book Antiqua"/>
          <w:sz w:val="22"/>
          <w:szCs w:val="22"/>
        </w:rPr>
      </w:pPr>
      <w:r w:rsidRPr="009C0176">
        <w:rPr>
          <w:rFonts w:ascii="Book Antiqua" w:hAnsi="Book Antiqua"/>
          <w:i/>
          <w:sz w:val="22"/>
          <w:szCs w:val="22"/>
        </w:rPr>
        <w:t>Návrh zákona bol zaslaný na vyjadrenie Ministerstvu financií SR a stanovisko tohto ministerstva tvorí súčasť predkladaného materiálu.</w:t>
      </w:r>
    </w:p>
    <w:sectPr w:rsidR="008A7787" w:rsidRPr="009C0176">
      <w:footerReference w:type="default" r:id="rId7"/>
      <w:footerReference w:type="first" r:id="rId8"/>
      <w:type w:val="continuous"/>
      <w:pgSz w:w="11906" w:h="16838"/>
      <w:pgMar w:top="1417" w:right="1417" w:bottom="1417" w:left="1417" w:header="708" w:footer="708"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C1" w:rsidRDefault="00BC1DC1">
      <w:r>
        <w:separator/>
      </w:r>
    </w:p>
  </w:endnote>
  <w:endnote w:type="continuationSeparator" w:id="0">
    <w:p w:rsidR="00BC1DC1" w:rsidRDefault="00BC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roman"/>
    <w:pitch w:val="variable"/>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87" w:rsidRDefault="003146F3">
    <w:pPr>
      <w:tabs>
        <w:tab w:val="center" w:pos="4536"/>
        <w:tab w:val="right" w:pos="9072"/>
      </w:tabs>
      <w:ind w:right="360"/>
      <w:rPr>
        <w:sz w:val="24"/>
        <w:szCs w:val="24"/>
      </w:rPr>
    </w:pPr>
    <w:r>
      <w:rPr>
        <w:noProof/>
        <w:lang w:eastAsia="sk-SK" w:bidi="ar-SA"/>
      </w:rPr>
      <w:drawing>
        <wp:anchor distT="0" distB="0" distL="114300" distR="114300" simplePos="0" relativeHeight="251659264" behindDoc="1" locked="0" layoutInCell="0" allowOverlap="1">
          <wp:simplePos x="0" y="0"/>
          <wp:positionH relativeFrom="column">
            <wp:posOffset>6502400</wp:posOffset>
          </wp:positionH>
          <wp:positionV relativeFrom="paragraph">
            <wp:posOffset>0</wp:posOffset>
          </wp:positionV>
          <wp:extent cx="161925" cy="35941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 cy="3594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87" w:rsidRDefault="008A778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C1" w:rsidRDefault="00BC1DC1">
      <w:r>
        <w:rPr>
          <w:rFonts w:ascii="Liberation Serif" w:eastAsiaTheme="minorEastAsia"/>
          <w:color w:val="auto"/>
          <w:kern w:val="0"/>
          <w:sz w:val="24"/>
          <w:szCs w:val="24"/>
          <w:lang w:eastAsia="sk-SK" w:bidi="ar-SA"/>
        </w:rPr>
        <w:separator/>
      </w:r>
    </w:p>
  </w:footnote>
  <w:footnote w:type="continuationSeparator" w:id="0">
    <w:p w:rsidR="00BC1DC1" w:rsidRDefault="00BC1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eastAsia="Times New Roman" w:cs="Times New Roman"/>
        <w:b w:val="0"/>
        <w:bCs w:val="0"/>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Liberation Serif" w:eastAsia="Times New Roman" w:hAnsi="Liberation Serif"/>
      </w:rPr>
    </w:lvl>
    <w:lvl w:ilvl="1">
      <w:start w:val="1"/>
      <w:numFmt w:val="bullet"/>
      <w:lvlText w:val="o"/>
      <w:lvlJc w:val="left"/>
      <w:pPr>
        <w:ind w:left="1080" w:hanging="360"/>
      </w:pPr>
      <w:rPr>
        <w:rFonts w:ascii="Liberation Serif" w:eastAsia="Times New Roman" w:hAnsi="Liberation Serif"/>
      </w:rPr>
    </w:lvl>
    <w:lvl w:ilvl="2">
      <w:start w:val="2"/>
      <w:numFmt w:val="lowerLetter"/>
      <w:lvlText w:val="%3)"/>
      <w:lvlJc w:val="left"/>
      <w:pPr>
        <w:ind w:left="1440" w:hanging="360"/>
      </w:pPr>
      <w:rPr>
        <w:rFonts w:cs="Times New Roman"/>
      </w:rPr>
    </w:lvl>
    <w:lvl w:ilvl="3">
      <w:start w:val="4"/>
      <w:numFmt w:val="decimal"/>
      <w:lvlText w:val="%4."/>
      <w:lvlJc w:val="left"/>
      <w:pPr>
        <w:ind w:left="1800" w:hanging="360"/>
      </w:pPr>
      <w:rPr>
        <w:rFonts w:eastAsia="Times New Roman" w:cs="Times New Roman"/>
        <w:b/>
        <w:bCs/>
      </w:rPr>
    </w:lvl>
    <w:lvl w:ilvl="4">
      <w:start w:val="1"/>
      <w:numFmt w:val="bullet"/>
      <w:lvlText w:val="o"/>
      <w:lvlJc w:val="left"/>
      <w:pPr>
        <w:ind w:left="2160" w:hanging="360"/>
      </w:pPr>
      <w:rPr>
        <w:rFonts w:ascii="Liberation Serif" w:eastAsia="Times New Roman" w:hAnsi="Liberation Serif"/>
      </w:rPr>
    </w:lvl>
    <w:lvl w:ilvl="5">
      <w:start w:val="1"/>
      <w:numFmt w:val="bullet"/>
      <w:lvlText w:val="▪"/>
      <w:lvlJc w:val="left"/>
      <w:pPr>
        <w:ind w:left="2520" w:hanging="360"/>
      </w:pPr>
      <w:rPr>
        <w:rFonts w:ascii="Liberation Serif" w:eastAsia="Times New Roman" w:hAnsi="Liberation Serif"/>
      </w:rPr>
    </w:lvl>
    <w:lvl w:ilvl="6">
      <w:start w:val="1"/>
      <w:numFmt w:val="bullet"/>
      <w:lvlText w:val="●"/>
      <w:lvlJc w:val="left"/>
      <w:pPr>
        <w:ind w:left="2880" w:hanging="360"/>
      </w:pPr>
      <w:rPr>
        <w:rFonts w:ascii="Liberation Serif" w:eastAsia="Times New Roman" w:hAnsi="Liberation Serif"/>
      </w:rPr>
    </w:lvl>
    <w:lvl w:ilvl="7">
      <w:start w:val="1"/>
      <w:numFmt w:val="bullet"/>
      <w:lvlText w:val="o"/>
      <w:lvlJc w:val="left"/>
      <w:pPr>
        <w:ind w:left="3240" w:hanging="360"/>
      </w:pPr>
      <w:rPr>
        <w:rFonts w:ascii="Liberation Serif" w:eastAsia="Times New Roman" w:hAnsi="Liberation Serif"/>
      </w:rPr>
    </w:lvl>
    <w:lvl w:ilvl="8">
      <w:start w:val="1"/>
      <w:numFmt w:val="bullet"/>
      <w:lvlText w:val="▪"/>
      <w:lvlJc w:val="left"/>
      <w:pPr>
        <w:ind w:left="3600" w:hanging="360"/>
      </w:pPr>
      <w:rPr>
        <w:rFonts w:ascii="Liberation Serif" w:eastAsia="Times New Roman" w:hAnsi="Liberation Serif"/>
      </w:rPr>
    </w:lvl>
  </w:abstractNum>
  <w:abstractNum w:abstractNumId="3" w15:restartNumberingAfterBreak="0">
    <w:nsid w:val="00000004"/>
    <w:multiLevelType w:val="multilevel"/>
    <w:tmpl w:val="00000004"/>
    <w:lvl w:ilvl="0">
      <w:start w:val="5"/>
      <w:numFmt w:val="decimal"/>
      <w:lvlText w:val="%1."/>
      <w:lvlJc w:val="left"/>
      <w:pPr>
        <w:ind w:left="720" w:hanging="360"/>
      </w:pPr>
      <w:rPr>
        <w:rFonts w:cs="Times New Roman"/>
      </w:rPr>
    </w:lvl>
    <w:lvl w:ilvl="1">
      <w:start w:val="6"/>
      <w:numFmt w:val="decimal"/>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4" w15:restartNumberingAfterBreak="0">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15:restartNumberingAfterBreak="0">
    <w:nsid w:val="1C2144FE"/>
    <w:multiLevelType w:val="multilevel"/>
    <w:tmpl w:val="F58A6A08"/>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87"/>
    <w:rsid w:val="00086516"/>
    <w:rsid w:val="00087E6E"/>
    <w:rsid w:val="000C11EF"/>
    <w:rsid w:val="000C7A15"/>
    <w:rsid w:val="000E24D0"/>
    <w:rsid w:val="00113E7A"/>
    <w:rsid w:val="00133939"/>
    <w:rsid w:val="00176788"/>
    <w:rsid w:val="00245599"/>
    <w:rsid w:val="002F0045"/>
    <w:rsid w:val="003127DE"/>
    <w:rsid w:val="003146F3"/>
    <w:rsid w:val="003546A1"/>
    <w:rsid w:val="003B00DA"/>
    <w:rsid w:val="00406EFD"/>
    <w:rsid w:val="00412A68"/>
    <w:rsid w:val="004A345A"/>
    <w:rsid w:val="004E317A"/>
    <w:rsid w:val="00560B18"/>
    <w:rsid w:val="005809CB"/>
    <w:rsid w:val="005C0FAC"/>
    <w:rsid w:val="006227D0"/>
    <w:rsid w:val="00667BB1"/>
    <w:rsid w:val="006B6DA8"/>
    <w:rsid w:val="0070697B"/>
    <w:rsid w:val="00763B3C"/>
    <w:rsid w:val="007734C4"/>
    <w:rsid w:val="00785943"/>
    <w:rsid w:val="007A27CA"/>
    <w:rsid w:val="007B40C2"/>
    <w:rsid w:val="007C64EF"/>
    <w:rsid w:val="007D2BCC"/>
    <w:rsid w:val="008622D1"/>
    <w:rsid w:val="008A1D4C"/>
    <w:rsid w:val="008A7787"/>
    <w:rsid w:val="00907797"/>
    <w:rsid w:val="0091254F"/>
    <w:rsid w:val="009479D5"/>
    <w:rsid w:val="00994624"/>
    <w:rsid w:val="009C0176"/>
    <w:rsid w:val="00A34137"/>
    <w:rsid w:val="00A56282"/>
    <w:rsid w:val="00A970BC"/>
    <w:rsid w:val="00B604AD"/>
    <w:rsid w:val="00B60CE9"/>
    <w:rsid w:val="00BC1DC1"/>
    <w:rsid w:val="00BE626E"/>
    <w:rsid w:val="00C040F4"/>
    <w:rsid w:val="00C41190"/>
    <w:rsid w:val="00C50DE8"/>
    <w:rsid w:val="00C71E7B"/>
    <w:rsid w:val="00C80EB5"/>
    <w:rsid w:val="00C93C82"/>
    <w:rsid w:val="00CA37B4"/>
    <w:rsid w:val="00CB12ED"/>
    <w:rsid w:val="00CC493D"/>
    <w:rsid w:val="00D60065"/>
    <w:rsid w:val="00DB300C"/>
    <w:rsid w:val="00E16397"/>
    <w:rsid w:val="00EC612A"/>
    <w:rsid w:val="00ED21D3"/>
    <w:rsid w:val="00F714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B14C323-BC50-4E62-9552-72DF77E1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autoSpaceDE w:val="0"/>
      <w:autoSpaceDN w:val="0"/>
      <w:adjustRightInd w:val="0"/>
      <w:spacing w:after="0" w:line="240" w:lineRule="auto"/>
    </w:pPr>
    <w:rPr>
      <w:rFonts w:ascii="Times New Roman" w:eastAsia="Times New Roman" w:hAnsi="Liberation Serif"/>
      <w:color w:val="000000"/>
      <w:kern w:val="1"/>
      <w:sz w:val="20"/>
      <w:szCs w:val="20"/>
      <w:lang w:eastAsia="zh-CN" w:bidi="hi-IN"/>
    </w:rPr>
  </w:style>
  <w:style w:type="paragraph" w:styleId="Nadpis1">
    <w:name w:val="heading 1"/>
    <w:basedOn w:val="Normlny"/>
    <w:link w:val="Nadpis1Char"/>
    <w:uiPriority w:val="99"/>
    <w:qFormat/>
    <w:pPr>
      <w:keepNext/>
      <w:keepLines/>
      <w:suppressAutoHyphens w:val="0"/>
      <w:spacing w:before="480" w:after="120"/>
      <w:outlineLvl w:val="0"/>
    </w:pPr>
    <w:rPr>
      <w:b/>
      <w:bCs/>
      <w:kern w:val="0"/>
      <w:sz w:val="48"/>
      <w:szCs w:val="48"/>
      <w:lang w:eastAsia="sk-SK" w:bidi="ar-SA"/>
    </w:rPr>
  </w:style>
  <w:style w:type="paragraph" w:styleId="Nadpis2">
    <w:name w:val="heading 2"/>
    <w:basedOn w:val="Normlny"/>
    <w:link w:val="Nadpis2Char"/>
    <w:uiPriority w:val="99"/>
    <w:qFormat/>
    <w:pPr>
      <w:keepNext/>
      <w:keepLines/>
      <w:suppressAutoHyphens w:val="0"/>
      <w:spacing w:before="360" w:after="80"/>
      <w:outlineLvl w:val="1"/>
    </w:pPr>
    <w:rPr>
      <w:b/>
      <w:bCs/>
      <w:kern w:val="0"/>
      <w:sz w:val="36"/>
      <w:szCs w:val="36"/>
      <w:lang w:eastAsia="sk-SK" w:bidi="ar-SA"/>
    </w:rPr>
  </w:style>
  <w:style w:type="paragraph" w:styleId="Nadpis3">
    <w:name w:val="heading 3"/>
    <w:basedOn w:val="Normlny"/>
    <w:link w:val="Nadpis3Char"/>
    <w:uiPriority w:val="99"/>
    <w:qFormat/>
    <w:pPr>
      <w:keepNext/>
      <w:keepLines/>
      <w:suppressAutoHyphens w:val="0"/>
      <w:spacing w:before="280" w:after="80"/>
      <w:outlineLvl w:val="2"/>
    </w:pPr>
    <w:rPr>
      <w:b/>
      <w:bCs/>
      <w:kern w:val="0"/>
      <w:sz w:val="28"/>
      <w:szCs w:val="28"/>
      <w:lang w:eastAsia="sk-SK" w:bidi="ar-SA"/>
    </w:rPr>
  </w:style>
  <w:style w:type="paragraph" w:styleId="Nadpis4">
    <w:name w:val="heading 4"/>
    <w:basedOn w:val="Normlny"/>
    <w:link w:val="Nadpis4Char"/>
    <w:uiPriority w:val="99"/>
    <w:qFormat/>
    <w:pPr>
      <w:keepNext/>
      <w:keepLines/>
      <w:suppressAutoHyphens w:val="0"/>
      <w:spacing w:before="240" w:after="40"/>
      <w:outlineLvl w:val="3"/>
    </w:pPr>
    <w:rPr>
      <w:b/>
      <w:bCs/>
      <w:kern w:val="0"/>
      <w:sz w:val="24"/>
      <w:szCs w:val="24"/>
      <w:lang w:eastAsia="sk-SK" w:bidi="ar-SA"/>
    </w:rPr>
  </w:style>
  <w:style w:type="paragraph" w:styleId="Nadpis5">
    <w:name w:val="heading 5"/>
    <w:basedOn w:val="Normlny"/>
    <w:link w:val="Nadpis5Char"/>
    <w:uiPriority w:val="99"/>
    <w:qFormat/>
    <w:pPr>
      <w:keepNext/>
      <w:keepLines/>
      <w:suppressAutoHyphens w:val="0"/>
      <w:spacing w:before="220" w:after="40"/>
      <w:outlineLvl w:val="4"/>
    </w:pPr>
    <w:rPr>
      <w:b/>
      <w:bCs/>
      <w:kern w:val="0"/>
      <w:sz w:val="22"/>
      <w:szCs w:val="22"/>
      <w:lang w:eastAsia="sk-SK" w:bidi="ar-SA"/>
    </w:rPr>
  </w:style>
  <w:style w:type="paragraph" w:styleId="Nadpis6">
    <w:name w:val="heading 6"/>
    <w:basedOn w:val="Normlny"/>
    <w:link w:val="Nadpis6Char"/>
    <w:uiPriority w:val="99"/>
    <w:qFormat/>
    <w:pPr>
      <w:keepNext/>
      <w:keepLines/>
      <w:suppressAutoHyphens w:val="0"/>
      <w:spacing w:before="200" w:after="40"/>
      <w:outlineLvl w:val="5"/>
    </w:pPr>
    <w:rPr>
      <w:b/>
      <w:bCs/>
      <w:kern w:val="0"/>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Mangal"/>
      <w:b/>
      <w:bCs/>
      <w:color w:val="000000"/>
      <w:kern w:val="32"/>
      <w:sz w:val="29"/>
      <w:szCs w:val="29"/>
      <w:lang w:val="x-none" w:eastAsia="zh-CN" w:bidi="hi-IN"/>
    </w:rPr>
  </w:style>
  <w:style w:type="character" w:customStyle="1" w:styleId="Nadpis2Char">
    <w:name w:val="Nadpis 2 Char"/>
    <w:basedOn w:val="Predvolenpsmoodseku"/>
    <w:link w:val="Nadpis2"/>
    <w:uiPriority w:val="9"/>
    <w:semiHidden/>
    <w:locked/>
    <w:rPr>
      <w:rFonts w:asciiTheme="majorHAnsi" w:eastAsiaTheme="majorEastAsia" w:hAnsiTheme="majorHAnsi" w:cs="Mangal"/>
      <w:b/>
      <w:bCs/>
      <w:i/>
      <w:iCs/>
      <w:color w:val="000000"/>
      <w:kern w:val="1"/>
      <w:sz w:val="25"/>
      <w:szCs w:val="25"/>
      <w:lang w:val="x-none" w:eastAsia="zh-CN" w:bidi="hi-IN"/>
    </w:rPr>
  </w:style>
  <w:style w:type="character" w:customStyle="1" w:styleId="Nadpis3Char">
    <w:name w:val="Nadpis 3 Char"/>
    <w:basedOn w:val="Predvolenpsmoodseku"/>
    <w:link w:val="Nadpis3"/>
    <w:uiPriority w:val="9"/>
    <w:semiHidden/>
    <w:locked/>
    <w:rPr>
      <w:rFonts w:asciiTheme="majorHAnsi" w:eastAsiaTheme="majorEastAsia" w:hAnsiTheme="majorHAnsi" w:cs="Mangal"/>
      <w:b/>
      <w:bCs/>
      <w:color w:val="000000"/>
      <w:kern w:val="1"/>
      <w:sz w:val="23"/>
      <w:szCs w:val="23"/>
      <w:lang w:val="x-none" w:eastAsia="zh-CN" w:bidi="hi-IN"/>
    </w:rPr>
  </w:style>
  <w:style w:type="character" w:customStyle="1" w:styleId="Nadpis4Char">
    <w:name w:val="Nadpis 4 Char"/>
    <w:basedOn w:val="Predvolenpsmoodseku"/>
    <w:link w:val="Nadpis4"/>
    <w:uiPriority w:val="9"/>
    <w:semiHidden/>
    <w:locked/>
    <w:rPr>
      <w:rFonts w:cs="Mangal"/>
      <w:b/>
      <w:bCs/>
      <w:color w:val="000000"/>
      <w:kern w:val="1"/>
      <w:sz w:val="25"/>
      <w:szCs w:val="25"/>
      <w:lang w:val="x-none" w:eastAsia="zh-CN" w:bidi="hi-IN"/>
    </w:rPr>
  </w:style>
  <w:style w:type="character" w:customStyle="1" w:styleId="Nadpis5Char">
    <w:name w:val="Nadpis 5 Char"/>
    <w:basedOn w:val="Predvolenpsmoodseku"/>
    <w:link w:val="Nadpis5"/>
    <w:uiPriority w:val="9"/>
    <w:semiHidden/>
    <w:locked/>
    <w:rPr>
      <w:rFonts w:cs="Mangal"/>
      <w:b/>
      <w:bCs/>
      <w:i/>
      <w:iCs/>
      <w:color w:val="000000"/>
      <w:kern w:val="1"/>
      <w:sz w:val="23"/>
      <w:szCs w:val="23"/>
      <w:lang w:val="x-none" w:eastAsia="zh-CN" w:bidi="hi-IN"/>
    </w:rPr>
  </w:style>
  <w:style w:type="character" w:customStyle="1" w:styleId="Nadpis6Char">
    <w:name w:val="Nadpis 6 Char"/>
    <w:basedOn w:val="Predvolenpsmoodseku"/>
    <w:link w:val="Nadpis6"/>
    <w:uiPriority w:val="9"/>
    <w:semiHidden/>
    <w:locked/>
    <w:rPr>
      <w:rFonts w:cs="Mangal"/>
      <w:b/>
      <w:bCs/>
      <w:color w:val="000000"/>
      <w:kern w:val="1"/>
      <w:sz w:val="20"/>
      <w:szCs w:val="20"/>
      <w:lang w:val="x-none" w:eastAsia="zh-CN" w:bidi="hi-IN"/>
    </w:rPr>
  </w:style>
  <w:style w:type="character" w:customStyle="1" w:styleId="ListLabel1">
    <w:name w:val="ListLabel 1"/>
    <w:uiPriority w:val="99"/>
    <w:rPr>
      <w:rFonts w:ascii="Book Antiqua" w:eastAsia="Times New Roman"/>
      <w:sz w:val="22"/>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ascii="Book Antiqua" w:eastAsia="Times New Roman"/>
      <w:b/>
      <w:sz w:val="22"/>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InternetLink">
    <w:name w:val="Internet Link"/>
    <w:uiPriority w:val="99"/>
    <w:rPr>
      <w:color w:val="000080"/>
      <w:u w:val="single"/>
    </w:rPr>
  </w:style>
  <w:style w:type="paragraph" w:customStyle="1" w:styleId="Heading">
    <w:name w:val="Heading"/>
    <w:basedOn w:val="Normlny"/>
    <w:next w:val="TextBody"/>
    <w:uiPriority w:val="99"/>
    <w:pPr>
      <w:keepNext/>
      <w:suppressAutoHyphens w:val="0"/>
      <w:spacing w:before="240" w:after="120"/>
    </w:pPr>
    <w:rPr>
      <w:rFonts w:ascii="Liberation Sans" w:cs="Liberation Sans"/>
      <w:kern w:val="0"/>
      <w:sz w:val="28"/>
      <w:szCs w:val="28"/>
      <w:lang w:eastAsia="sk-SK" w:bidi="ar-SA"/>
    </w:rPr>
  </w:style>
  <w:style w:type="paragraph" w:customStyle="1" w:styleId="TextBody">
    <w:name w:val="Text Body"/>
    <w:basedOn w:val="Normlny"/>
    <w:uiPriority w:val="99"/>
    <w:pPr>
      <w:suppressAutoHyphens w:val="0"/>
      <w:spacing w:after="140" w:line="288" w:lineRule="auto"/>
    </w:pPr>
    <w:rPr>
      <w:kern w:val="0"/>
      <w:lang w:eastAsia="sk-SK" w:bidi="ar-SA"/>
    </w:rPr>
  </w:style>
  <w:style w:type="paragraph" w:styleId="Zoznam">
    <w:name w:val="List"/>
    <w:basedOn w:val="TextBody"/>
    <w:uiPriority w:val="99"/>
  </w:style>
  <w:style w:type="paragraph" w:styleId="Popis">
    <w:name w:val="caption"/>
    <w:basedOn w:val="Normlny"/>
    <w:uiPriority w:val="99"/>
    <w:qFormat/>
    <w:pPr>
      <w:suppressLineNumbers/>
      <w:suppressAutoHyphens w:val="0"/>
      <w:spacing w:before="120" w:after="120"/>
    </w:pPr>
    <w:rPr>
      <w:i/>
      <w:iCs/>
      <w:kern w:val="0"/>
      <w:sz w:val="24"/>
      <w:szCs w:val="24"/>
      <w:lang w:eastAsia="sk-SK" w:bidi="ar-SA"/>
    </w:rPr>
  </w:style>
  <w:style w:type="paragraph" w:customStyle="1" w:styleId="Index">
    <w:name w:val="Index"/>
    <w:basedOn w:val="Normlny"/>
    <w:uiPriority w:val="99"/>
    <w:pPr>
      <w:suppressLineNumbers/>
      <w:suppressAutoHyphens w:val="0"/>
    </w:pPr>
    <w:rPr>
      <w:kern w:val="0"/>
      <w:lang w:eastAsia="sk-SK" w:bidi="ar-SA"/>
    </w:rPr>
  </w:style>
  <w:style w:type="paragraph" w:styleId="Nzov">
    <w:name w:val="Title"/>
    <w:basedOn w:val="Normlny"/>
    <w:link w:val="NzovChar"/>
    <w:uiPriority w:val="99"/>
    <w:qFormat/>
    <w:pPr>
      <w:keepNext/>
      <w:keepLines/>
      <w:suppressAutoHyphens w:val="0"/>
      <w:spacing w:before="480" w:after="120"/>
    </w:pPr>
    <w:rPr>
      <w:b/>
      <w:bCs/>
      <w:kern w:val="0"/>
      <w:sz w:val="72"/>
      <w:szCs w:val="72"/>
      <w:lang w:eastAsia="sk-SK" w:bidi="ar-SA"/>
    </w:rPr>
  </w:style>
  <w:style w:type="character" w:customStyle="1" w:styleId="NzovChar">
    <w:name w:val="Názov Char"/>
    <w:basedOn w:val="Predvolenpsmoodseku"/>
    <w:link w:val="Nzov"/>
    <w:uiPriority w:val="10"/>
    <w:locked/>
    <w:rPr>
      <w:rFonts w:asciiTheme="majorHAnsi" w:eastAsiaTheme="majorEastAsia" w:hAnsiTheme="majorHAnsi" w:cs="Mangal"/>
      <w:b/>
      <w:bCs/>
      <w:color w:val="000000"/>
      <w:kern w:val="28"/>
      <w:sz w:val="29"/>
      <w:szCs w:val="29"/>
      <w:lang w:val="x-none" w:eastAsia="zh-CN" w:bidi="hi-IN"/>
    </w:rPr>
  </w:style>
  <w:style w:type="paragraph" w:styleId="Podtitul">
    <w:name w:val="Subtitle"/>
    <w:basedOn w:val="Normlny"/>
    <w:link w:val="PodtitulChar"/>
    <w:uiPriority w:val="99"/>
    <w:qFormat/>
    <w:pPr>
      <w:keepNext/>
      <w:keepLines/>
      <w:suppressAutoHyphens w:val="0"/>
      <w:spacing w:before="360" w:after="80"/>
    </w:pPr>
    <w:rPr>
      <w:rFonts w:ascii="Georgia" w:cs="Georgia"/>
      <w:i/>
      <w:iCs/>
      <w:color w:val="666666"/>
      <w:kern w:val="0"/>
      <w:sz w:val="48"/>
      <w:szCs w:val="48"/>
      <w:lang w:eastAsia="sk-SK" w:bidi="ar-SA"/>
    </w:rPr>
  </w:style>
  <w:style w:type="character" w:customStyle="1" w:styleId="PodtitulChar">
    <w:name w:val="Podtitul Char"/>
    <w:basedOn w:val="Predvolenpsmoodseku"/>
    <w:link w:val="Podtitul"/>
    <w:uiPriority w:val="11"/>
    <w:locked/>
    <w:rPr>
      <w:rFonts w:asciiTheme="majorHAnsi" w:eastAsiaTheme="majorEastAsia" w:hAnsiTheme="majorHAnsi" w:cs="Mangal"/>
      <w:color w:val="000000"/>
      <w:kern w:val="1"/>
      <w:sz w:val="21"/>
      <w:szCs w:val="21"/>
      <w:lang w:val="x-none" w:eastAsia="zh-CN" w:bidi="hi-IN"/>
    </w:rPr>
  </w:style>
  <w:style w:type="paragraph" w:styleId="Pta">
    <w:name w:val="footer"/>
    <w:basedOn w:val="Normlny"/>
    <w:link w:val="PtaChar"/>
    <w:uiPriority w:val="99"/>
    <w:pPr>
      <w:suppressAutoHyphens w:val="0"/>
    </w:pPr>
    <w:rPr>
      <w:kern w:val="0"/>
      <w:lang w:eastAsia="sk-SK" w:bidi="ar-SA"/>
    </w:rPr>
  </w:style>
  <w:style w:type="character" w:customStyle="1" w:styleId="PtaChar">
    <w:name w:val="Päta Char"/>
    <w:basedOn w:val="Predvolenpsmoodseku"/>
    <w:link w:val="Pta"/>
    <w:uiPriority w:val="99"/>
    <w:semiHidden/>
    <w:locked/>
    <w:rPr>
      <w:rFonts w:ascii="Times New Roman" w:eastAsia="Times New Roman" w:hAnsi="Liberation Serif" w:cs="Mangal"/>
      <w:color w:val="000000"/>
      <w:kern w:val="1"/>
      <w:sz w:val="18"/>
      <w:szCs w:val="18"/>
      <w:lang w:val="x-none" w:eastAsia="zh-CN" w:bidi="hi-IN"/>
    </w:rPr>
  </w:style>
  <w:style w:type="paragraph" w:styleId="Normlnywebov">
    <w:name w:val="Normal (Web)"/>
    <w:basedOn w:val="Normlny"/>
    <w:qFormat/>
    <w:rsid w:val="005809CB"/>
    <w:pPr>
      <w:autoSpaceDE/>
      <w:autoSpaceDN/>
      <w:adjustRightInd/>
      <w:spacing w:before="280" w:after="280"/>
    </w:pPr>
    <w:rPr>
      <w:rFonts w:eastAsiaTheme="minorEastAsia" w:hAnsi="Times New Roman"/>
      <w:color w:val="auto"/>
      <w:kern w:val="0"/>
      <w:sz w:val="24"/>
      <w:szCs w:val="24"/>
      <w:lang w:bidi="ar-SA"/>
    </w:rPr>
  </w:style>
  <w:style w:type="paragraph" w:customStyle="1" w:styleId="Vchodzie">
    <w:name w:val="Vchodzie"/>
    <w:qFormat/>
    <w:rsid w:val="00DB300C"/>
    <w:pPr>
      <w:widowControl w:val="0"/>
      <w:spacing w:after="0" w:line="240" w:lineRule="auto"/>
    </w:pPr>
    <w:rPr>
      <w:rFonts w:ascii="Times New Roman" w:eastAsia="Courier New" w:hAnsi="Times New Roman"/>
      <w:sz w:val="24"/>
      <w:szCs w:val="24"/>
    </w:rPr>
  </w:style>
  <w:style w:type="character" w:customStyle="1" w:styleId="awspan">
    <w:name w:val="awspan"/>
    <w:basedOn w:val="Predvolenpsmoodseku"/>
    <w:rsid w:val="00DB3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6970</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Kozarec, Sebastián</cp:lastModifiedBy>
  <cp:revision>2</cp:revision>
  <dcterms:created xsi:type="dcterms:W3CDTF">2019-09-27T13:39:00Z</dcterms:created>
  <dcterms:modified xsi:type="dcterms:W3CDTF">2019-09-27T13:39:00Z</dcterms:modified>
</cp:coreProperties>
</file>