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0371" w:rsidRPr="00116510" w:rsidRDefault="00D40371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116510">
        <w:rPr>
          <w:rFonts w:ascii="Book Antiqua" w:hAnsi="Book Antiqua"/>
          <w:b/>
          <w:sz w:val="22"/>
          <w:szCs w:val="22"/>
        </w:rPr>
        <w:t>DÔVODOVÁ SPRÁVA</w:t>
      </w:r>
    </w:p>
    <w:p w:rsidR="00D40371" w:rsidRPr="00116510" w:rsidRDefault="00D40371">
      <w:pPr>
        <w:pStyle w:val="footnotetext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D40371" w:rsidRPr="00116510" w:rsidRDefault="00D40371">
      <w:pPr>
        <w:pStyle w:val="footnotetext"/>
        <w:spacing w:before="120" w:line="276" w:lineRule="auto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>A. Všeobecná časť</w:t>
      </w:r>
    </w:p>
    <w:p w:rsidR="00D40371" w:rsidRPr="003D5FDA" w:rsidRDefault="00D40371">
      <w:pPr>
        <w:spacing w:before="120" w:after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 xml:space="preserve">Návrh </w:t>
      </w:r>
      <w:r w:rsidRPr="003D5FDA">
        <w:rPr>
          <w:rFonts w:ascii="Book Antiqua" w:hAnsi="Book Antiqua"/>
          <w:sz w:val="22"/>
          <w:szCs w:val="22"/>
        </w:rPr>
        <w:t xml:space="preserve">zákona, </w:t>
      </w:r>
      <w:r w:rsidRPr="003D5FDA">
        <w:rPr>
          <w:rFonts w:ascii="Book Antiqua" w:hAnsi="Book Antiqua"/>
          <w:color w:val="000000"/>
          <w:sz w:val="22"/>
          <w:szCs w:val="22"/>
        </w:rPr>
        <w:t xml:space="preserve">ktorým sa </w:t>
      </w:r>
      <w:r w:rsidR="00127BF9" w:rsidRPr="003D5FDA">
        <w:rPr>
          <w:rFonts w:ascii="Book Antiqua" w:hAnsi="Book Antiqua"/>
          <w:bCs/>
          <w:color w:val="000000"/>
          <w:sz w:val="22"/>
          <w:szCs w:val="22"/>
        </w:rPr>
        <w:t>dopĺňa zákon č. 461/2003 Z. z. o sociálnom poistení v znení neskorších predpisov a ktorým sa menia a dopĺňajú niektoré zákony</w:t>
      </w:r>
      <w:r w:rsidRPr="003D5FD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3D5FDA">
        <w:rPr>
          <w:rFonts w:ascii="Book Antiqua" w:hAnsi="Book Antiqua"/>
          <w:sz w:val="22"/>
          <w:szCs w:val="22"/>
        </w:rPr>
        <w:t>(ďalej len „návrh zákona“) predk</w:t>
      </w:r>
      <w:r w:rsidR="00127BF9" w:rsidRPr="003D5FDA">
        <w:rPr>
          <w:rFonts w:ascii="Book Antiqua" w:hAnsi="Book Antiqua"/>
          <w:sz w:val="22"/>
          <w:szCs w:val="22"/>
        </w:rPr>
        <w:t xml:space="preserve">ladajú poslanci </w:t>
      </w:r>
      <w:r w:rsidRPr="003D5FDA">
        <w:rPr>
          <w:rFonts w:ascii="Book Antiqua" w:hAnsi="Book Antiqua"/>
          <w:sz w:val="22"/>
          <w:szCs w:val="22"/>
        </w:rPr>
        <w:t>Národnej rady Slovenskej republiky</w:t>
      </w:r>
      <w:r w:rsidR="003038AF">
        <w:rPr>
          <w:rFonts w:ascii="Book Antiqua" w:hAnsi="Book Antiqua"/>
          <w:sz w:val="22"/>
          <w:szCs w:val="22"/>
        </w:rPr>
        <w:t xml:space="preserve"> Marek Krajč</w:t>
      </w:r>
      <w:r w:rsidR="00127BF9" w:rsidRPr="003D5FDA">
        <w:rPr>
          <w:rFonts w:ascii="Book Antiqua" w:hAnsi="Book Antiqua"/>
          <w:sz w:val="22"/>
          <w:szCs w:val="22"/>
        </w:rPr>
        <w:t>í, Eduard Heger, Gábor Grendel a Richard Vašečka</w:t>
      </w:r>
      <w:r w:rsidRPr="003D5FDA">
        <w:rPr>
          <w:rFonts w:ascii="Book Antiqua" w:hAnsi="Book Antiqua"/>
          <w:sz w:val="22"/>
          <w:szCs w:val="22"/>
        </w:rPr>
        <w:t>.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3D5FDA">
        <w:rPr>
          <w:rFonts w:ascii="Book Antiqua" w:hAnsi="Book Antiqua"/>
          <w:b/>
          <w:sz w:val="22"/>
          <w:szCs w:val="22"/>
        </w:rPr>
        <w:t>Hnutie OBYČAJNÍ ĽUDIA a nezávislé osobnosti (OĽANO) dlhodobo predkladá návrhy zákonov s cieľom zlepšiť sociálnu a rodinnú legislatívu. Predkladaný návrh zákona má za cieľ najmä prispieť</w:t>
      </w:r>
      <w:r w:rsidRPr="00116510">
        <w:rPr>
          <w:rFonts w:ascii="Book Antiqua" w:hAnsi="Book Antiqua"/>
          <w:b/>
          <w:sz w:val="22"/>
          <w:szCs w:val="22"/>
        </w:rPr>
        <w:t xml:space="preserve"> k ochrane života od počatia, poskytnúť pomoc tehotným ženám, ktoré sa ocitli v zložitej životnej situácii a zefektívniť sprostredkovania náhradnej rodinnej starostlivosti, a to prostredníctvom týchto konkrétnych opatrení:</w:t>
      </w:r>
    </w:p>
    <w:p w:rsidR="00D40371" w:rsidRPr="00CA644E" w:rsidRDefault="00D40371">
      <w:pPr>
        <w:pStyle w:val="Normlnywebov"/>
        <w:numPr>
          <w:ilvl w:val="0"/>
          <w:numId w:val="2"/>
        </w:numPr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 xml:space="preserve">žene, ktorá </w:t>
      </w:r>
      <w:r w:rsidRPr="00CA644E">
        <w:rPr>
          <w:rFonts w:ascii="Book Antiqua" w:hAnsi="Book Antiqua"/>
          <w:b/>
          <w:sz w:val="22"/>
          <w:szCs w:val="22"/>
        </w:rPr>
        <w:t xml:space="preserve">požiada o utajenie svojej osoby v súvislosti s pôrodom, sa prizná nárok na nemocenské už od </w:t>
      </w:r>
      <w:r w:rsidR="00E32972">
        <w:rPr>
          <w:rFonts w:ascii="Book Antiqua" w:hAnsi="Book Antiqua"/>
          <w:b/>
          <w:sz w:val="22"/>
          <w:szCs w:val="22"/>
        </w:rPr>
        <w:t>21.</w:t>
      </w:r>
      <w:r w:rsidRPr="00CA644E">
        <w:rPr>
          <w:rFonts w:ascii="Book Antiqua" w:hAnsi="Book Antiqua"/>
          <w:b/>
          <w:sz w:val="22"/>
          <w:szCs w:val="22"/>
        </w:rPr>
        <w:t xml:space="preserve"> týždňa tehotenstva,</w:t>
      </w:r>
    </w:p>
    <w:p w:rsidR="00D40371" w:rsidRPr="003379F4" w:rsidRDefault="00D40371">
      <w:pPr>
        <w:pStyle w:val="Normlnywebov"/>
        <w:numPr>
          <w:ilvl w:val="0"/>
          <w:numId w:val="2"/>
        </w:numPr>
        <w:spacing w:before="120" w:after="0" w:line="276" w:lineRule="auto"/>
        <w:jc w:val="both"/>
        <w:rPr>
          <w:rFonts w:ascii="Book Antiqua" w:hAnsi="Book Antiqua"/>
          <w:b/>
          <w:sz w:val="22"/>
          <w:szCs w:val="22"/>
          <w:shd w:val="clear" w:color="auto" w:fill="FFFF00"/>
        </w:rPr>
      </w:pPr>
      <w:r w:rsidRPr="00CA644E">
        <w:rPr>
          <w:rFonts w:ascii="Book Antiqua" w:hAnsi="Book Antiqua"/>
          <w:b/>
          <w:sz w:val="22"/>
          <w:szCs w:val="22"/>
        </w:rPr>
        <w:t xml:space="preserve">v prípade utajeného </w:t>
      </w:r>
      <w:r w:rsidRPr="003379F4">
        <w:rPr>
          <w:rFonts w:ascii="Book Antiqua" w:hAnsi="Book Antiqua"/>
          <w:b/>
          <w:sz w:val="22"/>
          <w:szCs w:val="22"/>
        </w:rPr>
        <w:t>pôrodu bude mať novorodenec možnosť nadviazať osobný kontakt s budúcimi osvojiteľmi ihneď po pôrode</w:t>
      </w:r>
      <w:r w:rsidR="00E32972" w:rsidRPr="003379F4">
        <w:rPr>
          <w:rFonts w:ascii="Book Antiqua" w:hAnsi="Book Antiqua"/>
          <w:b/>
          <w:sz w:val="22"/>
          <w:szCs w:val="22"/>
        </w:rPr>
        <w:t>,</w:t>
      </w:r>
    </w:p>
    <w:p w:rsidR="00E32972" w:rsidRPr="003379F4" w:rsidRDefault="00E32972">
      <w:pPr>
        <w:pStyle w:val="Normlnywebov"/>
        <w:numPr>
          <w:ilvl w:val="0"/>
          <w:numId w:val="2"/>
        </w:numPr>
        <w:spacing w:before="120" w:after="0" w:line="276" w:lineRule="auto"/>
        <w:jc w:val="both"/>
        <w:rPr>
          <w:rFonts w:ascii="Book Antiqua" w:hAnsi="Book Antiqua"/>
          <w:b/>
          <w:sz w:val="22"/>
          <w:szCs w:val="22"/>
          <w:shd w:val="clear" w:color="auto" w:fill="FFFF00"/>
        </w:rPr>
      </w:pPr>
      <w:r w:rsidRPr="003379F4">
        <w:rPr>
          <w:rFonts w:ascii="Book Antiqua" w:hAnsi="Book Antiqua"/>
          <w:b/>
          <w:sz w:val="22"/>
          <w:szCs w:val="22"/>
        </w:rPr>
        <w:t>v prípade, ak súd vydá predbežné opatrenie na umiestnenie dieťaťa do náhradnej starostlivosti, orgán sociálnoprávnej ochrany detí a sociálnej kurately musí, ak je to možné, prednostne zveriť dočasnú starostlivosť tohto dieťaťa žiadateľom na osvojenie podľa poradia v zozname žiadateľov a dočasne neumiestňovať dieťa do detského domova,</w:t>
      </w:r>
    </w:p>
    <w:p w:rsidR="00D40371" w:rsidRPr="00E32972" w:rsidRDefault="00D40371" w:rsidP="00E32972">
      <w:pPr>
        <w:pStyle w:val="Normlnywebov"/>
        <w:numPr>
          <w:ilvl w:val="0"/>
          <w:numId w:val="2"/>
        </w:numPr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3379F4">
        <w:rPr>
          <w:rFonts w:ascii="Book Antiqua" w:hAnsi="Book Antiqua"/>
          <w:b/>
          <w:sz w:val="22"/>
          <w:szCs w:val="22"/>
        </w:rPr>
        <w:t>prepojenie zoznamov detí vhodných</w:t>
      </w:r>
      <w:r w:rsidRPr="00E32972">
        <w:rPr>
          <w:rFonts w:ascii="Book Antiqua" w:hAnsi="Book Antiqua"/>
          <w:b/>
          <w:sz w:val="22"/>
          <w:szCs w:val="22"/>
        </w:rPr>
        <w:t xml:space="preserve"> na osvojenie, ktoré si samostatne vedú jednotlivé orgány </w:t>
      </w:r>
      <w:r w:rsidRPr="00E32972">
        <w:rPr>
          <w:rFonts w:ascii="Book Antiqua" w:hAnsi="Book Antiqua"/>
          <w:b/>
          <w:bCs/>
          <w:sz w:val="22"/>
          <w:szCs w:val="22"/>
        </w:rPr>
        <w:t>sociálnoprávnej ochrany detí a sociálnej kurately a elektronizácia ich agendy,</w:t>
      </w:r>
    </w:p>
    <w:p w:rsidR="00D40371" w:rsidRPr="00116510" w:rsidRDefault="00D40371">
      <w:pPr>
        <w:pStyle w:val="Normlnywebov"/>
        <w:numPr>
          <w:ilvl w:val="0"/>
          <w:numId w:val="2"/>
        </w:numPr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aktualizácia textu poučenia (písomných informácií), ktoré je lekár povinný poskytuje žene plánujúcej podstúpenie umelého prerušenia tehotenstva a jeho uzákonenie,</w:t>
      </w:r>
    </w:p>
    <w:p w:rsidR="00D40371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 xml:space="preserve">Za alternatívu k umelému prerušeniu tehotenstva považujeme možnosť ženy požiadať o utajenie </w:t>
      </w:r>
      <w:r w:rsidRPr="003379F4">
        <w:rPr>
          <w:rFonts w:ascii="Book Antiqua" w:hAnsi="Book Antiqua"/>
          <w:sz w:val="22"/>
          <w:szCs w:val="22"/>
        </w:rPr>
        <w:t>svojej osoby v súvislosti s pôrodom. V predkladanom návrhu zákona umožňujeme, aby žena, ktorá sa rozhodla pre utajený pôrod, mala vytvorené podmienky na donosenie dieťaťa. Navrhujeme, aby v takomto prípade prináležalo žene nemoce</w:t>
      </w:r>
      <w:r w:rsidR="003379F4">
        <w:rPr>
          <w:rFonts w:ascii="Book Antiqua" w:hAnsi="Book Antiqua"/>
          <w:sz w:val="22"/>
          <w:szCs w:val="22"/>
        </w:rPr>
        <w:t>nské, a to už od 21.</w:t>
      </w:r>
      <w:r w:rsidRPr="003379F4">
        <w:rPr>
          <w:rFonts w:ascii="Book Antiqua" w:hAnsi="Book Antiqua"/>
          <w:sz w:val="22"/>
          <w:szCs w:val="22"/>
        </w:rPr>
        <w:t xml:space="preserve"> týždňa tehotenstva </w:t>
      </w:r>
      <w:r w:rsidRPr="003379F4">
        <w:rPr>
          <w:rFonts w:ascii="Book Antiqua" w:hAnsi="Book Antiqua"/>
          <w:bCs/>
          <w:sz w:val="22"/>
          <w:szCs w:val="22"/>
        </w:rPr>
        <w:t>(jedná sa približne o obdobie, keď na tehotnej žene možno vizuálne spozorovať prvé známky tehotenstva). Nárok na nemocenské ako sociálnu dávku môžu poberať len pracujúce ženy a študentky, a vypláca sa žene do druhého týždňa po pôrode. Osobitný dôraz je kladený na ochranu osobných údajov. Aj z poznatkov z praxe vieme, že v prípade utajeného</w:t>
      </w:r>
      <w:r w:rsidRPr="00116510">
        <w:rPr>
          <w:rFonts w:ascii="Book Antiqua" w:hAnsi="Book Antiqua"/>
          <w:bCs/>
          <w:sz w:val="22"/>
          <w:szCs w:val="22"/>
        </w:rPr>
        <w:t xml:space="preserve"> pôrodu sa žena častokrát dočasne presťahuje na iné miesto. Priznaním dávky ju ochránime pred stratou zamestnania či nepríjemnými, často až nevhodnými poznámkami kolegov či susedov. Veríme, že týmto opatrením prispejeme k zníženiu počtu umelých prerušením tehotenstva a súčasne uspokojíme túžbu bezdetných párov starať sa o dieťa.</w:t>
      </w:r>
    </w:p>
    <w:p w:rsidR="00021F4E" w:rsidRPr="003D5FDA" w:rsidRDefault="00021F4E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D5FDA">
        <w:rPr>
          <w:rFonts w:ascii="Book Antiqua" w:hAnsi="Book Antiqua"/>
          <w:bCs/>
          <w:sz w:val="22"/>
          <w:szCs w:val="22"/>
        </w:rPr>
        <w:lastRenderedPageBreak/>
        <w:t>Súčasťou predkladaného návrhu zákona je zvýšiť ochranu ženy pred umelým prerušením tehotenstva z donútenia. Žena stojaca pred tak vážnym rozhodnutím, akým je umelé prerušenie tehotenstva, je častokrát v neistom psychickom rozpoložení náchylná podľahnúť tlaku okolia a názorom iných. Ustanovuje sa, že zdravotnícki pracovníci nemôžu nabádať ženu na zákrok umelého potratu</w:t>
      </w:r>
      <w:r w:rsidR="00127BF9" w:rsidRPr="003D5FDA">
        <w:rPr>
          <w:rFonts w:ascii="Book Antiqua" w:hAnsi="Book Antiqua"/>
          <w:bCs/>
          <w:sz w:val="22"/>
          <w:szCs w:val="22"/>
        </w:rPr>
        <w:t>, a to aj pod hrozbou podania sťažnosti na nich alebo podania podnetu na Úrad pre dohľad nad zdravotnou starostlivosťou,</w:t>
      </w:r>
      <w:r w:rsidRPr="003D5FDA">
        <w:rPr>
          <w:rFonts w:ascii="Book Antiqua" w:hAnsi="Book Antiqua"/>
          <w:bCs/>
          <w:sz w:val="22"/>
          <w:szCs w:val="22"/>
        </w:rPr>
        <w:t xml:space="preserve"> a tiež, že ak ju k tomu núti iná osoba (napr. otec dieťaťa), zdravotnícky pracovník je povinný poučiť ženu o práve nepostúpiť umelé prerušenie tehotenstva.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D5FDA">
        <w:rPr>
          <w:rFonts w:ascii="Book Antiqua" w:hAnsi="Book Antiqua"/>
          <w:bCs/>
          <w:sz w:val="22"/>
          <w:szCs w:val="22"/>
        </w:rPr>
        <w:t>Súčasne navrhujeme, aby v prípade plánovaného</w:t>
      </w:r>
      <w:r w:rsidRPr="00116510">
        <w:rPr>
          <w:rFonts w:ascii="Book Antiqua" w:hAnsi="Book Antiqua"/>
          <w:bCs/>
          <w:sz w:val="22"/>
          <w:szCs w:val="22"/>
        </w:rPr>
        <w:t xml:space="preserve"> utajeného pôrodu mal novorodenec možnosť byť s budúcimi osvojiteľmi takmer ihneď po pôrode a nečakať niekoľko týždňov, mesiacov či rokov na právoplatné rozhodnutie o osvojení. Ľudská náruč je v prvých hodinách dieťaťa najlepšou prevenciou voči syndrómu odvrhnutia, ktorým trpievajú deti, ktoré nemôžu byť</w:t>
      </w:r>
      <w:r w:rsidR="00E32972">
        <w:rPr>
          <w:rFonts w:ascii="Book Antiqua" w:hAnsi="Book Antiqua"/>
          <w:bCs/>
          <w:sz w:val="22"/>
          <w:szCs w:val="22"/>
        </w:rPr>
        <w:t xml:space="preserve"> po narodení u svojej biologickej matky.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Rodina je optimálnym prostredím, v ktorom môže dieťa dozrieť v plnohodnotnú a zodpovednú bytosť.</w:t>
      </w:r>
      <w:r w:rsidRPr="00116510">
        <w:rPr>
          <w:rFonts w:ascii="Book Antiqua" w:hAnsi="Book Antiqua"/>
          <w:bCs/>
          <w:sz w:val="22"/>
          <w:szCs w:val="22"/>
        </w:rPr>
        <w:t xml:space="preserve"> S cieľom zefektívniť a najmä zrýchliť sprostredkovanie osvojenia či pestúnstva považujeme za potrebné navzájom elektronicky prepojiť jednotlivé prehľady detí, ktorým treba sprostredkovať náhradnú rodinnú starostlivosť v rámci krajov, resp. určených orgánov sociálnoprávnej ochrany detí a sociálnej kurately. Zavádzame taktiež povinnosť elektronického zasielania potrebnej dokumentácie medzi jednotlivými určenými orgánmi sociálnoprávnej ochrany detí a sociálnej kurately.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Cs/>
          <w:sz w:val="22"/>
          <w:szCs w:val="22"/>
        </w:rPr>
        <w:t xml:space="preserve">Predmetom návrhu zákona je aj uzákoniť text poučenia pred umelým prerušením tehotenstva priamo do zákona, aby sa stal obligatórnou náležitosťou, ktorú každá žena podstupujúca tento zákrok musí prečítať a podpísať. </w:t>
      </w:r>
    </w:p>
    <w:p w:rsidR="00D40371" w:rsidRPr="00116510" w:rsidRDefault="00D40371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 xml:space="preserve">Predkladaný návrh zákona </w:t>
      </w:r>
      <w:r w:rsidR="005B099A">
        <w:rPr>
          <w:rFonts w:ascii="Book Antiqua" w:hAnsi="Book Antiqua"/>
          <w:sz w:val="22"/>
          <w:szCs w:val="22"/>
        </w:rPr>
        <w:t xml:space="preserve">nemá takmer žiadny </w:t>
      </w:r>
      <w:r w:rsidRPr="00116510">
        <w:rPr>
          <w:rFonts w:ascii="Book Antiqua" w:hAnsi="Book Antiqua"/>
          <w:sz w:val="22"/>
          <w:szCs w:val="22"/>
        </w:rPr>
        <w:t>dopad na rozpočet verejnej správy, </w:t>
      </w:r>
      <w:r w:rsidR="005B099A">
        <w:rPr>
          <w:rFonts w:ascii="Book Antiqua" w:hAnsi="Book Antiqua"/>
          <w:sz w:val="22"/>
          <w:szCs w:val="22"/>
        </w:rPr>
        <w:t xml:space="preserve">ale má pozitívny dopad </w:t>
      </w:r>
      <w:r w:rsidRPr="00116510">
        <w:rPr>
          <w:rFonts w:ascii="Book Antiqua" w:hAnsi="Book Antiqua"/>
          <w:sz w:val="22"/>
          <w:szCs w:val="22"/>
        </w:rPr>
        <w:t xml:space="preserve">na informatizáciu spoločnosti a vyvoláva pozitívne sociálne vplyvy. Nemá vplyv na podnikateľské prostredie a ani na životné prostredie. </w:t>
      </w:r>
    </w:p>
    <w:p w:rsidR="005B099A" w:rsidRPr="004133D3" w:rsidRDefault="00D40371" w:rsidP="004133D3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</w:t>
      </w:r>
      <w:r w:rsidR="004133D3">
        <w:rPr>
          <w:rFonts w:ascii="Book Antiqua" w:hAnsi="Book Antiqua"/>
          <w:sz w:val="22"/>
          <w:szCs w:val="22"/>
        </w:rPr>
        <w:t>urópskej únie.</w:t>
      </w:r>
    </w:p>
    <w:p w:rsidR="00D40371" w:rsidRPr="00116510" w:rsidRDefault="00D40371">
      <w:pPr>
        <w:pageBreakBefore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:rsidR="00D40371" w:rsidRPr="009A6CBD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K Čl. I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  <w:u w:val="single"/>
        </w:rPr>
        <w:t>K bodu 1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bCs/>
          <w:sz w:val="22"/>
          <w:szCs w:val="22"/>
        </w:rPr>
        <w:t>Neraz sa tehotná žena ocitne v ťažkej a zložitej životnej situácii. So snahou ochrániť život a nepodstúpiť umelé prerušenie tehotenstva sa predkladá predmetný legislatívny návrh, ktorého zameraním je vytvoriť priaznivejšie podmienky tehotnej žene, ktorá otehotnela pod vplyvom okolností, ktoré jej nedovoľujú postarať sa o dieťa.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bCs/>
          <w:sz w:val="22"/>
          <w:szCs w:val="22"/>
        </w:rPr>
        <w:t>Návrh zákona ustanovuje nemocenské ako dávku sociálneho poistenia, ktorá prináleží tehotnej žene, ktorá sa rozhodla porodiť utajene, a to už od</w:t>
      </w:r>
      <w:r w:rsidR="00E32972">
        <w:rPr>
          <w:rFonts w:ascii="Book Antiqua" w:hAnsi="Book Antiqua"/>
          <w:bCs/>
          <w:sz w:val="22"/>
          <w:szCs w:val="22"/>
        </w:rPr>
        <w:t xml:space="preserve"> 21.</w:t>
      </w:r>
      <w:r w:rsidRPr="00116510">
        <w:rPr>
          <w:rFonts w:ascii="Book Antiqua" w:hAnsi="Book Antiqua"/>
          <w:bCs/>
          <w:sz w:val="22"/>
          <w:szCs w:val="22"/>
        </w:rPr>
        <w:t xml:space="preserve"> týždňa tehotenstva. Podmienkou vzniku nároku na nemocenské je písomne požiadať o utajenie svojej osoby v súvislosti s pôrodom. 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bCs/>
          <w:sz w:val="22"/>
          <w:szCs w:val="22"/>
        </w:rPr>
        <w:t>Zámerom takejto úpravy je umožniť tehotnej žene donosiť dieťa. Častokrát totiž tieto ženy nechcú, aby sa okolie o ich gravidite dozvedelo, čomu by sa len ťažko vyhli, ak by naďalej chodili do zamestnania. Ak by však stratili zamestnanie, stratili by súčasne aj príjem zo zamestnania; predkladaný návrh zákona túto situáciu napravuje, pretože zabezpečuje tejto žene príjem v podobe nemocenského. Z uvedeného je zrejmé, že nárok na nemocenské prináleží len pracujúcim ženám a študentkám. Takéto riešenie reaguje na praktické potreby tehotných žien a umožňuje im dočasne sa presunúť, prípadne odsťahovať na iné miesto a dieťa donosiť.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bCs/>
          <w:sz w:val="22"/>
          <w:szCs w:val="22"/>
        </w:rPr>
        <w:t>Nárok na nemocenské zaniká uplynutím druhého týždňa po dni pôrodu alebo dňom, keď žena odvolá písomnú žiadosť o utajenie svojej osoby v súvislosti s pôrodom. Samozrejme, keďže podstatou utajeného pôrodu je utajenosť, pracovníci Sociálnej poisťovne dbajú na osobitnú ochranu osobných údajov tejto ženy.</w:t>
      </w:r>
    </w:p>
    <w:p w:rsidR="007C316A" w:rsidRPr="004133D3" w:rsidRDefault="00D40371" w:rsidP="004133D3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bCs/>
          <w:sz w:val="22"/>
          <w:szCs w:val="22"/>
        </w:rPr>
        <w:t>Ak žena plánuje porodiť utajene a poberá z toho dôvodu nemocenské, je povinná uviesť Sociálnej poisťovni predpokladané miesto zdravotníckeho zariadenia, v ktorom predpokladá pôrod. Sociálna poisťovňa túto informáciu poskytne jednak zdravotníckemu zariadeniu, ale aj orgánu sociálnoprávnej ochrany detí a sociálnej kurately, aby sa na takúto situáciu vedeli pripraviť. Takéto opatrenie sa do návrhu zákona zaviedlo zámerne s cieľom zabezpečiť prítomnosť žiadateľov zo zoznamu žiadateľov o náhradnú rodinnú starostlivosť s novorodencom, čo možno najskôr po pôrode (viď čl. IV bod 4 tohto návrhu zákona).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4133D3">
        <w:rPr>
          <w:rFonts w:ascii="Book Antiqua" w:hAnsi="Book Antiqua"/>
          <w:color w:val="000000"/>
          <w:sz w:val="22"/>
          <w:szCs w:val="22"/>
          <w:u w:val="single"/>
        </w:rPr>
        <w:t xml:space="preserve">K bodom </w:t>
      </w:r>
      <w:r w:rsidR="004133D3" w:rsidRPr="004133D3">
        <w:rPr>
          <w:rFonts w:ascii="Book Antiqua" w:hAnsi="Book Antiqua"/>
          <w:color w:val="000000"/>
          <w:sz w:val="22"/>
          <w:szCs w:val="22"/>
          <w:u w:val="single"/>
        </w:rPr>
        <w:t>2</w:t>
      </w:r>
      <w:r w:rsidRPr="004133D3">
        <w:rPr>
          <w:rFonts w:ascii="Book Antiqua" w:hAnsi="Book Antiqua"/>
          <w:color w:val="000000"/>
          <w:sz w:val="22"/>
          <w:szCs w:val="22"/>
          <w:u w:val="single"/>
        </w:rPr>
        <w:t xml:space="preserve"> a </w:t>
      </w:r>
      <w:r w:rsidR="004133D3" w:rsidRPr="004133D3">
        <w:rPr>
          <w:rFonts w:ascii="Book Antiqua" w:hAnsi="Book Antiqua"/>
          <w:color w:val="000000"/>
          <w:sz w:val="22"/>
          <w:szCs w:val="22"/>
          <w:u w:val="single"/>
        </w:rPr>
        <w:t>3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color w:val="000000"/>
          <w:sz w:val="22"/>
          <w:szCs w:val="22"/>
        </w:rPr>
        <w:t xml:space="preserve">Je potrebné, aby sa špecifikovali podmienky vzniku materského u ženy, ktorá sa rozhodla porodiť utajene. Hoci by žena spĺňala inak všetky podmienky získania nároku na materské, táto dávka jej nebude vyplácaná, pretože sa rozhodla požiadať o utajenie svojej osoby v súvislosti s pôrodom; z legálneho hľadiska sa neposudzuje ani ako tehotná ani ako starajúca sa o dieťa. </w:t>
      </w:r>
      <w:r w:rsidR="005F373D">
        <w:rPr>
          <w:rFonts w:ascii="Book Antiqua" w:hAnsi="Book Antiqua"/>
          <w:color w:val="000000"/>
          <w:sz w:val="22"/>
          <w:szCs w:val="22"/>
        </w:rPr>
        <w:t>S cieľom vyhnúť sa prípadným finančným špekuláciám pri utajení pôrodu a odvolaní písomnej žiadosti o utajenie pôrodu v súvislosti s poberaním dávok nemocenského a materského, návrh zákona presne špecifikuje, kedy vzniká nárok na materské žene, ktorá sa rozhodla žiadosť o utajenie pôrodu odvolať. Ak tak urobí ešte pred pôrodom, vznikne jej nárok na materské dňom pôrodu (do pôrodu má nárok na poberanie nemocenského, a to od 21. týždňa tehotenstva v zmysle návrhu zákona) a ak svoju žiadosť odvolá až po pôrode, tak jej nárok na materské vznikne dňom nasledujúcim po odvolaní žiadosti (vtedy jej skončí nárok na poberanie nemocenského).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  <w:u w:val="single"/>
        </w:rPr>
        <w:t xml:space="preserve">K bodu </w:t>
      </w:r>
      <w:r w:rsidR="004133D3">
        <w:rPr>
          <w:rFonts w:ascii="Book Antiqua" w:hAnsi="Book Antiqua"/>
          <w:color w:val="000000"/>
          <w:sz w:val="22"/>
          <w:szCs w:val="22"/>
          <w:u w:val="single"/>
        </w:rPr>
        <w:t>4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</w:rPr>
        <w:t>Upravujú sa prechodné ustanovenia s cieľom zabrániť retroaktivite návrhu zákona.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K Čl. II</w:t>
      </w:r>
    </w:p>
    <w:p w:rsidR="00D40371" w:rsidRPr="003D5FDA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</w:rPr>
        <w:t xml:space="preserve">V tejto časti legislatívneho návrhu je primárnym cieľom zakotviť povinné poučenie pred umelým prerušením tehotenstva tak, aby každé zdravotnícke zariadenie pred samotným zákrokom dalo žene prečítať poučenie presne v tejto podobe a zvážiť následky tohto činu. Vzor poučenia sa už v súčasnosti nachádza v prílohe vyhlášky Ministerstva zdravotníctva Slovenskej republiky č. 417/2009 Z. z., ktorou sa ustanovujú podrobnosti o informáciách poskytovaných žene a hlásenia o poskytnutí informácií, vzor písomných informácií a určuje sa organizácia zodpovedná za prijímanie a vyhodnocovanie hlásenia (ďalej len „vyhláška“), ale keďže sa jedná o vzor, zdravotnícke zariadenie ho nemusí použiť za predpokladu, že poskytne zákonom požadované informácie [§6b ods. 2 zákona                       č.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576/2004</w:t>
      </w:r>
      <w:r w:rsidRPr="00116510">
        <w:rPr>
          <w:rStyle w:val="awspan"/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Z.</w:t>
      </w:r>
      <w:r w:rsidRPr="00116510">
        <w:rPr>
          <w:rStyle w:val="awspan"/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z.</w:t>
      </w:r>
      <w:r w:rsidRPr="00116510">
        <w:rPr>
          <w:rStyle w:val="awspan"/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o zdravotnej</w:t>
      </w:r>
      <w:r w:rsidRPr="00116510">
        <w:rPr>
          <w:rStyle w:val="awspan"/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starostlivosti,</w:t>
      </w:r>
      <w:r w:rsidRPr="00116510">
        <w:rPr>
          <w:rStyle w:val="awspan"/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službách</w:t>
      </w:r>
      <w:r w:rsidRPr="00116510">
        <w:rPr>
          <w:rStyle w:val="awspan"/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súvisiacich</w:t>
      </w:r>
      <w:r w:rsidRPr="00116510">
        <w:rPr>
          <w:rStyle w:val="awspan"/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s poskytovaním zdravotnej</w:t>
      </w:r>
      <w:r w:rsidRPr="00116510">
        <w:rPr>
          <w:rStyle w:val="awspan"/>
          <w:rFonts w:ascii="Book Antiqua" w:hAnsi="Book Antiqua"/>
          <w:color w:val="000000"/>
          <w:spacing w:val="9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starostlivosti</w:t>
      </w:r>
      <w:r w:rsidRPr="00116510">
        <w:rPr>
          <w:rStyle w:val="awspan"/>
          <w:rFonts w:ascii="Book Antiqua" w:hAnsi="Book Antiqua"/>
          <w:color w:val="000000"/>
          <w:spacing w:val="9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a o zmene</w:t>
      </w:r>
      <w:r w:rsidRPr="00116510">
        <w:rPr>
          <w:rStyle w:val="awspan"/>
          <w:rFonts w:ascii="Book Antiqua" w:hAnsi="Book Antiqua"/>
          <w:color w:val="000000"/>
          <w:spacing w:val="9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a doplnení</w:t>
      </w:r>
      <w:r w:rsidRPr="00116510">
        <w:rPr>
          <w:rStyle w:val="awspan"/>
          <w:rFonts w:ascii="Book Antiqua" w:hAnsi="Book Antiqua"/>
          <w:color w:val="000000"/>
          <w:spacing w:val="9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niektorých</w:t>
      </w:r>
      <w:r w:rsidRPr="00116510">
        <w:rPr>
          <w:rStyle w:val="awspan"/>
          <w:rFonts w:ascii="Book Antiqua" w:hAnsi="Book Antiqua"/>
          <w:color w:val="000000"/>
          <w:spacing w:val="9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zákonov</w:t>
      </w:r>
      <w:r w:rsidRPr="00116510">
        <w:rPr>
          <w:rStyle w:val="awspan"/>
          <w:rFonts w:ascii="Book Antiqua" w:hAnsi="Book Antiqua"/>
          <w:color w:val="000000"/>
          <w:spacing w:val="9"/>
          <w:sz w:val="22"/>
          <w:szCs w:val="22"/>
        </w:rPr>
        <w:t xml:space="preserve"> </w:t>
      </w:r>
      <w:r w:rsidRPr="00116510">
        <w:rPr>
          <w:rStyle w:val="awspan"/>
          <w:rFonts w:ascii="Book Antiqua" w:hAnsi="Book Antiqua"/>
          <w:color w:val="000000"/>
          <w:sz w:val="22"/>
          <w:szCs w:val="22"/>
        </w:rPr>
        <w:t>v znení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 neskorších predpisov (ďalej len „zákon o zdravotnej starostlivosti“)]. Presunutím prílohy vyhlášky do zákona o zdravotnej starostlivosti a ďalších dvoch ustanovení zákona sa vytvárajú podmienky na zrušenie </w:t>
      </w:r>
      <w:r w:rsidRPr="003D5FDA">
        <w:rPr>
          <w:rFonts w:ascii="Book Antiqua" w:hAnsi="Book Antiqua"/>
          <w:color w:val="000000"/>
          <w:sz w:val="22"/>
          <w:szCs w:val="22"/>
        </w:rPr>
        <w:t>celej vyhlášky.</w:t>
      </w:r>
    </w:p>
    <w:p w:rsidR="004133D3" w:rsidRPr="003D5FDA" w:rsidRDefault="004133D3" w:rsidP="004133D3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3D5FDA">
        <w:rPr>
          <w:rFonts w:ascii="Book Antiqua" w:hAnsi="Book Antiqua"/>
          <w:color w:val="000000"/>
          <w:sz w:val="22"/>
          <w:szCs w:val="22"/>
          <w:u w:val="single"/>
        </w:rPr>
        <w:t>K bodu 2</w:t>
      </w:r>
    </w:p>
    <w:p w:rsidR="004133D3" w:rsidRPr="003D5FDA" w:rsidRDefault="004133D3" w:rsidP="004133D3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3D5FDA">
        <w:rPr>
          <w:rFonts w:ascii="Book Antiqua" w:hAnsi="Book Antiqua"/>
          <w:color w:val="000000"/>
          <w:sz w:val="22"/>
          <w:szCs w:val="22"/>
        </w:rPr>
        <w:t>Rozhodnutie o postúpení umelého prerušenia tehotenstva môže byť považované za jedno z najťažších rozhodnutí v živote ženy. Viaceré výskumy zo zahraničia poukázali na skutočnosť, že žena podstupujúca umelé prerušenie tehotenstva učiní tento krok pod tlakom iných ľudí. S cieľom zvýšiť ochranu ženy sa navrhuje, aby zdravotnícki pracovníci nesmeli nabádať ženu na umelé prerušenie tehotenstva, a to aj pod hrozbou podania sťažnosti na nich alebo podania podnetu na Úrad pre dohľad nad zdravotnou starostlivosťou na vykonanie dohľadu a v prípade, ak zistia, že ich k tomuto zákroku nútia iné osoby (najčastejšie otec dieťaťa), sú povinní poučiť ženu o možnosti nepostúpenia umelého prerušenia tehotenstva.</w:t>
      </w:r>
    </w:p>
    <w:p w:rsidR="00D40371" w:rsidRPr="00116510" w:rsidRDefault="004133D3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3D5FDA">
        <w:rPr>
          <w:rFonts w:ascii="Book Antiqua" w:hAnsi="Book Antiqua"/>
          <w:color w:val="000000"/>
          <w:sz w:val="22"/>
          <w:szCs w:val="22"/>
          <w:u w:val="single"/>
        </w:rPr>
        <w:t>K bodu 3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color w:val="000000"/>
          <w:sz w:val="22"/>
          <w:szCs w:val="22"/>
        </w:rPr>
        <w:t xml:space="preserve"> Zo zákona o zdravotnej starostlivosti sa vypúšťa splnomocňovacie ustanovenie na vydanie vyhlášky, keďže jej celý obsah je prebratý do zákona o zdravotnej starostlivosti, čím sa vyhláška stáva bezpredmetnou.</w:t>
      </w:r>
    </w:p>
    <w:p w:rsidR="00D40371" w:rsidRPr="00116510" w:rsidRDefault="004133D3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  <w:u w:val="single"/>
        </w:rPr>
        <w:t>K bodu 4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color w:val="000000"/>
          <w:sz w:val="22"/>
          <w:szCs w:val="22"/>
        </w:rPr>
        <w:t>V zrušovacích ustanoveniach sa explicitne zrušuje vyhláška, ktorej obsah bol prebratý do zákona o zdravotnej starostlivosti.</w:t>
      </w:r>
    </w:p>
    <w:p w:rsidR="004133D3" w:rsidRDefault="004133D3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</w:p>
    <w:p w:rsidR="00D40371" w:rsidRPr="00116510" w:rsidRDefault="004133D3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  <w:u w:val="single"/>
        </w:rPr>
        <w:t>K bodu 5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</w:rPr>
        <w:t>Do zákona o zdravotnej starostlivosti sa vkladá príloha č. 5, ktorej obsahom je záväzná forma a obsah poučenia pred umelým prerušením tehotenstva.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b/>
          <w:sz w:val="22"/>
          <w:szCs w:val="22"/>
        </w:rPr>
        <w:t>K Čl. I</w:t>
      </w:r>
      <w:r w:rsidR="009A6CBD">
        <w:rPr>
          <w:rFonts w:ascii="Book Antiqua" w:hAnsi="Book Antiqua"/>
          <w:b/>
          <w:sz w:val="22"/>
          <w:szCs w:val="22"/>
        </w:rPr>
        <w:t>II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  <w:u w:val="single"/>
        </w:rPr>
        <w:t>K bodu 1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color w:val="000000"/>
          <w:sz w:val="22"/>
          <w:szCs w:val="22"/>
        </w:rPr>
        <w:t xml:space="preserve">Najväčším problémom pri sprostredkovaní náhradnej rodinnej starostlivosti v prípade novorodencov je skutočnosť, že sú umiestnení dočasne v domove napriek tomu, že v zozname žiadateľov o náhradnú rodinnú starostlivosť je hneď niekoľko žiadateľov, ktorí by sa o toto dieťa radi starali. Javí sa ako nevyhnutné uviesť do § 27 ods. 2 zákona        č. </w:t>
      </w:r>
      <w:r w:rsidRPr="00116510">
        <w:rPr>
          <w:rFonts w:ascii="Book Antiqua" w:hAnsi="Book Antiqua"/>
          <w:bCs/>
          <w:color w:val="000000"/>
          <w:sz w:val="22"/>
          <w:szCs w:val="22"/>
        </w:rPr>
        <w:t>305/2005 Z. z. o sociálnoprávnej ochrane detí a o sociálnej kuratele a o zmene a doplnení niektorých zákonov v znení neskorších predpisov (ďalej len „zákon o sociálnoprávnej ochrane“)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, že v prípade podania návrhu na nariadenie neodkladného opatrenia uvedie orgán sociálnoprávnej ochrany detí a sociálnej kurately ako osobu, ktorej navrhuje dieťa dočasne zveriť, fyzickú osobu zapísanú v zozname. Pritom sa dodržiava poradie žiadateľov s prípadnými výnimkami uvedenými v § 42 zákona </w:t>
      </w:r>
      <w:r w:rsidRPr="00116510">
        <w:rPr>
          <w:rFonts w:ascii="Book Antiqua" w:hAnsi="Book Antiqua"/>
          <w:bCs/>
          <w:color w:val="000000"/>
          <w:sz w:val="22"/>
          <w:szCs w:val="22"/>
        </w:rPr>
        <w:t>o sociálnoprávnej ochrane.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  <w:u w:val="single"/>
        </w:rPr>
        <w:t>K bodu 2</w:t>
      </w:r>
    </w:p>
    <w:p w:rsidR="005F373D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color w:val="000000"/>
          <w:sz w:val="22"/>
          <w:szCs w:val="22"/>
        </w:rPr>
        <w:tab/>
        <w:t>Ide o legislatívno-technickú úpravu, ktorá bezprostredne súvisí s Čl. IV bodom 5 tohto návrhu zákona.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  <w:u w:val="single"/>
        </w:rPr>
        <w:t>K bodom 3 a 4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</w:rPr>
        <w:t xml:space="preserve">Podľa súčasnej právnej úpravy vedie prehľad detí, ktorým treba sprostredkovať náhradnú rodinnú starostlivosť určený orgán sociálnoprávnej ochrany detí a sociálnej kurately, ktorých je v Slovenskej republike osem, v každom krajskom meste. Tieto prehľady pritom nie sú navzájom prepojené a komunikácia medzi jednotlivými určenými orgánmi sociálnoprávnej ochrany detí a sociálnej kurately prebieha poštou, prípadne telefonicky. 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color w:val="000000"/>
          <w:sz w:val="22"/>
          <w:szCs w:val="22"/>
        </w:rPr>
        <w:t xml:space="preserve">Predkladanou legislatívnou úpravou sa súčasný právny stav mení, keď sa ustanovuje, že prehľady detí, ktorým treba sprostredkovať náhradnú rodinnú starostlivosť, sa vedú v elektronickej forme a jednotlivé prehľady sú navzájom prepojené. Zámerom takejto legislatívnej úpravy nie je nič iné ako snaha zrýchliť a zefektívniť sprostredkovanie náhradnej rodinnej starostlivosti (pestúnstva alebo osvojenia) deťom, ktoré nemôžu vyrastať vo vlastnej, biologickej rodine.  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  <w:u w:val="single"/>
        </w:rPr>
        <w:t>K bodu 5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color w:val="000000"/>
          <w:sz w:val="22"/>
          <w:szCs w:val="22"/>
        </w:rPr>
        <w:t>Ide o legislatívno-technickú úpravu v súvislosti so zavedením poznámky pod čiarou k odkazu 28a v § 27 ods. 2 zákona (Čl. IV, bod 1 tohto návrhu zákona).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  <w:u w:val="single"/>
        </w:rPr>
        <w:t>K bodu 6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color w:val="000000"/>
          <w:sz w:val="22"/>
          <w:szCs w:val="22"/>
        </w:rPr>
        <w:t xml:space="preserve">Navrhuje sa, aby v prípade utajeného pôrodu došlo k čo najrýchlejšej realizácii potrebných krokov, ktoré sú potrebné k sprostredkovaniu nadviazania osobného vzťahu. Inštitút utajeného pôrodu možno v oblasti sprostredkovania náhradnej rodinnej starostlivosti považovať za osobitný a podliehajúci odlišnému režimu. Ak sa orgán sociálnoprávnej ochrany detí a sociálnej kurately dozvie názov zdravotníckeho zariadenia, v ktorom žena žiadajúca o utajenie svojej osoby v súvislosti s pôrodom predpokladá pôrod (čl. II tohto návrhu zákona), tento orgán vykoná podľa možností všetky kroky k tomu, aby zabezpečili kontakt dieťaťa so žiadateľmi zo zoznamu priamo v zdravotníckom zariadení. Tzv. „bonding“, teda potreba priloženia dieťaťa na hruď sa v prípade utajených pôrodov nerealizuje, napriek tomu, že v odbornej literatúre sa popísalo množstvo jeho pozitívnych účinkov. Cieľom návrhu zákona je umožniť deťom v takomto prípade fyzickú blízkosť osoby, hoci touto osobou nie je biologická matka dieťaťa. 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  <w:u w:val="single"/>
        </w:rPr>
        <w:t>K bodom 7 a 8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116510">
        <w:rPr>
          <w:rFonts w:ascii="Book Antiqua" w:hAnsi="Book Antiqua"/>
          <w:color w:val="000000"/>
          <w:sz w:val="22"/>
          <w:szCs w:val="22"/>
        </w:rPr>
        <w:tab/>
        <w:t>Ide o legislatívno-technickú úpravu, ktorá bezprostredne súvisí s Čl. IV bodom 5 tohto návrhu zákona.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  <w:u w:val="single"/>
        </w:rPr>
        <w:t>K bodom 9 až 14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</w:rPr>
        <w:tab/>
        <w:t xml:space="preserve">Ponecháva sa platný právny stav s tým rozdielom, že s prihliadnutím na to, že jednotlivé prehľady detí, ktorým treba sprostredkovať náhradnú rodinnú starostlivosť, sú navzájom elektronicky prepojené, aj skutočnosť, že sa podarilo sprostredkovať nadviazanie osobného vzťahu žiadateľa zo zoznamu s dieťaťom vedeného v prehľade detí, ktorým treba sprostredkovať náhradnú rodinnú starostlivosť, sa zapíše elektronicky. </w:t>
      </w:r>
    </w:p>
    <w:p w:rsidR="00D40371" w:rsidRPr="00116510" w:rsidRDefault="00D4037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</w:rPr>
        <w:t>Súčasne sa navrhuje, aby predloženie spisovej dokumentácie dieťaťa na účely sprostredkovania náhradnej rodinnej starostlivosti, prebiehalo v elektronickej podobe.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 xml:space="preserve">K Čl. </w:t>
      </w:r>
      <w:r w:rsidR="009A6CBD">
        <w:rPr>
          <w:rFonts w:ascii="Book Antiqua" w:hAnsi="Book Antiqua"/>
          <w:b/>
          <w:sz w:val="22"/>
          <w:szCs w:val="22"/>
        </w:rPr>
        <w:t>I</w:t>
      </w:r>
      <w:r w:rsidRPr="00116510">
        <w:rPr>
          <w:rFonts w:ascii="Book Antiqua" w:hAnsi="Book Antiqua"/>
          <w:b/>
          <w:sz w:val="22"/>
          <w:szCs w:val="22"/>
        </w:rPr>
        <w:t>V</w:t>
      </w:r>
    </w:p>
    <w:p w:rsidR="00D40371" w:rsidRPr="00116510" w:rsidRDefault="00D40371">
      <w:pPr>
        <w:spacing w:before="12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Navrhuje sa účinnosť predkladaného zákona so zohľadnením legisvakančnej lehoty, a to od 1. januára 2020.</w:t>
      </w:r>
    </w:p>
    <w:p w:rsidR="00D40371" w:rsidRPr="003D5FDA" w:rsidRDefault="00D40371" w:rsidP="000013B6">
      <w:pPr>
        <w:pageBreakBefore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D5FDA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40371" w:rsidRPr="003D5FDA" w:rsidRDefault="00D40371" w:rsidP="00BE73D2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3D5FDA">
        <w:rPr>
          <w:rFonts w:ascii="Book Antiqua" w:hAnsi="Book Antiqua"/>
          <w:b/>
          <w:bCs/>
          <w:sz w:val="22"/>
          <w:szCs w:val="22"/>
        </w:rPr>
        <w:t>1. Navrhovateľ zákona:</w:t>
      </w:r>
      <w:r w:rsidR="004133D3" w:rsidRPr="003D5FDA">
        <w:rPr>
          <w:rFonts w:ascii="Book Antiqua" w:hAnsi="Book Antiqua"/>
          <w:sz w:val="22"/>
          <w:szCs w:val="22"/>
        </w:rPr>
        <w:t xml:space="preserve"> poslanci</w:t>
      </w:r>
      <w:r w:rsidRPr="003D5FDA">
        <w:rPr>
          <w:rFonts w:ascii="Book Antiqua" w:hAnsi="Book Antiqua"/>
          <w:sz w:val="22"/>
          <w:szCs w:val="22"/>
        </w:rPr>
        <w:t xml:space="preserve"> Národnej rady Slovenskej republiky </w:t>
      </w:r>
      <w:r w:rsidR="004133D3" w:rsidRPr="003D5FDA">
        <w:rPr>
          <w:rFonts w:ascii="Book Antiqua" w:hAnsi="Book Antiqua"/>
          <w:sz w:val="22"/>
          <w:szCs w:val="22"/>
        </w:rPr>
        <w:t>Marek Krajčí, Eduard Heger, Gábor Grendel a Richard Vašečka</w:t>
      </w:r>
    </w:p>
    <w:p w:rsidR="00D40371" w:rsidRPr="003D5FDA" w:rsidRDefault="00D40371" w:rsidP="00BE73D2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3D5FDA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3D5FDA">
        <w:rPr>
          <w:rFonts w:ascii="Book Antiqua" w:hAnsi="Book Antiqua"/>
          <w:sz w:val="22"/>
          <w:szCs w:val="22"/>
        </w:rPr>
        <w:t xml:space="preserve"> návrh zákona, </w:t>
      </w:r>
      <w:r w:rsidR="000013B6" w:rsidRPr="003D5FDA">
        <w:rPr>
          <w:rFonts w:ascii="Book Antiqua" w:hAnsi="Book Antiqua"/>
          <w:color w:val="000000"/>
          <w:sz w:val="22"/>
          <w:szCs w:val="22"/>
        </w:rPr>
        <w:t xml:space="preserve">ktorým sa </w:t>
      </w:r>
      <w:r w:rsidR="000013B6" w:rsidRPr="003D5FDA">
        <w:rPr>
          <w:rFonts w:ascii="Book Antiqua" w:hAnsi="Book Antiqua"/>
          <w:bCs/>
          <w:color w:val="000000"/>
          <w:sz w:val="22"/>
          <w:szCs w:val="22"/>
        </w:rPr>
        <w:t>dopĺňa zákon č. 461/2003 Z. z. o sociálnom poistení v znení neskorších predpisov a ktorým sa menia a dopĺňajú niektoré zákony</w:t>
      </w:r>
    </w:p>
    <w:p w:rsidR="00D40371" w:rsidRPr="003D5FDA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D5FDA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D40371" w:rsidRPr="00116510" w:rsidRDefault="00D40371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D5FDA">
        <w:rPr>
          <w:rFonts w:ascii="Book Antiqua" w:hAnsi="Book Antiqua"/>
          <w:bCs/>
          <w:sz w:val="22"/>
          <w:szCs w:val="22"/>
        </w:rPr>
        <w:t xml:space="preserve">je upravený v primárnom práve Európskej únie, a to v </w:t>
      </w:r>
      <w:r w:rsidRPr="003D5FDA">
        <w:rPr>
          <w:rFonts w:ascii="Book Antiqua" w:hAnsi="Book Antiqua"/>
          <w:sz w:val="22"/>
          <w:szCs w:val="22"/>
        </w:rPr>
        <w:t>čl. 48 (voľný pohyb pracovníkov), 151 (sociálna politika), 153 (sociálna politika) a 288 (právne akty EÚ) Zmluvy o fungovaní Európskej únie,</w:t>
      </w:r>
      <w:r w:rsidRPr="00116510">
        <w:rPr>
          <w:rFonts w:ascii="Book Antiqua" w:hAnsi="Book Antiqua"/>
          <w:sz w:val="22"/>
          <w:szCs w:val="22"/>
        </w:rPr>
        <w:t xml:space="preserve"> ktoré zabezpečujú primeranú sociálnu ochranu, </w:t>
      </w:r>
    </w:p>
    <w:p w:rsidR="00BE73D2" w:rsidRPr="00FB3DF8" w:rsidRDefault="00BE73D2" w:rsidP="00BE73D2">
      <w:pPr>
        <w:pStyle w:val="Odsekzoznamu"/>
        <w:numPr>
          <w:ilvl w:val="0"/>
          <w:numId w:val="5"/>
        </w:numPr>
        <w:suppressAutoHyphens w:val="0"/>
        <w:spacing w:before="120" w:line="276" w:lineRule="auto"/>
        <w:ind w:left="714" w:hanging="357"/>
        <w:jc w:val="both"/>
        <w:rPr>
          <w:rFonts w:ascii="Book Antiqua" w:hAnsi="Book Antiqua"/>
          <w:sz w:val="22"/>
          <w:szCs w:val="22"/>
        </w:rPr>
      </w:pPr>
      <w:r w:rsidRPr="00FB3DF8">
        <w:rPr>
          <w:rFonts w:ascii="Book Antiqua" w:hAnsi="Book Antiqua"/>
          <w:bCs/>
          <w:sz w:val="22"/>
          <w:szCs w:val="22"/>
        </w:rPr>
        <w:t>je upravený v sekundárnom práve Európskej únie, a to v:</w:t>
      </w:r>
    </w:p>
    <w:p w:rsidR="00BE73D2" w:rsidRPr="00FB3DF8" w:rsidRDefault="00BE73D2" w:rsidP="00BE73D2">
      <w:pPr>
        <w:pStyle w:val="Odsekzoznamu"/>
        <w:numPr>
          <w:ilvl w:val="0"/>
          <w:numId w:val="6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B3DF8">
        <w:rPr>
          <w:rFonts w:ascii="Book Antiqua" w:hAnsi="Book Antiqua"/>
          <w:sz w:val="22"/>
          <w:szCs w:val="22"/>
        </w:rPr>
        <w:t>nariadení Európskeho parlamentu a  Rady  (ES) č. 883/2004 z 29. apríla 2004 o koordinácii systémov sociálneho zabezpečenia v platnom znení (Mimoriadne vydanie Ú. v. EÚ, kap. 5/ zv. 5</w:t>
      </w:r>
      <w:r w:rsidRPr="00FB3DF8">
        <w:rPr>
          <w:rFonts w:ascii="Book Antiqua" w:hAnsi="Book Antiqua" w:cs="Times"/>
          <w:sz w:val="22"/>
          <w:szCs w:val="22"/>
        </w:rPr>
        <w:t>; Ú. v. EÚ L 166, 30. 4. 2004</w:t>
      </w:r>
      <w:r w:rsidRPr="00FB3DF8">
        <w:rPr>
          <w:rFonts w:ascii="Book Antiqua" w:hAnsi="Book Antiqua"/>
          <w:sz w:val="22"/>
          <w:szCs w:val="22"/>
        </w:rPr>
        <w:t xml:space="preserve">) v platnom znení – čl. 3, 21, 67 a 68 – materské a rodinné dávky vrátane otázok súbehu a poskytovania v inom členskom štáte Európskej únie, </w:t>
      </w:r>
    </w:p>
    <w:p w:rsidR="00BE73D2" w:rsidRPr="00FB3DF8" w:rsidRDefault="00BE73D2" w:rsidP="00BE73D2">
      <w:pPr>
        <w:pStyle w:val="Odsekzoznamu"/>
        <w:numPr>
          <w:ilvl w:val="0"/>
          <w:numId w:val="6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B3DF8">
        <w:rPr>
          <w:rFonts w:ascii="Book Antiqua" w:hAnsi="Book Antiqua"/>
          <w:sz w:val="22"/>
          <w:szCs w:val="22"/>
        </w:rPr>
        <w:t>nariadení Európskeho parlamentu a Rady  (ES) č. 987/2009 zo 16. septembra 2009, ktorým sa ustanovuje postup vykonávania nariadenia (ES) č. 883/2004 o koordinácii systémov sociálneho zabezpečenia (Ú. v. EÚ L 284, 30. 10. 2009) v platnom znení – čl. 10 a 60 – zamedzenie súbehu dávok a uplatňovanie čl. 67 a 68 základného nariadenie [t.j. nariadenia EP a Rady (ES) č. 883/2004], napr. rozdielový doplatok,</w:t>
      </w:r>
    </w:p>
    <w:p w:rsidR="00BE73D2" w:rsidRPr="000910E5" w:rsidRDefault="00BE73D2" w:rsidP="00BE73D2">
      <w:pPr>
        <w:pStyle w:val="Odsekzoznamu"/>
        <w:numPr>
          <w:ilvl w:val="0"/>
          <w:numId w:val="5"/>
        </w:numPr>
        <w:suppressAutoHyphens w:val="0"/>
        <w:spacing w:before="120" w:line="276" w:lineRule="auto"/>
        <w:ind w:left="714" w:hanging="357"/>
        <w:jc w:val="both"/>
        <w:rPr>
          <w:rFonts w:ascii="Book Antiqua" w:hAnsi="Book Antiqua"/>
          <w:sz w:val="22"/>
          <w:szCs w:val="22"/>
        </w:rPr>
      </w:pPr>
      <w:r w:rsidRPr="000910E5">
        <w:rPr>
          <w:rFonts w:ascii="Book Antiqua" w:hAnsi="Book Antiqua"/>
          <w:bCs/>
          <w:sz w:val="22"/>
          <w:szCs w:val="22"/>
        </w:rPr>
        <w:t>je obsiahnutý v judikatúre Súdneho dvora Európskej únie, a to v:</w:t>
      </w:r>
    </w:p>
    <w:p w:rsidR="00BE73D2" w:rsidRPr="000910E5" w:rsidRDefault="00BE73D2" w:rsidP="00BE73D2">
      <w:pPr>
        <w:pStyle w:val="Odsekzoznamu"/>
        <w:numPr>
          <w:ilvl w:val="0"/>
          <w:numId w:val="6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rozsudku Súdneho dvora vo veci </w:t>
      </w:r>
      <w:r w:rsidRPr="000910E5">
        <w:rPr>
          <w:rFonts w:ascii="Book Antiqua" w:hAnsi="Book Antiqua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C-32/13 </w:t>
      </w:r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Petra Würker proti Familienkasse Nürnberg </w:t>
      </w:r>
      <w:r w:rsidRPr="000910E5">
        <w:rPr>
          <w:rFonts w:ascii="Book Antiqua" w:hAnsi="Book Antiqua"/>
          <w:sz w:val="22"/>
          <w:szCs w:val="22"/>
        </w:rPr>
        <w:t>[2014] (vznik nároku na rodinné prídavky),</w:t>
      </w:r>
    </w:p>
    <w:p w:rsidR="00BE73D2" w:rsidRPr="000910E5" w:rsidRDefault="00BE73D2" w:rsidP="00BE73D2">
      <w:pPr>
        <w:pStyle w:val="Odsekzoznamu"/>
        <w:numPr>
          <w:ilvl w:val="0"/>
          <w:numId w:val="6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rozsudk</w:t>
      </w:r>
      <w:r w:rsidRPr="000910E5">
        <w:rPr>
          <w:rFonts w:ascii="Book Antiqua" w:hAnsi="Book Antiqua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u</w:t>
      </w:r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Súdneho dvora </w:t>
      </w:r>
      <w:r w:rsidRPr="000910E5">
        <w:rPr>
          <w:rFonts w:ascii="Book Antiqua" w:hAnsi="Book Antiqua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vo veci C-333/13 </w:t>
      </w:r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Elisabeta Dano a Florin Dano proti Jobcenter Leipzig </w:t>
      </w:r>
      <w:r w:rsidRPr="000910E5">
        <w:rPr>
          <w:rFonts w:ascii="Book Antiqua" w:hAnsi="Book Antiqua"/>
          <w:sz w:val="22"/>
          <w:szCs w:val="22"/>
        </w:rPr>
        <w:t>[2014] (osobitné nepríspevkové peňažné dávky),</w:t>
      </w:r>
    </w:p>
    <w:p w:rsidR="00BE73D2" w:rsidRPr="000910E5" w:rsidRDefault="00BE73D2" w:rsidP="00BE73D2">
      <w:pPr>
        <w:pStyle w:val="Odsekzoznamu"/>
        <w:numPr>
          <w:ilvl w:val="0"/>
          <w:numId w:val="6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rozsudk</w:t>
      </w:r>
      <w:r w:rsidRPr="000910E5">
        <w:rPr>
          <w:rFonts w:ascii="Book Antiqua" w:hAnsi="Book Antiqua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u</w:t>
      </w:r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Súdneho dvora vo veci </w:t>
      </w:r>
      <w:r w:rsidRPr="000910E5">
        <w:rPr>
          <w:rFonts w:ascii="Book Antiqua" w:hAnsi="Book Antiqua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C-378/14 </w:t>
      </w:r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Bundesagentur für Arbeit – Familienkasse Sachsen proti Tomislawovi Trapkowskému </w:t>
      </w:r>
      <w:r w:rsidRPr="000910E5">
        <w:rPr>
          <w:rFonts w:ascii="Book Antiqua" w:hAnsi="Book Antiqua"/>
          <w:sz w:val="22"/>
          <w:szCs w:val="22"/>
        </w:rPr>
        <w:t>[2015] (priznanie nároku na rodinné dávky).</w:t>
      </w:r>
    </w:p>
    <w:p w:rsidR="00BE73D2" w:rsidRPr="00550F63" w:rsidRDefault="00BE73D2" w:rsidP="00BE73D2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:rsidR="00BE73D2" w:rsidRDefault="00BE73D2" w:rsidP="00BE73D2">
      <w:pPr>
        <w:numPr>
          <w:ilvl w:val="0"/>
          <w:numId w:val="4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:rsidR="00BE73D2" w:rsidRDefault="00BE73D2" w:rsidP="00BE73D2">
      <w:pPr>
        <w:numPr>
          <w:ilvl w:val="0"/>
          <w:numId w:val="4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72DE3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:rsidR="00BE73D2" w:rsidRPr="00550F63" w:rsidRDefault="00BE73D2" w:rsidP="00BE73D2">
      <w:pPr>
        <w:pStyle w:val="Vchodzie"/>
        <w:numPr>
          <w:ilvl w:val="0"/>
          <w:numId w:val="4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:rsidR="00BE73D2" w:rsidRPr="00550F63" w:rsidRDefault="00BE73D2" w:rsidP="00BE73D2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:rsidR="00D40371" w:rsidRPr="00116510" w:rsidRDefault="00BE73D2" w:rsidP="00BE73D2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- </w:t>
      </w:r>
      <w:r w:rsidRPr="00550F63">
        <w:rPr>
          <w:rFonts w:ascii="Book Antiqua" w:hAnsi="Book Antiqua"/>
          <w:sz w:val="22"/>
          <w:szCs w:val="22"/>
        </w:rPr>
        <w:tab/>
        <w:t>úplný.</w:t>
      </w:r>
    </w:p>
    <w:p w:rsidR="00D40371" w:rsidRPr="00116510" w:rsidRDefault="00D40371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D40371" w:rsidRPr="00116510" w:rsidRDefault="00D40371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D40371" w:rsidRPr="00116510" w:rsidRDefault="00D40371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:rsidR="00D40371" w:rsidRPr="00116510" w:rsidRDefault="00D40371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116510">
        <w:rPr>
          <w:rFonts w:ascii="Book Antiqua" w:hAnsi="Book Antiqua"/>
          <w:sz w:val="22"/>
          <w:szCs w:val="22"/>
        </w:rPr>
        <w:t xml:space="preserve">návrh zákona, </w:t>
      </w:r>
      <w:r w:rsidRPr="00116510">
        <w:rPr>
          <w:rFonts w:ascii="Book Antiqua" w:hAnsi="Book Antiqua"/>
          <w:color w:val="000000"/>
          <w:sz w:val="22"/>
          <w:szCs w:val="22"/>
        </w:rPr>
        <w:t>ktorým sa mení a dopĺňa zákon Slovenskej národnej rady č. 73/1986 Zb. o umelom prerušení tehotenstva v znení neskorších predpisov a ktorým sa menia a dopĺňajú niektoré zákony</w:t>
      </w:r>
    </w:p>
    <w:p w:rsidR="00D40371" w:rsidRPr="00116510" w:rsidRDefault="00D40371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D40371" w:rsidRPr="0011651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D40371" w:rsidRPr="0011651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5B099A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40371" w:rsidRPr="0011651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40371" w:rsidRPr="0011651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40371" w:rsidRPr="00116510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40371" w:rsidRPr="0011651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40371" w:rsidRPr="0011651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D40371" w:rsidRPr="0011651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D40371" w:rsidRPr="0011651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371" w:rsidRPr="00116510" w:rsidRDefault="00D40371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D40371" w:rsidRPr="00116510" w:rsidRDefault="00D40371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:rsidR="00D40371" w:rsidRPr="00116510" w:rsidRDefault="00D40371">
      <w:pPr>
        <w:pStyle w:val="Normlnywebov"/>
        <w:spacing w:before="120" w:after="0" w:line="276" w:lineRule="auto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A.3. Poznámky</w:t>
      </w:r>
    </w:p>
    <w:p w:rsidR="00D40371" w:rsidRPr="00116510" w:rsidRDefault="00D40371" w:rsidP="000013B6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i/>
          <w:sz w:val="22"/>
          <w:szCs w:val="22"/>
        </w:rPr>
        <w:t xml:space="preserve">Vplyv návrhu zákona na rozpočet verejnej správy </w:t>
      </w:r>
      <w:r w:rsidR="005B099A">
        <w:rPr>
          <w:rFonts w:ascii="Book Antiqua" w:hAnsi="Book Antiqua"/>
          <w:i/>
          <w:sz w:val="22"/>
          <w:szCs w:val="22"/>
        </w:rPr>
        <w:t>nie je takmer žiadny.</w:t>
      </w:r>
      <w:r w:rsidRPr="00116510">
        <w:rPr>
          <w:rFonts w:ascii="Book Antiqua" w:hAnsi="Book Antiqua"/>
          <w:i/>
          <w:sz w:val="22"/>
          <w:szCs w:val="22"/>
        </w:rPr>
        <w:t xml:space="preserve"> Priznanie nemocenského ako dávky sociálneho poistenia ženám, ktoré požiadali o utajenie svojej osoby v súvislosti s pôrodom, nepovažujeme za opatrenie, ktoré by malo vplyv na rozpočet verejnej správy, pretože (i) nemocenské môžu poberať aj iné ženy počas rizikovej gravidity, a (ii) poberaním nemocenského (v nižšej sume) a nepoberaním materského (vo vyššej sume) dochádza k hypotetickej kompenzácii výdavkov verejnej správy. </w:t>
      </w:r>
      <w:r w:rsidR="00BE73D2">
        <w:rPr>
          <w:rFonts w:ascii="Book Antiqua" w:hAnsi="Book Antiqua"/>
          <w:i/>
          <w:sz w:val="22"/>
          <w:szCs w:val="22"/>
        </w:rPr>
        <w:t xml:space="preserve">Navyše, počet prípadov, keď sa žena rozhodne o utajenie svojho pôrodu, je zanedbateľný. </w:t>
      </w:r>
      <w:r w:rsidRPr="00116510">
        <w:rPr>
          <w:rFonts w:ascii="Book Antiqua" w:hAnsi="Book Antiqua"/>
          <w:i/>
          <w:sz w:val="22"/>
          <w:szCs w:val="22"/>
        </w:rPr>
        <w:t xml:space="preserve">Napriek tomu, ak by predsa len k určitým negatívnym dopadom na výdavkovej strane rozpočtu verejnej správy došlo (čo nie je možné presne vyčísliť), tieto navrhujeme </w:t>
      </w:r>
      <w:r w:rsidRPr="00116510">
        <w:rPr>
          <w:rFonts w:ascii="Book Antiqua" w:hAnsi="Book Antiqua" w:cs="Book Antiqua"/>
          <w:i/>
          <w:iCs/>
          <w:sz w:val="22"/>
          <w:szCs w:val="22"/>
        </w:rPr>
        <w:t>na aktuálny rozpočtový rok, ako aj ďalšie rozpočtové roky</w:t>
      </w:r>
      <w:r w:rsidRPr="00116510">
        <w:rPr>
          <w:rFonts w:ascii="Book Antiqua" w:hAnsi="Book Antiqua"/>
          <w:i/>
          <w:sz w:val="22"/>
          <w:szCs w:val="22"/>
        </w:rPr>
        <w:t xml:space="preserve"> financovať z rozpočtovej kapitoly Všeobecná pokladničná správa, kde je vyčlenených 2 mld. eur na bližšie nešpecifikované účely.</w:t>
      </w:r>
    </w:p>
    <w:p w:rsidR="00D40371" w:rsidRPr="00116510" w:rsidRDefault="00D40371" w:rsidP="000013B6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i/>
          <w:sz w:val="22"/>
          <w:szCs w:val="22"/>
        </w:rPr>
        <w:t>Návrh zákona vyvoláva pozitívne sociálne vplyvy, najmä čo sa týka vplyvu na hospodárenie obyvateľstva, keďže cieľom návrhu zákona je poskytnúť poistenkyni – tehotnej žene, ktorá sa rozhodla o utajenie svojej osoby v súvislosti s pôrodom, nemocenské, a to od ukončenia 2</w:t>
      </w:r>
      <w:r w:rsidR="00415A79">
        <w:rPr>
          <w:rFonts w:ascii="Book Antiqua" w:hAnsi="Book Antiqua"/>
          <w:i/>
          <w:sz w:val="22"/>
          <w:szCs w:val="22"/>
        </w:rPr>
        <w:t>1.</w:t>
      </w:r>
      <w:r w:rsidRPr="00116510">
        <w:rPr>
          <w:rFonts w:ascii="Book Antiqua" w:hAnsi="Book Antiqua"/>
          <w:i/>
          <w:sz w:val="22"/>
          <w:szCs w:val="22"/>
        </w:rPr>
        <w:t xml:space="preserve"> týždňa tehotenstva až do 2. týždňa po pôrode. Táto dávka vytvára žene priestor pre donosenie dieťaťa za súčasného zabezpečenia náhrady príjmu. </w:t>
      </w:r>
    </w:p>
    <w:p w:rsidR="00D40371" w:rsidRPr="00116510" w:rsidRDefault="00D40371" w:rsidP="000013B6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i/>
          <w:sz w:val="22"/>
          <w:szCs w:val="22"/>
        </w:rPr>
        <w:t>Pozitívny vplyv na informatizáciu spoločnosti sa predpokladá v dôsledku zavedenia povinnosti elektronického vedenia prehľadu detí, ktorým treba zabezpečiť náhradnú rodinnú starostlivosť a aj elektronickej komunikácie medzi určenými orgánmi sociálnoprávnej ochrany detí a sociálnej kurately.</w:t>
      </w:r>
    </w:p>
    <w:p w:rsidR="00D40371" w:rsidRPr="00116510" w:rsidRDefault="00D40371" w:rsidP="000013B6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sz w:val="22"/>
          <w:szCs w:val="22"/>
        </w:rPr>
        <w:t>Nepredpokladá sa dopad návrhu zákona na podnikateľské prostredie ani na životné prostredie.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40371" w:rsidRPr="00116510" w:rsidRDefault="00D40371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D40371" w:rsidRDefault="00D40371">
      <w:pPr>
        <w:pStyle w:val="Normlnywebov"/>
        <w:spacing w:before="120" w:after="0" w:line="276" w:lineRule="auto"/>
        <w:jc w:val="both"/>
      </w:pPr>
      <w:r w:rsidRPr="00116510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D40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ACD" w:rsidRDefault="00FF3ACD">
      <w:r>
        <w:separator/>
      </w:r>
    </w:p>
  </w:endnote>
  <w:endnote w:type="continuationSeparator" w:id="0">
    <w:p w:rsidR="00FF3ACD" w:rsidRDefault="00FF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71" w:rsidRDefault="00D403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71" w:rsidRDefault="00E863E3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7728" behindDoc="0" locked="0" layoutInCell="1" allowOverlap="1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371" w:rsidRDefault="00D40371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63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8.45pt;margin-top:.05pt;width:6pt;height:13.75pt;z-index:251657728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ATeQIAAP0EAAAOAAAAZHJzL2Uyb0RvYy54bWysVNuO2yAQfa/Uf0C8Z21H3iS21ll1d5uq&#10;0vYi7fYDiMExKmYokNjbqv/eAcfZ9PJQVfUDHmA4nJkzw9X10ClyENZJ0BXNLlJKhK6BS72r6KfH&#10;zWxFifNMc6ZAi4o+CUev1y9fXPWmFHNoQXFhCYJoV/amoq33pkwSV7eiY+4CjNC42YDtmMep3SXc&#10;sh7RO5XM03SR9GC5sVAL53D1btyk64jfNKL2H5rGCU9URZGbj6ON4zaMyfqKlTvLTCvrIw32Dyw6&#10;JjVeeoK6Y56RvZW/QXWytuCg8Rc1dAk0jaxFjAGjydJfonlomRExFkyOM6c0uf8HW78/fLREctSO&#10;Es06lOhRDJ7cwECykJ3euBKdHgy6+QGXg2eI1Jl7qD87ouG2ZXonXlkLfSsYR3bxZHJ2dMRxAWTb&#10;vwOO17C9hwg0NLYLgJgMguio0tNJmUClxsXlAsWmpMadbJkv5peBWsLK6ayxzr8R0JFgVNSi7hGb&#10;He6dH10nl8gdlOQbqVSc2N32VllyYFgjm/gd0d25m9LBWUM4NiKOK0gR7wh7gWzU/FuRzfP0Zl7M&#10;NovVcpZv8stZsUxXszQrbopFmhf53eZ7IJjlZSs5F/peajHVX5b/nb7HThgrJ1Yg6StaXGJ2Ylzn&#10;7N15kGn8/hRkJz22o5JdRVcnJ1YGWV9rjmGz0jOpRjv5mX4UBHMw/WNWYhEE3ccK8MN2QJRQGVvg&#10;T1gOFlAvlBbfEDRasF8p6bEfK+q+7JkVlKi3GksqNO9k2MnYTgbTNR6tqKdkNG/92OR7Y+WuReSx&#10;aDW8wrJrZKyJZxZIOUywxyL543sQmvh8Hr2eX631DwAAAP//AwBQSwMEFAAGAAgAAAAhAD2gYAnc&#10;AAAACQEAAA8AAABkcnMvZG93bnJldi54bWxMj8FOwzAQRO9I/IO1SFwQtQkolBCnghZucGipet7G&#10;SxIRr6PYadK/xznB8WlGs2/z1WRbcaLeN4413C0UCOLSmYYrDfuv99slCB+QDbaOScOZPKyKy4sc&#10;M+NG3tJpFyoRR9hnqKEOocuk9GVNFv3CdcQx+3a9xRCxr6TpcYzjtpWJUqm02HC8UGNH65rKn91g&#10;NaSbfhi3vL7Z7N8+8LOrksPr+aD19dX08gwi0BT+yjDrR3UootPRDWy8aCOr+/QpdudEzLl6WEY+&#10;akgeU5BFLv9/UPwCAAD//wMAUEsBAi0AFAAGAAgAAAAhALaDOJL+AAAA4QEAABMAAAAAAAAAAAAA&#10;AAAAAAAAAFtDb250ZW50X1R5cGVzXS54bWxQSwECLQAUAAYACAAAACEAOP0h/9YAAACUAQAACwAA&#10;AAAAAAAAAAAAAAAvAQAAX3JlbHMvLnJlbHNQSwECLQAUAAYACAAAACEAHUAgE3kCAAD9BAAADgAA&#10;AAAAAAAAAAAAAAAuAgAAZHJzL2Uyb0RvYy54bWxQSwECLQAUAAYACAAAACEAPaBgCdwAAAAJAQAA&#10;DwAAAAAAAAAAAAAAAADTBAAAZHJzL2Rvd25yZXYueG1sUEsFBgAAAAAEAAQA8wAAANwFAAAAAA==&#10;" stroked="f">
              <v:textbox inset="0,0,0,0">
                <w:txbxContent>
                  <w:p w:rsidR="00D40371" w:rsidRDefault="00D40371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863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:rsidR="00D40371" w:rsidRDefault="00D4037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71" w:rsidRDefault="00D403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ACD" w:rsidRDefault="00FF3ACD">
      <w:r>
        <w:separator/>
      </w:r>
    </w:p>
  </w:footnote>
  <w:footnote w:type="continuationSeparator" w:id="0">
    <w:p w:rsidR="00FF3ACD" w:rsidRDefault="00FF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10" w:rsidRDefault="001165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71" w:rsidRDefault="00D4037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71" w:rsidRDefault="00D403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1C102CE"/>
    <w:multiLevelType w:val="hybridMultilevel"/>
    <w:tmpl w:val="70000FD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61513C2"/>
    <w:multiLevelType w:val="hybridMultilevel"/>
    <w:tmpl w:val="5476A74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D91F18"/>
    <w:multiLevelType w:val="hybridMultilevel"/>
    <w:tmpl w:val="02889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10"/>
    <w:rsid w:val="000013B6"/>
    <w:rsid w:val="00021F4E"/>
    <w:rsid w:val="00116510"/>
    <w:rsid w:val="00127BF9"/>
    <w:rsid w:val="001F71F5"/>
    <w:rsid w:val="00223F5E"/>
    <w:rsid w:val="003038AF"/>
    <w:rsid w:val="003379F4"/>
    <w:rsid w:val="003D5FDA"/>
    <w:rsid w:val="004133D3"/>
    <w:rsid w:val="00415A79"/>
    <w:rsid w:val="00492D5B"/>
    <w:rsid w:val="0057595E"/>
    <w:rsid w:val="005B099A"/>
    <w:rsid w:val="005F373D"/>
    <w:rsid w:val="0061146F"/>
    <w:rsid w:val="00795712"/>
    <w:rsid w:val="007C316A"/>
    <w:rsid w:val="00936733"/>
    <w:rsid w:val="009A6CBD"/>
    <w:rsid w:val="00A37561"/>
    <w:rsid w:val="00BE73D2"/>
    <w:rsid w:val="00C43BE6"/>
    <w:rsid w:val="00CA644E"/>
    <w:rsid w:val="00D40371"/>
    <w:rsid w:val="00E32972"/>
    <w:rsid w:val="00E863E3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F53938E-0635-4D83-8E51-05EA20C4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eastAsia="Calibri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PtaChar">
    <w:name w:val="Päta Char"/>
    <w:rPr>
      <w:rFonts w:ascii="Times New Roman" w:hAnsi="Times New Roman" w:cs="Times New Roman"/>
      <w:sz w:val="24"/>
      <w:szCs w:val="24"/>
    </w:rPr>
  </w:style>
  <w:style w:type="character" w:customStyle="1" w:styleId="TextpoznmkypodiarouChar">
    <w:name w:val="Text poznámky pod čiarou Char"/>
    <w:rPr>
      <w:rFonts w:ascii="Times New Roman" w:hAnsi="Times New Roman" w:cs="Times New Roman"/>
      <w:sz w:val="20"/>
      <w:szCs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rPr>
      <w:rFonts w:cs="Times New Roman"/>
      <w:color w:val="0000FF"/>
      <w:u w:val="single"/>
      <w:lang/>
    </w:rPr>
  </w:style>
  <w:style w:type="character" w:customStyle="1" w:styleId="Zkladntext2Char">
    <w:name w:val="Základný text 2 Char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4"/>
      <w:szCs w:val="24"/>
    </w:rPr>
  </w:style>
  <w:style w:type="character" w:customStyle="1" w:styleId="odsekChar">
    <w:name w:val="odsek Char"/>
    <w:rPr>
      <w:sz w:val="24"/>
    </w:rPr>
  </w:style>
  <w:style w:type="character" w:customStyle="1" w:styleId="Textzstupnhosymbolu1">
    <w:name w:val="Text zástupného symbolu1"/>
    <w:rPr>
      <w:rFonts w:ascii="Times New Roman" w:hAnsi="Times New Roman"/>
      <w:color w:val="808080"/>
    </w:rPr>
  </w:style>
  <w:style w:type="character" w:customStyle="1" w:styleId="pagenumber">
    <w:name w:val="page number"/>
    <w:rPr>
      <w:rFonts w:cs="Times New Roman"/>
    </w:rPr>
  </w:style>
  <w:style w:type="character" w:customStyle="1" w:styleId="HlavikaChar">
    <w:name w:val="Hlavička Char"/>
    <w:rPr>
      <w:rFonts w:ascii="Times New Roman" w:hAnsi="Times New Roman"/>
      <w:sz w:val="24"/>
      <w:szCs w:val="24"/>
    </w:rPr>
  </w:style>
  <w:style w:type="character" w:styleId="PremennHTML">
    <w:name w:val="HTML Variable"/>
    <w:rPr>
      <w:i/>
      <w:iCs/>
    </w:rPr>
  </w:style>
  <w:style w:type="character" w:styleId="Siln">
    <w:name w:val="Strong"/>
    <w:qFormat/>
    <w:rPr>
      <w:rFonts w:cs="Times New Roman"/>
      <w:b/>
      <w:bCs/>
    </w:rPr>
  </w:style>
  <w:style w:type="character" w:customStyle="1" w:styleId="italic">
    <w:name w:val="italic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awspan">
    <w:name w:val="awspan"/>
    <w:basedOn w:val="DefaultParagraphFont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  <w:i w:val="0"/>
    </w:rPr>
  </w:style>
  <w:style w:type="character" w:customStyle="1" w:styleId="ListLabel3">
    <w:name w:val="ListLabel 3"/>
    <w:rPr>
      <w:rFonts w:cs="Times New Roman"/>
      <w:b/>
      <w:i w:val="0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6">
    <w:name w:val="ListLabel 6"/>
    <w:rPr>
      <w:rFonts w:cs="Times New Roman"/>
      <w:i w:val="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Calibri" w:cs="Times New Roman"/>
      <w:sz w:val="27"/>
    </w:rPr>
  </w:style>
  <w:style w:type="character" w:customStyle="1" w:styleId="ListLabel9">
    <w:name w:val="ListLabel 9"/>
    <w:rPr>
      <w:rFonts w:eastAsia="Calibri" w:cs="Times New Roman"/>
    </w:rPr>
  </w:style>
  <w:style w:type="character" w:customStyle="1" w:styleId="ListLabel10">
    <w:name w:val="ListLabel 10"/>
    <w:rPr>
      <w:rFonts w:eastAsia="Times New Roman" w:cs="Aria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styleId="Pta">
    <w:name w:val="footer"/>
    <w:basedOn w:val="Normlny"/>
    <w:pPr>
      <w:suppressLineNumbers/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pPr>
      <w:spacing w:before="100" w:after="100"/>
    </w:pPr>
  </w:style>
  <w:style w:type="paragraph" w:customStyle="1" w:styleId="footnotetext">
    <w:name w:val="footnote text"/>
    <w:basedOn w:val="Normlny"/>
    <w:pPr>
      <w:jc w:val="both"/>
    </w:pPr>
    <w:rPr>
      <w:sz w:val="20"/>
      <w:szCs w:val="20"/>
    </w:rPr>
  </w:style>
  <w:style w:type="paragraph" w:customStyle="1" w:styleId="BodyText21">
    <w:name w:val="Body Text 21"/>
    <w:basedOn w:val="Normlny"/>
    <w:pPr>
      <w:spacing w:after="120" w:line="480" w:lineRule="auto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Odsekzoznamu">
    <w:name w:val="List Paragraph"/>
    <w:basedOn w:val="Normlny"/>
    <w:uiPriority w:val="34"/>
    <w:qFormat/>
    <w:pPr>
      <w:ind w:left="708"/>
    </w:pPr>
    <w:rPr>
      <w:rFonts w:eastAsia="Times New Roman"/>
    </w:rPr>
  </w:style>
  <w:style w:type="paragraph" w:customStyle="1" w:styleId="odsek">
    <w:name w:val="odsek"/>
    <w:basedOn w:val="Normlny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lny"/>
    <w:pPr>
      <w:keepNext/>
      <w:spacing w:before="120" w:after="120"/>
      <w:ind w:firstLine="709"/>
      <w:jc w:val="both"/>
    </w:pPr>
  </w:style>
  <w:style w:type="paragraph" w:styleId="Hlavika">
    <w:name w:val="header"/>
    <w:basedOn w:val="Normlny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Obsahrmca">
    <w:name w:val="Obsah rámca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2902</Words>
  <Characters>16545</Characters>
  <Application>Microsoft Office Word</Application>
  <DocSecurity>4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Miroslav_Kaduc</dc:creator>
  <cp:keywords/>
  <cp:lastModifiedBy>Lukáč, Jozef (asistent)</cp:lastModifiedBy>
  <cp:revision>2</cp:revision>
  <cp:lastPrinted>2019-08-21T17:19:00Z</cp:lastPrinted>
  <dcterms:created xsi:type="dcterms:W3CDTF">2019-09-27T13:04:00Z</dcterms:created>
  <dcterms:modified xsi:type="dcterms:W3CDTF">2019-09-27T13:04:00Z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