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06" w:rsidRDefault="00070B06" w:rsidP="00E130D7">
      <w:pPr>
        <w:pStyle w:val="Nzov"/>
        <w:spacing w:before="0" w:line="360" w:lineRule="auto"/>
        <w:jc w:val="center"/>
      </w:pPr>
      <w:bookmarkStart w:id="0" w:name="_9dqzh4rzb1tr"/>
      <w:bookmarkEnd w:id="0"/>
      <w:r>
        <w:rPr>
          <w:b/>
          <w:color w:val="000000"/>
          <w:sz w:val="28"/>
          <w:szCs w:val="28"/>
          <w:lang w:val="sk-SK"/>
        </w:rPr>
        <w:t>D ô v o d o v á   s p r á v a</w:t>
      </w:r>
    </w:p>
    <w:p w:rsidR="00070B06" w:rsidRPr="00E130D7" w:rsidRDefault="00070B06" w:rsidP="00D754B6">
      <w:pPr>
        <w:pStyle w:val="Nzov"/>
        <w:spacing w:before="120" w:line="360" w:lineRule="auto"/>
        <w:rPr>
          <w:lang w:val="sk-SK"/>
        </w:rPr>
      </w:pPr>
      <w:bookmarkStart w:id="1" w:name="_dm8d1ph1r33t"/>
      <w:bookmarkEnd w:id="1"/>
      <w:r>
        <w:rPr>
          <w:b/>
          <w:color w:val="000000"/>
          <w:sz w:val="24"/>
          <w:szCs w:val="24"/>
          <w:lang w:val="sk-SK"/>
        </w:rPr>
        <w:t>A. Všeobecná časť</w:t>
      </w:r>
    </w:p>
    <w:p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</w:p>
    <w:p w:rsidR="00070B06" w:rsidRPr="00E130D7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Na rokovanie Národnej rady Slovenske</w:t>
      </w:r>
      <w:r w:rsidR="00E130D7">
        <w:rPr>
          <w:color w:val="00000A"/>
          <w:sz w:val="24"/>
          <w:szCs w:val="24"/>
          <w:lang w:val="sk-SK"/>
        </w:rPr>
        <w:t>j republiky predkladajú poslankyne</w:t>
      </w:r>
      <w:r>
        <w:rPr>
          <w:color w:val="00000A"/>
          <w:sz w:val="24"/>
          <w:szCs w:val="24"/>
          <w:lang w:val="sk-SK"/>
        </w:rPr>
        <w:t xml:space="preserve"> Národnej rady Slovenskej republiky </w:t>
      </w:r>
      <w:r w:rsidR="00E130D7">
        <w:rPr>
          <w:color w:val="00000A"/>
          <w:sz w:val="24"/>
          <w:szCs w:val="24"/>
          <w:lang w:val="sk-SK"/>
        </w:rPr>
        <w:t xml:space="preserve">Eva </w:t>
      </w:r>
      <w:r w:rsidR="00E130D7" w:rsidRPr="00E130D7">
        <w:rPr>
          <w:color w:val="auto"/>
          <w:sz w:val="24"/>
          <w:szCs w:val="24"/>
          <w:lang w:val="sk-SK"/>
        </w:rPr>
        <w:t xml:space="preserve">Smolíková, Magdaléna </w:t>
      </w:r>
      <w:proofErr w:type="spellStart"/>
      <w:r w:rsidR="00E130D7" w:rsidRPr="00E130D7">
        <w:rPr>
          <w:color w:val="auto"/>
          <w:sz w:val="24"/>
          <w:szCs w:val="24"/>
          <w:lang w:val="sk-SK"/>
        </w:rPr>
        <w:t>Kuciaňová</w:t>
      </w:r>
      <w:proofErr w:type="spellEnd"/>
      <w:r w:rsidR="00E130D7" w:rsidRPr="00E130D7">
        <w:rPr>
          <w:color w:val="auto"/>
          <w:sz w:val="24"/>
          <w:szCs w:val="24"/>
          <w:lang w:val="sk-SK"/>
        </w:rPr>
        <w:t xml:space="preserve"> a Eva </w:t>
      </w:r>
      <w:proofErr w:type="spellStart"/>
      <w:r w:rsidR="00E130D7" w:rsidRPr="00E130D7">
        <w:rPr>
          <w:color w:val="auto"/>
          <w:sz w:val="24"/>
          <w:szCs w:val="24"/>
          <w:lang w:val="sk-SK"/>
        </w:rPr>
        <w:t>Antošová</w:t>
      </w:r>
      <w:proofErr w:type="spellEnd"/>
      <w:r w:rsidR="00E130D7" w:rsidRPr="00E130D7">
        <w:rPr>
          <w:color w:val="auto"/>
          <w:sz w:val="24"/>
          <w:szCs w:val="24"/>
          <w:lang w:val="sk-SK"/>
        </w:rPr>
        <w:t xml:space="preserve"> </w:t>
      </w:r>
      <w:r w:rsidRPr="00E130D7">
        <w:rPr>
          <w:color w:val="auto"/>
          <w:sz w:val="24"/>
          <w:szCs w:val="24"/>
          <w:lang w:val="sk-SK"/>
        </w:rPr>
        <w:t xml:space="preserve">návrh na vydanie zákona, ktorým sa mení a dopĺňa zákon č. 576/2004 Z. z. o zdravotnej starostlivosti, službách súvisiacich s poskytovaním zdravotnej starostlivosti a o zmene a doplnení </w:t>
      </w:r>
      <w:r>
        <w:rPr>
          <w:color w:val="00000A"/>
          <w:sz w:val="24"/>
          <w:szCs w:val="24"/>
          <w:lang w:val="sk-SK"/>
        </w:rPr>
        <w:t>niektorých zákonov v znení neskorších predpisov a ktorým sa menia a dopĺňajú niektoré zákony.</w:t>
      </w:r>
    </w:p>
    <w:p w:rsidR="00E130D7" w:rsidRDefault="00070B06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>Cieľom predloženého návrhu zákona je</w:t>
      </w:r>
      <w:r w:rsidR="00E130D7">
        <w:rPr>
          <w:color w:val="00000A"/>
          <w:sz w:val="24"/>
          <w:szCs w:val="24"/>
          <w:lang w:val="sk-SK"/>
        </w:rPr>
        <w:t>:</w:t>
      </w:r>
      <w:r>
        <w:rPr>
          <w:color w:val="00000A"/>
          <w:sz w:val="24"/>
          <w:szCs w:val="24"/>
          <w:lang w:val="sk-SK"/>
        </w:rPr>
        <w:t xml:space="preserve"> </w:t>
      </w:r>
    </w:p>
    <w:p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 xml:space="preserve">a) </w:t>
      </w:r>
      <w:r w:rsidR="00070B06">
        <w:rPr>
          <w:color w:val="00000A"/>
          <w:sz w:val="24"/>
          <w:szCs w:val="24"/>
          <w:lang w:val="sk-SK"/>
        </w:rPr>
        <w:t xml:space="preserve">zabezpečiť informovanosť </w:t>
      </w:r>
      <w:r>
        <w:rPr>
          <w:color w:val="00000A"/>
          <w:sz w:val="24"/>
          <w:szCs w:val="24"/>
          <w:lang w:val="sk-SK"/>
        </w:rPr>
        <w:t xml:space="preserve">žien </w:t>
      </w:r>
      <w:r w:rsidR="00070B06">
        <w:rPr>
          <w:color w:val="00000A"/>
          <w:sz w:val="24"/>
          <w:szCs w:val="24"/>
          <w:lang w:val="sk-SK"/>
        </w:rPr>
        <w:t>o aktuálnom vývoji ich tehotenstva pre</w:t>
      </w:r>
      <w:r w:rsidR="00D754B6">
        <w:rPr>
          <w:color w:val="00000A"/>
          <w:sz w:val="24"/>
          <w:szCs w:val="24"/>
          <w:lang w:val="sk-SK"/>
        </w:rPr>
        <w:t>d vykonaním tak závažného úkonu,</w:t>
      </w:r>
      <w:r w:rsidR="00070B06">
        <w:rPr>
          <w:color w:val="00000A"/>
          <w:sz w:val="24"/>
          <w:szCs w:val="24"/>
          <w:lang w:val="sk-SK"/>
        </w:rPr>
        <w:t xml:space="preserve"> akým umelé prerušenie tehotenstva bezo sporu je</w:t>
      </w:r>
      <w:r w:rsidR="00D754B6">
        <w:rPr>
          <w:color w:val="00000A"/>
          <w:sz w:val="24"/>
          <w:szCs w:val="24"/>
          <w:lang w:val="sk-SK"/>
        </w:rPr>
        <w:t>,</w:t>
      </w:r>
    </w:p>
    <w:p w:rsidR="00070B06" w:rsidRPr="00E130D7" w:rsidRDefault="00E130D7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b) zakázať</w:t>
      </w:r>
      <w:r w:rsidR="00070B06">
        <w:rPr>
          <w:color w:val="00000A"/>
          <w:sz w:val="24"/>
          <w:szCs w:val="24"/>
          <w:lang w:val="sk-SK"/>
        </w:rPr>
        <w:t xml:space="preserve"> ponúka</w:t>
      </w:r>
      <w:r>
        <w:rPr>
          <w:color w:val="00000A"/>
          <w:sz w:val="24"/>
          <w:szCs w:val="24"/>
          <w:lang w:val="sk-SK"/>
        </w:rPr>
        <w:t>nia umelé</w:t>
      </w:r>
      <w:r w:rsidR="00070B06">
        <w:rPr>
          <w:color w:val="00000A"/>
          <w:sz w:val="24"/>
          <w:szCs w:val="24"/>
          <w:lang w:val="sk-SK"/>
        </w:rPr>
        <w:t xml:space="preserve"> prerušenia tehotenstva reklamným spôsobom. </w:t>
      </w:r>
    </w:p>
    <w:p w:rsidR="00070B06" w:rsidRPr="00D754B6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Ukazuje sa, ž</w:t>
      </w:r>
      <w:r w:rsidR="00D754B6">
        <w:rPr>
          <w:color w:val="00000A"/>
          <w:sz w:val="24"/>
          <w:szCs w:val="24"/>
          <w:lang w:val="sk-SK"/>
        </w:rPr>
        <w:t xml:space="preserve">e súčasné poučenie žien o nároku získať </w:t>
      </w:r>
      <w:r>
        <w:rPr>
          <w:color w:val="00000A"/>
          <w:sz w:val="24"/>
          <w:szCs w:val="24"/>
          <w:lang w:val="sk-SK"/>
        </w:rPr>
        <w:t xml:space="preserve">sonografický záznam </w:t>
      </w:r>
      <w:r w:rsidR="00D754B6">
        <w:rPr>
          <w:color w:val="00000A"/>
          <w:sz w:val="24"/>
          <w:szCs w:val="24"/>
          <w:lang w:val="sk-SK"/>
        </w:rPr>
        <w:t xml:space="preserve">zo sonografického vyšetrenia </w:t>
      </w:r>
      <w:r>
        <w:rPr>
          <w:color w:val="00000A"/>
          <w:sz w:val="24"/>
          <w:szCs w:val="24"/>
          <w:lang w:val="sk-SK"/>
        </w:rPr>
        <w:t xml:space="preserve">bolo realizované skôr formálne a preto sa navrhuje, aby sa pristúpilo k reálnemu sprístupneniu </w:t>
      </w:r>
      <w:r w:rsidR="00D754B6">
        <w:rPr>
          <w:color w:val="00000A"/>
          <w:sz w:val="24"/>
          <w:szCs w:val="24"/>
          <w:lang w:val="sk-SK"/>
        </w:rPr>
        <w:t xml:space="preserve">a odovzdaniu tohto </w:t>
      </w:r>
      <w:r>
        <w:rPr>
          <w:color w:val="00000A"/>
          <w:sz w:val="24"/>
          <w:szCs w:val="24"/>
          <w:lang w:val="sk-SK"/>
        </w:rPr>
        <w:t>záznamu</w:t>
      </w:r>
      <w:r w:rsidR="00D754B6">
        <w:rPr>
          <w:color w:val="00000A"/>
          <w:sz w:val="24"/>
          <w:szCs w:val="24"/>
          <w:lang w:val="sk-SK"/>
        </w:rPr>
        <w:t xml:space="preserve"> ženám. Zároveň sa navrhuje zabezpečiť, aby žena </w:t>
      </w:r>
      <w:r w:rsidR="00D754B6" w:rsidRPr="00D754B6">
        <w:rPr>
          <w:color w:val="00000A"/>
          <w:sz w:val="24"/>
          <w:szCs w:val="24"/>
          <w:lang w:val="sk-SK"/>
        </w:rPr>
        <w:t>mohla vidieť obraz embrya alebo plodu a ak je to technicky možné, zabezpečiť aj to, aby mohla počuť tlkot srdca embrya alebo plodu</w:t>
      </w:r>
      <w:r>
        <w:rPr>
          <w:color w:val="00000A"/>
          <w:sz w:val="24"/>
          <w:szCs w:val="24"/>
          <w:lang w:val="sk-SK"/>
        </w:rPr>
        <w:t xml:space="preserve">. </w:t>
      </w:r>
    </w:p>
    <w:p w:rsidR="008A28E9" w:rsidRDefault="00070B06" w:rsidP="00B25038">
      <w:pPr>
        <w:pStyle w:val="gmail-western"/>
        <w:spacing w:before="120" w:after="0" w:line="276" w:lineRule="auto"/>
        <w:ind w:left="-15" w:firstLine="697"/>
        <w:jc w:val="both"/>
      </w:pPr>
      <w:r>
        <w:t xml:space="preserve">Umelé prerušenie tehotenstva </w:t>
      </w:r>
      <w:r w:rsidR="00D754B6">
        <w:t xml:space="preserve">nepovažuje spoločnosť za dobré </w:t>
      </w:r>
      <w:r>
        <w:t xml:space="preserve">riešenie. Reklama na umelé prerušenie tehotenstva sa javí ako neudržateľná. Konkrétne medializované prípady takejto reklamy pre zahraničie ukazujú, že </w:t>
      </w:r>
      <w:proofErr w:type="spellStart"/>
      <w:r w:rsidR="00D754B6">
        <w:t>zákazová</w:t>
      </w:r>
      <w:proofErr w:type="spellEnd"/>
      <w:r w:rsidR="00D754B6">
        <w:t xml:space="preserve"> </w:t>
      </w:r>
      <w:r>
        <w:t xml:space="preserve">právna úprava </w:t>
      </w:r>
      <w:r w:rsidR="008A28E9">
        <w:t xml:space="preserve">vo vzťahu k takejto reklame </w:t>
      </w:r>
      <w:r>
        <w:t>je nevyhnutná</w:t>
      </w:r>
      <w:r w:rsidR="008A28E9">
        <w:t xml:space="preserve"> a vhodná na </w:t>
      </w:r>
      <w:r w:rsidR="001A7546">
        <w:t>posilnenie ochrany</w:t>
      </w:r>
      <w:r w:rsidR="008A28E9">
        <w:t xml:space="preserve"> </w:t>
      </w:r>
      <w:r w:rsidR="00325B1F">
        <w:t xml:space="preserve">nenarodeného ľudského </w:t>
      </w:r>
      <w:r w:rsidR="008A28E9">
        <w:t>života</w:t>
      </w:r>
      <w:r>
        <w:t>.</w:t>
      </w:r>
    </w:p>
    <w:p w:rsidR="00070B06" w:rsidRPr="00273B91" w:rsidRDefault="00325B1F" w:rsidP="00B25038">
      <w:pPr>
        <w:pStyle w:val="gmail-western"/>
        <w:spacing w:before="120" w:after="0" w:line="276" w:lineRule="auto"/>
        <w:ind w:left="-15" w:firstLine="697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 xml:space="preserve">Uvedenými zmenami sa tiež </w:t>
      </w:r>
      <w:r w:rsidR="00BA6B36">
        <w:rPr>
          <w:bCs/>
          <w:lang w:eastAsia="cs-CZ"/>
        </w:rPr>
        <w:t xml:space="preserve">vo vzťahu k zdravotníckym pracovníkom </w:t>
      </w:r>
      <w:r>
        <w:rPr>
          <w:bCs/>
          <w:lang w:eastAsia="cs-CZ"/>
        </w:rPr>
        <w:t>n</w:t>
      </w:r>
      <w:r w:rsidR="00273B91">
        <w:rPr>
          <w:bCs/>
          <w:lang w:eastAsia="cs-CZ"/>
        </w:rPr>
        <w:t xml:space="preserve">avrhuje </w:t>
      </w:r>
      <w:r>
        <w:rPr>
          <w:bCs/>
          <w:lang w:eastAsia="cs-CZ"/>
        </w:rPr>
        <w:t>zosúladiť prax</w:t>
      </w:r>
      <w:r w:rsidR="00273B91">
        <w:rPr>
          <w:bCs/>
          <w:lang w:eastAsia="cs-CZ"/>
        </w:rPr>
        <w:t xml:space="preserve"> s nálezom Ústavného súdu SR (</w:t>
      </w:r>
      <w:r w:rsidR="00273B91" w:rsidRPr="003C3781">
        <w:rPr>
          <w:bCs/>
          <w:lang w:eastAsia="cs-CZ"/>
        </w:rPr>
        <w:t>PL. ÚS 12/01-297</w:t>
      </w:r>
      <w:r w:rsidR="00273B91">
        <w:rPr>
          <w:bCs/>
          <w:lang w:eastAsia="cs-CZ"/>
        </w:rPr>
        <w:t xml:space="preserve">) podľa ktorého </w:t>
      </w:r>
      <w:r w:rsidR="00D754B6">
        <w:rPr>
          <w:bCs/>
          <w:i/>
          <w:iCs/>
          <w:lang w:eastAsia="cs-CZ"/>
        </w:rPr>
        <w:t xml:space="preserve">„Lekár je </w:t>
      </w:r>
      <w:r w:rsidR="00273B91" w:rsidRPr="003C3781">
        <w:rPr>
          <w:bCs/>
          <w:i/>
          <w:iCs/>
          <w:lang w:eastAsia="cs-CZ"/>
        </w:rPr>
        <w:t xml:space="preserve">pritom zrejme najvhodnejšou osobou na realizáciu ochrany nenarodeného ľudského života a pre ingerenciu v unikátnom vzťahu medzi </w:t>
      </w:r>
      <w:proofErr w:type="spellStart"/>
      <w:r w:rsidR="00273B91" w:rsidRPr="003C3781">
        <w:rPr>
          <w:bCs/>
          <w:i/>
          <w:iCs/>
          <w:lang w:eastAsia="cs-CZ"/>
        </w:rPr>
        <w:t>nasciturom</w:t>
      </w:r>
      <w:proofErr w:type="spellEnd"/>
      <w:r w:rsidR="00273B91" w:rsidRPr="003C3781">
        <w:rPr>
          <w:bCs/>
          <w:i/>
          <w:iCs/>
          <w:lang w:eastAsia="cs-CZ"/>
        </w:rPr>
        <w:t xml:space="preserve"> a jeho matkou aj s ohľadom na text Hippokratovej prísahy, ktorú lekári tradične po tisícro</w:t>
      </w:r>
      <w:r>
        <w:rPr>
          <w:bCs/>
          <w:i/>
          <w:iCs/>
          <w:lang w:eastAsia="cs-CZ"/>
        </w:rPr>
        <w:t xml:space="preserve">čia skladajú a ktorá zosobňuje </w:t>
      </w:r>
      <w:r w:rsidR="00273B91" w:rsidRPr="003C3781">
        <w:rPr>
          <w:bCs/>
          <w:i/>
          <w:iCs/>
          <w:lang w:eastAsia="cs-CZ"/>
        </w:rPr>
        <w:t>základný medicínsky etický kódex, pričom z nej zjavne v</w:t>
      </w:r>
      <w:r>
        <w:rPr>
          <w:bCs/>
          <w:i/>
          <w:iCs/>
          <w:lang w:eastAsia="cs-CZ"/>
        </w:rPr>
        <w:t xml:space="preserve">yplýva zásadný etický nesúhlas </w:t>
      </w:r>
      <w:r w:rsidR="00273B91" w:rsidRPr="003C3781">
        <w:rPr>
          <w:bCs/>
          <w:i/>
          <w:iCs/>
          <w:lang w:eastAsia="cs-CZ"/>
        </w:rPr>
        <w:t>lekárskeho stavu s prerušením tehotenstva.“</w:t>
      </w:r>
    </w:p>
    <w:p w:rsidR="00070B06" w:rsidRDefault="00070B06" w:rsidP="00B25038">
      <w:pPr>
        <w:pStyle w:val="Odsekzoznamu1"/>
        <w:spacing w:before="120" w:after="0" w:line="276" w:lineRule="auto"/>
        <w:ind w:left="0" w:firstLine="567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Predkladaný návrh zákona nemá žiadne vplyvy na rozpočet verejnej správy, vplyvy na podnikateľské prostredie, sociálne vplyvy, vplyvy na životné prostredie a ani vplyvy na informatizáciu spoločnosti a služby verejnej správy pre občana. Predkladaný návrh zákona má pozitívne vplyvy na manželstvo, rodičovstvo a rodinu – zvyšuje ochranu rodinného prostredia.</w:t>
      </w:r>
    </w:p>
    <w:p w:rsidR="00070B06" w:rsidRPr="00E130D7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Predkladaný návrh  zákona je v súlade s právom Európskej únie.</w:t>
      </w:r>
    </w:p>
    <w:p w:rsidR="00070B06" w:rsidRPr="00E130D7" w:rsidRDefault="00070B06" w:rsidP="00E130D7">
      <w:pPr>
        <w:pStyle w:val="Nzov"/>
        <w:pageBreakBefore/>
        <w:tabs>
          <w:tab w:val="left" w:pos="3120"/>
        </w:tabs>
        <w:spacing w:before="0" w:line="360" w:lineRule="auto"/>
        <w:rPr>
          <w:lang w:val="sk-SK"/>
        </w:rPr>
      </w:pPr>
      <w:bookmarkStart w:id="2" w:name="_7qsveup94soe"/>
      <w:bookmarkEnd w:id="2"/>
      <w:r>
        <w:rPr>
          <w:b/>
          <w:color w:val="000000"/>
          <w:sz w:val="24"/>
          <w:szCs w:val="24"/>
          <w:lang w:val="sk-SK"/>
        </w:rPr>
        <w:lastRenderedPageBreak/>
        <w:t>B. Osobitná časť</w:t>
      </w:r>
    </w:p>
    <w:p w:rsidR="00325B1F" w:rsidRDefault="00325B1F" w:rsidP="00E130D7">
      <w:pPr>
        <w:spacing w:before="0" w:line="360" w:lineRule="auto"/>
        <w:jc w:val="both"/>
        <w:rPr>
          <w:color w:val="000000"/>
          <w:sz w:val="24"/>
          <w:szCs w:val="24"/>
          <w:lang w:val="sk-SK"/>
        </w:rPr>
      </w:pPr>
    </w:p>
    <w:p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b/>
          <w:color w:val="000000"/>
          <w:sz w:val="24"/>
          <w:szCs w:val="24"/>
          <w:lang w:val="sk-SK"/>
        </w:rPr>
        <w:t>K Čl. I</w:t>
      </w:r>
    </w:p>
    <w:p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:rsidR="00070B06" w:rsidRDefault="00070B06" w:rsidP="0009096A">
      <w:pPr>
        <w:spacing w:before="0" w:line="240" w:lineRule="auto"/>
        <w:jc w:val="both"/>
        <w:rPr>
          <w:color w:val="000000"/>
          <w:sz w:val="24"/>
          <w:szCs w:val="24"/>
          <w:lang w:val="sk-SK"/>
        </w:rPr>
      </w:pPr>
      <w:r>
        <w:rPr>
          <w:b/>
          <w:color w:val="000000"/>
          <w:sz w:val="24"/>
          <w:szCs w:val="24"/>
          <w:lang w:val="sk-SK"/>
        </w:rPr>
        <w:tab/>
      </w:r>
      <w:r>
        <w:rPr>
          <w:color w:val="000000"/>
          <w:sz w:val="24"/>
          <w:szCs w:val="24"/>
          <w:lang w:val="sk-SK"/>
        </w:rPr>
        <w:t xml:space="preserve">Navrhuje sa </w:t>
      </w:r>
      <w:r w:rsidR="00325B1F">
        <w:rPr>
          <w:color w:val="000000"/>
          <w:sz w:val="24"/>
          <w:szCs w:val="24"/>
          <w:lang w:val="sk-SK"/>
        </w:rPr>
        <w:t xml:space="preserve">povinne </w:t>
      </w:r>
      <w:r>
        <w:rPr>
          <w:color w:val="000000"/>
          <w:sz w:val="24"/>
          <w:szCs w:val="24"/>
          <w:lang w:val="sk-SK"/>
        </w:rPr>
        <w:t xml:space="preserve">zakotviť </w:t>
      </w:r>
      <w:r w:rsidR="00325B1F">
        <w:rPr>
          <w:color w:val="000000"/>
          <w:sz w:val="24"/>
          <w:szCs w:val="24"/>
          <w:lang w:val="sk-SK"/>
        </w:rPr>
        <w:t>obrazový</w:t>
      </w:r>
      <w:r>
        <w:rPr>
          <w:color w:val="000000"/>
          <w:sz w:val="24"/>
          <w:szCs w:val="24"/>
          <w:lang w:val="sk-SK"/>
        </w:rPr>
        <w:t xml:space="preserve"> záznam zo </w:t>
      </w:r>
      <w:r w:rsidR="00325B1F">
        <w:rPr>
          <w:color w:val="000000"/>
          <w:sz w:val="24"/>
          <w:szCs w:val="24"/>
          <w:lang w:val="sk-SK"/>
        </w:rPr>
        <w:t>sonografického vyšetrenia medzi informácie</w:t>
      </w:r>
      <w:r>
        <w:rPr>
          <w:color w:val="000000"/>
          <w:sz w:val="24"/>
          <w:szCs w:val="24"/>
          <w:lang w:val="sk-SK"/>
        </w:rPr>
        <w:t xml:space="preserve"> </w:t>
      </w:r>
      <w:r w:rsidR="00325B1F">
        <w:rPr>
          <w:color w:val="000000"/>
          <w:sz w:val="24"/>
          <w:szCs w:val="24"/>
          <w:lang w:val="sk-SK"/>
        </w:rPr>
        <w:t xml:space="preserve">poskytované pri umelom prerušení tehotenstva </w:t>
      </w:r>
      <w:r>
        <w:rPr>
          <w:color w:val="000000"/>
          <w:sz w:val="24"/>
          <w:szCs w:val="24"/>
          <w:lang w:val="sk-SK"/>
        </w:rPr>
        <w:t>o aktuálnom stave embrya alebo plodu.</w:t>
      </w:r>
    </w:p>
    <w:p w:rsidR="00325B1F" w:rsidRPr="00E130D7" w:rsidRDefault="00325B1F" w:rsidP="0009096A">
      <w:pPr>
        <w:spacing w:before="0" w:line="240" w:lineRule="auto"/>
        <w:jc w:val="both"/>
        <w:rPr>
          <w:lang w:val="sk-SK"/>
        </w:rPr>
      </w:pPr>
    </w:p>
    <w:p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:rsidR="00070B06" w:rsidRDefault="00325B1F" w:rsidP="0009096A">
      <w:pPr>
        <w:pStyle w:val="gmail-western"/>
        <w:spacing w:before="0" w:after="0"/>
        <w:ind w:left="-15"/>
        <w:jc w:val="both"/>
      </w:pPr>
      <w:r>
        <w:t>Odseky 5 a 6 ustanovujú</w:t>
      </w:r>
      <w:r w:rsidR="00070B06">
        <w:t>, že lekár je povinný ukázať žene na monitore aktuálne zábery z</w:t>
      </w:r>
      <w:r>
        <w:t>o sonografického</w:t>
      </w:r>
      <w:r w:rsidR="00070B06">
        <w:t xml:space="preserve"> vyšetrenia a vysvetliť jej, čo je na monitore vidieť, tak, aby mala vizuálnu informáciu o vývojovom štádiu embrya alebo plodu, ktorého vývoj má byť ukončený. </w:t>
      </w:r>
      <w:r>
        <w:t>Ak je to technicky možné</w:t>
      </w:r>
      <w:r w:rsidR="00070B06">
        <w:t xml:space="preserve"> musí lekár sprístupniť aj zvuk tlkotu srdca embrya alebo plodu, ktorého vývoj má byť ukončený. Spolu s písomnými informáciami o umelom prerušení tehotenstva lekár odovzdá </w:t>
      </w:r>
      <w:r w:rsidR="00F87FDB">
        <w:t>žene</w:t>
      </w:r>
      <w:r w:rsidR="00070B06">
        <w:t xml:space="preserve"> aj výtlačok záznamu sonografického vyšetrenia zobrazujúceho embryo alebo plod, ktorého vývoj má byť ukončený. Sonografické vyšetrenie, ako aj odovzdanie výtlačku záznamu z</w:t>
      </w:r>
      <w:r w:rsidR="00F87FDB">
        <w:t>o sonografického</w:t>
      </w:r>
      <w:r w:rsidR="00070B06">
        <w:t xml:space="preserve"> vyšetrenia </w:t>
      </w:r>
      <w:r w:rsidR="00F87FDB">
        <w:t>bude</w:t>
      </w:r>
      <w:r w:rsidR="00070B06">
        <w:t xml:space="preserve"> pre </w:t>
      </w:r>
      <w:r w:rsidR="00F87FDB">
        <w:t>ženu</w:t>
      </w:r>
      <w:r w:rsidR="00070B06">
        <w:t xml:space="preserve"> bezplatné.</w:t>
      </w:r>
    </w:p>
    <w:p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:rsidR="0009096A" w:rsidRDefault="0009096A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</w:t>
      </w:r>
    </w:p>
    <w:p w:rsidR="00325B1F" w:rsidRDefault="00325B1F" w:rsidP="0009096A">
      <w:pPr>
        <w:pStyle w:val="gmail-western"/>
        <w:spacing w:before="0" w:after="0"/>
        <w:ind w:left="-15" w:firstLine="697"/>
        <w:jc w:val="both"/>
        <w:rPr>
          <w:bCs/>
          <w:lang w:eastAsia="cs-CZ"/>
        </w:rPr>
      </w:pPr>
    </w:p>
    <w:p w:rsidR="00070B06" w:rsidRPr="003C3781" w:rsidRDefault="00070B06" w:rsidP="0009096A">
      <w:pPr>
        <w:pStyle w:val="gmail-western"/>
        <w:spacing w:before="0" w:after="0"/>
        <w:ind w:left="-15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>Navrhuje sa vylúčiť z dovolenej reklamy umelé prerušenie tehotenstva pri zdravotníckych pracovníkoch a poskytovateľoch zdravotnej starostlivosti.</w:t>
      </w:r>
      <w:r>
        <w:t xml:space="preserve"> Cieľom spoločnosti je dosiahnuť čo najnižší počet umelých ukončení tehotenstva, pričom </w:t>
      </w:r>
      <w:r w:rsidR="00BA6B36">
        <w:t xml:space="preserve">možná </w:t>
      </w:r>
      <w:r>
        <w:t xml:space="preserve">reklama tohto zákroku odporuje tomuto cieľu. Cieľom návrhu je tiež zabrániť tomu, aby slovenskí poskytovatelia zdravotnej starostlivosti promovali potrat v zahraničí a podporovali tak potratovú turistiku na Slovensko. </w:t>
      </w:r>
      <w:r>
        <w:rPr>
          <w:bCs/>
          <w:lang w:eastAsia="cs-CZ"/>
        </w:rPr>
        <w:t>Etický kódex zdravotníckeho pracovníka vo všeobecnosti umožňuje reklamu súkromnej praxe, zdravotníckych zariadení a používaných diagnostických a liečebných metód. Predložený návrh stanovuje výnimku v prípade umelého prerušenia tehotenstva, ktor</w:t>
      </w:r>
      <w:r w:rsidR="00BA6B36">
        <w:rPr>
          <w:bCs/>
          <w:lang w:eastAsia="cs-CZ"/>
        </w:rPr>
        <w:t>é nesmie byť predmetom reklamy.</w:t>
      </w:r>
    </w:p>
    <w:p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III</w:t>
      </w:r>
    </w:p>
    <w:p w:rsidR="00070B06" w:rsidRDefault="00070B06" w:rsidP="0009096A">
      <w:pPr>
        <w:pStyle w:val="Normlnywebov1"/>
        <w:spacing w:before="0" w:after="0"/>
        <w:ind w:left="425"/>
      </w:pPr>
    </w:p>
    <w:p w:rsidR="00070B06" w:rsidRDefault="00070B06" w:rsidP="0009096A">
      <w:pPr>
        <w:spacing w:before="0" w:line="240" w:lineRule="auto"/>
        <w:jc w:val="both"/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:rsidR="00070B06" w:rsidRDefault="00070B06" w:rsidP="0009096A">
      <w:pPr>
        <w:pStyle w:val="Normlnywebov1"/>
        <w:spacing w:before="0" w:after="0"/>
        <w:jc w:val="both"/>
      </w:pPr>
      <w:r>
        <w:t>Stanovuje sa zákaz reklamy umelého prerušenia tehotenstva.</w:t>
      </w:r>
    </w:p>
    <w:p w:rsidR="00BA6B36" w:rsidRDefault="00BA6B36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:rsidR="00070B06" w:rsidRPr="00E130D7" w:rsidRDefault="00BA6B3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:rsidR="00070B06" w:rsidRDefault="00070B06" w:rsidP="0009096A">
      <w:pPr>
        <w:pStyle w:val="Normlnywebov1"/>
        <w:spacing w:before="0" w:after="0"/>
        <w:jc w:val="both"/>
      </w:pPr>
      <w:r>
        <w:t>Za porušenie zákazu reklamy umelého prerušenia tehotenstva sa stanovuje pokuta vo výške do 66 400 eur šíriteľovi reklamy a objednávateľovi takejto reklamy.</w:t>
      </w:r>
    </w:p>
    <w:p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IV</w:t>
      </w:r>
    </w:p>
    <w:p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  <w:lang w:eastAsia="cs-CZ"/>
        </w:rPr>
        <w:t>S ohľadom na predpokladanú dĺžku legislatívneho procesu sa navrhuje účinnosť zákona od 1. marca 2020.</w:t>
      </w:r>
    </w:p>
    <w:p w:rsidR="00070B06" w:rsidRDefault="00070B06" w:rsidP="00E130D7">
      <w:pPr>
        <w:spacing w:before="0" w:line="259" w:lineRule="auto"/>
        <w:ind w:left="0"/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</w:pPr>
    </w:p>
    <w:p w:rsidR="00070B06" w:rsidRPr="00E130D7" w:rsidRDefault="00070B06" w:rsidP="00E130D7">
      <w:pPr>
        <w:pageBreakBefore/>
        <w:spacing w:before="0" w:line="360" w:lineRule="auto"/>
        <w:ind w:left="0"/>
        <w:jc w:val="center"/>
        <w:rPr>
          <w:lang w:val="sk-SK"/>
        </w:rPr>
      </w:pPr>
      <w:r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  <w:lastRenderedPageBreak/>
        <w:t>DOLOŽKA</w:t>
      </w:r>
    </w:p>
    <w:p w:rsidR="00070B06" w:rsidRPr="00E130D7" w:rsidRDefault="00070B06" w:rsidP="00E130D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ind w:left="0" w:right="4"/>
        <w:jc w:val="center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vybraných vplyvov</w:t>
      </w:r>
    </w:p>
    <w:p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color w:val="00000A"/>
          <w:kern w:val="1"/>
          <w:sz w:val="14"/>
          <w:szCs w:val="24"/>
          <w:lang w:val="sk-SK" w:eastAsia="ar-SA"/>
        </w:rPr>
      </w:pPr>
    </w:p>
    <w:p w:rsidR="00070B06" w:rsidRDefault="00070B06" w:rsidP="00E130D7">
      <w:pPr>
        <w:pStyle w:val="Odsekzoznamu1"/>
        <w:spacing w:after="0" w:line="360" w:lineRule="auto"/>
        <w:ind w:left="0"/>
        <w:contextualSpacing w:val="0"/>
        <w:jc w:val="both"/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A.1. Názov materiálu: </w:t>
      </w:r>
    </w:p>
    <w:p w:rsidR="00070B06" w:rsidRPr="001A7638" w:rsidRDefault="00070B06" w:rsidP="00E130D7">
      <w:pPr>
        <w:spacing w:before="0" w:line="276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 xml:space="preserve">Návrh zákona, ktorým sa mení a </w:t>
      </w:r>
      <w:r w:rsidRPr="001A7638">
        <w:rPr>
          <w:color w:val="auto"/>
          <w:sz w:val="24"/>
          <w:szCs w:val="24"/>
          <w:lang w:val="sk-SK"/>
        </w:rPr>
        <w:t xml:space="preserve">dopĺňa zákon č. 576/2004 Z. z. o </w:t>
      </w:r>
      <w:r>
        <w:rPr>
          <w:color w:val="00000A"/>
          <w:sz w:val="24"/>
          <w:szCs w:val="24"/>
          <w:lang w:val="sk-SK"/>
        </w:rPr>
        <w:t>zdravotnej starostlivosti, službách súvisiacich s poskytovaním zdravotnej starostlivosti a o zmene a doplnení niektorých zákonov v znení neskorších predpisov a ktorým sa menia a dopĺňajú niektoré zákony</w:t>
      </w:r>
      <w:bookmarkStart w:id="3" w:name="_Hlk20434865"/>
      <w:bookmarkEnd w:id="3"/>
    </w:p>
    <w:p w:rsidR="00070B06" w:rsidRDefault="00070B06" w:rsidP="00E130D7">
      <w:pPr>
        <w:pStyle w:val="Odsekzoznamu1"/>
        <w:spacing w:after="0" w:line="276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070B06" w:rsidRDefault="00070B06" w:rsidP="00E130D7">
      <w:pPr>
        <w:widowControl w:val="0"/>
        <w:spacing w:before="0" w:line="360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A.2. Vplyvy: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364"/>
        <w:gridCol w:w="1065"/>
        <w:gridCol w:w="1065"/>
        <w:gridCol w:w="850"/>
      </w:tblGrid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Žiadne 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– sociálnu </w:t>
            </w:r>
            <w:proofErr w:type="spellStart"/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exklúziu</w:t>
            </w:r>
            <w:proofErr w:type="spellEnd"/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</w:tr>
    </w:tbl>
    <w:p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:rsidR="00070B06" w:rsidRDefault="00070B06" w:rsidP="00E130D7">
      <w:pPr>
        <w:widowControl w:val="0"/>
        <w:spacing w:before="0" w:line="276" w:lineRule="auto"/>
        <w:ind w:left="-17" w:right="-425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A.3. Poznámky:</w:t>
      </w:r>
    </w:p>
    <w:p w:rsidR="00070B06" w:rsidRPr="00E130D7" w:rsidRDefault="00070B06" w:rsidP="00E130D7">
      <w:pPr>
        <w:spacing w:before="0" w:line="276" w:lineRule="auto"/>
        <w:ind w:left="-17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Predkladaný návrh zákona nemá žiadne vplyvy na rozpočet verejnej správy, vplyvy na podnikateľské prostredie, sociálne vplyvy, vplyvy na životné prostredie, a ani vplyvy na informatizáciu spoločnosti a služby verejnej správy pre občana. Predkladaný návrh zákona má pozitívne vplyvy na manželstvo, rodičovstvo a rodinu – zvyšuje ochranu rodinného prostredia.</w:t>
      </w:r>
    </w:p>
    <w:p w:rsidR="00070B06" w:rsidRDefault="00070B06" w:rsidP="00E130D7">
      <w:pPr>
        <w:spacing w:before="0" w:line="264" w:lineRule="auto"/>
        <w:ind w:left="-1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A.4. Alternatívne riešenia</w:t>
      </w:r>
    </w:p>
    <w:p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 </w:t>
      </w:r>
    </w:p>
    <w:p w:rsidR="00070B06" w:rsidRDefault="00070B06" w:rsidP="00E130D7">
      <w:pPr>
        <w:widowControl w:val="0"/>
        <w:spacing w:before="0" w:line="276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:rsidR="00070B06" w:rsidRPr="00E130D7" w:rsidRDefault="00070B06" w:rsidP="00E130D7">
      <w:pPr>
        <w:widowControl w:val="0"/>
        <w:spacing w:before="0" w:line="276" w:lineRule="auto"/>
        <w:ind w:left="567" w:right="-427" w:hanging="567"/>
        <w:jc w:val="both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 xml:space="preserve">A.5. </w:t>
      </w: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ab/>
        <w:t>Stanovisko gestorov</w:t>
      </w:r>
    </w:p>
    <w:p w:rsidR="00070B06" w:rsidRPr="00E130D7" w:rsidRDefault="00070B06" w:rsidP="00E130D7">
      <w:pPr>
        <w:widowControl w:val="0"/>
        <w:spacing w:before="0" w:line="276" w:lineRule="auto"/>
        <w:ind w:right="-427"/>
        <w:jc w:val="both"/>
        <w:rPr>
          <w:lang w:val="sk-SK"/>
        </w:rPr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</w:t>
      </w:r>
    </w:p>
    <w:p w:rsidR="00070B06" w:rsidRDefault="00070B06" w:rsidP="00E130D7">
      <w:pPr>
        <w:spacing w:before="0" w:line="259" w:lineRule="auto"/>
        <w:ind w:left="0"/>
        <w:rPr>
          <w:b/>
          <w:bCs/>
          <w:color w:val="00000A"/>
          <w:sz w:val="24"/>
          <w:szCs w:val="24"/>
          <w:lang w:val="sk-SK"/>
        </w:rPr>
      </w:pPr>
    </w:p>
    <w:p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:rsidR="00070B06" w:rsidRPr="00E130D7" w:rsidRDefault="00070B06" w:rsidP="00E130D7">
      <w:pP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4"/>
          <w:lang w:val="sk-SK"/>
        </w:rPr>
        <w:lastRenderedPageBreak/>
        <w:t>DOLOŽKA  ZLUČITEĽNOSTI</w:t>
      </w:r>
    </w:p>
    <w:p w:rsidR="00070B06" w:rsidRPr="00E130D7" w:rsidRDefault="00070B06" w:rsidP="00E130D7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8"/>
          <w:lang w:val="sk-SK"/>
        </w:rPr>
        <w:t xml:space="preserve">návrhu zákona s </w:t>
      </w:r>
      <w:r>
        <w:rPr>
          <w:b/>
          <w:color w:val="00000A"/>
          <w:sz w:val="24"/>
          <w:szCs w:val="28"/>
          <w:lang w:val="sk-SK"/>
        </w:rPr>
        <w:t>právom Európskej únie</w:t>
      </w:r>
    </w:p>
    <w:p w:rsidR="00070B06" w:rsidRDefault="00070B06" w:rsidP="00E130D7">
      <w:pPr>
        <w:spacing w:before="0" w:line="360" w:lineRule="auto"/>
        <w:ind w:left="360"/>
        <w:jc w:val="both"/>
        <w:rPr>
          <w:color w:val="00000A"/>
          <w:sz w:val="24"/>
          <w:szCs w:val="24"/>
          <w:lang w:val="sk-SK"/>
        </w:rPr>
      </w:pPr>
    </w:p>
    <w:p w:rsidR="00070B06" w:rsidRPr="00E130D7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Navrhovateľ  návrhu zákona: </w:t>
      </w:r>
      <w:r w:rsidR="001A7638">
        <w:rPr>
          <w:color w:val="00000A"/>
          <w:sz w:val="24"/>
          <w:szCs w:val="24"/>
          <w:lang w:val="sk-SK"/>
        </w:rPr>
        <w:t xml:space="preserve">poslankyne Národnej rady Slovenskej republiky Eva </w:t>
      </w:r>
      <w:r w:rsidR="001A7638" w:rsidRPr="00E130D7">
        <w:rPr>
          <w:color w:val="auto"/>
          <w:sz w:val="24"/>
          <w:szCs w:val="24"/>
          <w:lang w:val="sk-SK"/>
        </w:rPr>
        <w:t xml:space="preserve">Smolíková, Magdaléna </w:t>
      </w:r>
      <w:proofErr w:type="spellStart"/>
      <w:r w:rsidR="001A7638" w:rsidRPr="00E130D7">
        <w:rPr>
          <w:color w:val="auto"/>
          <w:sz w:val="24"/>
          <w:szCs w:val="24"/>
          <w:lang w:val="sk-SK"/>
        </w:rPr>
        <w:t>Kuciaňová</w:t>
      </w:r>
      <w:proofErr w:type="spellEnd"/>
      <w:r w:rsidR="001A7638" w:rsidRPr="00E130D7">
        <w:rPr>
          <w:color w:val="auto"/>
          <w:sz w:val="24"/>
          <w:szCs w:val="24"/>
          <w:lang w:val="sk-SK"/>
        </w:rPr>
        <w:t xml:space="preserve"> a Eva </w:t>
      </w:r>
      <w:proofErr w:type="spellStart"/>
      <w:r w:rsidR="001A7638" w:rsidRPr="00E130D7">
        <w:rPr>
          <w:color w:val="auto"/>
          <w:sz w:val="24"/>
          <w:szCs w:val="24"/>
          <w:lang w:val="sk-SK"/>
        </w:rPr>
        <w:t>Antošová</w:t>
      </w:r>
      <w:proofErr w:type="spellEnd"/>
      <w:r w:rsidR="001A7638">
        <w:rPr>
          <w:color w:val="auto"/>
          <w:sz w:val="24"/>
          <w:szCs w:val="24"/>
          <w:lang w:val="sk-SK"/>
        </w:rPr>
        <w:t>.</w:t>
      </w:r>
    </w:p>
    <w:p w:rsidR="00070B06" w:rsidRDefault="00070B06" w:rsidP="00E130D7">
      <w:pPr>
        <w:spacing w:before="0" w:line="360" w:lineRule="auto"/>
        <w:ind w:left="0"/>
        <w:jc w:val="both"/>
        <w:rPr>
          <w:color w:val="00000A"/>
          <w:sz w:val="24"/>
          <w:szCs w:val="24"/>
          <w:lang w:val="sk-SK"/>
        </w:rPr>
      </w:pPr>
    </w:p>
    <w:p w:rsidR="00070B06" w:rsidRPr="001A7638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color w:val="auto"/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Názov návrhu zákona: </w:t>
      </w:r>
      <w:r w:rsidRPr="001A7638">
        <w:rPr>
          <w:color w:val="00000A"/>
          <w:sz w:val="24"/>
          <w:szCs w:val="24"/>
          <w:lang w:val="sk-SK"/>
        </w:rPr>
        <w:t xml:space="preserve">Návrh </w:t>
      </w:r>
      <w:r w:rsidRPr="001A7638">
        <w:rPr>
          <w:color w:val="auto"/>
          <w:sz w:val="24"/>
          <w:szCs w:val="24"/>
          <w:lang w:val="sk-SK"/>
        </w:rPr>
        <w:t>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  <w:r w:rsidR="001A7638">
        <w:rPr>
          <w:color w:val="auto"/>
          <w:sz w:val="24"/>
          <w:szCs w:val="24"/>
          <w:lang w:val="sk-SK"/>
        </w:rPr>
        <w:t>.</w:t>
      </w:r>
    </w:p>
    <w:p w:rsidR="00070B06" w:rsidRDefault="00070B06" w:rsidP="00E130D7">
      <w:pPr>
        <w:spacing w:before="0" w:line="360" w:lineRule="auto"/>
        <w:ind w:left="426"/>
        <w:jc w:val="both"/>
        <w:rPr>
          <w:b/>
          <w:color w:val="00000A"/>
          <w:sz w:val="24"/>
          <w:szCs w:val="24"/>
          <w:lang w:val="sk-SK"/>
        </w:rPr>
      </w:pPr>
    </w:p>
    <w:p w:rsidR="00070B06" w:rsidRPr="00E130D7" w:rsidRDefault="00070B06" w:rsidP="00E130D7">
      <w:p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3.   Predmet návrhu zákona: </w:t>
      </w:r>
      <w:r>
        <w:rPr>
          <w:color w:val="00000A"/>
          <w:sz w:val="24"/>
          <w:szCs w:val="24"/>
          <w:lang w:val="sk-SK"/>
        </w:rPr>
        <w:t>Je v súl</w:t>
      </w:r>
      <w:bookmarkStart w:id="4" w:name="_GoBack"/>
      <w:bookmarkEnd w:id="4"/>
      <w:r>
        <w:rPr>
          <w:color w:val="00000A"/>
          <w:sz w:val="24"/>
          <w:szCs w:val="24"/>
          <w:lang w:val="sk-SK"/>
        </w:rPr>
        <w:t xml:space="preserve">ade s právnou úpravou Európskej únie; </w:t>
      </w:r>
    </w:p>
    <w:p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primárnom práve Európskej únie,</w:t>
      </w:r>
    </w:p>
    <w:p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sekundárnom práve Európskej únie,</w:t>
      </w:r>
    </w:p>
    <w:p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:rsidR="00070B06" w:rsidRDefault="00070B06" w:rsidP="00E130D7">
      <w:pPr>
        <w:spacing w:before="0" w:line="360" w:lineRule="auto"/>
        <w:jc w:val="both"/>
        <w:rPr>
          <w:color w:val="FF0000"/>
          <w:sz w:val="24"/>
          <w:szCs w:val="24"/>
          <w:lang w:val="sk-SK"/>
        </w:rPr>
      </w:pPr>
    </w:p>
    <w:p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Keďže predmet návrhu zákona nie je upravený v práve Európskej únie, body 4. a 5. sa nevypĺňajú.</w:t>
      </w:r>
    </w:p>
    <w:p w:rsidR="00070B06" w:rsidRDefault="00070B06" w:rsidP="00E130D7">
      <w:pPr>
        <w:spacing w:before="0" w:line="360" w:lineRule="auto"/>
        <w:ind w:firstLine="720"/>
        <w:jc w:val="both"/>
        <w:rPr>
          <w:color w:val="00000A"/>
          <w:sz w:val="24"/>
          <w:szCs w:val="24"/>
          <w:lang w:val="sk-SK"/>
        </w:rPr>
      </w:pPr>
    </w:p>
    <w:p w:rsidR="00070B06" w:rsidRPr="00E130D7" w:rsidRDefault="00070B06" w:rsidP="00E130D7">
      <w:pPr>
        <w:spacing w:before="0"/>
        <w:rPr>
          <w:lang w:val="sk-SK"/>
        </w:rPr>
      </w:pPr>
    </w:p>
    <w:sectPr w:rsidR="00070B06" w:rsidRPr="00E130D7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146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06" w:firstLine="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0"/>
    <w:rsid w:val="00070B06"/>
    <w:rsid w:val="0009096A"/>
    <w:rsid w:val="001A7546"/>
    <w:rsid w:val="001A7638"/>
    <w:rsid w:val="00210D25"/>
    <w:rsid w:val="00273B91"/>
    <w:rsid w:val="00325B1F"/>
    <w:rsid w:val="00344481"/>
    <w:rsid w:val="003C3781"/>
    <w:rsid w:val="008A28E9"/>
    <w:rsid w:val="00AD2C3F"/>
    <w:rsid w:val="00B25038"/>
    <w:rsid w:val="00BA6B36"/>
    <w:rsid w:val="00BC5850"/>
    <w:rsid w:val="00C540E1"/>
    <w:rsid w:val="00D754B6"/>
    <w:rsid w:val="00E130D7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before="200" w:line="331" w:lineRule="auto"/>
      <w:ind w:left="-15"/>
    </w:pPr>
    <w:rPr>
      <w:color w:val="666666"/>
      <w:sz w:val="22"/>
      <w:szCs w:val="22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zevChar">
    <w:name w:val="Název Char"/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OdstavecseseznamemChar">
    <w:name w:val="Odstavec se seznamem Char"/>
    <w:rPr>
      <w:rFonts w:ascii="Calibri" w:hAnsi="Calibri" w:cs="Calibri"/>
    </w:rPr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 w:cs="Arial"/>
      <w:i/>
      <w:iCs/>
      <w:sz w:val="18"/>
      <w:szCs w:val="24"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styleId="Nzov">
    <w:name w:val="Title"/>
    <w:basedOn w:val="Normlny"/>
    <w:qFormat/>
    <w:pPr>
      <w:spacing w:before="400" w:line="240" w:lineRule="auto"/>
    </w:pPr>
    <w:rPr>
      <w:color w:val="283592"/>
      <w:sz w:val="68"/>
      <w:szCs w:val="68"/>
    </w:rPr>
  </w:style>
  <w:style w:type="paragraph" w:customStyle="1" w:styleId="Odsekzoznamu1">
    <w:name w:val="Odsek zoznamu1"/>
    <w:basedOn w:val="Normlny"/>
    <w:pPr>
      <w:spacing w:before="0" w:after="160" w:line="254" w:lineRule="auto"/>
      <w:ind w:left="720"/>
      <w:contextualSpacing/>
    </w:pPr>
    <w:rPr>
      <w:rFonts w:ascii="Calibri" w:eastAsia="Calibri" w:hAnsi="Calibri" w:cs="Calibri"/>
      <w:color w:val="00000A"/>
      <w:lang w:val="sk-SK" w:eastAsia="en-US"/>
    </w:rPr>
  </w:style>
  <w:style w:type="paragraph" w:customStyle="1" w:styleId="gmail-western">
    <w:name w:val="gmail-western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paragraph" w:customStyle="1" w:styleId="Normlnywebov1">
    <w:name w:val="Normálny (webový)1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character" w:styleId="Zvraznenie">
    <w:name w:val="Emphasis"/>
    <w:uiPriority w:val="20"/>
    <w:qFormat/>
    <w:rsid w:val="003C37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before="200" w:line="331" w:lineRule="auto"/>
      <w:ind w:left="-15"/>
    </w:pPr>
    <w:rPr>
      <w:color w:val="666666"/>
      <w:sz w:val="22"/>
      <w:szCs w:val="22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zevChar">
    <w:name w:val="Název Char"/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OdstavecseseznamemChar">
    <w:name w:val="Odstavec se seznamem Char"/>
    <w:rPr>
      <w:rFonts w:ascii="Calibri" w:hAnsi="Calibri" w:cs="Calibri"/>
    </w:rPr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 w:cs="Arial"/>
      <w:i/>
      <w:iCs/>
      <w:sz w:val="18"/>
      <w:szCs w:val="24"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styleId="Nzov">
    <w:name w:val="Title"/>
    <w:basedOn w:val="Normlny"/>
    <w:qFormat/>
    <w:pPr>
      <w:spacing w:before="400" w:line="240" w:lineRule="auto"/>
    </w:pPr>
    <w:rPr>
      <w:color w:val="283592"/>
      <w:sz w:val="68"/>
      <w:szCs w:val="68"/>
    </w:rPr>
  </w:style>
  <w:style w:type="paragraph" w:customStyle="1" w:styleId="Odsekzoznamu1">
    <w:name w:val="Odsek zoznamu1"/>
    <w:basedOn w:val="Normlny"/>
    <w:pPr>
      <w:spacing w:before="0" w:after="160" w:line="254" w:lineRule="auto"/>
      <w:ind w:left="720"/>
      <w:contextualSpacing/>
    </w:pPr>
    <w:rPr>
      <w:rFonts w:ascii="Calibri" w:eastAsia="Calibri" w:hAnsi="Calibri" w:cs="Calibri"/>
      <w:color w:val="00000A"/>
      <w:lang w:val="sk-SK" w:eastAsia="en-US"/>
    </w:rPr>
  </w:style>
  <w:style w:type="paragraph" w:customStyle="1" w:styleId="gmail-western">
    <w:name w:val="gmail-western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paragraph" w:customStyle="1" w:styleId="Normlnywebov1">
    <w:name w:val="Normálny (webový)1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character" w:styleId="Zvraznenie">
    <w:name w:val="Emphasis"/>
    <w:uiPriority w:val="20"/>
    <w:qFormat/>
    <w:rsid w:val="003C3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6877</CharactersWithSpaces>
  <SharedDoc>false</SharedDoc>
  <HLinks>
    <vt:vector size="18" baseType="variant"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tonie</dc:creator>
  <cp:lastModifiedBy>Dedo</cp:lastModifiedBy>
  <cp:revision>13</cp:revision>
  <cp:lastPrinted>1900-12-31T22:00:00Z</cp:lastPrinted>
  <dcterms:created xsi:type="dcterms:W3CDTF">2019-09-27T11:29:00Z</dcterms:created>
  <dcterms:modified xsi:type="dcterms:W3CDTF">2019-09-27T12:01:00Z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