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CA" w:rsidRPr="00A929B7" w:rsidRDefault="00962FCA" w:rsidP="00962FCA">
      <w:pPr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962FCA" w:rsidRPr="00A929B7" w:rsidRDefault="00962FCA" w:rsidP="00962FCA">
      <w:pPr>
        <w:ind w:firstLine="709"/>
        <w:jc w:val="both"/>
        <w:rPr>
          <w:b/>
        </w:rPr>
      </w:pPr>
    </w:p>
    <w:p w:rsidR="00962FCA" w:rsidRPr="00A929B7" w:rsidRDefault="00962FCA" w:rsidP="00962FCA">
      <w:pPr>
        <w:jc w:val="both"/>
        <w:rPr>
          <w:b/>
        </w:rPr>
      </w:pPr>
      <w:r w:rsidRPr="00A929B7">
        <w:rPr>
          <w:b/>
        </w:rPr>
        <w:t xml:space="preserve">A. Všeobecná časť </w:t>
      </w:r>
    </w:p>
    <w:p w:rsidR="001C6D46" w:rsidRDefault="001C6D46" w:rsidP="001C6D46">
      <w:pPr>
        <w:spacing w:line="360" w:lineRule="auto"/>
        <w:ind w:firstLine="709"/>
        <w:jc w:val="both"/>
      </w:pPr>
    </w:p>
    <w:p w:rsidR="00BF10CE" w:rsidRPr="00A929B7" w:rsidRDefault="007668C5" w:rsidP="001C6D46">
      <w:pPr>
        <w:spacing w:before="200" w:line="360" w:lineRule="auto"/>
        <w:ind w:firstLine="709"/>
        <w:jc w:val="both"/>
      </w:pPr>
      <w:r w:rsidRPr="00A929B7">
        <w:t xml:space="preserve">Cieľom predloženého návrhu zákona je </w:t>
      </w:r>
      <w:r w:rsidR="00580AF8" w:rsidRPr="00A929B7">
        <w:t>zjednodušenie rekonštruovania školských internátov, študentských domovov</w:t>
      </w:r>
      <w:r w:rsidR="00F0057B" w:rsidRPr="00A929B7">
        <w:t>, polikliník</w:t>
      </w:r>
      <w:r w:rsidR="00580AF8" w:rsidRPr="00A929B7">
        <w:t xml:space="preserve"> a nemocníc tak, aby pri zákazke </w:t>
      </w:r>
      <w:r w:rsidR="00F0057B" w:rsidRPr="00A929B7">
        <w:t xml:space="preserve">na rekonštrukciu </w:t>
      </w:r>
      <w:r w:rsidR="00580AF8" w:rsidRPr="00A929B7">
        <w:t xml:space="preserve">do zákonom ustanovenej hodnoty </w:t>
      </w:r>
      <w:r w:rsidR="00F0057B" w:rsidRPr="00A929B7">
        <w:t>(</w:t>
      </w:r>
      <w:r w:rsidR="00E3166A">
        <w:t>3</w:t>
      </w:r>
      <w:r w:rsidR="007D511A">
        <w:t xml:space="preserve"> 0</w:t>
      </w:r>
      <w:r w:rsidR="00F0057B" w:rsidRPr="00A929B7">
        <w:t>00 </w:t>
      </w:r>
      <w:proofErr w:type="spellStart"/>
      <w:r w:rsidR="00F0057B" w:rsidRPr="00A929B7">
        <w:t>000</w:t>
      </w:r>
      <w:proofErr w:type="spellEnd"/>
      <w:r w:rsidR="00F0057B" w:rsidRPr="00A929B7">
        <w:t xml:space="preserve"> eur v prípade stavebných prác) </w:t>
      </w:r>
      <w:r w:rsidR="00580AF8" w:rsidRPr="00A929B7">
        <w:t xml:space="preserve">bolo možné namiesto štandardných postupov verejného obstarávania využiť </w:t>
      </w:r>
      <w:r w:rsidR="00F0057B" w:rsidRPr="00A929B7">
        <w:t>postupy pre zákazky s nízkou hodnotou a zároveň aby pri zákazkách nad ustanovenú hodnotu muselo dôjsť k osloveniu najmenej troch subjektov.</w:t>
      </w:r>
    </w:p>
    <w:p w:rsidR="00962FCA" w:rsidRPr="00A929B7" w:rsidRDefault="00565B19" w:rsidP="001C6D46">
      <w:pPr>
        <w:spacing w:before="200" w:line="360" w:lineRule="auto"/>
        <w:ind w:firstLine="708"/>
        <w:jc w:val="both"/>
      </w:pPr>
      <w:r w:rsidRPr="00A929B7">
        <w:t>Návrh zákona nemá vplyv na rozpočet verejnej spr</w:t>
      </w:r>
      <w:r w:rsidR="006E6510" w:rsidRPr="00A929B7">
        <w:t>ávy, sociálne vplyvy, vplyvy na </w:t>
      </w:r>
      <w:r w:rsidRPr="00A929B7">
        <w:t xml:space="preserve">podnikateľské prostredie, životné prostredie, </w:t>
      </w:r>
      <w:r w:rsidR="004F1FEA" w:rsidRPr="00A929B7">
        <w:t xml:space="preserve">vplyvy na manželstvo, rodičovstvo a rodinu, </w:t>
      </w:r>
      <w:r w:rsidRPr="00A929B7">
        <w:t>na informatizáciu spoločnosti ani na služby verejnej správy pre občana.</w:t>
      </w:r>
    </w:p>
    <w:p w:rsidR="001C6D46" w:rsidRPr="00A929B7" w:rsidRDefault="001C6D46" w:rsidP="001C6D46">
      <w:pPr>
        <w:autoSpaceDE w:val="0"/>
        <w:spacing w:before="200" w:line="360" w:lineRule="auto"/>
        <w:ind w:firstLine="708"/>
        <w:jc w:val="both"/>
        <w:rPr>
          <w:rFonts w:eastAsia="Times New Roman"/>
        </w:rPr>
      </w:pPr>
      <w:r w:rsidRPr="00A929B7">
        <w:rPr>
          <w:rFonts w:eastAsia="Times New Roman"/>
        </w:rPr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962FCA" w:rsidRPr="00A929B7" w:rsidRDefault="00962FCA" w:rsidP="001C6D46">
      <w:pPr>
        <w:spacing w:line="360" w:lineRule="auto"/>
        <w:ind w:firstLine="709"/>
        <w:jc w:val="both"/>
      </w:pPr>
    </w:p>
    <w:p w:rsidR="001C6D46" w:rsidRDefault="00E766EC" w:rsidP="001C6D46">
      <w:pPr>
        <w:spacing w:after="200" w:line="360" w:lineRule="auto"/>
        <w:rPr>
          <w:rFonts w:eastAsia="Times New Roman"/>
          <w:b/>
          <w:bCs/>
        </w:rPr>
      </w:pPr>
      <w:r w:rsidRPr="00A929B7">
        <w:rPr>
          <w:rFonts w:eastAsia="Times New Roman"/>
          <w:b/>
          <w:bCs/>
        </w:rPr>
        <w:br w:type="page"/>
      </w: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lastRenderedPageBreak/>
        <w:t>B. Osobitná časť</w:t>
      </w:r>
    </w:p>
    <w:p w:rsidR="001C6D46" w:rsidRDefault="001C6D46" w:rsidP="001C6D46">
      <w:pPr>
        <w:jc w:val="both"/>
        <w:rPr>
          <w:b/>
        </w:rPr>
      </w:pPr>
    </w:p>
    <w:p w:rsidR="001C6D46" w:rsidRPr="00A929B7" w:rsidRDefault="001C6D46" w:rsidP="001C6D46">
      <w:pPr>
        <w:jc w:val="both"/>
        <w:rPr>
          <w:b/>
        </w:rPr>
      </w:pP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t>K Čl. I</w:t>
      </w:r>
    </w:p>
    <w:p w:rsidR="001C6D46" w:rsidRPr="00A929B7" w:rsidRDefault="001C6D46" w:rsidP="001C6D46">
      <w:pPr>
        <w:jc w:val="both"/>
      </w:pP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t>K bodu 1</w:t>
      </w:r>
    </w:p>
    <w:p w:rsidR="001C6D46" w:rsidRPr="00A929B7" w:rsidRDefault="001C6D46" w:rsidP="001C6D46">
      <w:pPr>
        <w:jc w:val="both"/>
      </w:pPr>
      <w:r w:rsidRPr="00A929B7">
        <w:t>S cieľom zjednodušenia postupov verejného obstarávania pri rekonštrukciách internátov základ</w:t>
      </w:r>
      <w:r>
        <w:t>ných, stredných a vysokých škôl,</w:t>
      </w:r>
      <w:r w:rsidRPr="00A929B7">
        <w:t xml:space="preserve"> polikliník a nemocníc sa navrhuje zadefinovať na tento účel </w:t>
      </w:r>
      <w:r>
        <w:t>s</w:t>
      </w:r>
      <w:r w:rsidRPr="00A929B7">
        <w:t xml:space="preserve">tavebné práce v hodnote do </w:t>
      </w:r>
      <w:r w:rsidR="00E3166A">
        <w:t>3</w:t>
      </w:r>
      <w:r>
        <w:t xml:space="preserve"> 0</w:t>
      </w:r>
      <w:r w:rsidRPr="00A929B7">
        <w:t>00 </w:t>
      </w:r>
      <w:proofErr w:type="spellStart"/>
      <w:r w:rsidRPr="00A929B7">
        <w:t>000</w:t>
      </w:r>
      <w:proofErr w:type="spellEnd"/>
      <w:r w:rsidRPr="00A929B7">
        <w:t xml:space="preserve"> eur</w:t>
      </w:r>
      <w:r>
        <w:t xml:space="preserve"> bez DPH </w:t>
      </w:r>
      <w:r w:rsidRPr="00A929B7">
        <w:t xml:space="preserve">ako zákazku </w:t>
      </w:r>
      <w:r>
        <w:t xml:space="preserve">s </w:t>
      </w:r>
      <w:r w:rsidRPr="00A929B7">
        <w:t>ní</w:t>
      </w:r>
      <w:r>
        <w:t>zkou hodnotou</w:t>
      </w:r>
      <w:r w:rsidRPr="00A929B7">
        <w:t>.</w:t>
      </w:r>
    </w:p>
    <w:p w:rsidR="001C6D46" w:rsidRPr="00A929B7" w:rsidRDefault="001C6D46" w:rsidP="001C6D46">
      <w:pPr>
        <w:jc w:val="both"/>
      </w:pP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t>K bodu 2</w:t>
      </w:r>
    </w:p>
    <w:p w:rsidR="001C6D46" w:rsidRDefault="001C6D46" w:rsidP="001C6D46">
      <w:pPr>
        <w:jc w:val="both"/>
      </w:pPr>
      <w:r>
        <w:t>Vzhľadom na zvýšenie limitu pre uvedené stavebné práce sa výslovne zavádza povinnosť hospodárskej súťaže formou povinného zapojenia minimálne troch hospodárskych subjektov ak ide o zákazku na predmetné stavebné práce nad 180 000 eur bez DPH. Pri zákazkách do 180 000 eur bez DPH sa zachováva doterajší právny stav.</w:t>
      </w:r>
    </w:p>
    <w:p w:rsidR="001C6D46" w:rsidRDefault="001C6D46" w:rsidP="001C6D46">
      <w:pPr>
        <w:jc w:val="both"/>
      </w:pPr>
    </w:p>
    <w:p w:rsidR="001C6D46" w:rsidRPr="00A929B7" w:rsidRDefault="001C6D46" w:rsidP="001C6D46">
      <w:pPr>
        <w:jc w:val="both"/>
      </w:pPr>
      <w:r>
        <w:t>V prípadoch zákaziek na uvedené stavebné práce nad 180 000 eur bez DPH sa z</w:t>
      </w:r>
      <w:r w:rsidRPr="00A929B7">
        <w:t xml:space="preserve">ároveň umožňuje uzavrieť zmluvu s ktorýmkoľvek uchádzačom v rámci limitu, ktorý bol </w:t>
      </w:r>
      <w:r>
        <w:t xml:space="preserve">upravený už v </w:t>
      </w:r>
      <w:r w:rsidRPr="00A929B7">
        <w:t>predchádzajúci</w:t>
      </w:r>
      <w:r>
        <w:t>ch</w:t>
      </w:r>
      <w:r w:rsidRPr="00A929B7">
        <w:t xml:space="preserve"> predpis</w:t>
      </w:r>
      <w:r>
        <w:t>och</w:t>
      </w:r>
      <w:r w:rsidRPr="00A929B7">
        <w:t xml:space="preserve"> [§ 57 ods. 6 písm. c) zákona č. 25/2006 Z. z. v znení účinnom do 17. 4. 2016</w:t>
      </w:r>
      <w:r>
        <w:t xml:space="preserve"> </w:t>
      </w:r>
      <w:r w:rsidRPr="00A929B7">
        <w:t>pri rokovacom konaní so zverejnením pre nadlimitné zákazky].</w:t>
      </w:r>
    </w:p>
    <w:p w:rsidR="001C6D46" w:rsidRPr="00A929B7" w:rsidRDefault="001C6D46" w:rsidP="001C6D46">
      <w:pPr>
        <w:jc w:val="both"/>
      </w:pP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t>K bodu 3</w:t>
      </w:r>
    </w:p>
    <w:p w:rsidR="001C6D46" w:rsidRPr="00A929B7" w:rsidRDefault="001C6D46" w:rsidP="001C6D46">
      <w:pPr>
        <w:jc w:val="both"/>
      </w:pPr>
      <w:r w:rsidRPr="00A929B7">
        <w:t>Legislatívno-technická úprava v nadväznosti na bod 2.</w:t>
      </w:r>
    </w:p>
    <w:p w:rsidR="001C6D46" w:rsidRDefault="001C6D46" w:rsidP="001C6D46">
      <w:pPr>
        <w:jc w:val="both"/>
      </w:pPr>
    </w:p>
    <w:p w:rsidR="001C6D46" w:rsidRPr="00A929B7" w:rsidRDefault="001C6D46" w:rsidP="001C6D46">
      <w:pPr>
        <w:jc w:val="both"/>
      </w:pPr>
    </w:p>
    <w:p w:rsidR="001C6D46" w:rsidRPr="00A929B7" w:rsidRDefault="001C6D46" w:rsidP="001C6D46">
      <w:pPr>
        <w:jc w:val="both"/>
        <w:rPr>
          <w:b/>
        </w:rPr>
      </w:pPr>
      <w:r w:rsidRPr="00A929B7">
        <w:rPr>
          <w:b/>
        </w:rPr>
        <w:t>K Čl. II</w:t>
      </w:r>
    </w:p>
    <w:p w:rsidR="001C6D46" w:rsidRPr="00A929B7" w:rsidRDefault="001C6D46" w:rsidP="001C6D46">
      <w:pPr>
        <w:jc w:val="both"/>
      </w:pPr>
      <w:r w:rsidRPr="00A929B7">
        <w:t xml:space="preserve">Ustanovenie upravujúce účinnosť návrhu zákona, ktorá sa navrhuje od 1. januára 2020, vzhľadom na začiatok kalendárneho a rozpočtového roka. </w:t>
      </w: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1C6D46" w:rsidRDefault="001C6D46">
      <w:pPr>
        <w:spacing w:after="200" w:line="276" w:lineRule="auto"/>
        <w:rPr>
          <w:rFonts w:eastAsia="Times New Roman"/>
          <w:b/>
          <w:bCs/>
        </w:rPr>
      </w:pPr>
    </w:p>
    <w:p w:rsidR="00E766EC" w:rsidRPr="00A929B7" w:rsidRDefault="00E766EC" w:rsidP="001C6D46">
      <w:pPr>
        <w:spacing w:after="200" w:line="360" w:lineRule="auto"/>
        <w:rPr>
          <w:rFonts w:eastAsia="Times New Roman"/>
          <w:b/>
          <w:bCs/>
        </w:rPr>
      </w:pPr>
    </w:p>
    <w:p w:rsidR="007668C5" w:rsidRPr="00A929B7" w:rsidRDefault="007668C5" w:rsidP="007668C5">
      <w:pPr>
        <w:jc w:val="center"/>
        <w:rPr>
          <w:b/>
          <w:bCs/>
        </w:rPr>
      </w:pPr>
      <w:r w:rsidRPr="00A929B7">
        <w:rPr>
          <w:b/>
          <w:bCs/>
        </w:rPr>
        <w:lastRenderedPageBreak/>
        <w:t>Doložka vybraných vplyvov</w:t>
      </w:r>
    </w:p>
    <w:p w:rsidR="007668C5" w:rsidRPr="00A929B7" w:rsidRDefault="007668C5" w:rsidP="007668C5">
      <w:pPr>
        <w:pStyle w:val="odsek"/>
        <w:keepNext w:val="0"/>
        <w:widowControl w:val="0"/>
        <w:ind w:firstLine="0"/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3634"/>
      </w:tblGrid>
      <w:tr w:rsidR="007668C5" w:rsidRPr="00A929B7" w:rsidTr="00B05EC2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1.  Základné údaje</w:t>
            </w:r>
          </w:p>
        </w:tc>
      </w:tr>
      <w:tr w:rsidR="007668C5" w:rsidRPr="00A929B7" w:rsidTr="00B05EC2"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7668C5" w:rsidRPr="00A929B7" w:rsidRDefault="007668C5" w:rsidP="00B05EC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A929B7">
              <w:rPr>
                <w:sz w:val="20"/>
                <w:szCs w:val="20"/>
              </w:rPr>
              <w:t xml:space="preserve"> </w:t>
            </w:r>
          </w:p>
          <w:p w:rsidR="007668C5" w:rsidRPr="00A929B7" w:rsidRDefault="007668C5" w:rsidP="00B05EC2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7668C5" w:rsidRPr="00A929B7" w:rsidTr="00B05EC2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jc w:val="both"/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 Návrh zákona, ktorým sa mení a dopĺňa </w:t>
            </w:r>
            <w:r w:rsidR="00580AF8" w:rsidRPr="00A929B7">
              <w:rPr>
                <w:sz w:val="20"/>
                <w:szCs w:val="20"/>
              </w:rPr>
              <w:t>zákon č. 343/2015 Z. z. o verejnom obstarávaní a o zmene a doplnení niektorých zákonov v znení neskorších predpisov</w:t>
            </w:r>
          </w:p>
        </w:tc>
      </w:tr>
      <w:tr w:rsidR="007668C5" w:rsidRPr="00A929B7" w:rsidTr="00B05EC2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7668C5" w:rsidRPr="00A929B7" w:rsidTr="00B05EC2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1C6D46" w:rsidP="001C6D4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Skupina poslancov</w:t>
            </w:r>
            <w:r w:rsidR="007668C5" w:rsidRPr="00A929B7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</w:p>
        </w:tc>
      </w:tr>
      <w:tr w:rsidR="007668C5" w:rsidRPr="00A929B7" w:rsidTr="00B05EC2"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668C5" w:rsidRPr="00A929B7" w:rsidRDefault="007668C5" w:rsidP="00B05EC2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 </w:t>
            </w:r>
            <w:r w:rsidRPr="00A929B7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A929B7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7668C5" w:rsidRPr="00A929B7" w:rsidTr="00B05EC2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 </w:t>
            </w:r>
            <w:r w:rsidRPr="00A929B7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A929B7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7668C5" w:rsidRPr="00A929B7" w:rsidTr="00B05EC2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 </w:t>
            </w:r>
            <w:r w:rsidRPr="00A929B7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A929B7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7668C5" w:rsidRPr="00A929B7" w:rsidTr="00B05EC2"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668C5" w:rsidRPr="00A929B7" w:rsidTr="00B05EC2"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bCs/>
                <w:sz w:val="20"/>
                <w:szCs w:val="20"/>
              </w:rPr>
              <w:t>Materiál nebol predmetom PPK</w:t>
            </w:r>
          </w:p>
        </w:tc>
      </w:tr>
      <w:tr w:rsidR="007668C5" w:rsidRPr="00A929B7" w:rsidTr="00B05EC2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bCs/>
                <w:sz w:val="20"/>
                <w:szCs w:val="20"/>
              </w:rPr>
              <w:t>Materiál nebol predmetom MPK</w:t>
            </w:r>
          </w:p>
        </w:tc>
      </w:tr>
      <w:tr w:rsidR="007668C5" w:rsidRPr="00A929B7" w:rsidTr="00B05EC2"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7668C5" w:rsidRPr="00A929B7" w:rsidTr="00B05EC2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7668C5" w:rsidRPr="00A929B7" w:rsidTr="00B05EC2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580AF8" w:rsidP="00B05EC2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 xml:space="preserve">Pri rekonštrukciách študentských domovov, školských internátov a nemocníc sa v súčasnosti vyžadujú </w:t>
            </w:r>
            <w:r w:rsidR="006751A7" w:rsidRPr="00A929B7">
              <w:rPr>
                <w:rFonts w:ascii="Times" w:hAnsi="Times" w:cs="Times"/>
                <w:sz w:val="20"/>
                <w:szCs w:val="20"/>
              </w:rPr>
              <w:t>postupy verejného obstarávania aj na situácie, pri ktorých tieto postupy v plnom rozsahu nie sú nevyhnutné. To neprimerane komplikuje zabezpečovanie ich rekonštrukcií.</w:t>
            </w:r>
          </w:p>
        </w:tc>
      </w:tr>
      <w:tr w:rsidR="007668C5" w:rsidRPr="00A929B7" w:rsidTr="00B05EC2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7668C5" w:rsidRPr="00A929B7" w:rsidTr="00B05EC2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 xml:space="preserve">Zabezpečenie, aby </w:t>
            </w:r>
            <w:r w:rsidR="006751A7" w:rsidRPr="00A929B7">
              <w:rPr>
                <w:rFonts w:ascii="Times" w:hAnsi="Times" w:cs="Times"/>
                <w:sz w:val="20"/>
                <w:szCs w:val="20"/>
              </w:rPr>
              <w:t>pri rekonštrukciách školských internátov, študentských domovov</w:t>
            </w:r>
            <w:r w:rsidR="00F0057B" w:rsidRPr="00A929B7">
              <w:rPr>
                <w:rFonts w:ascii="Times" w:hAnsi="Times" w:cs="Times"/>
                <w:sz w:val="20"/>
                <w:szCs w:val="20"/>
              </w:rPr>
              <w:t>, polikliník</w:t>
            </w:r>
            <w:r w:rsidR="006751A7" w:rsidRPr="00A929B7">
              <w:rPr>
                <w:rFonts w:ascii="Times" w:hAnsi="Times" w:cs="Times"/>
                <w:sz w:val="20"/>
                <w:szCs w:val="20"/>
              </w:rPr>
              <w:t xml:space="preserve"> a nemocníc pri zákazke do zákonom ustanovenej hodnoty bolo možné namiesto štandardných postupov verejného obstarávania využiť výber z troch ponúk.</w:t>
            </w:r>
          </w:p>
          <w:p w:rsidR="007668C5" w:rsidRPr="00A929B7" w:rsidRDefault="007668C5" w:rsidP="00B05EC2">
            <w:pPr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</w:tr>
      <w:tr w:rsidR="007668C5" w:rsidRPr="00A929B7" w:rsidTr="00B05EC2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7668C5" w:rsidRPr="00A929B7" w:rsidTr="00B05EC2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21029" w:rsidRPr="00A929B7" w:rsidRDefault="00321029" w:rsidP="00321029">
            <w:pPr>
              <w:pStyle w:val="Odsekzoznamu"/>
              <w:numPr>
                <w:ilvl w:val="0"/>
                <w:numId w:val="8"/>
              </w:num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š</w:t>
            </w:r>
            <w:r w:rsidR="006751A7" w:rsidRPr="00A929B7">
              <w:rPr>
                <w:rFonts w:ascii="Times" w:hAnsi="Times" w:cs="Times"/>
                <w:sz w:val="20"/>
                <w:szCs w:val="20"/>
              </w:rPr>
              <w:t>kolské internáty zriadené obcou, samosprávnym krajom a okresným úradom v sídle kraja, ktoré majú právnu subjektivi</w:t>
            </w:r>
            <w:r w:rsidRPr="00A929B7">
              <w:rPr>
                <w:rFonts w:ascii="Times" w:hAnsi="Times" w:cs="Times"/>
                <w:sz w:val="20"/>
                <w:szCs w:val="20"/>
              </w:rPr>
              <w:t>t</w:t>
            </w:r>
            <w:r w:rsidR="006751A7" w:rsidRPr="00A929B7">
              <w:rPr>
                <w:rFonts w:ascii="Times" w:hAnsi="Times" w:cs="Times"/>
                <w:sz w:val="20"/>
                <w:szCs w:val="20"/>
              </w:rPr>
              <w:t>u</w:t>
            </w:r>
            <w:r w:rsidRPr="00A929B7">
              <w:rPr>
                <w:rFonts w:ascii="Times" w:hAnsi="Times" w:cs="Times"/>
                <w:sz w:val="20"/>
                <w:szCs w:val="20"/>
              </w:rPr>
              <w:t>,</w:t>
            </w:r>
          </w:p>
          <w:p w:rsidR="007668C5" w:rsidRPr="00A929B7" w:rsidRDefault="00321029" w:rsidP="00321029">
            <w:pPr>
              <w:pStyle w:val="Odsekzoznamu"/>
              <w:numPr>
                <w:ilvl w:val="0"/>
                <w:numId w:val="8"/>
              </w:num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školy, ktorých súčasťou je školský internát, sú zriadené obcou, samosprávnym krajom a okresným úradom v sídle kraja a majú právnu subjektivitu,</w:t>
            </w:r>
          </w:p>
          <w:p w:rsidR="00321029" w:rsidRPr="00A929B7" w:rsidRDefault="00321029" w:rsidP="00321029">
            <w:pPr>
              <w:pStyle w:val="Odsekzoznamu"/>
              <w:numPr>
                <w:ilvl w:val="0"/>
                <w:numId w:val="8"/>
              </w:num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>verejné vysoké školy a štátne vysoké školy, ktorých súčasťou je študentský domov,</w:t>
            </w:r>
          </w:p>
          <w:p w:rsidR="00321029" w:rsidRPr="00A929B7" w:rsidRDefault="00F0057B" w:rsidP="00321029">
            <w:pPr>
              <w:pStyle w:val="Odsekzoznamu"/>
              <w:numPr>
                <w:ilvl w:val="0"/>
                <w:numId w:val="8"/>
              </w:num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 xml:space="preserve">polikliniky a </w:t>
            </w:r>
            <w:r w:rsidR="00C74661" w:rsidRPr="00A929B7">
              <w:rPr>
                <w:rFonts w:ascii="Times" w:hAnsi="Times" w:cs="Times"/>
                <w:sz w:val="20"/>
                <w:szCs w:val="20"/>
              </w:rPr>
              <w:t>nemocnice, ktorých zriaďovateľom je štátny orgán, obec alebo samosprávny kraj</w:t>
            </w:r>
          </w:p>
        </w:tc>
      </w:tr>
      <w:tr w:rsidR="007668C5" w:rsidRPr="00A929B7" w:rsidTr="00B05EC2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A929B7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5.  Alternatívne riešenia                          </w:t>
            </w:r>
          </w:p>
        </w:tc>
      </w:tr>
      <w:tr w:rsidR="007668C5" w:rsidRPr="00A929B7" w:rsidTr="00B05EC2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A929B7" w:rsidP="00B05EC2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Cs/>
                <w:sz w:val="20"/>
                <w:szCs w:val="20"/>
              </w:rPr>
              <w:t xml:space="preserve">Alternatívnym riešením je nulový variant, t.j. neprijatie právneho predpisu, čo by znamenalo zachovanie 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nevyhovujúceho </w:t>
            </w:r>
            <w:r w:rsidRPr="00A929B7">
              <w:rPr>
                <w:rFonts w:ascii="Times" w:hAnsi="Times" w:cs="Times"/>
                <w:bCs/>
                <w:sz w:val="20"/>
                <w:szCs w:val="20"/>
              </w:rPr>
              <w:t>stavu súčasných časových komplikácii pri rekonštrukciách.</w:t>
            </w:r>
          </w:p>
        </w:tc>
      </w:tr>
      <w:tr w:rsidR="007668C5" w:rsidRPr="00A929B7" w:rsidTr="00B05EC2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7668C5" w:rsidRPr="00A929B7" w:rsidTr="00B05EC2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sz w:val="20"/>
                <w:szCs w:val="20"/>
              </w:rPr>
            </w:pPr>
            <w:r w:rsidRPr="00A929B7">
              <w:rPr>
                <w:rFonts w:ascii="Times" w:hAnsi="Times" w:cs="Times"/>
                <w:sz w:val="20"/>
                <w:szCs w:val="20"/>
              </w:rPr>
              <w:t xml:space="preserve"> Predpokladá sa prijatie/zmena vykonávacích predpisov?                          </w:t>
            </w:r>
            <w:r w:rsidRPr="00A929B7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A929B7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A929B7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A929B7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7668C5" w:rsidRPr="00A929B7" w:rsidTr="00B05EC2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7668C5" w:rsidRPr="00A929B7" w:rsidTr="00B05EC2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7668C5" w:rsidRPr="00A929B7" w:rsidTr="00B05EC2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7668C5" w:rsidRPr="00A929B7" w:rsidRDefault="007668C5" w:rsidP="00B05EC2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A929B7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7668C5" w:rsidRPr="00A929B7" w:rsidRDefault="007668C5" w:rsidP="007668C5">
      <w:pPr>
        <w:pStyle w:val="odsek"/>
        <w:keepNext w:val="0"/>
        <w:widowControl w:val="0"/>
        <w:ind w:firstLine="0"/>
      </w:pPr>
    </w:p>
    <w:p w:rsidR="007668C5" w:rsidRPr="00A929B7" w:rsidRDefault="007668C5" w:rsidP="007668C5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819"/>
        <w:gridCol w:w="1817"/>
        <w:gridCol w:w="1817"/>
      </w:tblGrid>
      <w:tr w:rsidR="007668C5" w:rsidRPr="00A929B7" w:rsidTr="00B05EC2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9.   Vplyvy navrhovaného materiálu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7668C5" w:rsidRPr="00A929B7" w:rsidRDefault="007668C5" w:rsidP="00B05EC2">
            <w:pPr>
              <w:contextualSpacing/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 xml:space="preserve">  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 </w:t>
            </w:r>
            <w:r w:rsidRPr="00A929B7">
              <w:rPr>
                <w:sz w:val="20"/>
                <w:szCs w:val="20"/>
              </w:rPr>
              <w:t> 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  </w:t>
            </w:r>
            <w:r w:rsidRPr="00A929B7">
              <w:rPr>
                <w:sz w:val="20"/>
                <w:szCs w:val="20"/>
              </w:rPr>
              <w:t>   Negatívne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7668C5" w:rsidRPr="00A929B7" w:rsidRDefault="007668C5" w:rsidP="00B05EC2">
            <w:pPr>
              <w:contextualSpacing/>
              <w:rPr>
                <w:bCs/>
                <w:sz w:val="20"/>
                <w:szCs w:val="20"/>
              </w:rPr>
            </w:pPr>
            <w:r w:rsidRPr="00A929B7">
              <w:rPr>
                <w:bCs/>
                <w:sz w:val="20"/>
                <w:szCs w:val="20"/>
              </w:rPr>
              <w:t>- 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 </w:t>
            </w:r>
            <w:r w:rsidR="007A3435" w:rsidRPr="00A929B7">
              <w:rPr>
                <w:sz w:val="20"/>
                <w:szCs w:val="20"/>
              </w:rPr>
              <w:t></w:t>
            </w:r>
            <w:r w:rsidRPr="00A929B7">
              <w:rPr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7668C5" w:rsidRPr="00A929B7" w:rsidRDefault="007668C5" w:rsidP="00B05EC2">
            <w:pPr>
              <w:contextualSpacing/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  x  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7668C5" w:rsidRPr="00A929B7" w:rsidRDefault="007668C5" w:rsidP="00B05EC2">
            <w:pPr>
              <w:ind w:left="129" w:hanging="129"/>
              <w:contextualSpacing/>
              <w:rPr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 xml:space="preserve">  </w:t>
            </w:r>
            <w:r w:rsidRPr="00A929B7">
              <w:rPr>
                <w:bCs/>
                <w:sz w:val="20"/>
                <w:szCs w:val="20"/>
              </w:rPr>
              <w:t>- 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  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 </w:t>
            </w:r>
            <w:r w:rsidR="007A3435" w:rsidRPr="00A929B7">
              <w:rPr>
                <w:sz w:val="20"/>
                <w:szCs w:val="20"/>
              </w:rPr>
              <w:t></w:t>
            </w:r>
            <w:r w:rsidRPr="00A929B7">
              <w:rPr>
                <w:sz w:val="20"/>
                <w:szCs w:val="20"/>
              </w:rPr>
              <w:t xml:space="preserve">   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Čiastočne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668C5" w:rsidRPr="00A929B7" w:rsidRDefault="007668C5" w:rsidP="00B05EC2">
            <w:pPr>
              <w:contextualSpacing/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  </w:t>
            </w:r>
            <w:r w:rsidRPr="00A929B7">
              <w:rPr>
                <w:sz w:val="20"/>
                <w:szCs w:val="20"/>
              </w:rPr>
              <w:t> 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  x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668C5" w:rsidRPr="00A929B7" w:rsidRDefault="007668C5" w:rsidP="00B05EC2">
            <w:pPr>
              <w:contextualSpacing/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  x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7668C5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7668C5" w:rsidRPr="00A929B7" w:rsidRDefault="007668C5" w:rsidP="00B05EC2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580AF8" w:rsidRPr="00A929B7" w:rsidTr="00B05EC2"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580AF8" w:rsidRPr="00A929B7" w:rsidRDefault="00580AF8" w:rsidP="00580AF8">
            <w:pPr>
              <w:contextualSpacing/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 xml:space="preserve">  Vplyvy na manželstvo, rodičovstvo a </w:t>
            </w:r>
            <w:r w:rsidRPr="00A929B7">
              <w:rPr>
                <w:b/>
                <w:bCs/>
                <w:sz w:val="20"/>
                <w:szCs w:val="20"/>
              </w:rPr>
              <w:lastRenderedPageBreak/>
              <w:t>rodinu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lastRenderedPageBreak/>
              <w:t xml:space="preserve">  </w:t>
            </w:r>
            <w:r w:rsidRPr="00A929B7">
              <w:rPr>
                <w:sz w:val="20"/>
                <w:szCs w:val="20"/>
              </w:rPr>
              <w:t>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  x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580AF8" w:rsidRPr="00A929B7" w:rsidTr="00B05EC2"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lastRenderedPageBreak/>
              <w:t>  Vplyvy na služby pre občana z toho</w:t>
            </w:r>
            <w:r w:rsidRPr="00A929B7">
              <w:rPr>
                <w:sz w:val="20"/>
                <w:szCs w:val="20"/>
              </w:rPr>
              <w:br/>
              <w:t>    vplyvy služieb verejnej správy na občana</w:t>
            </w:r>
            <w:r w:rsidRPr="00A929B7">
              <w:rPr>
                <w:sz w:val="20"/>
                <w:szCs w:val="20"/>
              </w:rPr>
              <w:br/>
              <w:t>    vplyvy na procesy služieb vo verejnej</w:t>
            </w:r>
            <w:r w:rsidRPr="00A929B7">
              <w:rPr>
                <w:sz w:val="20"/>
                <w:szCs w:val="20"/>
              </w:rPr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br/>
              <w:t xml:space="preserve">  </w:t>
            </w:r>
            <w:r w:rsidRPr="00A929B7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br/>
              <w:t>  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br/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580AF8" w:rsidRPr="00A929B7" w:rsidTr="00B05EC2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>  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80AF8" w:rsidRPr="00A929B7" w:rsidRDefault="00580AF8" w:rsidP="00580AF8">
            <w:pPr>
              <w:rPr>
                <w:sz w:val="20"/>
                <w:szCs w:val="20"/>
              </w:rPr>
            </w:pPr>
            <w:r w:rsidRPr="00A929B7">
              <w:rPr>
                <w:sz w:val="20"/>
                <w:szCs w:val="20"/>
              </w:rPr>
              <w:t xml:space="preserve">  </w:t>
            </w:r>
            <w:r w:rsidRPr="00A929B7">
              <w:rPr>
                <w:sz w:val="20"/>
                <w:szCs w:val="20"/>
              </w:rPr>
              <w:t>   Negatívne</w:t>
            </w:r>
          </w:p>
        </w:tc>
      </w:tr>
      <w:tr w:rsidR="00580AF8" w:rsidRPr="00A929B7" w:rsidTr="00B05EC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10.  Poznámky</w:t>
            </w:r>
          </w:p>
        </w:tc>
      </w:tr>
      <w:tr w:rsidR="00580AF8" w:rsidRPr="00A929B7" w:rsidTr="00B05EC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0AF8" w:rsidRPr="00A929B7" w:rsidTr="00B05EC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580AF8" w:rsidRPr="00A929B7" w:rsidTr="00B05EC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0AF8" w:rsidRPr="00A929B7" w:rsidTr="00B05EC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12.  Zdroje</w:t>
            </w:r>
          </w:p>
        </w:tc>
      </w:tr>
      <w:tr w:rsidR="00580AF8" w:rsidRPr="00A929B7" w:rsidTr="00B05EC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0AF8" w:rsidRPr="00A929B7" w:rsidTr="00B05EC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80AF8" w:rsidRPr="00A929B7" w:rsidRDefault="00580AF8" w:rsidP="00580AF8">
            <w:pPr>
              <w:rPr>
                <w:b/>
                <w:bCs/>
                <w:sz w:val="20"/>
                <w:szCs w:val="20"/>
              </w:rPr>
            </w:pPr>
            <w:r w:rsidRPr="00A929B7">
              <w:rPr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580AF8" w:rsidRPr="00A929B7" w:rsidTr="00B05EC2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80AF8" w:rsidRPr="00A929B7" w:rsidRDefault="00580AF8" w:rsidP="00580AF8">
            <w:pPr>
              <w:rPr>
                <w:bCs/>
                <w:sz w:val="20"/>
                <w:szCs w:val="20"/>
              </w:rPr>
            </w:pPr>
            <w:r w:rsidRPr="00A929B7">
              <w:rPr>
                <w:bCs/>
                <w:sz w:val="20"/>
                <w:szCs w:val="20"/>
              </w:rPr>
              <w:t xml:space="preserve"> Materiál nebol predmetom PPK.</w:t>
            </w:r>
          </w:p>
        </w:tc>
      </w:tr>
    </w:tbl>
    <w:p w:rsidR="007668C5" w:rsidRPr="00A929B7" w:rsidRDefault="007668C5" w:rsidP="007668C5">
      <w:pPr>
        <w:spacing w:after="200" w:line="276" w:lineRule="auto"/>
        <w:rPr>
          <w:b/>
          <w:bCs/>
          <w:spacing w:val="30"/>
        </w:rPr>
      </w:pPr>
      <w:r w:rsidRPr="00A929B7">
        <w:rPr>
          <w:b/>
          <w:bCs/>
          <w:spacing w:val="30"/>
        </w:rPr>
        <w:br w:type="page"/>
      </w:r>
    </w:p>
    <w:p w:rsidR="00A929B7" w:rsidRPr="00A929B7" w:rsidRDefault="00A929B7" w:rsidP="00A929B7">
      <w:pPr>
        <w:jc w:val="center"/>
        <w:rPr>
          <w:b/>
          <w:caps/>
          <w:spacing w:val="30"/>
          <w:sz w:val="25"/>
          <w:szCs w:val="25"/>
        </w:rPr>
      </w:pPr>
      <w:r w:rsidRPr="00A929B7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A929B7" w:rsidRPr="00A929B7" w:rsidRDefault="00A929B7" w:rsidP="00A929B7">
      <w:pPr>
        <w:jc w:val="center"/>
        <w:rPr>
          <w:b/>
          <w:sz w:val="25"/>
          <w:szCs w:val="25"/>
        </w:rPr>
      </w:pPr>
      <w:r w:rsidRPr="00A929B7">
        <w:rPr>
          <w:b/>
          <w:sz w:val="25"/>
          <w:szCs w:val="25"/>
        </w:rPr>
        <w:t>návrhu zákona s právom Európskej únie</w:t>
      </w:r>
    </w:p>
    <w:p w:rsidR="00A929B7" w:rsidRPr="00A929B7" w:rsidRDefault="00A929B7" w:rsidP="00A929B7">
      <w:pPr>
        <w:jc w:val="center"/>
        <w:rPr>
          <w:b/>
          <w:sz w:val="25"/>
          <w:szCs w:val="25"/>
        </w:rPr>
      </w:pPr>
    </w:p>
    <w:p w:rsidR="00A929B7" w:rsidRPr="00A929B7" w:rsidRDefault="00A929B7" w:rsidP="00A929B7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b/>
                <w:lang w:val="sk-SK"/>
              </w:rPr>
            </w:pPr>
            <w:r w:rsidRPr="001C6D46">
              <w:rPr>
                <w:b/>
                <w:lang w:val="sk-SK"/>
              </w:rPr>
              <w:t>1.</w:t>
            </w:r>
          </w:p>
        </w:tc>
        <w:tc>
          <w:tcPr>
            <w:tcW w:w="9627" w:type="dxa"/>
          </w:tcPr>
          <w:p w:rsidR="00A929B7" w:rsidRPr="001C6D46" w:rsidRDefault="00A929B7" w:rsidP="00A929B7">
            <w:pPr>
              <w:tabs>
                <w:tab w:val="left" w:pos="360"/>
              </w:tabs>
              <w:rPr>
                <w:lang w:val="sk-SK"/>
              </w:rPr>
            </w:pPr>
            <w:r w:rsidRPr="001C6D46">
              <w:rPr>
                <w:b/>
                <w:lang w:val="sk-SK"/>
              </w:rPr>
              <w:t>Navrhovateľ zákona:</w:t>
            </w:r>
            <w:r w:rsidRPr="001C6D46">
              <w:rPr>
                <w:lang w:val="sk-SK"/>
              </w:rPr>
              <w:t xml:space="preserve"> poslanci Národnej rady Slovenskej republiky </w:t>
            </w:r>
          </w:p>
        </w:tc>
      </w:tr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b/>
                <w:lang w:val="sk-SK"/>
              </w:rPr>
            </w:pPr>
            <w:r w:rsidRPr="001C6D46">
              <w:rPr>
                <w:b/>
                <w:lang w:val="sk-SK"/>
              </w:rPr>
              <w:t>2.</w:t>
            </w:r>
          </w:p>
        </w:tc>
        <w:tc>
          <w:tcPr>
            <w:tcW w:w="9627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  <w:r w:rsidRPr="001C6D46">
              <w:rPr>
                <w:b/>
                <w:lang w:val="sk-SK"/>
              </w:rPr>
              <w:t>Názov návrhu zákona:</w:t>
            </w:r>
            <w:r w:rsidRPr="001C6D46">
              <w:rPr>
                <w:lang w:val="sk-SK"/>
              </w:rPr>
              <w:t xml:space="preserve"> Zákon, ktorým sa mení a dopĺňa zákon č. 343/2015 Z. z. o verejnom obstarávaní a o zmene a doplnení niektorých zákonov v znení neskorších predpisov </w:t>
            </w:r>
            <w:r w:rsidRPr="001C6D46">
              <w:fldChar w:fldCharType="begin"/>
            </w:r>
            <w:r w:rsidRPr="001C6D46">
              <w:rPr>
                <w:lang w:val="sk-SK"/>
              </w:rPr>
              <w:instrText xml:space="preserve"> DOCPROPERTY  FSC#SKEDITIONSLOVLEX@103.510:plnynazovpredpis1  \* MERGEFORMAT </w:instrText>
            </w:r>
            <w:r w:rsidRPr="001C6D46">
              <w:fldChar w:fldCharType="end"/>
            </w:r>
            <w:r w:rsidRPr="001C6D46">
              <w:fldChar w:fldCharType="begin"/>
            </w:r>
            <w:r w:rsidRPr="001C6D46">
              <w:rPr>
                <w:lang w:val="sk-SK"/>
              </w:rPr>
              <w:instrText xml:space="preserve"> DOCPROPERTY  FSC#SKEDITIONSLOVLEX@103.510:plnynazovpredpis2  \* MERGEFORMAT </w:instrText>
            </w:r>
            <w:r w:rsidRPr="001C6D46">
              <w:fldChar w:fldCharType="end"/>
            </w:r>
            <w:r w:rsidRPr="001C6D46">
              <w:fldChar w:fldCharType="begin"/>
            </w:r>
            <w:r w:rsidRPr="001C6D46">
              <w:rPr>
                <w:lang w:val="sk-SK"/>
              </w:rPr>
              <w:instrText xml:space="preserve"> DOCPROPERTY  FSC#SKEDITIONSLOVLEX@103.510:plnynazovpredpis3  \* MERGEFORMAT </w:instrText>
            </w:r>
            <w:r w:rsidRPr="001C6D46">
              <w:fldChar w:fldCharType="end"/>
            </w:r>
          </w:p>
        </w:tc>
      </w:tr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b/>
                <w:lang w:val="sk-SK"/>
              </w:rPr>
            </w:pPr>
            <w:r w:rsidRPr="001C6D46">
              <w:rPr>
                <w:b/>
                <w:lang w:val="sk-SK"/>
              </w:rPr>
              <w:t>3.</w:t>
            </w:r>
          </w:p>
        </w:tc>
        <w:tc>
          <w:tcPr>
            <w:tcW w:w="9627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b/>
                <w:lang w:val="sk-SK"/>
              </w:rPr>
            </w:pPr>
            <w:r w:rsidRPr="001C6D46">
              <w:rPr>
                <w:b/>
                <w:lang w:val="sk-SK"/>
              </w:rPr>
              <w:t>Predmet návrhu zákona je upravený v práve Európskej únie:</w:t>
            </w:r>
          </w:p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A929B7" w:rsidRPr="001C6D46" w:rsidTr="003D4A6B">
        <w:tc>
          <w:tcPr>
            <w:tcW w:w="404" w:type="dxa"/>
          </w:tcPr>
          <w:p w:rsidR="00A929B7" w:rsidRPr="001C6D46" w:rsidRDefault="00A929B7" w:rsidP="003D4A6B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sk-SK"/>
              </w:rPr>
            </w:pPr>
            <w:r w:rsidRPr="001C6D46">
              <w:rPr>
                <w:lang w:val="sk-SK"/>
              </w:rPr>
              <w:t>v primárnom práve (uviesť názov zmluvy a číslo článku)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  <w:r w:rsidRPr="001C6D46">
              <w:rPr>
                <w:lang w:val="sk-SK"/>
              </w:rPr>
              <w:br/>
              <w:t>čl. 26 a 114 Zmluvy o fungovaní Európskej únie</w:t>
            </w:r>
          </w:p>
          <w:p w:rsidR="00A929B7" w:rsidRPr="001C6D46" w:rsidRDefault="00A929B7" w:rsidP="003D4A6B">
            <w:pPr>
              <w:pStyle w:val="Odsekzoznamu"/>
              <w:tabs>
                <w:tab w:val="left" w:pos="360"/>
              </w:tabs>
              <w:ind w:left="360"/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sk-SK"/>
              </w:rPr>
            </w:pPr>
            <w:r w:rsidRPr="001C6D46">
              <w:rPr>
                <w:lang w:val="sk-SK"/>
              </w:rPr>
              <w:t>v sekundárnom práve (uviesť druh, inštitúciu, číslo, názov a dátum vydania právneho aktu vzťahujúceho sa na upravovanú problematiku, vrátane jeho gestora)</w:t>
            </w:r>
          </w:p>
          <w:p w:rsidR="00A929B7" w:rsidRPr="001C6D46" w:rsidRDefault="00A929B7" w:rsidP="003D4A6B">
            <w:pPr>
              <w:tabs>
                <w:tab w:val="left" w:pos="1068"/>
              </w:tabs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9" w:hanging="339"/>
              <w:jc w:val="both"/>
              <w:rPr>
                <w:lang w:val="sk-SK"/>
              </w:rPr>
            </w:pPr>
            <w:r w:rsidRPr="001C6D46">
              <w:rPr>
                <w:lang w:val="sk-SK" w:eastAsia="cs-CZ"/>
              </w:rPr>
              <w:t xml:space="preserve">Smernica Európskeho parlamentu a Rady </w:t>
            </w:r>
            <w:r w:rsidRPr="001C6D46">
              <w:rPr>
                <w:lang w:val="sk-SK"/>
              </w:rPr>
              <w:t xml:space="preserve">2014/24/EÚ o verejnom obstarávaní a o zrušení smernice 2004/18/ES (Ú. v. EÚ L 94; </w:t>
            </w:r>
            <w:r w:rsidRPr="001C6D46">
              <w:rPr>
                <w:iCs/>
                <w:lang w:val="sk-SK"/>
              </w:rPr>
              <w:t>28.3.2014</w:t>
            </w:r>
            <w:r w:rsidRPr="001C6D46">
              <w:rPr>
                <w:lang w:val="sk-SK"/>
              </w:rPr>
              <w:t>) v platnom znení,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3D4A6B">
            <w:pPr>
              <w:spacing w:after="250"/>
              <w:rPr>
                <w:b/>
                <w:bCs/>
                <w:lang w:val="sk-SK"/>
              </w:rPr>
            </w:pPr>
            <w:r w:rsidRPr="001C6D46">
              <w:rPr>
                <w:b/>
                <w:bCs/>
                <w:lang w:val="sk-SK"/>
              </w:rPr>
              <w:t>Gestor a spolupracujúce rezorty:</w:t>
            </w:r>
          </w:p>
          <w:p w:rsidR="00A929B7" w:rsidRPr="001C6D46" w:rsidRDefault="00A929B7" w:rsidP="003D4A6B">
            <w:pPr>
              <w:rPr>
                <w:bCs/>
                <w:lang w:val="sk-SK"/>
              </w:rPr>
            </w:pPr>
            <w:r w:rsidRPr="001C6D46">
              <w:rPr>
                <w:bCs/>
                <w:lang w:val="sk-SK"/>
              </w:rPr>
              <w:t>Úrad pre verejné obstarávanie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9" w:hanging="339"/>
              <w:jc w:val="both"/>
              <w:rPr>
                <w:lang w:val="sk-SK"/>
              </w:rPr>
            </w:pPr>
            <w:r w:rsidRPr="001C6D46">
              <w:rPr>
                <w:lang w:val="sk-SK" w:eastAsia="cs-CZ"/>
              </w:rPr>
              <w:t xml:space="preserve">Smernica Európskeho parlamentu a Rady </w:t>
            </w:r>
            <w:r w:rsidRPr="001C6D46">
              <w:rPr>
                <w:lang w:val="sk-SK"/>
              </w:rPr>
              <w:t xml:space="preserve">2014/23/EÚ o udeľovaní koncesií (Ú. v. EÚ L 94; </w:t>
            </w:r>
            <w:r w:rsidRPr="001C6D46">
              <w:rPr>
                <w:iCs/>
                <w:lang w:val="sk-SK"/>
              </w:rPr>
              <w:t>28.3.2014</w:t>
            </w:r>
            <w:r w:rsidRPr="001C6D46">
              <w:rPr>
                <w:lang w:val="sk-SK"/>
              </w:rPr>
              <w:t>) v platnom znení,</w:t>
            </w:r>
          </w:p>
          <w:p w:rsidR="00A929B7" w:rsidRPr="001C6D46" w:rsidRDefault="00A929B7" w:rsidP="003D4A6B">
            <w:pPr>
              <w:pStyle w:val="Odsekzoznamu"/>
              <w:ind w:left="339"/>
              <w:jc w:val="both"/>
              <w:rPr>
                <w:lang w:val="sk-SK"/>
              </w:rPr>
            </w:pPr>
          </w:p>
          <w:p w:rsidR="00A929B7" w:rsidRPr="001C6D46" w:rsidRDefault="00A929B7" w:rsidP="003D4A6B">
            <w:pPr>
              <w:spacing w:after="250"/>
              <w:rPr>
                <w:b/>
                <w:bCs/>
                <w:lang w:val="sk-SK"/>
              </w:rPr>
            </w:pPr>
            <w:r w:rsidRPr="001C6D46">
              <w:rPr>
                <w:b/>
                <w:bCs/>
                <w:lang w:val="sk-SK"/>
              </w:rPr>
              <w:t>Gestor a spolupracujúce rezorty:</w:t>
            </w:r>
          </w:p>
          <w:p w:rsidR="00A929B7" w:rsidRPr="001C6D46" w:rsidRDefault="00A929B7" w:rsidP="003D4A6B">
            <w:pPr>
              <w:rPr>
                <w:bCs/>
                <w:lang w:val="sk-SK"/>
              </w:rPr>
            </w:pPr>
            <w:r w:rsidRPr="001C6D46">
              <w:rPr>
                <w:bCs/>
                <w:lang w:val="sk-SK"/>
              </w:rPr>
              <w:t>Úrad pre verejné obstarávanie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9" w:hanging="339"/>
              <w:jc w:val="both"/>
              <w:rPr>
                <w:lang w:val="sk-SK"/>
              </w:rPr>
            </w:pPr>
            <w:r w:rsidRPr="001C6D46">
              <w:rPr>
                <w:lang w:val="sk-SK" w:eastAsia="cs-CZ"/>
              </w:rPr>
              <w:t xml:space="preserve">Smernica Európskeho parlamentu a Rady </w:t>
            </w:r>
            <w:r w:rsidRPr="001C6D46">
              <w:rPr>
                <w:lang w:val="sk-SK"/>
              </w:rPr>
              <w:t xml:space="preserve">2014/25/EÚ o obstarávaní vykonávanom subjektmi pôsobiacimi v odvetviach vodného hospodárstva, energetiky, dopravy a poštových služieb a o zrušení smernice 2004/17/ES (Ú. v. EÚ L 94; </w:t>
            </w:r>
            <w:r w:rsidRPr="001C6D46">
              <w:rPr>
                <w:iCs/>
                <w:lang w:val="sk-SK"/>
              </w:rPr>
              <w:t>28.3.2014</w:t>
            </w:r>
            <w:r w:rsidRPr="001C6D46">
              <w:rPr>
                <w:lang w:val="sk-SK"/>
              </w:rPr>
              <w:t>) v platnom znení,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3D4A6B">
            <w:pPr>
              <w:spacing w:after="250"/>
              <w:rPr>
                <w:b/>
                <w:bCs/>
                <w:lang w:val="sk-SK"/>
              </w:rPr>
            </w:pPr>
            <w:r w:rsidRPr="001C6D46">
              <w:rPr>
                <w:b/>
                <w:bCs/>
                <w:lang w:val="sk-SK"/>
              </w:rPr>
              <w:t>Gestor a spolupracujúce rezorty:</w:t>
            </w:r>
          </w:p>
          <w:p w:rsidR="00A929B7" w:rsidRPr="001C6D46" w:rsidRDefault="00A929B7" w:rsidP="003D4A6B">
            <w:pPr>
              <w:rPr>
                <w:bCs/>
                <w:lang w:val="sk-SK"/>
              </w:rPr>
            </w:pPr>
            <w:r w:rsidRPr="001C6D46">
              <w:rPr>
                <w:bCs/>
                <w:lang w:val="sk-SK"/>
              </w:rPr>
              <w:t>Úrad pre verejné obstarávanie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9" w:hanging="339"/>
              <w:jc w:val="both"/>
              <w:rPr>
                <w:lang w:val="sk-SK"/>
              </w:rPr>
            </w:pPr>
            <w:r w:rsidRPr="001C6D46">
              <w:rPr>
                <w:lang w:val="sk-SK" w:eastAsia="cs-CZ"/>
              </w:rPr>
              <w:t>Smernica</w:t>
            </w:r>
            <w:r w:rsidRPr="001C6D46">
              <w:rPr>
                <w:lang w:val="sk-SK"/>
              </w:rPr>
              <w:t xml:space="preserve"> </w:t>
            </w:r>
            <w:r w:rsidRPr="001C6D46">
              <w:rPr>
                <w:lang w:val="sk-SK" w:eastAsia="cs-CZ"/>
              </w:rPr>
              <w:t>Rady</w:t>
            </w:r>
            <w:r w:rsidRPr="001C6D46">
              <w:rPr>
                <w:lang w:val="sk-SK"/>
              </w:rPr>
              <w:t xml:space="preserve"> o koordinácii zákonov, iných právnych predpisov a správnych opatrení týkajúcich sa uplatňovania postupov preskúmavania v rámci verejného obstarávania tovarov a prác (89/665/EHS) (Ú. v. EÚ L 395; </w:t>
            </w:r>
            <w:r w:rsidRPr="001C6D46">
              <w:rPr>
                <w:iCs/>
                <w:lang w:val="sk-SK"/>
              </w:rPr>
              <w:t>30.12.1989</w:t>
            </w:r>
            <w:r w:rsidRPr="001C6D46">
              <w:rPr>
                <w:lang w:val="sk-SK"/>
              </w:rPr>
              <w:t>) v platnom znení,</w:t>
            </w:r>
          </w:p>
          <w:p w:rsidR="001C6D46" w:rsidRDefault="001C6D46" w:rsidP="003D4A6B">
            <w:pPr>
              <w:spacing w:after="250"/>
              <w:rPr>
                <w:b/>
                <w:bCs/>
                <w:lang w:val="sk-SK"/>
              </w:rPr>
            </w:pPr>
          </w:p>
          <w:p w:rsidR="00A929B7" w:rsidRPr="001C6D46" w:rsidRDefault="00A929B7" w:rsidP="003D4A6B">
            <w:pPr>
              <w:spacing w:after="250"/>
              <w:rPr>
                <w:b/>
                <w:bCs/>
                <w:lang w:val="sk-SK"/>
              </w:rPr>
            </w:pPr>
            <w:r w:rsidRPr="001C6D46">
              <w:rPr>
                <w:b/>
                <w:bCs/>
                <w:lang w:val="sk-SK"/>
              </w:rPr>
              <w:t>Gestor a spolupracujúce rezorty:</w:t>
            </w:r>
          </w:p>
          <w:p w:rsidR="00A929B7" w:rsidRPr="001C6D46" w:rsidRDefault="00A929B7" w:rsidP="003D4A6B">
            <w:pPr>
              <w:jc w:val="both"/>
              <w:rPr>
                <w:lang w:val="sk-SK"/>
              </w:rPr>
            </w:pPr>
            <w:r w:rsidRPr="001C6D46">
              <w:rPr>
                <w:bCs/>
                <w:lang w:val="sk-SK"/>
              </w:rPr>
              <w:t>Úrad pre verejné obstarávanie</w:t>
            </w:r>
          </w:p>
          <w:p w:rsidR="00A929B7" w:rsidRPr="001C6D46" w:rsidRDefault="00A929B7" w:rsidP="003D4A6B">
            <w:pPr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9" w:hanging="339"/>
              <w:jc w:val="both"/>
              <w:rPr>
                <w:lang w:val="sk-SK"/>
              </w:rPr>
            </w:pPr>
            <w:r w:rsidRPr="001C6D46">
              <w:rPr>
                <w:lang w:val="sk-SK" w:eastAsia="cs-CZ"/>
              </w:rPr>
              <w:t>Smernica</w:t>
            </w:r>
            <w:r w:rsidRPr="001C6D46">
              <w:rPr>
                <w:lang w:val="sk-SK"/>
              </w:rPr>
              <w:t xml:space="preserve"> </w:t>
            </w:r>
            <w:r w:rsidRPr="001C6D46">
              <w:rPr>
                <w:lang w:val="sk-SK" w:eastAsia="cs-CZ"/>
              </w:rPr>
              <w:t>Rady</w:t>
            </w:r>
            <w:r w:rsidRPr="001C6D46">
              <w:rPr>
                <w:lang w:val="sk-SK"/>
              </w:rPr>
              <w:t xml:space="preserve"> 92/13/EHS, ktorou sa koordinujú zákony, iné právne predpisy a správne opatrenia o uplatňovaní právnych predpisov spoločenstva, o postupoch verejného </w:t>
            </w:r>
            <w:r w:rsidRPr="001C6D46">
              <w:rPr>
                <w:lang w:val="sk-SK"/>
              </w:rPr>
              <w:lastRenderedPageBreak/>
              <w:t xml:space="preserve">obstarávania subjektov pôsobiacich vo vodnom, energetickom, dopravnom a telekomunikačnom sektore (Ú. v. EÚ L 76; </w:t>
            </w:r>
            <w:r w:rsidRPr="001C6D46">
              <w:rPr>
                <w:iCs/>
                <w:lang w:val="sk-SK"/>
              </w:rPr>
              <w:t>23.3.1992</w:t>
            </w:r>
            <w:r w:rsidRPr="001C6D46">
              <w:rPr>
                <w:lang w:val="sk-SK"/>
              </w:rPr>
              <w:t>) v platnom znení,</w:t>
            </w:r>
          </w:p>
          <w:p w:rsidR="00A929B7" w:rsidRPr="001C6D46" w:rsidRDefault="00A929B7" w:rsidP="003D4A6B">
            <w:pPr>
              <w:pStyle w:val="Odsekzoznamu"/>
              <w:ind w:left="339"/>
              <w:jc w:val="both"/>
              <w:rPr>
                <w:lang w:val="sk-SK"/>
              </w:rPr>
            </w:pPr>
          </w:p>
          <w:p w:rsidR="00A929B7" w:rsidRPr="001C6D46" w:rsidRDefault="00A929B7" w:rsidP="003D4A6B">
            <w:pPr>
              <w:spacing w:after="250"/>
              <w:rPr>
                <w:b/>
                <w:bCs/>
                <w:lang w:val="sk-SK"/>
              </w:rPr>
            </w:pPr>
            <w:r w:rsidRPr="001C6D46">
              <w:rPr>
                <w:b/>
                <w:bCs/>
                <w:lang w:val="sk-SK"/>
              </w:rPr>
              <w:t>Gestor a spolupracujúce rezorty:</w:t>
            </w:r>
          </w:p>
          <w:p w:rsidR="00A929B7" w:rsidRPr="001C6D46" w:rsidRDefault="00A929B7" w:rsidP="003D4A6B">
            <w:pPr>
              <w:tabs>
                <w:tab w:val="left" w:pos="360"/>
              </w:tabs>
              <w:jc w:val="both"/>
              <w:rPr>
                <w:bCs/>
                <w:lang w:val="sk-SK"/>
              </w:rPr>
            </w:pPr>
            <w:r w:rsidRPr="001C6D46">
              <w:rPr>
                <w:bCs/>
                <w:lang w:val="sk-SK"/>
              </w:rPr>
              <w:t>Úrad pre verejné obstarávanie</w:t>
            </w:r>
          </w:p>
          <w:p w:rsidR="00A929B7" w:rsidRPr="001C6D46" w:rsidRDefault="00A929B7" w:rsidP="003D4A6B">
            <w:pPr>
              <w:tabs>
                <w:tab w:val="left" w:pos="360"/>
              </w:tabs>
              <w:jc w:val="both"/>
              <w:rPr>
                <w:lang w:val="sk-SK"/>
              </w:rPr>
            </w:pPr>
          </w:p>
          <w:p w:rsidR="00A929B7" w:rsidRPr="001C6D46" w:rsidRDefault="00A929B7" w:rsidP="00A929B7">
            <w:pPr>
              <w:pStyle w:val="Odsekzoznamu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val="sk-SK"/>
              </w:rPr>
            </w:pPr>
            <w:r w:rsidRPr="001C6D46">
              <w:rPr>
                <w:lang w:val="sk-SK"/>
              </w:rPr>
              <w:t xml:space="preserve">v judikatúre Súdneho dvora Európskej únie (uviesť číslo a označenie relevantného   </w:t>
            </w:r>
          </w:p>
          <w:p w:rsidR="00A929B7" w:rsidRPr="001C6D46" w:rsidRDefault="00A929B7" w:rsidP="003D4A6B">
            <w:pPr>
              <w:pStyle w:val="Default"/>
              <w:jc w:val="both"/>
              <w:rPr>
                <w:lang w:val="sk-SK"/>
              </w:rPr>
            </w:pPr>
            <w:r w:rsidRPr="001C6D46">
              <w:rPr>
                <w:lang w:val="sk-SK"/>
              </w:rPr>
              <w:t xml:space="preserve">           rozhodnutia a stručne jeho výrok alebo relevantné právne vety). </w:t>
            </w:r>
          </w:p>
          <w:p w:rsidR="00A929B7" w:rsidRPr="001C6D46" w:rsidRDefault="00A929B7" w:rsidP="003D4A6B">
            <w:pPr>
              <w:pStyle w:val="Odsekzoznamu"/>
              <w:tabs>
                <w:tab w:val="left" w:pos="360"/>
              </w:tabs>
              <w:ind w:left="360"/>
              <w:rPr>
                <w:lang w:val="sk-SK"/>
              </w:rPr>
            </w:pPr>
          </w:p>
        </w:tc>
      </w:tr>
    </w:tbl>
    <w:p w:rsidR="00A929B7" w:rsidRPr="001C6D46" w:rsidRDefault="00A929B7" w:rsidP="00A929B7">
      <w:pPr>
        <w:tabs>
          <w:tab w:val="left" w:pos="360"/>
        </w:tabs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4"/>
      </w:tblGrid>
      <w:tr w:rsidR="00A929B7" w:rsidRPr="001C6D46" w:rsidTr="003D4A6B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rPr>
                <w:b/>
                <w:bCs/>
              </w:rPr>
            </w:pPr>
            <w:r w:rsidRPr="001C6D46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  <w:rPr>
                <w:b/>
                <w:bCs/>
              </w:rPr>
            </w:pPr>
            <w:r w:rsidRPr="001C6D46">
              <w:rPr>
                <w:b/>
                <w:bCs/>
              </w:rPr>
              <w:t>Záväzky Slovenskej republiky vo vzťahu k Európskej únii:</w:t>
            </w: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r w:rsidRPr="001C6D46"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</w:pPr>
            <w:r w:rsidRPr="001C6D46">
              <w:t>uviesť lehotu na prebratie príslušného právneho aktu Európskej únie, príp. aj osobitnú lehotu účinnosti jeho ustanovení</w:t>
            </w:r>
          </w:p>
          <w:p w:rsidR="00A929B7" w:rsidRPr="001C6D46" w:rsidRDefault="00A929B7" w:rsidP="003D4A6B">
            <w:r w:rsidRPr="001C6D46">
              <w:t>nie je </w:t>
            </w:r>
          </w:p>
          <w:p w:rsidR="00A929B7" w:rsidRPr="001C6D46" w:rsidRDefault="00A929B7" w:rsidP="003D4A6B">
            <w:pPr>
              <w:spacing w:after="250"/>
            </w:pP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r w:rsidRPr="001C6D46"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  <w:jc w:val="both"/>
              <w:rPr>
                <w:color w:val="000000"/>
              </w:rPr>
            </w:pPr>
            <w:r w:rsidRPr="001C6D46">
              <w:t xml:space="preserve">uviesť </w:t>
            </w:r>
            <w:r w:rsidRPr="001C6D46">
              <w:rPr>
                <w:color w:val="000000"/>
              </w:rPr>
              <w:t>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 Komisie</w:t>
            </w:r>
          </w:p>
          <w:p w:rsidR="00A929B7" w:rsidRPr="001C6D46" w:rsidRDefault="00A929B7" w:rsidP="003D4A6B">
            <w:r w:rsidRPr="001C6D46">
              <w:t>nie je </w:t>
            </w:r>
          </w:p>
          <w:p w:rsidR="00A929B7" w:rsidRPr="001C6D46" w:rsidRDefault="00A929B7" w:rsidP="003D4A6B">
            <w:pPr>
              <w:spacing w:after="250"/>
              <w:jc w:val="both"/>
            </w:pP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</w:pP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r w:rsidRPr="001C6D46"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</w:pPr>
            <w:r w:rsidRPr="001C6D46">
              <w:t>uviesť informáciu o právnych predpisoch, v ktorých sú uvádzané právne akty Európskej únie už</w:t>
            </w:r>
            <w:bookmarkStart w:id="0" w:name="_GoBack"/>
            <w:bookmarkEnd w:id="0"/>
            <w:r w:rsidRPr="001C6D46">
              <w:t xml:space="preserve"> prebrané, spolu s uvedením rozsahu ich prebrania, príp. potreby prijatia ďalších úprav</w:t>
            </w:r>
          </w:p>
          <w:p w:rsidR="00A929B7" w:rsidRPr="001C6D46" w:rsidRDefault="00A929B7" w:rsidP="003D4A6B">
            <w:pPr>
              <w:spacing w:after="250"/>
            </w:pPr>
            <w:r w:rsidRPr="001C6D46">
              <w:t>Zákon č. 343/2015 Z. z. o verejnom obstarávaní a o zmene a doplnení niektorých zákonov v znení neskorších predpisov - úplný</w:t>
            </w: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</w:pP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rPr>
                <w:b/>
                <w:bCs/>
              </w:rPr>
            </w:pPr>
            <w:r w:rsidRPr="001C6D46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  <w:rPr>
                <w:b/>
                <w:bCs/>
              </w:rPr>
            </w:pPr>
            <w:r w:rsidRPr="001C6D46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A929B7" w:rsidRPr="001C6D46" w:rsidTr="003D4A6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>
            <w:pPr>
              <w:spacing w:after="25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929B7" w:rsidRPr="001C6D46" w:rsidRDefault="00A929B7" w:rsidP="003D4A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9B7" w:rsidRPr="001C6D46" w:rsidRDefault="00A929B7" w:rsidP="003D4A6B">
            <w:pPr>
              <w:spacing w:after="250"/>
            </w:pPr>
            <w:r w:rsidRPr="001C6D46">
              <w:t>úplný</w:t>
            </w:r>
          </w:p>
        </w:tc>
      </w:tr>
    </w:tbl>
    <w:p w:rsidR="007668C5" w:rsidRPr="001C6D46" w:rsidRDefault="007668C5" w:rsidP="007668C5">
      <w:pPr>
        <w:spacing w:after="200" w:line="276" w:lineRule="auto"/>
        <w:rPr>
          <w:b/>
        </w:rPr>
      </w:pPr>
    </w:p>
    <w:p w:rsidR="007668C5" w:rsidRPr="001C6D46" w:rsidRDefault="007668C5" w:rsidP="007668C5">
      <w:pPr>
        <w:jc w:val="both"/>
        <w:rPr>
          <w:b/>
        </w:rPr>
      </w:pPr>
    </w:p>
    <w:p w:rsidR="007668C5" w:rsidRPr="00A929B7" w:rsidRDefault="007668C5" w:rsidP="007668C5">
      <w:pPr>
        <w:jc w:val="both"/>
        <w:rPr>
          <w:b/>
        </w:rPr>
      </w:pPr>
    </w:p>
    <w:p w:rsidR="007668C5" w:rsidRPr="00A929B7" w:rsidRDefault="007668C5" w:rsidP="007668C5">
      <w:pPr>
        <w:spacing w:after="200" w:line="276" w:lineRule="auto"/>
        <w:rPr>
          <w:b/>
        </w:rPr>
      </w:pPr>
    </w:p>
    <w:sectPr w:rsidR="007668C5" w:rsidRPr="00A929B7" w:rsidSect="00840575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07" w:rsidRDefault="009A6D07" w:rsidP="00840575">
      <w:r>
        <w:separator/>
      </w:r>
    </w:p>
  </w:endnote>
  <w:endnote w:type="continuationSeparator" w:id="0">
    <w:p w:rsidR="009A6D07" w:rsidRDefault="009A6D07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75" w:rsidRPr="00840575" w:rsidRDefault="00840575">
    <w:pPr>
      <w:pStyle w:val="Pta"/>
      <w:jc w:val="center"/>
    </w:pPr>
    <w:r w:rsidRPr="00840575">
      <w:fldChar w:fldCharType="begin"/>
    </w:r>
    <w:r w:rsidRPr="00840575">
      <w:instrText>PAGE   \* MERGEFORMAT</w:instrText>
    </w:r>
    <w:r w:rsidRPr="00840575">
      <w:fldChar w:fldCharType="separate"/>
    </w:r>
    <w:r w:rsidR="00E3166A">
      <w:rPr>
        <w:noProof/>
      </w:rPr>
      <w:t>6</w:t>
    </w:r>
    <w:r w:rsidRPr="00840575">
      <w:fldChar w:fldCharType="end"/>
    </w:r>
  </w:p>
  <w:p w:rsidR="00164BA5" w:rsidRPr="00840575" w:rsidRDefault="00164B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07" w:rsidRDefault="009A6D07" w:rsidP="00840575">
      <w:r>
        <w:separator/>
      </w:r>
    </w:p>
  </w:footnote>
  <w:footnote w:type="continuationSeparator" w:id="0">
    <w:p w:rsidR="009A6D07" w:rsidRDefault="009A6D07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870"/>
    <w:multiLevelType w:val="hybridMultilevel"/>
    <w:tmpl w:val="07E8BB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995DAC"/>
    <w:multiLevelType w:val="hybridMultilevel"/>
    <w:tmpl w:val="9D961286"/>
    <w:lvl w:ilvl="0" w:tplc="20828042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CF80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0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E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6B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363E"/>
    <w:multiLevelType w:val="hybridMultilevel"/>
    <w:tmpl w:val="5E684B7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C5E3EAE"/>
    <w:multiLevelType w:val="hybridMultilevel"/>
    <w:tmpl w:val="C57CDDFC"/>
    <w:lvl w:ilvl="0" w:tplc="9BA8F0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6632A6"/>
    <w:multiLevelType w:val="hybridMultilevel"/>
    <w:tmpl w:val="3BE62EEA"/>
    <w:lvl w:ilvl="0" w:tplc="8FEE3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6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</w:abstractNum>
  <w:abstractNum w:abstractNumId="7">
    <w:nsid w:val="5B8E2D10"/>
    <w:multiLevelType w:val="hybridMultilevel"/>
    <w:tmpl w:val="9224DB9E"/>
    <w:lvl w:ilvl="0" w:tplc="9BFC801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C393A1A"/>
    <w:multiLevelType w:val="hybridMultilevel"/>
    <w:tmpl w:val="6730229C"/>
    <w:lvl w:ilvl="0" w:tplc="59908342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9A68D4A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C00AB528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3DBCE09C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8578F39A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25A20BA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2A25324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7BEE878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DB3080FC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5DF36A91"/>
    <w:multiLevelType w:val="hybridMultilevel"/>
    <w:tmpl w:val="1E54EC60"/>
    <w:lvl w:ilvl="0" w:tplc="4424A792">
      <w:start w:val="4"/>
      <w:numFmt w:val="bullet"/>
      <w:lvlText w:val="-"/>
      <w:lvlJc w:val="left"/>
      <w:pPr>
        <w:ind w:left="720" w:hanging="360"/>
      </w:pPr>
      <w:rPr>
        <w:rFonts w:ascii="Times" w:eastAsiaTheme="minorEastAsia" w:hAnsi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CA"/>
    <w:rsid w:val="00006FC1"/>
    <w:rsid w:val="000320DA"/>
    <w:rsid w:val="00034C4C"/>
    <w:rsid w:val="00073040"/>
    <w:rsid w:val="000775F8"/>
    <w:rsid w:val="000B012C"/>
    <w:rsid w:val="000B17A2"/>
    <w:rsid w:val="000C20ED"/>
    <w:rsid w:val="000C7CE4"/>
    <w:rsid w:val="000F34EA"/>
    <w:rsid w:val="001077F4"/>
    <w:rsid w:val="00130053"/>
    <w:rsid w:val="00145346"/>
    <w:rsid w:val="00154AA8"/>
    <w:rsid w:val="00164BA5"/>
    <w:rsid w:val="001A0DDA"/>
    <w:rsid w:val="001A17A7"/>
    <w:rsid w:val="001C0FFE"/>
    <w:rsid w:val="001C6D46"/>
    <w:rsid w:val="001F0F19"/>
    <w:rsid w:val="00201ED4"/>
    <w:rsid w:val="00223A7F"/>
    <w:rsid w:val="00255254"/>
    <w:rsid w:val="00256D61"/>
    <w:rsid w:val="002822AE"/>
    <w:rsid w:val="002900A5"/>
    <w:rsid w:val="002C07B8"/>
    <w:rsid w:val="002C58B2"/>
    <w:rsid w:val="002E7CAD"/>
    <w:rsid w:val="00321029"/>
    <w:rsid w:val="00323CAD"/>
    <w:rsid w:val="0033666A"/>
    <w:rsid w:val="003D4A6B"/>
    <w:rsid w:val="003F4AFA"/>
    <w:rsid w:val="00426879"/>
    <w:rsid w:val="0043544F"/>
    <w:rsid w:val="004767BC"/>
    <w:rsid w:val="004B4D0F"/>
    <w:rsid w:val="004F1FEA"/>
    <w:rsid w:val="00500EC5"/>
    <w:rsid w:val="00517142"/>
    <w:rsid w:val="00524859"/>
    <w:rsid w:val="00557A9A"/>
    <w:rsid w:val="00560380"/>
    <w:rsid w:val="00565B19"/>
    <w:rsid w:val="00575A14"/>
    <w:rsid w:val="00580AF8"/>
    <w:rsid w:val="00585427"/>
    <w:rsid w:val="005859F9"/>
    <w:rsid w:val="005A0BA5"/>
    <w:rsid w:val="005B2D1D"/>
    <w:rsid w:val="005D1184"/>
    <w:rsid w:val="00626D74"/>
    <w:rsid w:val="006751A7"/>
    <w:rsid w:val="006978C2"/>
    <w:rsid w:val="006D475C"/>
    <w:rsid w:val="006D75BA"/>
    <w:rsid w:val="006E1F35"/>
    <w:rsid w:val="006E6510"/>
    <w:rsid w:val="0073461C"/>
    <w:rsid w:val="0074311D"/>
    <w:rsid w:val="007436BD"/>
    <w:rsid w:val="0076185B"/>
    <w:rsid w:val="007668C5"/>
    <w:rsid w:val="007711F0"/>
    <w:rsid w:val="007A3435"/>
    <w:rsid w:val="007D511A"/>
    <w:rsid w:val="007F2922"/>
    <w:rsid w:val="00840575"/>
    <w:rsid w:val="0085438E"/>
    <w:rsid w:val="008742C1"/>
    <w:rsid w:val="00882857"/>
    <w:rsid w:val="00897845"/>
    <w:rsid w:val="008A7E78"/>
    <w:rsid w:val="008C77E2"/>
    <w:rsid w:val="008E1CB1"/>
    <w:rsid w:val="00927D45"/>
    <w:rsid w:val="00962FCA"/>
    <w:rsid w:val="00986DE6"/>
    <w:rsid w:val="00990A3C"/>
    <w:rsid w:val="009A6D07"/>
    <w:rsid w:val="009B3D22"/>
    <w:rsid w:val="009E01DB"/>
    <w:rsid w:val="009E4667"/>
    <w:rsid w:val="009F2A7F"/>
    <w:rsid w:val="00A1089B"/>
    <w:rsid w:val="00A312C3"/>
    <w:rsid w:val="00A524C6"/>
    <w:rsid w:val="00A56AAE"/>
    <w:rsid w:val="00A71BF1"/>
    <w:rsid w:val="00A848FA"/>
    <w:rsid w:val="00A929B7"/>
    <w:rsid w:val="00A92FED"/>
    <w:rsid w:val="00AD1F4D"/>
    <w:rsid w:val="00AF039A"/>
    <w:rsid w:val="00AF5B0D"/>
    <w:rsid w:val="00B00EC8"/>
    <w:rsid w:val="00B03D14"/>
    <w:rsid w:val="00B053CC"/>
    <w:rsid w:val="00B05EC2"/>
    <w:rsid w:val="00B06366"/>
    <w:rsid w:val="00B07120"/>
    <w:rsid w:val="00B21E95"/>
    <w:rsid w:val="00B25DD5"/>
    <w:rsid w:val="00B50677"/>
    <w:rsid w:val="00BE3123"/>
    <w:rsid w:val="00BF10CE"/>
    <w:rsid w:val="00BF6129"/>
    <w:rsid w:val="00C22715"/>
    <w:rsid w:val="00C25E13"/>
    <w:rsid w:val="00C74661"/>
    <w:rsid w:val="00C90FEC"/>
    <w:rsid w:val="00CD5114"/>
    <w:rsid w:val="00D02C93"/>
    <w:rsid w:val="00D7588B"/>
    <w:rsid w:val="00D81751"/>
    <w:rsid w:val="00D85CD7"/>
    <w:rsid w:val="00DB789C"/>
    <w:rsid w:val="00DC32ED"/>
    <w:rsid w:val="00DD50FC"/>
    <w:rsid w:val="00E3166A"/>
    <w:rsid w:val="00E36E7C"/>
    <w:rsid w:val="00E62B79"/>
    <w:rsid w:val="00E67E1C"/>
    <w:rsid w:val="00E766EC"/>
    <w:rsid w:val="00E846A6"/>
    <w:rsid w:val="00E96361"/>
    <w:rsid w:val="00EA1B75"/>
    <w:rsid w:val="00EA6D0B"/>
    <w:rsid w:val="00EB6D34"/>
    <w:rsid w:val="00EC3AD3"/>
    <w:rsid w:val="00EC7265"/>
    <w:rsid w:val="00ED275B"/>
    <w:rsid w:val="00F0057B"/>
    <w:rsid w:val="00F06134"/>
    <w:rsid w:val="00F16297"/>
    <w:rsid w:val="00F503CC"/>
    <w:rsid w:val="00F71684"/>
    <w:rsid w:val="00F718C7"/>
    <w:rsid w:val="00F72DD1"/>
    <w:rsid w:val="00F8002C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7668C5"/>
    <w:pPr>
      <w:keepNext/>
      <w:ind w:firstLine="709"/>
      <w:jc w:val="both"/>
    </w:pPr>
    <w:rPr>
      <w:rFonts w:eastAsia="Times New Roman"/>
    </w:rPr>
  </w:style>
  <w:style w:type="table" w:styleId="Mriekatabuky">
    <w:name w:val="Table Grid"/>
    <w:basedOn w:val="Normlnatabuka"/>
    <w:uiPriority w:val="99"/>
    <w:unhideWhenUsed/>
    <w:rsid w:val="00A929B7"/>
    <w:pPr>
      <w:spacing w:after="0" w:line="240" w:lineRule="auto"/>
    </w:pPr>
    <w:rPr>
      <w:rFonts w:ascii="Times New Roman" w:hAnsi="Times New Roman" w:cs="Times New Roman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7668C5"/>
    <w:pPr>
      <w:keepNext/>
      <w:ind w:firstLine="709"/>
      <w:jc w:val="both"/>
    </w:pPr>
    <w:rPr>
      <w:rFonts w:eastAsia="Times New Roman"/>
    </w:rPr>
  </w:style>
  <w:style w:type="table" w:styleId="Mriekatabuky">
    <w:name w:val="Table Grid"/>
    <w:basedOn w:val="Normlnatabuka"/>
    <w:uiPriority w:val="99"/>
    <w:unhideWhenUsed/>
    <w:rsid w:val="00A929B7"/>
    <w:pPr>
      <w:spacing w:after="0" w:line="240" w:lineRule="auto"/>
    </w:pPr>
    <w:rPr>
      <w:rFonts w:ascii="Times New Roman" w:hAnsi="Times New Roman" w:cs="Times New Roman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4076-13F0-4865-925E-8E5F3053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2019-09-26T16:37:00Z</dcterms:created>
  <dcterms:modified xsi:type="dcterms:W3CDTF">2019-09-27T10:11:00Z</dcterms:modified>
</cp:coreProperties>
</file>