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45" w:rsidRPr="00F44DE3" w:rsidRDefault="004B5245" w:rsidP="004B5245">
      <w:pPr>
        <w:jc w:val="center"/>
        <w:rPr>
          <w:b/>
          <w:bCs/>
          <w:sz w:val="28"/>
          <w:szCs w:val="28"/>
        </w:rPr>
      </w:pPr>
      <w:r w:rsidRPr="00F44DE3">
        <w:rPr>
          <w:b/>
          <w:bCs/>
          <w:sz w:val="28"/>
          <w:szCs w:val="28"/>
        </w:rPr>
        <w:t xml:space="preserve">Dôvodová správa </w:t>
      </w:r>
    </w:p>
    <w:p w:rsidR="004B5245" w:rsidRPr="00F44DE3" w:rsidRDefault="004B5245" w:rsidP="004B5245">
      <w:pPr>
        <w:jc w:val="center"/>
        <w:rPr>
          <w:b/>
          <w:bCs/>
          <w:sz w:val="28"/>
          <w:szCs w:val="28"/>
        </w:rPr>
      </w:pPr>
    </w:p>
    <w:p w:rsidR="004B5245" w:rsidRPr="00943C7C" w:rsidRDefault="004B5245" w:rsidP="004B5245">
      <w:pPr>
        <w:jc w:val="both"/>
        <w:rPr>
          <w:b/>
          <w:bCs/>
        </w:rPr>
      </w:pPr>
      <w:r w:rsidRPr="00943C7C">
        <w:rPr>
          <w:b/>
          <w:bCs/>
        </w:rPr>
        <w:t>Všeobecná časť</w:t>
      </w:r>
    </w:p>
    <w:p w:rsidR="004B5245" w:rsidRDefault="004B5245" w:rsidP="004B5245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</w:p>
    <w:p w:rsidR="004B5245" w:rsidRPr="00581FD8" w:rsidRDefault="004B5245" w:rsidP="004B5245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Skupina poslancov </w:t>
      </w:r>
      <w:r w:rsidRPr="00D12A41">
        <w:rPr>
          <w:color w:val="000000"/>
        </w:rPr>
        <w:t xml:space="preserve">Národnej rady Slovenskej republiky </w:t>
      </w:r>
      <w:r>
        <w:rPr>
          <w:color w:val="000000" w:themeColor="text1"/>
        </w:rPr>
        <w:t>za klub Most-Híd</w:t>
      </w:r>
      <w:r w:rsidRPr="00D12A41">
        <w:rPr>
          <w:color w:val="000000"/>
        </w:rPr>
        <w:t xml:space="preserve"> predklad</w:t>
      </w:r>
      <w:r>
        <w:rPr>
          <w:color w:val="000000"/>
        </w:rPr>
        <w:t>á</w:t>
      </w:r>
      <w:r w:rsidRPr="00D12A41">
        <w:rPr>
          <w:color w:val="000000"/>
        </w:rPr>
        <w:t xml:space="preserve"> na rokovanie Národnej rady Slovenskej republiky návrh na vydanie zákona, </w:t>
      </w:r>
      <w:r w:rsidRPr="00581FD8">
        <w:rPr>
          <w:color w:val="000000"/>
        </w:rPr>
        <w:t xml:space="preserve">ktorým </w:t>
      </w:r>
      <w:r w:rsidRPr="00D12A41">
        <w:rPr>
          <w:color w:val="000000"/>
        </w:rPr>
        <w:t>sa mení a dopĺňa zákon</w:t>
      </w:r>
      <w:r>
        <w:rPr>
          <w:color w:val="000000"/>
        </w:rPr>
        <w:t xml:space="preserve"> </w:t>
      </w:r>
      <w:r w:rsidRPr="00D12A41">
        <w:rPr>
          <w:color w:val="000000"/>
        </w:rPr>
        <w:t xml:space="preserve">č. </w:t>
      </w:r>
      <w:r>
        <w:rPr>
          <w:color w:val="000000"/>
        </w:rPr>
        <w:t>150</w:t>
      </w:r>
      <w:r w:rsidRPr="00D12A41">
        <w:rPr>
          <w:color w:val="000000"/>
        </w:rPr>
        <w:t>/</w:t>
      </w:r>
      <w:r>
        <w:rPr>
          <w:color w:val="000000"/>
        </w:rPr>
        <w:t>2013</w:t>
      </w:r>
      <w:r w:rsidRPr="00D12A41">
        <w:rPr>
          <w:color w:val="000000"/>
        </w:rPr>
        <w:t xml:space="preserve"> Z. z. </w:t>
      </w:r>
      <w:r>
        <w:rPr>
          <w:color w:val="000000"/>
        </w:rPr>
        <w:t xml:space="preserve">o Štátnom fonde rozvoja bývania v znení neskorších predpisov </w:t>
      </w:r>
      <w:r w:rsidRPr="00581FD8">
        <w:rPr>
          <w:color w:val="000000"/>
        </w:rPr>
        <w:t>(ďalej len „návrh zákona“).</w:t>
      </w:r>
    </w:p>
    <w:p w:rsidR="004B5245" w:rsidRDefault="004B5245" w:rsidP="004B5245">
      <w:pPr>
        <w:spacing w:before="120"/>
        <w:ind w:firstLine="720"/>
        <w:jc w:val="both"/>
      </w:pPr>
      <w:r>
        <w:t>Návrh zákona reaguje na doterajšie skúsenosti s poskytovaním podpory na obstaranie bývania podľa zákona č. 150/2013 Z. z., najmä na skúsenosti a podnety z praxe v reakcii na zmeny zákona.</w:t>
      </w:r>
    </w:p>
    <w:p w:rsidR="004B5245" w:rsidRDefault="004B5245" w:rsidP="004B5245">
      <w:pPr>
        <w:spacing w:before="120"/>
        <w:ind w:firstLine="720"/>
        <w:jc w:val="both"/>
      </w:pPr>
      <w:r>
        <w:t>Cieľom novely zákona je rozšíriť okruh osôb, ktoré môžu požiadať</w:t>
      </w:r>
      <w:r w:rsidRPr="00BF5BB6">
        <w:t xml:space="preserve"> </w:t>
      </w:r>
      <w:r>
        <w:t>o podporu na obstaranie bývania, a to predovšetkým s ohľadom na mladomanželov a mladé rodiny.</w:t>
      </w:r>
    </w:p>
    <w:p w:rsidR="004B5245" w:rsidRPr="007F7186" w:rsidRDefault="004B5245" w:rsidP="004B5245">
      <w:pPr>
        <w:spacing w:before="120"/>
        <w:ind w:firstLine="708"/>
        <w:jc w:val="both"/>
        <w:rPr>
          <w:color w:val="000000"/>
        </w:rPr>
      </w:pPr>
      <w:r>
        <w:t xml:space="preserve">Podľa aktuálneho znenia zákona č. 150/2013 Z. z. sa za špecifický druh žiadateľa </w:t>
      </w:r>
      <w:r w:rsidR="009437AA">
        <w:t xml:space="preserve">o poskytnutie podpory </w:t>
      </w:r>
      <w:r>
        <w:t>so zvýhodnenými podmienkami považujú mladomanželia, ktorými sú manželia do 35 rokov</w:t>
      </w:r>
      <w:r>
        <w:rPr>
          <w:color w:val="000000"/>
        </w:rPr>
        <w:t xml:space="preserve">, ak uzavreli </w:t>
      </w:r>
      <w:r w:rsidR="009437AA">
        <w:rPr>
          <w:color w:val="000000"/>
        </w:rPr>
        <w:t>manželstvo najviac 12 mesiacov, teda 1 rok</w:t>
      </w:r>
      <w:r>
        <w:rPr>
          <w:color w:val="000000"/>
        </w:rPr>
        <w:t xml:space="preserve"> pred podaním žiadosti. Návrhom sa táto skupina rozširuje na manželov do 35 rokov, ktorí uzavreli manželstvo aj skôr, najviac však 36 mesiacov (</w:t>
      </w:r>
      <w:r w:rsidR="009437AA">
        <w:rPr>
          <w:color w:val="000000"/>
        </w:rPr>
        <w:t xml:space="preserve">teda </w:t>
      </w:r>
      <w:r>
        <w:rPr>
          <w:color w:val="000000"/>
        </w:rPr>
        <w:t>3 roky) pred podaním žiadosti.</w:t>
      </w:r>
    </w:p>
    <w:p w:rsidR="004B5245" w:rsidRDefault="004B5245" w:rsidP="004B5245">
      <w:pPr>
        <w:spacing w:before="120"/>
        <w:ind w:firstLine="720"/>
        <w:jc w:val="both"/>
        <w:rPr>
          <w:color w:val="000000"/>
        </w:rPr>
      </w:pPr>
      <w:r>
        <w:rPr>
          <w:color w:val="000000"/>
        </w:rPr>
        <w:t xml:space="preserve">Návrhom sa zároveň upravuje podmienka poskytnutia podpory na obstaranie bytu výstavbou alebo kúpou bytu v bytovom alebo polyfunkčnom dome pre </w:t>
      </w:r>
      <w:r w:rsidR="00F41281">
        <w:rPr>
          <w:color w:val="000000"/>
        </w:rPr>
        <w:t>určený</w:t>
      </w:r>
      <w:r>
        <w:rPr>
          <w:color w:val="000000"/>
        </w:rPr>
        <w:t xml:space="preserve"> </w:t>
      </w:r>
      <w:r w:rsidR="00F41281">
        <w:rPr>
          <w:color w:val="000000"/>
        </w:rPr>
        <w:t>okruh</w:t>
      </w:r>
      <w:r>
        <w:rPr>
          <w:color w:val="000000"/>
        </w:rPr>
        <w:t xml:space="preserve"> žiadateľov, medzi ktorých patria manželia do 35 rokov, manželia s maloletým dieťaťom do 3 rokov, manželia s osvojeným maloletým dieťaťom do 5 rokov, člen domácnosti, ktorej členom je aj fyzická osoba s ťažkým zdravotným postihnutím, alebo osamelý rodič s nezaopatreným dieťaťom do 15 rokov. Podľa súčasnej úpravy možno poskytnúť podporu len vtedy, ak mesačný príjem žiadateľa a osôb, ktorých príjmy sa posudzujú spoločne podľa osobitného predpisu, neprevyšuje štvornásobok sumy životného minima vypočítaného pre žiadateľa a osoby, ktorých príjmy sa posudzujú spoločne. Maximálna príjmová hranica sa návrhom zvyšuje na päťnásobok uvedenej sumy. Rovnaká zmena nastane v prípade žiadateľa, ktorým sú mladomanželia pri poskytovaní podpory na obstaranie bytu kúpou bytu v rodinnom dome. Uvedená zmena reaguje na podnety z praxe a jej cieľom je </w:t>
      </w:r>
      <w:r w:rsidR="009437AA">
        <w:rPr>
          <w:color w:val="000000"/>
        </w:rPr>
        <w:t>umožniť získanie</w:t>
      </w:r>
      <w:r>
        <w:rPr>
          <w:color w:val="000000"/>
        </w:rPr>
        <w:t xml:space="preserve"> podpory na obstaranie bývania pre ešte širšiu skupinu žiadateľov.</w:t>
      </w:r>
    </w:p>
    <w:p w:rsidR="004B5245" w:rsidRDefault="004B5245" w:rsidP="004B5245">
      <w:pPr>
        <w:pStyle w:val="Normlnywebov"/>
        <w:spacing w:before="120" w:beforeAutospacing="0" w:after="0" w:afterAutospacing="0"/>
        <w:ind w:firstLine="708"/>
        <w:jc w:val="both"/>
        <w:rPr>
          <w:color w:val="000000"/>
        </w:rPr>
      </w:pPr>
      <w:r w:rsidRPr="00581FD8">
        <w:rPr>
          <w:color w:val="000000"/>
        </w:rPr>
        <w:t xml:space="preserve">Návrh zákona je v súlade s Ústavou Slovenskej republiky, ústavnými zákonmi </w:t>
      </w:r>
      <w:r>
        <w:t xml:space="preserve">a nálezmi Ústavného súdu Slovenskej republiky, </w:t>
      </w:r>
      <w:r w:rsidRPr="00581FD8">
        <w:rPr>
          <w:color w:val="000000"/>
        </w:rPr>
        <w:t>ostatnými všeobecne záväznými právnymi predpismi Slovenskej republiky, medzinárodnými zmluvami a inými medzinárodnými dokumentmi, ktorými je Slovenská republika viazaná a s právom Európskej únie.</w:t>
      </w:r>
    </w:p>
    <w:p w:rsidR="004B5245" w:rsidRDefault="004B5245" w:rsidP="004B5245">
      <w:pPr>
        <w:spacing w:before="120"/>
        <w:ind w:firstLine="539"/>
        <w:jc w:val="both"/>
      </w:pPr>
      <w:r w:rsidRPr="00581FD8">
        <w:rPr>
          <w:color w:val="000000"/>
        </w:rPr>
        <w:t>Návrh zákona ne</w:t>
      </w:r>
      <w:r>
        <w:rPr>
          <w:color w:val="000000"/>
        </w:rPr>
        <w:t xml:space="preserve">má vplyvy na rozpočet verejnej správy, na podnikateľské prostredie, </w:t>
      </w:r>
      <w:r w:rsidRPr="00581FD8">
        <w:rPr>
          <w:color w:val="000000"/>
        </w:rPr>
        <w:t>na životné prostredie, na informatizáciu spoločnosti, ani na</w:t>
      </w:r>
      <w:r>
        <w:rPr>
          <w:color w:val="000000"/>
        </w:rPr>
        <w:t> </w:t>
      </w:r>
      <w:r w:rsidRPr="00581FD8">
        <w:rPr>
          <w:color w:val="000000"/>
        </w:rPr>
        <w:t>služby verejnej správy pre občana.</w:t>
      </w:r>
      <w:r>
        <w:rPr>
          <w:color w:val="000000"/>
        </w:rPr>
        <w:t xml:space="preserve"> Pri návrhu zákona možno očakávať pozitívne sociálne vplyvy a pozitívny vplyv na manželstvo, rodičovstvo a rodinu.</w:t>
      </w:r>
    </w:p>
    <w:p w:rsidR="004B5245" w:rsidRDefault="004B5245" w:rsidP="004B5245">
      <w:pPr>
        <w:spacing w:before="120"/>
        <w:ind w:firstLine="539"/>
        <w:jc w:val="both"/>
      </w:pPr>
    </w:p>
    <w:p w:rsidR="004B5245" w:rsidRDefault="004B5245" w:rsidP="004B5245">
      <w:pPr>
        <w:rPr>
          <w:color w:val="000000"/>
        </w:rPr>
      </w:pPr>
    </w:p>
    <w:p w:rsidR="004B5245" w:rsidRDefault="004B5245" w:rsidP="004B5245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4B5245" w:rsidRDefault="004B5245" w:rsidP="004B5245">
      <w:pPr>
        <w:rPr>
          <w:b/>
          <w:bCs/>
        </w:rPr>
      </w:pPr>
      <w:r>
        <w:rPr>
          <w:b/>
          <w:bCs/>
        </w:rPr>
        <w:lastRenderedPageBreak/>
        <w:t>Osobitná časť</w:t>
      </w:r>
    </w:p>
    <w:p w:rsidR="004B5245" w:rsidRDefault="004B5245" w:rsidP="004B5245">
      <w:pPr>
        <w:rPr>
          <w:b/>
          <w:bCs/>
        </w:rPr>
      </w:pPr>
    </w:p>
    <w:p w:rsidR="004B5245" w:rsidRDefault="004B5245" w:rsidP="004B5245">
      <w:pPr>
        <w:rPr>
          <w:b/>
          <w:bCs/>
        </w:rPr>
      </w:pPr>
      <w:r>
        <w:rPr>
          <w:b/>
          <w:bCs/>
        </w:rPr>
        <w:t>K Čl. I bodu 1</w:t>
      </w:r>
    </w:p>
    <w:p w:rsidR="004B5245" w:rsidRPr="007C0C21" w:rsidRDefault="004B5245" w:rsidP="004B5245">
      <w:pPr>
        <w:rPr>
          <w:bCs/>
        </w:rPr>
      </w:pPr>
    </w:p>
    <w:p w:rsidR="004B5245" w:rsidRDefault="004B5245" w:rsidP="004B5245">
      <w:pPr>
        <w:jc w:val="both"/>
        <w:rPr>
          <w:bCs/>
        </w:rPr>
      </w:pPr>
      <w:r>
        <w:rPr>
          <w:bCs/>
        </w:rPr>
        <w:t>Rozširuje sa definícia pojmu mladomanželov na účely poskytovania podpory</w:t>
      </w:r>
      <w:r w:rsidR="00F41281">
        <w:rPr>
          <w:bCs/>
        </w:rPr>
        <w:t>,</w:t>
      </w:r>
      <w:r>
        <w:rPr>
          <w:bCs/>
        </w:rPr>
        <w:t xml:space="preserve"> z manželov podľa § 10 ods. 5 písm. a) , ktorí uzavreli manželstvo najviac 12 mesiacov pred podaním žiadosti, na manželov podľa § 10 ods. 5 písm. a), ktorí uzavreli manželstvo najviac 36 mesiacov pred podaním žiadosti.</w:t>
      </w:r>
    </w:p>
    <w:p w:rsidR="004B5245" w:rsidRDefault="004B5245" w:rsidP="004B5245">
      <w:pPr>
        <w:jc w:val="both"/>
        <w:rPr>
          <w:bCs/>
        </w:rPr>
      </w:pPr>
    </w:p>
    <w:p w:rsidR="004B5245" w:rsidRDefault="004B5245" w:rsidP="004B5245">
      <w:pPr>
        <w:jc w:val="both"/>
        <w:rPr>
          <w:b/>
          <w:bCs/>
        </w:rPr>
      </w:pPr>
      <w:r>
        <w:rPr>
          <w:b/>
          <w:bCs/>
        </w:rPr>
        <w:t>K Čl. I bodu 2</w:t>
      </w:r>
    </w:p>
    <w:p w:rsidR="004B5245" w:rsidRDefault="004B5245" w:rsidP="004B5245">
      <w:pPr>
        <w:jc w:val="both"/>
        <w:rPr>
          <w:b/>
          <w:bCs/>
        </w:rPr>
      </w:pPr>
    </w:p>
    <w:p w:rsidR="004B5245" w:rsidRDefault="004B5245" w:rsidP="004B5245">
      <w:pPr>
        <w:jc w:val="both"/>
        <w:rPr>
          <w:color w:val="000000"/>
        </w:rPr>
      </w:pPr>
      <w:r>
        <w:rPr>
          <w:bCs/>
        </w:rPr>
        <w:t>Upravuje sa maximálna príjmová hranica pre dotknuté skupiny žiadateľov pri p</w:t>
      </w:r>
      <w:r w:rsidR="00AB6AB2">
        <w:rPr>
          <w:bCs/>
        </w:rPr>
        <w:t>ríslušných druhoch podpory zo štvor</w:t>
      </w:r>
      <w:r>
        <w:rPr>
          <w:bCs/>
        </w:rPr>
        <w:t xml:space="preserve">násobku </w:t>
      </w:r>
      <w:r>
        <w:rPr>
          <w:color w:val="000000"/>
        </w:rPr>
        <w:t>sumy životného minima vypočítaného pre žiadateľa a osoby, ktorých prí</w:t>
      </w:r>
      <w:r w:rsidR="00AB6AB2">
        <w:rPr>
          <w:color w:val="000000"/>
        </w:rPr>
        <w:t>jmy sa posudzujú spoločne, na päť</w:t>
      </w:r>
      <w:r>
        <w:rPr>
          <w:color w:val="000000"/>
        </w:rPr>
        <w:t>násobok tejto sumy.</w:t>
      </w:r>
    </w:p>
    <w:p w:rsidR="004B5245" w:rsidRDefault="004B5245" w:rsidP="004B5245">
      <w:pPr>
        <w:jc w:val="both"/>
        <w:rPr>
          <w:color w:val="000000"/>
        </w:rPr>
      </w:pPr>
    </w:p>
    <w:p w:rsidR="004B5245" w:rsidRDefault="004B5245" w:rsidP="004B5245">
      <w:pPr>
        <w:jc w:val="both"/>
        <w:rPr>
          <w:b/>
          <w:color w:val="000000"/>
        </w:rPr>
      </w:pPr>
      <w:r>
        <w:rPr>
          <w:b/>
          <w:color w:val="000000"/>
        </w:rPr>
        <w:t>K Čl. I bodu 3</w:t>
      </w:r>
    </w:p>
    <w:p w:rsidR="004B5245" w:rsidRDefault="004B5245" w:rsidP="004B5245">
      <w:pPr>
        <w:jc w:val="both"/>
        <w:rPr>
          <w:b/>
          <w:color w:val="000000"/>
        </w:rPr>
      </w:pPr>
    </w:p>
    <w:p w:rsidR="004B5245" w:rsidRDefault="004B5245" w:rsidP="004B5245">
      <w:pPr>
        <w:jc w:val="both"/>
        <w:rPr>
          <w:color w:val="000000"/>
        </w:rPr>
      </w:pPr>
      <w:r>
        <w:rPr>
          <w:color w:val="000000"/>
        </w:rPr>
        <w:t>Príslušný druh žiadosti o poskytnutie podpory podaný pred nadobudnutím účinnosti návrhu zákona sa posudzuje podľa doterajších predpisov.</w:t>
      </w:r>
    </w:p>
    <w:p w:rsidR="004B5245" w:rsidRDefault="004B5245" w:rsidP="004B5245">
      <w:pPr>
        <w:jc w:val="both"/>
        <w:rPr>
          <w:color w:val="000000"/>
        </w:rPr>
      </w:pPr>
    </w:p>
    <w:p w:rsidR="004B5245" w:rsidRDefault="004B5245" w:rsidP="004B5245">
      <w:pPr>
        <w:jc w:val="both"/>
        <w:rPr>
          <w:b/>
          <w:color w:val="000000"/>
        </w:rPr>
      </w:pPr>
      <w:r>
        <w:rPr>
          <w:b/>
          <w:color w:val="000000"/>
        </w:rPr>
        <w:t>K Čl. II</w:t>
      </w:r>
    </w:p>
    <w:p w:rsidR="004B5245" w:rsidRDefault="004B5245" w:rsidP="004B5245">
      <w:pPr>
        <w:jc w:val="both"/>
        <w:rPr>
          <w:b/>
          <w:color w:val="000000"/>
        </w:rPr>
      </w:pPr>
    </w:p>
    <w:p w:rsidR="004B5245" w:rsidRPr="007C0C21" w:rsidRDefault="004B5245" w:rsidP="004B5245">
      <w:pPr>
        <w:jc w:val="both"/>
        <w:rPr>
          <w:bCs/>
        </w:rPr>
      </w:pPr>
      <w:r>
        <w:rPr>
          <w:color w:val="000000"/>
        </w:rPr>
        <w:t xml:space="preserve">Navrhuje sa účinnosť </w:t>
      </w:r>
      <w:r w:rsidR="00AB6AB2">
        <w:rPr>
          <w:color w:val="000000"/>
        </w:rPr>
        <w:t>s prihliadnutím</w:t>
      </w:r>
      <w:r>
        <w:rPr>
          <w:color w:val="000000"/>
        </w:rPr>
        <w:t xml:space="preserve"> na dĺžku legislatívneho procesu.</w:t>
      </w:r>
    </w:p>
    <w:p w:rsidR="004B5245" w:rsidRDefault="004B5245" w:rsidP="004B5245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4B5245" w:rsidRPr="005C723A" w:rsidRDefault="004B5245" w:rsidP="004B5245">
      <w:pPr>
        <w:spacing w:line="276" w:lineRule="auto"/>
        <w:jc w:val="center"/>
        <w:rPr>
          <w:b/>
        </w:rPr>
      </w:pPr>
      <w:r w:rsidRPr="005C723A">
        <w:rPr>
          <w:b/>
        </w:rPr>
        <w:lastRenderedPageBreak/>
        <w:t>DOLOŽKA ZLUČITEĽNOSTI</w:t>
      </w:r>
    </w:p>
    <w:p w:rsidR="004B5245" w:rsidRPr="005C723A" w:rsidRDefault="004B5245" w:rsidP="004B5245">
      <w:pPr>
        <w:spacing w:line="276" w:lineRule="auto"/>
        <w:jc w:val="center"/>
        <w:rPr>
          <w:b/>
        </w:rPr>
      </w:pPr>
      <w:r w:rsidRPr="005C723A">
        <w:rPr>
          <w:b/>
        </w:rPr>
        <w:t>právneho predpisu s právom Európskej únie</w:t>
      </w:r>
    </w:p>
    <w:p w:rsidR="004B5245" w:rsidRPr="005C723A" w:rsidRDefault="004B5245" w:rsidP="004B5245">
      <w:pPr>
        <w:spacing w:line="276" w:lineRule="auto"/>
        <w:jc w:val="center"/>
        <w:rPr>
          <w:b/>
        </w:rPr>
      </w:pPr>
    </w:p>
    <w:p w:rsidR="004B5245" w:rsidRPr="008F57EF" w:rsidRDefault="004B5245" w:rsidP="004B5245">
      <w:pPr>
        <w:spacing w:line="276" w:lineRule="auto"/>
        <w:jc w:val="both"/>
        <w:rPr>
          <w:b/>
        </w:rPr>
      </w:pPr>
      <w:r w:rsidRPr="005C723A">
        <w:rPr>
          <w:b/>
        </w:rPr>
        <w:t>1</w:t>
      </w:r>
      <w:r w:rsidRPr="005C723A">
        <w:t xml:space="preserve">.  </w:t>
      </w:r>
      <w:r w:rsidRPr="005C723A">
        <w:rPr>
          <w:b/>
        </w:rPr>
        <w:t xml:space="preserve">Predkladateľ </w:t>
      </w:r>
      <w:r w:rsidRPr="008F57EF">
        <w:rPr>
          <w:b/>
        </w:rPr>
        <w:t xml:space="preserve">právneho predpisu:         </w:t>
      </w:r>
    </w:p>
    <w:p w:rsidR="004B5245" w:rsidRDefault="004B5245" w:rsidP="004B5245">
      <w:pPr>
        <w:spacing w:line="276" w:lineRule="auto"/>
        <w:jc w:val="both"/>
      </w:pPr>
      <w:r>
        <w:t>Skupina poslancov</w:t>
      </w:r>
      <w:r w:rsidRPr="008F57EF">
        <w:t xml:space="preserve"> Národnej rady Slovenskej republiky </w:t>
      </w:r>
    </w:p>
    <w:p w:rsidR="004B5245" w:rsidRPr="008F57EF" w:rsidRDefault="004B5245" w:rsidP="004B5245">
      <w:pPr>
        <w:spacing w:line="276" w:lineRule="auto"/>
        <w:jc w:val="both"/>
      </w:pPr>
    </w:p>
    <w:p w:rsidR="004B5245" w:rsidRPr="008F57EF" w:rsidRDefault="004B5245" w:rsidP="004B5245">
      <w:pPr>
        <w:spacing w:line="276" w:lineRule="auto"/>
        <w:jc w:val="both"/>
      </w:pPr>
      <w:r w:rsidRPr="008F57EF">
        <w:rPr>
          <w:b/>
        </w:rPr>
        <w:t>2.</w:t>
      </w:r>
      <w:r w:rsidRPr="008F57EF">
        <w:t xml:space="preserve">  </w:t>
      </w:r>
      <w:r w:rsidRPr="008F57EF">
        <w:rPr>
          <w:b/>
        </w:rPr>
        <w:t>Názov návrhu právneho predpisu</w:t>
      </w:r>
      <w:r w:rsidRPr="008F57EF">
        <w:t xml:space="preserve">: </w:t>
      </w:r>
    </w:p>
    <w:p w:rsidR="004B5245" w:rsidRPr="008F57EF" w:rsidRDefault="004B5245" w:rsidP="004B5245">
      <w:pPr>
        <w:spacing w:line="276" w:lineRule="auto"/>
        <w:jc w:val="both"/>
      </w:pPr>
      <w:r w:rsidRPr="008F57EF">
        <w:t xml:space="preserve">Návrh zákona, ktorým sa mení a dopĺňa zákon </w:t>
      </w:r>
      <w:r w:rsidRPr="008F57EF">
        <w:rPr>
          <w:color w:val="000000"/>
        </w:rPr>
        <w:t>č. 150/2013 Z. z. o Štátnom fonde rozvoja bývania v znení neskorších predpisov</w:t>
      </w:r>
      <w:r w:rsidRPr="008F57EF">
        <w:rPr>
          <w:color w:val="000000" w:themeColor="text1"/>
        </w:rPr>
        <w:t>.</w:t>
      </w:r>
    </w:p>
    <w:p w:rsidR="004B5245" w:rsidRPr="008F57EF" w:rsidRDefault="004B5245" w:rsidP="004B5245">
      <w:pPr>
        <w:spacing w:line="276" w:lineRule="auto"/>
        <w:jc w:val="both"/>
      </w:pPr>
      <w:r w:rsidRPr="008F57EF">
        <w:t xml:space="preserve">                                                   </w:t>
      </w:r>
    </w:p>
    <w:p w:rsidR="004B5245" w:rsidRPr="008F57EF" w:rsidRDefault="004B5245" w:rsidP="004B5245">
      <w:pPr>
        <w:spacing w:line="276" w:lineRule="auto"/>
        <w:jc w:val="both"/>
      </w:pPr>
      <w:r w:rsidRPr="008F57EF">
        <w:rPr>
          <w:b/>
        </w:rPr>
        <w:t>3.</w:t>
      </w:r>
      <w:r w:rsidRPr="008F57EF">
        <w:t xml:space="preserve"> </w:t>
      </w:r>
      <w:r w:rsidRPr="008F57EF">
        <w:rPr>
          <w:b/>
        </w:rPr>
        <w:t xml:space="preserve"> Problematika návrhu právneho predpisu:</w:t>
      </w:r>
    </w:p>
    <w:p w:rsidR="004B5245" w:rsidRPr="008F57EF" w:rsidRDefault="004B5245" w:rsidP="004B5245">
      <w:pPr>
        <w:pStyle w:val="odsek"/>
        <w:keepNext w:val="0"/>
        <w:widowControl w:val="0"/>
        <w:spacing w:line="276" w:lineRule="auto"/>
        <w:ind w:firstLine="0"/>
      </w:pPr>
      <w:r w:rsidRPr="008F57EF">
        <w:t>Je v súlade s právnou úpravou Európskej únie.</w:t>
      </w:r>
    </w:p>
    <w:p w:rsidR="004B5245" w:rsidRPr="008F57EF" w:rsidRDefault="004B5245" w:rsidP="004B5245">
      <w:pPr>
        <w:pStyle w:val="odsek"/>
        <w:keepNext w:val="0"/>
        <w:widowControl w:val="0"/>
        <w:spacing w:line="276" w:lineRule="auto"/>
        <w:ind w:firstLine="0"/>
      </w:pPr>
    </w:p>
    <w:p w:rsidR="004B5245" w:rsidRPr="008F57EF" w:rsidRDefault="004B5245" w:rsidP="004B5245">
      <w:pPr>
        <w:pStyle w:val="odsek"/>
        <w:keepNext w:val="0"/>
        <w:widowControl w:val="0"/>
        <w:spacing w:line="276" w:lineRule="auto"/>
        <w:ind w:firstLine="0"/>
        <w:rPr>
          <w:b/>
        </w:rPr>
      </w:pPr>
      <w:r w:rsidRPr="008F57EF">
        <w:rPr>
          <w:b/>
        </w:rPr>
        <w:t>4. Záväzky Slovenskej republiky vo vzťahu k Európskej únii:</w:t>
      </w:r>
    </w:p>
    <w:p w:rsidR="004B5245" w:rsidRPr="008F57EF" w:rsidRDefault="004B5245" w:rsidP="004B5245">
      <w:pPr>
        <w:pStyle w:val="odsek"/>
        <w:keepNext w:val="0"/>
        <w:widowControl w:val="0"/>
        <w:spacing w:line="276" w:lineRule="auto"/>
        <w:ind w:firstLine="0"/>
        <w:rPr>
          <w:b/>
        </w:rPr>
      </w:pPr>
    </w:p>
    <w:p w:rsidR="004B5245" w:rsidRPr="008F57EF" w:rsidRDefault="004B5245" w:rsidP="004B5245">
      <w:pPr>
        <w:pStyle w:val="odsek"/>
        <w:keepNext w:val="0"/>
        <w:widowControl w:val="0"/>
        <w:spacing w:line="276" w:lineRule="auto"/>
        <w:ind w:firstLine="0"/>
      </w:pPr>
      <w:r w:rsidRPr="008F57EF">
        <w:t>Nie sú predkladaným návrhom dotknuté.</w:t>
      </w:r>
    </w:p>
    <w:p w:rsidR="004B5245" w:rsidRPr="008F57EF" w:rsidRDefault="004B5245" w:rsidP="004B5245">
      <w:pPr>
        <w:pStyle w:val="odsek"/>
        <w:keepNext w:val="0"/>
        <w:widowControl w:val="0"/>
        <w:spacing w:line="276" w:lineRule="auto"/>
        <w:ind w:firstLine="0"/>
      </w:pPr>
    </w:p>
    <w:p w:rsidR="004B5245" w:rsidRPr="008F57EF" w:rsidRDefault="004B5245" w:rsidP="004B5245">
      <w:pPr>
        <w:pStyle w:val="odsek"/>
        <w:keepNext w:val="0"/>
        <w:widowControl w:val="0"/>
        <w:spacing w:line="276" w:lineRule="auto"/>
        <w:ind w:firstLine="0"/>
        <w:rPr>
          <w:b/>
        </w:rPr>
      </w:pPr>
      <w:r w:rsidRPr="008F57EF">
        <w:rPr>
          <w:b/>
        </w:rPr>
        <w:t>5. Stupeň zlučiteľnosti návrhu právneho predpisu s právom Európskej únie:</w:t>
      </w:r>
    </w:p>
    <w:p w:rsidR="004B5245" w:rsidRPr="008F57EF" w:rsidRDefault="004B5245" w:rsidP="004B5245">
      <w:pPr>
        <w:pStyle w:val="odsek"/>
        <w:keepNext w:val="0"/>
        <w:widowControl w:val="0"/>
        <w:spacing w:line="276" w:lineRule="auto"/>
        <w:ind w:firstLine="0"/>
      </w:pPr>
    </w:p>
    <w:p w:rsidR="004B5245" w:rsidRPr="008F57EF" w:rsidRDefault="004B5245" w:rsidP="004B5245">
      <w:pPr>
        <w:pStyle w:val="odsek"/>
        <w:keepNext w:val="0"/>
        <w:widowControl w:val="0"/>
        <w:spacing w:line="276" w:lineRule="auto"/>
        <w:ind w:firstLine="0"/>
      </w:pPr>
      <w:r w:rsidRPr="008F57EF">
        <w:t>Stupeň zlučiteľnosti – úplný</w:t>
      </w:r>
    </w:p>
    <w:p w:rsidR="004B5245" w:rsidRDefault="004B5245" w:rsidP="004B5245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813324">
        <w:br w:type="page"/>
      </w:r>
      <w:r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lastRenderedPageBreak/>
        <w:t>Doložka</w:t>
      </w:r>
    </w:p>
    <w:p w:rsidR="004B5245" w:rsidRDefault="004B5245" w:rsidP="004B5245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4B5245" w:rsidRDefault="004B5245" w:rsidP="004B5245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4B5245" w:rsidRDefault="004B5245" w:rsidP="004B5245">
      <w:pPr>
        <w:pStyle w:val="Normlnywebov"/>
        <w:jc w:val="both"/>
      </w:pPr>
      <w:r>
        <w:rPr>
          <w:b/>
          <w:color w:val="000000"/>
        </w:rPr>
        <w:t>A.1. Názov materiálu:</w:t>
      </w:r>
      <w:r>
        <w:rPr>
          <w:color w:val="000000"/>
        </w:rPr>
        <w:t xml:space="preserve"> </w:t>
      </w:r>
      <w:r w:rsidRPr="00813324">
        <w:t xml:space="preserve">Návrh zákona, ktorým sa mení a dopĺňa zákon </w:t>
      </w:r>
      <w:r w:rsidRPr="00813324">
        <w:rPr>
          <w:color w:val="000000"/>
        </w:rPr>
        <w:t>č. 150/2013 Z. z. o Štátnom fonde rozvoja bývania v znení neskorších predpisov</w:t>
      </w:r>
      <w:r w:rsidRPr="00813324">
        <w:t>.</w:t>
      </w:r>
    </w:p>
    <w:p w:rsidR="004B5245" w:rsidRDefault="004B5245" w:rsidP="004B5245">
      <w:pPr>
        <w:jc w:val="both"/>
      </w:pPr>
    </w:p>
    <w:p w:rsidR="004B5245" w:rsidRDefault="004B5245" w:rsidP="004B5245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tbl>
      <w:tblPr>
        <w:tblW w:w="909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1191"/>
        <w:gridCol w:w="1180"/>
        <w:gridCol w:w="1195"/>
      </w:tblGrid>
      <w:tr w:rsidR="004B5245" w:rsidTr="006239A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4B5245" w:rsidTr="006239A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4B5245" w:rsidTr="006239A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4B5245" w:rsidTr="006239A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rPr>
                <w:rFonts w:ascii="Times New Roman" w:hAnsi="Times New Roman" w:cs="Times New Roman"/>
                <w:strike/>
                <w:color w:val="FF0000"/>
                <w:szCs w:val="24"/>
                <w:lang w:val="sk-SK"/>
              </w:rPr>
            </w:pPr>
          </w:p>
        </w:tc>
      </w:tr>
      <w:tr w:rsidR="004B5245" w:rsidTr="006239A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ind w:left="296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4B5245" w:rsidTr="006239A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ind w:left="296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4B5245" w:rsidTr="006239A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ind w:left="438" w:hanging="142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trike/>
                <w:color w:val="FF0000"/>
                <w:szCs w:val="24"/>
                <w:lang w:val="sk-SK"/>
              </w:rPr>
            </w:pPr>
          </w:p>
        </w:tc>
      </w:tr>
      <w:tr w:rsidR="004B5245" w:rsidTr="006239A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4B5245" w:rsidTr="006239A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4B5245" w:rsidTr="006239A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6. Vplyvy na služby pre občana z toho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4B5245" w:rsidTr="006239A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ind w:left="296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služieb verejnej správy na občana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4B5245" w:rsidTr="006239A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ind w:left="296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procesy služieb vo verejnej správe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4B5245" w:rsidTr="006239A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7. Vplyvy na manželstvo, rodičovstvo a rodinu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245" w:rsidRDefault="004B5245" w:rsidP="006239A2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4B5245" w:rsidRDefault="004B5245" w:rsidP="004B5245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4B5245" w:rsidRDefault="004B5245" w:rsidP="004B5245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4B5245" w:rsidRPr="00813324" w:rsidRDefault="004B5245" w:rsidP="004B5245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</w:t>
      </w:r>
      <w:r w:rsidRPr="0081332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.3. Poznámky</w:t>
      </w:r>
    </w:p>
    <w:p w:rsidR="004B5245" w:rsidRPr="00813324" w:rsidRDefault="004B5245" w:rsidP="004B5245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81332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Návrh zákona nemá vplyvy na rozpočet verejnej správy vzhľadom k tomu, že </w:t>
      </w:r>
      <w:r w:rsidR="00483E46">
        <w:rPr>
          <w:rFonts w:ascii="Times New Roman" w:hAnsi="Times New Roman" w:cs="Times New Roman"/>
          <w:color w:val="000000"/>
          <w:sz w:val="24"/>
          <w:szCs w:val="24"/>
          <w:lang w:val="sk-SK"/>
        </w:rPr>
        <w:t>podpora bude poskytovaná z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dostupných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prostriedkov Štátneho fondu rozvoja bývania.</w:t>
      </w:r>
    </w:p>
    <w:p w:rsidR="004B5245" w:rsidRPr="00813324" w:rsidRDefault="004B5245" w:rsidP="004B5245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4B5245" w:rsidRPr="00813324" w:rsidRDefault="004B5245" w:rsidP="004B5245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81332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4B5245" w:rsidRPr="00813324" w:rsidRDefault="004B5245" w:rsidP="004B5245">
      <w:pPr>
        <w:jc w:val="both"/>
      </w:pPr>
      <w:r w:rsidRPr="00911F2D">
        <w:t xml:space="preserve"> </w:t>
      </w:r>
    </w:p>
    <w:p w:rsidR="004B5245" w:rsidRDefault="004B5245" w:rsidP="004B5245">
      <w:pPr>
        <w:spacing w:after="160" w:line="259" w:lineRule="auto"/>
        <w:rPr>
          <w:b/>
          <w:bCs/>
        </w:rPr>
      </w:pPr>
      <w:r>
        <w:rPr>
          <w:b/>
        </w:rPr>
        <w:t xml:space="preserve">A.5. </w:t>
      </w:r>
      <w:r>
        <w:rPr>
          <w:b/>
        </w:rPr>
        <w:tab/>
        <w:t xml:space="preserve">Stanovisko gestorov - </w:t>
      </w:r>
      <w:r>
        <w:rPr>
          <w:color w:val="000000"/>
        </w:rPr>
        <w:t>Bezpredmetné</w:t>
      </w:r>
    </w:p>
    <w:p w:rsidR="004B5245" w:rsidRDefault="004B5245" w:rsidP="004B5245">
      <w:pPr>
        <w:spacing w:line="276" w:lineRule="auto"/>
        <w:jc w:val="center"/>
        <w:rPr>
          <w:b/>
          <w:bCs/>
        </w:rPr>
      </w:pPr>
    </w:p>
    <w:p w:rsidR="004B5245" w:rsidRDefault="004B5245" w:rsidP="004B5245">
      <w:pPr>
        <w:spacing w:line="276" w:lineRule="auto"/>
      </w:pPr>
    </w:p>
    <w:p w:rsidR="004B5245" w:rsidRDefault="004B5245" w:rsidP="004B5245">
      <w:pPr>
        <w:spacing w:line="276" w:lineRule="auto"/>
      </w:pPr>
    </w:p>
    <w:p w:rsidR="004B5245" w:rsidRPr="002B63A4" w:rsidRDefault="004B5245" w:rsidP="004B5245"/>
    <w:p w:rsidR="00FC07B2" w:rsidRDefault="00FC07B2"/>
    <w:sectPr w:rsidR="00FC07B2" w:rsidSect="001C671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45"/>
    <w:rsid w:val="00483E46"/>
    <w:rsid w:val="004B5245"/>
    <w:rsid w:val="009437AA"/>
    <w:rsid w:val="00AB6AB2"/>
    <w:rsid w:val="00F41281"/>
    <w:rsid w:val="00FC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B592"/>
  <w15:chartTrackingRefBased/>
  <w15:docId w15:val="{EDDE0083-384E-4756-B049-6B5EF857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qFormat/>
    <w:rsid w:val="004B5245"/>
    <w:pPr>
      <w:spacing w:before="100" w:beforeAutospacing="1" w:after="100" w:afterAutospacing="1"/>
    </w:pPr>
  </w:style>
  <w:style w:type="paragraph" w:customStyle="1" w:styleId="odsek">
    <w:name w:val="odsek"/>
    <w:basedOn w:val="Normlny"/>
    <w:uiPriority w:val="99"/>
    <w:qFormat/>
    <w:rsid w:val="004B5245"/>
    <w:pPr>
      <w:keepNext/>
      <w:ind w:firstLine="709"/>
      <w:jc w:val="both"/>
    </w:pPr>
  </w:style>
  <w:style w:type="paragraph" w:customStyle="1" w:styleId="Vchodzie">
    <w:name w:val="Vchodzie"/>
    <w:uiPriority w:val="99"/>
    <w:semiHidden/>
    <w:rsid w:val="004B5245"/>
    <w:pPr>
      <w:widowControl w:val="0"/>
      <w:tabs>
        <w:tab w:val="left" w:pos="708"/>
      </w:tabs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Mifková, Miroslava</cp:lastModifiedBy>
  <cp:revision>4</cp:revision>
  <dcterms:created xsi:type="dcterms:W3CDTF">2019-09-27T11:16:00Z</dcterms:created>
  <dcterms:modified xsi:type="dcterms:W3CDTF">2019-09-27T11:30:00Z</dcterms:modified>
</cp:coreProperties>
</file>