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243" w:rsidRPr="00D83D60" w:rsidRDefault="00421243" w:rsidP="00421243">
      <w:pPr>
        <w:pStyle w:val="Nzov"/>
        <w:pBdr>
          <w:bottom w:val="single" w:sz="12" w:space="1" w:color="auto"/>
        </w:pBdr>
        <w:rPr>
          <w:rFonts w:ascii="Times New Roman" w:hAnsi="Times New Roman" w:cs="Times New Roman"/>
          <w:u w:val="none"/>
        </w:rPr>
      </w:pPr>
      <w:r w:rsidRPr="00D83D60">
        <w:rPr>
          <w:rFonts w:ascii="Times New Roman" w:hAnsi="Times New Roman" w:cs="Times New Roman"/>
          <w:u w:val="none"/>
        </w:rPr>
        <w:t>NÁRODNÁ RADA SLOVENSKEJ REPUBLIKY</w:t>
      </w:r>
    </w:p>
    <w:p w:rsidR="00421243" w:rsidRPr="00D83D60" w:rsidRDefault="00421243" w:rsidP="00421243">
      <w:pPr>
        <w:pStyle w:val="Nzov"/>
        <w:pBdr>
          <w:bottom w:val="single" w:sz="12" w:space="1" w:color="auto"/>
        </w:pBdr>
        <w:rPr>
          <w:rFonts w:ascii="Times New Roman" w:hAnsi="Times New Roman" w:cs="Times New Roman"/>
          <w:u w:val="none"/>
        </w:rPr>
      </w:pPr>
      <w:r w:rsidRPr="00D83D60">
        <w:rPr>
          <w:rFonts w:ascii="Times New Roman" w:hAnsi="Times New Roman" w:cs="Times New Roman"/>
          <w:u w:val="none"/>
        </w:rPr>
        <w:t>VII. volebné obdobie</w:t>
      </w:r>
    </w:p>
    <w:p w:rsidR="00421243" w:rsidRPr="00D83D60" w:rsidRDefault="00421243" w:rsidP="00421243">
      <w:pPr>
        <w:jc w:val="center"/>
        <w:rPr>
          <w:b/>
          <w:bCs/>
          <w:u w:val="single"/>
        </w:rPr>
      </w:pPr>
    </w:p>
    <w:p w:rsidR="00421243" w:rsidRPr="00D83D60" w:rsidRDefault="00421243" w:rsidP="00421243">
      <w:pPr>
        <w:tabs>
          <w:tab w:val="left" w:pos="3615"/>
        </w:tabs>
        <w:jc w:val="center"/>
      </w:pPr>
    </w:p>
    <w:p w:rsidR="00421243" w:rsidRPr="00D83D60" w:rsidRDefault="00421243" w:rsidP="00421243">
      <w:pPr>
        <w:jc w:val="center"/>
        <w:rPr>
          <w:b/>
          <w:bCs/>
        </w:rPr>
      </w:pPr>
      <w:r w:rsidRPr="00D83D60">
        <w:rPr>
          <w:b/>
          <w:bCs/>
        </w:rPr>
        <w:t>Návrh</w:t>
      </w:r>
    </w:p>
    <w:p w:rsidR="00421243" w:rsidRPr="00D83D60" w:rsidRDefault="00421243" w:rsidP="00421243">
      <w:pPr>
        <w:jc w:val="center"/>
        <w:rPr>
          <w:b/>
          <w:bCs/>
        </w:rPr>
      </w:pPr>
    </w:p>
    <w:p w:rsidR="00421243" w:rsidRPr="00D83D60" w:rsidRDefault="00421243" w:rsidP="00421243">
      <w:pPr>
        <w:spacing w:after="160"/>
        <w:jc w:val="center"/>
        <w:rPr>
          <w:b/>
          <w:bCs/>
          <w:lang w:eastAsia="en-US"/>
        </w:rPr>
      </w:pPr>
      <w:r w:rsidRPr="00D83D60">
        <w:rPr>
          <w:b/>
          <w:bCs/>
          <w:lang w:eastAsia="en-US"/>
        </w:rPr>
        <w:t>ZÁKON</w:t>
      </w:r>
    </w:p>
    <w:p w:rsidR="00421243" w:rsidRPr="00D83D60" w:rsidRDefault="00421243" w:rsidP="00421243">
      <w:pPr>
        <w:spacing w:after="160"/>
        <w:jc w:val="center"/>
        <w:rPr>
          <w:b/>
          <w:bCs/>
          <w:lang w:eastAsia="en-US"/>
        </w:rPr>
      </w:pPr>
    </w:p>
    <w:p w:rsidR="00421243" w:rsidRPr="00D83D60" w:rsidRDefault="00421243" w:rsidP="00421243">
      <w:pPr>
        <w:spacing w:after="160"/>
        <w:jc w:val="center"/>
        <w:rPr>
          <w:b/>
          <w:lang w:eastAsia="en-US"/>
        </w:rPr>
      </w:pPr>
      <w:r w:rsidRPr="00D83D60">
        <w:rPr>
          <w:b/>
          <w:lang w:eastAsia="en-US"/>
        </w:rPr>
        <w:t>z ..............</w:t>
      </w:r>
      <w:r>
        <w:rPr>
          <w:b/>
          <w:lang w:eastAsia="en-US"/>
        </w:rPr>
        <w:t xml:space="preserve"> </w:t>
      </w:r>
      <w:r w:rsidRPr="00D83D60">
        <w:rPr>
          <w:b/>
          <w:lang w:eastAsia="en-US"/>
        </w:rPr>
        <w:t>201</w:t>
      </w:r>
      <w:r>
        <w:rPr>
          <w:b/>
          <w:lang w:eastAsia="en-US"/>
        </w:rPr>
        <w:t>9</w:t>
      </w:r>
      <w:r w:rsidRPr="00D83D60">
        <w:rPr>
          <w:b/>
          <w:lang w:eastAsia="en-US"/>
        </w:rPr>
        <w:t>,</w:t>
      </w:r>
    </w:p>
    <w:p w:rsidR="00421243" w:rsidRDefault="00421243" w:rsidP="00421243">
      <w:pPr>
        <w:spacing w:after="200"/>
      </w:pPr>
    </w:p>
    <w:p w:rsidR="00421243" w:rsidRDefault="00421243" w:rsidP="00421243">
      <w:pPr>
        <w:spacing w:after="200"/>
        <w:jc w:val="center"/>
      </w:pPr>
      <w:r>
        <w:rPr>
          <w:b/>
        </w:rPr>
        <w:t xml:space="preserve">ktorým sa mení a dopĺňa zákon č. 461/2003 Z. z. o sociálnom poistení v znení neskorších predpisov </w:t>
      </w:r>
    </w:p>
    <w:p w:rsidR="00421243" w:rsidRDefault="00421243" w:rsidP="00421243"/>
    <w:p w:rsidR="00421243" w:rsidRPr="00694960" w:rsidRDefault="00421243" w:rsidP="00421243">
      <w:r w:rsidRPr="00694960">
        <w:t>Národná rada Slovenskej republiky sa uzniesla na tomto zákone:</w:t>
      </w:r>
    </w:p>
    <w:p w:rsidR="00421243" w:rsidRPr="00694960" w:rsidRDefault="00421243" w:rsidP="00421243">
      <w:pPr>
        <w:jc w:val="center"/>
        <w:rPr>
          <w:b/>
          <w:bCs/>
        </w:rPr>
      </w:pPr>
    </w:p>
    <w:p w:rsidR="00421243" w:rsidRPr="00694960" w:rsidRDefault="00421243" w:rsidP="00421243">
      <w:pPr>
        <w:jc w:val="center"/>
        <w:rPr>
          <w:b/>
          <w:bCs/>
        </w:rPr>
      </w:pPr>
    </w:p>
    <w:p w:rsidR="00421243" w:rsidRPr="00694960" w:rsidRDefault="00421243" w:rsidP="00421243">
      <w:pPr>
        <w:jc w:val="center"/>
        <w:rPr>
          <w:b/>
          <w:bCs/>
        </w:rPr>
      </w:pPr>
      <w:r w:rsidRPr="00694960">
        <w:rPr>
          <w:b/>
          <w:bCs/>
        </w:rPr>
        <w:t>Čl. I</w:t>
      </w:r>
    </w:p>
    <w:p w:rsidR="00421243" w:rsidRPr="00694960" w:rsidRDefault="00421243" w:rsidP="00421243">
      <w:pPr>
        <w:ind w:firstLine="708"/>
        <w:jc w:val="both"/>
      </w:pPr>
    </w:p>
    <w:p w:rsidR="00421243" w:rsidRDefault="00421243" w:rsidP="00421243">
      <w:pPr>
        <w:tabs>
          <w:tab w:val="left" w:pos="567"/>
        </w:tabs>
        <w:jc w:val="both"/>
      </w:pPr>
      <w:r w:rsidRPr="00694960">
        <w:t>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uznesenia Ústavného súdu Slovenskej republiky č. 566/2006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w:t>
      </w:r>
      <w:r>
        <w:t xml:space="preserve">kona č. 266/2017 Z. z., zákona </w:t>
      </w:r>
      <w:r w:rsidRPr="00694960">
        <w:t>č. 279/2017 Z. z., zákona č. 63/2018 Z. z.</w:t>
      </w:r>
      <w:r>
        <w:t xml:space="preserve">, </w:t>
      </w:r>
      <w:r w:rsidRPr="00694960">
        <w:t>zákona č. 87/2018 Z. z.</w:t>
      </w:r>
      <w:r>
        <w:t xml:space="preserve">, </w:t>
      </w:r>
      <w:r w:rsidRPr="00383267">
        <w:rPr>
          <w:rStyle w:val="awspan"/>
          <w:color w:val="000000"/>
        </w:rPr>
        <w:t>zákona</w:t>
      </w:r>
      <w:r w:rsidRPr="00383267">
        <w:rPr>
          <w:rStyle w:val="awspan"/>
          <w:color w:val="000000"/>
          <w:spacing w:val="10"/>
        </w:rPr>
        <w:t xml:space="preserve"> </w:t>
      </w:r>
      <w:r w:rsidRPr="00383267">
        <w:rPr>
          <w:rStyle w:val="awspan"/>
          <w:color w:val="000000"/>
        </w:rPr>
        <w:t>č.</w:t>
      </w:r>
      <w:r w:rsidRPr="00383267">
        <w:rPr>
          <w:rStyle w:val="awspan"/>
          <w:color w:val="000000"/>
          <w:spacing w:val="10"/>
        </w:rPr>
        <w:t xml:space="preserve"> </w:t>
      </w:r>
      <w:r w:rsidRPr="00383267">
        <w:rPr>
          <w:rStyle w:val="awspan"/>
          <w:color w:val="000000"/>
        </w:rPr>
        <w:t>177/2018</w:t>
      </w:r>
      <w:r w:rsidRPr="00383267">
        <w:rPr>
          <w:rStyle w:val="awspan"/>
          <w:color w:val="000000"/>
          <w:spacing w:val="10"/>
        </w:rPr>
        <w:t xml:space="preserve"> </w:t>
      </w:r>
      <w:r w:rsidRPr="00383267">
        <w:rPr>
          <w:rStyle w:val="awspan"/>
          <w:color w:val="000000"/>
        </w:rPr>
        <w:t>Z.</w:t>
      </w:r>
      <w:r w:rsidRPr="00383267">
        <w:rPr>
          <w:rStyle w:val="awspan"/>
          <w:color w:val="000000"/>
          <w:spacing w:val="10"/>
        </w:rPr>
        <w:t xml:space="preserve"> </w:t>
      </w:r>
      <w:r w:rsidRPr="00383267">
        <w:rPr>
          <w:rStyle w:val="awspan"/>
          <w:color w:val="000000"/>
        </w:rPr>
        <w:t>z., zákona</w:t>
      </w:r>
      <w:r w:rsidRPr="00383267">
        <w:rPr>
          <w:rStyle w:val="awspan"/>
          <w:color w:val="000000"/>
          <w:spacing w:val="62"/>
        </w:rPr>
        <w:t xml:space="preserve"> </w:t>
      </w:r>
      <w:r w:rsidRPr="00383267">
        <w:rPr>
          <w:rStyle w:val="awspan"/>
          <w:color w:val="000000"/>
        </w:rPr>
        <w:t>č.</w:t>
      </w:r>
      <w:r w:rsidRPr="00383267">
        <w:rPr>
          <w:rStyle w:val="awspan"/>
          <w:color w:val="000000"/>
          <w:spacing w:val="62"/>
        </w:rPr>
        <w:t xml:space="preserve"> </w:t>
      </w:r>
      <w:r w:rsidRPr="00383267">
        <w:rPr>
          <w:rStyle w:val="awspan"/>
          <w:color w:val="000000"/>
        </w:rPr>
        <w:t>191/2018</w:t>
      </w:r>
      <w:r w:rsidRPr="00383267">
        <w:rPr>
          <w:rStyle w:val="awspan"/>
          <w:color w:val="000000"/>
          <w:spacing w:val="62"/>
        </w:rPr>
        <w:t xml:space="preserve"> </w:t>
      </w:r>
      <w:r w:rsidRPr="00383267">
        <w:rPr>
          <w:rStyle w:val="awspan"/>
          <w:color w:val="000000"/>
        </w:rPr>
        <w:t>Z.</w:t>
      </w:r>
      <w:r w:rsidRPr="00383267">
        <w:rPr>
          <w:rStyle w:val="awspan"/>
          <w:color w:val="000000"/>
          <w:spacing w:val="62"/>
        </w:rPr>
        <w:t xml:space="preserve"> </w:t>
      </w:r>
      <w:r w:rsidRPr="00383267">
        <w:rPr>
          <w:rStyle w:val="awspan"/>
          <w:color w:val="000000"/>
        </w:rPr>
        <w:t>z.,</w:t>
      </w:r>
      <w:r w:rsidRPr="00383267">
        <w:rPr>
          <w:rStyle w:val="awspan"/>
          <w:color w:val="000000"/>
          <w:spacing w:val="62"/>
        </w:rPr>
        <w:t xml:space="preserve"> </w:t>
      </w:r>
      <w:r w:rsidRPr="00383267">
        <w:rPr>
          <w:rStyle w:val="awspan"/>
          <w:color w:val="000000"/>
        </w:rPr>
        <w:t>zákona</w:t>
      </w:r>
      <w:r w:rsidRPr="00383267">
        <w:rPr>
          <w:rStyle w:val="awspan"/>
          <w:color w:val="000000"/>
          <w:spacing w:val="62"/>
        </w:rPr>
        <w:t xml:space="preserve"> </w:t>
      </w:r>
      <w:r w:rsidRPr="00383267">
        <w:rPr>
          <w:rStyle w:val="awspan"/>
          <w:color w:val="000000"/>
        </w:rPr>
        <w:t>č.</w:t>
      </w:r>
      <w:r w:rsidRPr="00383267">
        <w:rPr>
          <w:rStyle w:val="awspan"/>
          <w:color w:val="000000"/>
          <w:spacing w:val="62"/>
        </w:rPr>
        <w:t xml:space="preserve"> </w:t>
      </w:r>
      <w:r w:rsidRPr="00383267">
        <w:rPr>
          <w:rStyle w:val="awspan"/>
          <w:color w:val="000000"/>
        </w:rPr>
        <w:t>282/2018</w:t>
      </w:r>
      <w:r w:rsidRPr="00383267">
        <w:rPr>
          <w:rStyle w:val="awspan"/>
          <w:color w:val="000000"/>
          <w:spacing w:val="62"/>
        </w:rPr>
        <w:t xml:space="preserve"> </w:t>
      </w:r>
      <w:r w:rsidRPr="00383267">
        <w:rPr>
          <w:rStyle w:val="awspan"/>
          <w:color w:val="000000"/>
        </w:rPr>
        <w:t>Z.</w:t>
      </w:r>
      <w:r w:rsidRPr="00383267">
        <w:rPr>
          <w:rStyle w:val="awspan"/>
          <w:color w:val="000000"/>
          <w:spacing w:val="62"/>
        </w:rPr>
        <w:t xml:space="preserve"> </w:t>
      </w:r>
      <w:r w:rsidRPr="00383267">
        <w:rPr>
          <w:rStyle w:val="awspan"/>
          <w:color w:val="000000"/>
        </w:rPr>
        <w:t>z.,</w:t>
      </w:r>
      <w:r w:rsidRPr="00383267">
        <w:rPr>
          <w:rStyle w:val="awspan"/>
          <w:color w:val="000000"/>
          <w:spacing w:val="62"/>
        </w:rPr>
        <w:t xml:space="preserve"> </w:t>
      </w:r>
      <w:r w:rsidRPr="00383267">
        <w:rPr>
          <w:rStyle w:val="awspan"/>
          <w:color w:val="000000"/>
        </w:rPr>
        <w:t>zákona</w:t>
      </w:r>
      <w:r w:rsidRPr="00383267">
        <w:rPr>
          <w:rStyle w:val="awspan"/>
          <w:color w:val="000000"/>
          <w:spacing w:val="62"/>
        </w:rPr>
        <w:t xml:space="preserve"> </w:t>
      </w:r>
      <w:r w:rsidRPr="00383267">
        <w:rPr>
          <w:rStyle w:val="awspan"/>
          <w:color w:val="000000"/>
        </w:rPr>
        <w:t>č.</w:t>
      </w:r>
      <w:r w:rsidRPr="00383267">
        <w:rPr>
          <w:rStyle w:val="awspan"/>
          <w:color w:val="000000"/>
          <w:spacing w:val="62"/>
        </w:rPr>
        <w:t xml:space="preserve"> </w:t>
      </w:r>
      <w:r w:rsidRPr="00383267">
        <w:rPr>
          <w:rStyle w:val="awspan"/>
          <w:color w:val="000000"/>
        </w:rPr>
        <w:t>314/2018</w:t>
      </w:r>
      <w:r w:rsidRPr="00383267">
        <w:rPr>
          <w:rStyle w:val="awspan"/>
          <w:color w:val="000000"/>
          <w:spacing w:val="62"/>
        </w:rPr>
        <w:t xml:space="preserve"> </w:t>
      </w:r>
      <w:r w:rsidRPr="00383267">
        <w:rPr>
          <w:rStyle w:val="awspan"/>
          <w:color w:val="000000"/>
        </w:rPr>
        <w:t>Z.</w:t>
      </w:r>
      <w:r w:rsidRPr="00383267">
        <w:rPr>
          <w:rStyle w:val="awspan"/>
          <w:color w:val="000000"/>
          <w:spacing w:val="62"/>
        </w:rPr>
        <w:t xml:space="preserve"> </w:t>
      </w:r>
      <w:r w:rsidRPr="00383267">
        <w:rPr>
          <w:rStyle w:val="awspan"/>
          <w:color w:val="000000"/>
        </w:rPr>
        <w:t>z.,</w:t>
      </w:r>
      <w:r w:rsidRPr="00383267">
        <w:rPr>
          <w:rStyle w:val="awspan"/>
          <w:color w:val="000000"/>
          <w:spacing w:val="62"/>
        </w:rPr>
        <w:t xml:space="preserve"> </w:t>
      </w:r>
      <w:r w:rsidRPr="00383267">
        <w:rPr>
          <w:rStyle w:val="awspan"/>
          <w:color w:val="000000"/>
        </w:rPr>
        <w:t>zákona č. 317/2018</w:t>
      </w:r>
      <w:r w:rsidRPr="00383267">
        <w:rPr>
          <w:rStyle w:val="awspan"/>
          <w:color w:val="000000"/>
          <w:spacing w:val="3"/>
        </w:rPr>
        <w:t xml:space="preserve"> </w:t>
      </w:r>
      <w:r w:rsidRPr="00383267">
        <w:rPr>
          <w:rStyle w:val="awspan"/>
          <w:color w:val="000000"/>
        </w:rPr>
        <w:t>Z. z.,</w:t>
      </w:r>
      <w:r w:rsidRPr="00383267">
        <w:rPr>
          <w:rStyle w:val="awspan"/>
          <w:color w:val="000000"/>
          <w:spacing w:val="3"/>
        </w:rPr>
        <w:t xml:space="preserve"> </w:t>
      </w:r>
      <w:r w:rsidRPr="00383267">
        <w:rPr>
          <w:rStyle w:val="awspan"/>
          <w:color w:val="000000"/>
        </w:rPr>
        <w:t>zákona</w:t>
      </w:r>
      <w:r w:rsidRPr="00383267">
        <w:rPr>
          <w:rStyle w:val="awspan"/>
          <w:color w:val="000000"/>
          <w:spacing w:val="3"/>
        </w:rPr>
        <w:t xml:space="preserve"> </w:t>
      </w:r>
      <w:r w:rsidRPr="00383267">
        <w:rPr>
          <w:rStyle w:val="awspan"/>
          <w:color w:val="000000"/>
        </w:rPr>
        <w:t>č.</w:t>
      </w:r>
      <w:r w:rsidRPr="00383267">
        <w:rPr>
          <w:rStyle w:val="awspan"/>
          <w:color w:val="000000"/>
          <w:spacing w:val="3"/>
        </w:rPr>
        <w:t xml:space="preserve"> </w:t>
      </w:r>
      <w:r w:rsidRPr="00383267">
        <w:rPr>
          <w:rStyle w:val="awspan"/>
          <w:color w:val="000000"/>
        </w:rPr>
        <w:t>366/2018</w:t>
      </w:r>
      <w:r w:rsidRPr="00383267">
        <w:rPr>
          <w:rStyle w:val="awspan"/>
          <w:color w:val="000000"/>
          <w:spacing w:val="3"/>
        </w:rPr>
        <w:t xml:space="preserve"> </w:t>
      </w:r>
      <w:r w:rsidRPr="00383267">
        <w:rPr>
          <w:rStyle w:val="awspan"/>
          <w:color w:val="000000"/>
        </w:rPr>
        <w:t>Z.</w:t>
      </w:r>
      <w:r w:rsidRPr="00383267">
        <w:rPr>
          <w:rStyle w:val="awspan"/>
          <w:color w:val="000000"/>
          <w:spacing w:val="3"/>
        </w:rPr>
        <w:t xml:space="preserve"> </w:t>
      </w:r>
      <w:r w:rsidRPr="00383267">
        <w:rPr>
          <w:rStyle w:val="awspan"/>
          <w:color w:val="000000"/>
        </w:rPr>
        <w:t>z.,</w:t>
      </w:r>
      <w:r w:rsidRPr="00383267">
        <w:rPr>
          <w:rStyle w:val="awspan"/>
          <w:color w:val="000000"/>
          <w:spacing w:val="3"/>
        </w:rPr>
        <w:t xml:space="preserve"> </w:t>
      </w:r>
      <w:r w:rsidRPr="00383267">
        <w:rPr>
          <w:rStyle w:val="awspan"/>
          <w:color w:val="000000"/>
        </w:rPr>
        <w:t>zákona</w:t>
      </w:r>
      <w:r w:rsidRPr="00383267">
        <w:rPr>
          <w:rStyle w:val="awspan"/>
          <w:color w:val="000000"/>
          <w:spacing w:val="3"/>
        </w:rPr>
        <w:t xml:space="preserve"> </w:t>
      </w:r>
      <w:r w:rsidRPr="00383267">
        <w:rPr>
          <w:rStyle w:val="awspan"/>
          <w:color w:val="000000"/>
        </w:rPr>
        <w:t>č.</w:t>
      </w:r>
      <w:r w:rsidRPr="00383267">
        <w:rPr>
          <w:rStyle w:val="awspan"/>
          <w:color w:val="000000"/>
          <w:spacing w:val="3"/>
        </w:rPr>
        <w:t xml:space="preserve"> </w:t>
      </w:r>
      <w:r w:rsidRPr="00383267">
        <w:rPr>
          <w:rStyle w:val="awspan"/>
          <w:color w:val="000000"/>
        </w:rPr>
        <w:t>368/2018</w:t>
      </w:r>
      <w:r w:rsidRPr="00383267">
        <w:rPr>
          <w:rStyle w:val="awspan"/>
          <w:color w:val="000000"/>
          <w:spacing w:val="3"/>
        </w:rPr>
        <w:t xml:space="preserve"> </w:t>
      </w:r>
      <w:r w:rsidRPr="00383267">
        <w:rPr>
          <w:rStyle w:val="awspan"/>
          <w:color w:val="000000"/>
        </w:rPr>
        <w:t>Z.</w:t>
      </w:r>
      <w:r w:rsidRPr="00383267">
        <w:rPr>
          <w:rStyle w:val="awspan"/>
          <w:color w:val="000000"/>
          <w:spacing w:val="3"/>
        </w:rPr>
        <w:t xml:space="preserve"> </w:t>
      </w:r>
      <w:r w:rsidRPr="00383267">
        <w:rPr>
          <w:rStyle w:val="awspan"/>
          <w:color w:val="000000"/>
        </w:rPr>
        <w:t>z.,</w:t>
      </w:r>
      <w:r w:rsidRPr="00383267">
        <w:rPr>
          <w:rStyle w:val="awspan"/>
          <w:color w:val="000000"/>
          <w:spacing w:val="3"/>
        </w:rPr>
        <w:t xml:space="preserve"> </w:t>
      </w:r>
      <w:r w:rsidRPr="00383267">
        <w:rPr>
          <w:rStyle w:val="awspan"/>
          <w:color w:val="000000"/>
        </w:rPr>
        <w:t>zákona</w:t>
      </w:r>
      <w:r w:rsidRPr="00383267">
        <w:rPr>
          <w:rStyle w:val="awspan"/>
          <w:color w:val="000000"/>
          <w:spacing w:val="3"/>
        </w:rPr>
        <w:t xml:space="preserve"> </w:t>
      </w:r>
      <w:r w:rsidRPr="00383267">
        <w:rPr>
          <w:rStyle w:val="awspan"/>
          <w:color w:val="000000"/>
        </w:rPr>
        <w:t>č.</w:t>
      </w:r>
      <w:r w:rsidRPr="00383267">
        <w:rPr>
          <w:rStyle w:val="awspan"/>
          <w:color w:val="000000"/>
          <w:spacing w:val="3"/>
        </w:rPr>
        <w:t xml:space="preserve"> </w:t>
      </w:r>
      <w:r w:rsidRPr="00383267">
        <w:rPr>
          <w:rStyle w:val="awspan"/>
          <w:color w:val="000000"/>
        </w:rPr>
        <w:t>35/2019</w:t>
      </w:r>
      <w:r w:rsidRPr="00383267">
        <w:rPr>
          <w:rStyle w:val="awspan"/>
          <w:color w:val="000000"/>
          <w:spacing w:val="3"/>
        </w:rPr>
        <w:t xml:space="preserve"> </w:t>
      </w:r>
      <w:r w:rsidRPr="00383267">
        <w:rPr>
          <w:rStyle w:val="awspan"/>
          <w:color w:val="000000"/>
        </w:rPr>
        <w:t>Z.</w:t>
      </w:r>
      <w:r w:rsidRPr="00383267">
        <w:rPr>
          <w:rStyle w:val="awspan"/>
          <w:color w:val="000000"/>
          <w:spacing w:val="3"/>
        </w:rPr>
        <w:t xml:space="preserve"> </w:t>
      </w:r>
      <w:r>
        <w:rPr>
          <w:rStyle w:val="awspan"/>
          <w:color w:val="000000"/>
        </w:rPr>
        <w:t xml:space="preserve">z., zákona č. 83/2019 Z. z., </w:t>
      </w:r>
      <w:r w:rsidRPr="00383267">
        <w:rPr>
          <w:rStyle w:val="awspan"/>
          <w:color w:val="000000"/>
        </w:rPr>
        <w:t>zákona č. 105/2019 Z. z.</w:t>
      </w:r>
      <w:r>
        <w:rPr>
          <w:rStyle w:val="awspan"/>
          <w:color w:val="000000"/>
        </w:rPr>
        <w:t xml:space="preserve">, zákona č. 221/2019 Z. z. , zákona č. 225/2019 Z. z. a zákona č. 231/2019 Z. z. </w:t>
      </w:r>
      <w:r w:rsidRPr="00694960">
        <w:t xml:space="preserve">sa </w:t>
      </w:r>
      <w:r w:rsidRPr="00EC3A86">
        <w:t xml:space="preserve">mení </w:t>
      </w:r>
      <w:r>
        <w:t xml:space="preserve">a dopĺňa </w:t>
      </w:r>
      <w:r w:rsidRPr="00EC3A86">
        <w:t>takto</w:t>
      </w:r>
      <w:r w:rsidRPr="00694960">
        <w:t>:</w:t>
      </w:r>
    </w:p>
    <w:p w:rsidR="00421243" w:rsidRDefault="00421243" w:rsidP="00421243">
      <w:pPr>
        <w:tabs>
          <w:tab w:val="left" w:pos="567"/>
        </w:tabs>
        <w:ind w:firstLine="708"/>
        <w:jc w:val="both"/>
      </w:pPr>
    </w:p>
    <w:p w:rsidR="00421243" w:rsidRPr="00583575" w:rsidRDefault="00421243" w:rsidP="00421243">
      <w:pPr>
        <w:pStyle w:val="Odsekzoznamu"/>
        <w:widowControl/>
        <w:numPr>
          <w:ilvl w:val="0"/>
          <w:numId w:val="1"/>
        </w:numPr>
        <w:tabs>
          <w:tab w:val="left" w:pos="567"/>
        </w:tabs>
        <w:overflowPunct/>
        <w:adjustRightInd/>
        <w:jc w:val="both"/>
      </w:pPr>
      <w:r>
        <w:t xml:space="preserve">   V § 66 odsek 6</w:t>
      </w:r>
      <w:r w:rsidRPr="00694960">
        <w:t xml:space="preserve"> znie:</w:t>
      </w:r>
    </w:p>
    <w:p w:rsidR="00421243" w:rsidRPr="00583575" w:rsidRDefault="00421243" w:rsidP="00421243">
      <w:pPr>
        <w:pStyle w:val="Odsekzoznamu"/>
        <w:widowControl/>
        <w:overflowPunct/>
        <w:adjustRightInd/>
        <w:ind w:left="360"/>
        <w:jc w:val="both"/>
        <w:rPr>
          <w:rFonts w:eastAsia="Times New Roman"/>
          <w:kern w:val="0"/>
        </w:rPr>
      </w:pPr>
      <w:r>
        <w:rPr>
          <w:rFonts w:eastAsia="Times New Roman"/>
          <w:kern w:val="0"/>
        </w:rPr>
        <w:t>„</w:t>
      </w:r>
      <w:r w:rsidRPr="00583575">
        <w:rPr>
          <w:rFonts w:eastAsia="Times New Roman"/>
          <w:kern w:val="0"/>
        </w:rPr>
        <w:t xml:space="preserve">(6) Suma starobného dôchodku poistenca, ktorý je sporiteľ alebo bol sporiteľ podľa </w:t>
      </w:r>
      <w:r>
        <w:rPr>
          <w:rFonts w:eastAsia="Times New Roman"/>
          <w:kern w:val="0"/>
        </w:rPr>
        <w:tab/>
      </w:r>
      <w:r w:rsidRPr="00583575">
        <w:rPr>
          <w:rFonts w:eastAsia="Times New Roman"/>
          <w:kern w:val="0"/>
        </w:rPr>
        <w:t>osobitného predpisu</w:t>
      </w:r>
      <w:r w:rsidRPr="00A465F4">
        <w:rPr>
          <w:rFonts w:eastAsia="Times New Roman"/>
          <w:kern w:val="0"/>
        </w:rPr>
        <w:t>,</w:t>
      </w:r>
      <w:r w:rsidRPr="00A465F4">
        <w:rPr>
          <w:rFonts w:eastAsia="Times New Roman"/>
          <w:bCs/>
          <w:kern w:val="0"/>
          <w:vertAlign w:val="superscript"/>
        </w:rPr>
        <w:t>1</w:t>
      </w:r>
      <w:r w:rsidRPr="00A465F4">
        <w:rPr>
          <w:rFonts w:eastAsia="Times New Roman"/>
          <w:bCs/>
          <w:kern w:val="0"/>
        </w:rPr>
        <w:t>)</w:t>
      </w:r>
      <w:r w:rsidRPr="00A465F4">
        <w:rPr>
          <w:rFonts w:eastAsia="Times New Roman"/>
          <w:kern w:val="0"/>
        </w:rPr>
        <w:t xml:space="preserve"> sa </w:t>
      </w:r>
      <w:r w:rsidRPr="00583575">
        <w:rPr>
          <w:rFonts w:eastAsia="Times New Roman"/>
          <w:kern w:val="0"/>
        </w:rPr>
        <w:t xml:space="preserve">za obdobie účasti na starobnom dôchodkovom sporení </w:t>
      </w:r>
    </w:p>
    <w:p w:rsidR="00421243" w:rsidRPr="00D7532C" w:rsidRDefault="00421243" w:rsidP="00421243">
      <w:pPr>
        <w:pStyle w:val="Odsekzoznamu"/>
        <w:widowControl/>
        <w:numPr>
          <w:ilvl w:val="1"/>
          <w:numId w:val="2"/>
        </w:numPr>
        <w:tabs>
          <w:tab w:val="left" w:pos="709"/>
          <w:tab w:val="left" w:pos="1134"/>
        </w:tabs>
        <w:overflowPunct/>
        <w:adjustRightInd/>
        <w:ind w:left="709" w:hanging="425"/>
        <w:jc w:val="both"/>
        <w:rPr>
          <w:rFonts w:eastAsia="Times New Roman"/>
          <w:kern w:val="0"/>
        </w:rPr>
      </w:pPr>
      <w:r w:rsidRPr="00D7532C">
        <w:rPr>
          <w:rFonts w:eastAsia="Times New Roman"/>
          <w:kern w:val="0"/>
        </w:rPr>
        <w:t xml:space="preserve">pred 1. septembrom 2012 zníži o 36/91 pomernej sumy starobného dôchodku patriacej za obdobie účasti na starobnom dôchodkovom sporení, </w:t>
      </w:r>
    </w:p>
    <w:p w:rsidR="00421243" w:rsidRPr="00D7532C" w:rsidRDefault="00421243" w:rsidP="00421243">
      <w:pPr>
        <w:pStyle w:val="Odsekzoznamu"/>
        <w:widowControl/>
        <w:numPr>
          <w:ilvl w:val="1"/>
          <w:numId w:val="2"/>
        </w:numPr>
        <w:tabs>
          <w:tab w:val="left" w:pos="709"/>
          <w:tab w:val="left" w:pos="1134"/>
        </w:tabs>
        <w:overflowPunct/>
        <w:adjustRightInd/>
        <w:ind w:left="709" w:hanging="425"/>
        <w:jc w:val="both"/>
        <w:rPr>
          <w:rFonts w:eastAsia="Times New Roman"/>
          <w:kern w:val="0"/>
        </w:rPr>
      </w:pPr>
      <w:r w:rsidRPr="00D7532C">
        <w:rPr>
          <w:rFonts w:eastAsia="Times New Roman"/>
          <w:kern w:val="0"/>
        </w:rPr>
        <w:t xml:space="preserve">od 1. septembra 2012 do 31. decembra 2016 zníži o 16/91 pomernej sumy starobného dôchodku patriacej za obdobie účasti na starobnom dôchodkovom sporení, </w:t>
      </w:r>
    </w:p>
    <w:p w:rsidR="00421243" w:rsidRPr="00D7532C" w:rsidRDefault="00421243" w:rsidP="00421243">
      <w:pPr>
        <w:pStyle w:val="Odsekzoznamu"/>
        <w:widowControl/>
        <w:numPr>
          <w:ilvl w:val="1"/>
          <w:numId w:val="2"/>
        </w:numPr>
        <w:tabs>
          <w:tab w:val="left" w:pos="709"/>
          <w:tab w:val="left" w:pos="1134"/>
        </w:tabs>
        <w:overflowPunct/>
        <w:adjustRightInd/>
        <w:ind w:left="709" w:hanging="425"/>
        <w:jc w:val="both"/>
        <w:rPr>
          <w:rFonts w:eastAsia="Times New Roman"/>
          <w:kern w:val="0"/>
        </w:rPr>
      </w:pPr>
      <w:r w:rsidRPr="00D7532C">
        <w:rPr>
          <w:rFonts w:eastAsia="Times New Roman"/>
          <w:kern w:val="0"/>
        </w:rPr>
        <w:t xml:space="preserve">od 1. januára 2017 do 31. decembra 2017 zníži o 17/91 pomernej sumy starobného dôchodku patriacej za obdobie účasti na starobnom dôchodkovom sporení, </w:t>
      </w:r>
    </w:p>
    <w:p w:rsidR="00421243" w:rsidRPr="00D7532C" w:rsidRDefault="00421243" w:rsidP="00421243">
      <w:pPr>
        <w:pStyle w:val="Odsekzoznamu"/>
        <w:widowControl/>
        <w:numPr>
          <w:ilvl w:val="1"/>
          <w:numId w:val="2"/>
        </w:numPr>
        <w:tabs>
          <w:tab w:val="left" w:pos="709"/>
          <w:tab w:val="left" w:pos="1134"/>
        </w:tabs>
        <w:overflowPunct/>
        <w:adjustRightInd/>
        <w:ind w:left="709" w:hanging="425"/>
        <w:jc w:val="both"/>
        <w:rPr>
          <w:rFonts w:eastAsia="Times New Roman"/>
          <w:kern w:val="0"/>
        </w:rPr>
      </w:pPr>
      <w:r w:rsidRPr="00D7532C">
        <w:rPr>
          <w:rFonts w:eastAsia="Times New Roman"/>
          <w:kern w:val="0"/>
        </w:rPr>
        <w:t xml:space="preserve">od 1. januára 2018 do 31. decembra 2018 zníži o 18/91 pomernej sumy starobného dôchodku patriacej za obdobie účasti na starobnom dôchodkovom sporení, </w:t>
      </w:r>
    </w:p>
    <w:p w:rsidR="00421243" w:rsidRPr="00D7532C" w:rsidRDefault="00421243" w:rsidP="00421243">
      <w:pPr>
        <w:pStyle w:val="Odsekzoznamu"/>
        <w:widowControl/>
        <w:numPr>
          <w:ilvl w:val="1"/>
          <w:numId w:val="2"/>
        </w:numPr>
        <w:tabs>
          <w:tab w:val="left" w:pos="709"/>
          <w:tab w:val="left" w:pos="1134"/>
        </w:tabs>
        <w:overflowPunct/>
        <w:adjustRightInd/>
        <w:ind w:left="709" w:hanging="425"/>
        <w:jc w:val="both"/>
        <w:rPr>
          <w:rFonts w:eastAsia="Times New Roman"/>
          <w:kern w:val="0"/>
        </w:rPr>
      </w:pPr>
      <w:r w:rsidRPr="00D7532C">
        <w:rPr>
          <w:rFonts w:eastAsia="Times New Roman"/>
          <w:kern w:val="0"/>
        </w:rPr>
        <w:t xml:space="preserve">od 1. januára 2019 do 31. decembra 2019 zníži o 19/91 pomernej sumy starobného dôchodku patriacej za obdobie účasti na starobnom dôchodkovom sporení, </w:t>
      </w:r>
    </w:p>
    <w:p w:rsidR="00421243" w:rsidRPr="00D7532C" w:rsidRDefault="00421243" w:rsidP="00421243">
      <w:pPr>
        <w:pStyle w:val="Odsekzoznamu"/>
        <w:widowControl/>
        <w:numPr>
          <w:ilvl w:val="1"/>
          <w:numId w:val="2"/>
        </w:numPr>
        <w:tabs>
          <w:tab w:val="left" w:pos="709"/>
          <w:tab w:val="left" w:pos="1134"/>
        </w:tabs>
        <w:overflowPunct/>
        <w:adjustRightInd/>
        <w:ind w:left="709" w:hanging="425"/>
        <w:jc w:val="both"/>
        <w:rPr>
          <w:rFonts w:eastAsia="Times New Roman"/>
          <w:kern w:val="0"/>
        </w:rPr>
      </w:pPr>
      <w:r w:rsidRPr="00D7532C">
        <w:rPr>
          <w:rFonts w:eastAsia="Times New Roman"/>
          <w:kern w:val="0"/>
        </w:rPr>
        <w:t xml:space="preserve">od 1. januára 2020 do 31. decembra 2020 zníži o 20/91 pomernej sumy starobného dôchodku patriacej za obdobie účasti na starobnom dôchodkovom sporení, </w:t>
      </w:r>
    </w:p>
    <w:p w:rsidR="00421243" w:rsidRPr="00D7532C" w:rsidRDefault="00421243" w:rsidP="00421243">
      <w:pPr>
        <w:pStyle w:val="Odsekzoznamu"/>
        <w:widowControl/>
        <w:numPr>
          <w:ilvl w:val="1"/>
          <w:numId w:val="2"/>
        </w:numPr>
        <w:tabs>
          <w:tab w:val="left" w:pos="709"/>
          <w:tab w:val="left" w:pos="1134"/>
        </w:tabs>
        <w:overflowPunct/>
        <w:adjustRightInd/>
        <w:ind w:left="709" w:hanging="425"/>
        <w:jc w:val="both"/>
        <w:rPr>
          <w:rFonts w:eastAsia="Times New Roman"/>
          <w:kern w:val="0"/>
        </w:rPr>
      </w:pPr>
      <w:r w:rsidRPr="00D7532C">
        <w:rPr>
          <w:rFonts w:eastAsia="Times New Roman"/>
          <w:kern w:val="0"/>
        </w:rPr>
        <w:t xml:space="preserve">od 1. januára 2021 do 31. decembra 2021 zníži o 3/13 pomernej sumy starobného dôchodku patriacej za obdobie účasti na starobnom dôchodkovom sporení, </w:t>
      </w:r>
    </w:p>
    <w:p w:rsidR="00421243" w:rsidRPr="00D7532C" w:rsidRDefault="00421243" w:rsidP="00421243">
      <w:pPr>
        <w:pStyle w:val="Odsekzoznamu"/>
        <w:widowControl/>
        <w:numPr>
          <w:ilvl w:val="1"/>
          <w:numId w:val="2"/>
        </w:numPr>
        <w:tabs>
          <w:tab w:val="left" w:pos="709"/>
          <w:tab w:val="left" w:pos="1134"/>
        </w:tabs>
        <w:overflowPunct/>
        <w:adjustRightInd/>
        <w:ind w:left="709" w:hanging="425"/>
        <w:jc w:val="both"/>
        <w:rPr>
          <w:rFonts w:eastAsia="Times New Roman"/>
          <w:kern w:val="0"/>
        </w:rPr>
      </w:pPr>
      <w:r w:rsidRPr="00D7532C">
        <w:rPr>
          <w:rFonts w:eastAsia="Times New Roman"/>
          <w:kern w:val="0"/>
        </w:rPr>
        <w:t xml:space="preserve">od 1. januára 2022 do 31. decembra 2022 zníži o 22/91 pomernej sumy starobného dôchodku patriacej za obdobie účasti na starobnom dôchodkovom sporení, </w:t>
      </w:r>
    </w:p>
    <w:p w:rsidR="00421243" w:rsidRPr="00D7532C" w:rsidRDefault="00421243" w:rsidP="00421243">
      <w:pPr>
        <w:pStyle w:val="Odsekzoznamu"/>
        <w:widowControl/>
        <w:numPr>
          <w:ilvl w:val="1"/>
          <w:numId w:val="2"/>
        </w:numPr>
        <w:tabs>
          <w:tab w:val="left" w:pos="709"/>
          <w:tab w:val="left" w:pos="1134"/>
        </w:tabs>
        <w:overflowPunct/>
        <w:adjustRightInd/>
        <w:ind w:left="709" w:hanging="425"/>
        <w:jc w:val="both"/>
        <w:rPr>
          <w:rFonts w:eastAsia="Times New Roman"/>
          <w:kern w:val="0"/>
        </w:rPr>
      </w:pPr>
      <w:r w:rsidRPr="00D7532C">
        <w:rPr>
          <w:rFonts w:eastAsia="Times New Roman"/>
          <w:kern w:val="0"/>
        </w:rPr>
        <w:t xml:space="preserve">od 1. januára 2023 do 31. decembra 2023 zníži o 23/91 pomernej sumy starobného dôchodku patriacej za obdobie účasti na starobnom dôchodkovom sporení, </w:t>
      </w:r>
    </w:p>
    <w:p w:rsidR="00421243" w:rsidRPr="00D7532C" w:rsidRDefault="00421243" w:rsidP="00421243">
      <w:pPr>
        <w:pStyle w:val="Odsekzoznamu"/>
        <w:widowControl/>
        <w:numPr>
          <w:ilvl w:val="1"/>
          <w:numId w:val="2"/>
        </w:numPr>
        <w:tabs>
          <w:tab w:val="left" w:pos="709"/>
          <w:tab w:val="left" w:pos="1134"/>
        </w:tabs>
        <w:overflowPunct/>
        <w:adjustRightInd/>
        <w:ind w:left="709" w:hanging="425"/>
        <w:jc w:val="both"/>
        <w:rPr>
          <w:rFonts w:eastAsia="Times New Roman"/>
          <w:kern w:val="0"/>
        </w:rPr>
      </w:pPr>
      <w:r w:rsidRPr="00D7532C">
        <w:rPr>
          <w:rFonts w:eastAsia="Times New Roman"/>
          <w:kern w:val="0"/>
        </w:rPr>
        <w:t>po 31. decembri 2023 zníži o 24/91 pomernej sumy starobného dôchodku patriacej za obdobie účasti na starobnom dôchodkovom sporení.“.</w:t>
      </w:r>
    </w:p>
    <w:p w:rsidR="00421243" w:rsidRDefault="00421243" w:rsidP="00421243">
      <w:pPr>
        <w:widowControl/>
        <w:overflowPunct/>
        <w:adjustRightInd/>
        <w:ind w:left="567"/>
        <w:jc w:val="both"/>
        <w:rPr>
          <w:rFonts w:eastAsia="Times New Roman"/>
          <w:kern w:val="0"/>
        </w:rPr>
      </w:pPr>
    </w:p>
    <w:p w:rsidR="00421243" w:rsidRPr="00F72CA2" w:rsidRDefault="00421243" w:rsidP="00421243">
      <w:pPr>
        <w:pStyle w:val="Odsekzoznamu"/>
        <w:widowControl/>
        <w:numPr>
          <w:ilvl w:val="0"/>
          <w:numId w:val="1"/>
        </w:numPr>
        <w:overflowPunct/>
        <w:adjustRightInd/>
        <w:jc w:val="both"/>
      </w:pPr>
      <w:r w:rsidRPr="00F72CA2">
        <w:rPr>
          <w:rFonts w:eastAsia="Times New Roman"/>
          <w:kern w:val="0"/>
        </w:rPr>
        <w:t>Za § 293e</w:t>
      </w:r>
      <w:r>
        <w:rPr>
          <w:rFonts w:eastAsia="Times New Roman"/>
          <w:kern w:val="0"/>
        </w:rPr>
        <w:t>j</w:t>
      </w:r>
      <w:r w:rsidRPr="00F72CA2">
        <w:rPr>
          <w:rFonts w:eastAsia="Times New Roman"/>
          <w:kern w:val="0"/>
        </w:rPr>
        <w:t xml:space="preserve"> sa vklad</w:t>
      </w:r>
      <w:r>
        <w:rPr>
          <w:rFonts w:eastAsia="Times New Roman"/>
          <w:kern w:val="0"/>
        </w:rPr>
        <w:t>á</w:t>
      </w:r>
      <w:r w:rsidRPr="00F72CA2">
        <w:rPr>
          <w:rFonts w:eastAsia="Times New Roman"/>
          <w:kern w:val="0"/>
        </w:rPr>
        <w:t xml:space="preserve"> § 293e</w:t>
      </w:r>
      <w:r>
        <w:rPr>
          <w:rFonts w:eastAsia="Times New Roman"/>
          <w:kern w:val="0"/>
        </w:rPr>
        <w:t>k</w:t>
      </w:r>
      <w:r w:rsidRPr="00F72CA2">
        <w:rPr>
          <w:rFonts w:eastAsia="Times New Roman"/>
          <w:kern w:val="0"/>
        </w:rPr>
        <w:t xml:space="preserve">, </w:t>
      </w:r>
      <w:r w:rsidRPr="00F72CA2">
        <w:t>kt</w:t>
      </w:r>
      <w:r>
        <w:t xml:space="preserve">orý vrátane nadpisu </w:t>
      </w:r>
      <w:r w:rsidRPr="00F72CA2">
        <w:t>zn</w:t>
      </w:r>
      <w:r>
        <w:t>i</w:t>
      </w:r>
      <w:r w:rsidRPr="00F72CA2">
        <w:t>e:</w:t>
      </w:r>
    </w:p>
    <w:p w:rsidR="00421243" w:rsidRDefault="00421243" w:rsidP="00421243"/>
    <w:p w:rsidR="00421243" w:rsidRPr="00E10344" w:rsidRDefault="00421243" w:rsidP="00421243">
      <w:pPr>
        <w:jc w:val="center"/>
      </w:pPr>
      <w:r w:rsidRPr="00E10344">
        <w:t>„§ 293ek</w:t>
      </w:r>
    </w:p>
    <w:p w:rsidR="00421243" w:rsidRPr="00E10344" w:rsidRDefault="00421243" w:rsidP="00421243">
      <w:pPr>
        <w:jc w:val="center"/>
      </w:pPr>
    </w:p>
    <w:p w:rsidR="00421243" w:rsidRPr="00E10344" w:rsidRDefault="00421243" w:rsidP="00421243">
      <w:pPr>
        <w:jc w:val="center"/>
        <w:rPr>
          <w:b/>
        </w:rPr>
      </w:pPr>
      <w:r w:rsidRPr="00E10344">
        <w:t>Prechodné ustanovenie k úprave účinnej od 1. januára 2020</w:t>
      </w:r>
    </w:p>
    <w:p w:rsidR="00421243" w:rsidRDefault="00421243" w:rsidP="00421243">
      <w:pPr>
        <w:rPr>
          <w:b/>
        </w:rPr>
      </w:pPr>
    </w:p>
    <w:p w:rsidR="00421243" w:rsidRDefault="00421243" w:rsidP="00421243">
      <w:pPr>
        <w:ind w:left="360"/>
        <w:jc w:val="both"/>
      </w:pPr>
      <w:r>
        <w:t>Ak suma starobného dôchodku alebo predčasného starobného dôchodku poistenca, ktorý je sporiteľ alebo bol sporiteľ podľa osobitného predpisu</w:t>
      </w:r>
      <w:r w:rsidRPr="00E46FC2">
        <w:rPr>
          <w:vertAlign w:val="superscript"/>
        </w:rPr>
        <w:t xml:space="preserve">1) </w:t>
      </w:r>
      <w:r>
        <w:t xml:space="preserve"> bola znížená podľa zákona účinného do 31. decembra 2019 a starobný dôchodok alebo predčasný starobný dôchodok sa vypláca po tomto dátume, suma starobného dôchodku alebo predčasného starobného dôchodku sa od 1. januára 2020 novo určí podľa zákona účinného od 1. januára 2020; o sume starobného dôchodku alebo predčasného starobného dôchodku sa rozhodne do 30. júna 2020.</w:t>
      </w:r>
    </w:p>
    <w:p w:rsidR="00421243" w:rsidRDefault="00421243" w:rsidP="00421243">
      <w:pPr>
        <w:jc w:val="both"/>
      </w:pPr>
    </w:p>
    <w:p w:rsidR="00421243" w:rsidRDefault="00421243" w:rsidP="00421243">
      <w:pPr>
        <w:jc w:val="both"/>
      </w:pPr>
    </w:p>
    <w:p w:rsidR="00421243" w:rsidRDefault="00421243" w:rsidP="00421243">
      <w:pPr>
        <w:spacing w:after="200"/>
        <w:jc w:val="center"/>
      </w:pPr>
      <w:r>
        <w:rPr>
          <w:b/>
        </w:rPr>
        <w:t>Čl. II</w:t>
      </w:r>
    </w:p>
    <w:p w:rsidR="00421243" w:rsidRDefault="00421243" w:rsidP="00421243">
      <w:pPr>
        <w:spacing w:after="200"/>
        <w:jc w:val="both"/>
      </w:pPr>
      <w:r>
        <w:t>Tento zákon nadobúda účinnosť 1. januára 2020.</w:t>
      </w:r>
    </w:p>
    <w:p w:rsidR="00421243" w:rsidRDefault="00421243" w:rsidP="00421243">
      <w:pPr>
        <w:rPr>
          <w:b/>
        </w:rPr>
      </w:pPr>
    </w:p>
    <w:p w:rsidR="00421243" w:rsidRDefault="00421243" w:rsidP="00421243">
      <w:pPr>
        <w:rPr>
          <w:b/>
        </w:rPr>
      </w:pPr>
    </w:p>
    <w:p w:rsidR="00421243" w:rsidRDefault="00421243" w:rsidP="00421243">
      <w:pPr>
        <w:rPr>
          <w:b/>
        </w:rPr>
      </w:pPr>
    </w:p>
    <w:p w:rsidR="004C7400" w:rsidRDefault="004C7400">
      <w:bookmarkStart w:id="0" w:name="_GoBack"/>
      <w:bookmarkEnd w:id="0"/>
    </w:p>
    <w:sectPr w:rsidR="004C74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E5CFF"/>
    <w:multiLevelType w:val="hybridMultilevel"/>
    <w:tmpl w:val="5D481DCA"/>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5E3C6B04"/>
    <w:multiLevelType w:val="hybridMultilevel"/>
    <w:tmpl w:val="6442CF00"/>
    <w:lvl w:ilvl="0" w:tplc="E216EE0C">
      <w:start w:val="1"/>
      <w:numFmt w:val="decimal"/>
      <w:lvlText w:val="%1."/>
      <w:lvlJc w:val="left"/>
      <w:pPr>
        <w:ind w:left="360" w:hanging="360"/>
      </w:pPr>
      <w:rPr>
        <w:rFonts w:hint="default"/>
        <w:b/>
      </w:rPr>
    </w:lvl>
    <w:lvl w:ilvl="1" w:tplc="B68000EE">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243"/>
    <w:rsid w:val="00421243"/>
    <w:rsid w:val="004C74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980055-6EB4-464E-AAEA-D042B63C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21243"/>
    <w:pPr>
      <w:widowControl w:val="0"/>
      <w:overflowPunct w:val="0"/>
      <w:adjustRightInd w:val="0"/>
      <w:spacing w:after="0" w:line="240" w:lineRule="auto"/>
    </w:pPr>
    <w:rPr>
      <w:rFonts w:ascii="Times New Roman" w:eastAsiaTheme="minorEastAsia" w:hAnsi="Times New Roman" w:cs="Times New Roman"/>
      <w:kern w:val="28"/>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
    <w:basedOn w:val="Normlny"/>
    <w:link w:val="OdsekzoznamuChar"/>
    <w:uiPriority w:val="34"/>
    <w:qFormat/>
    <w:rsid w:val="00421243"/>
    <w:pPr>
      <w:ind w:left="720"/>
      <w:contextualSpacing/>
    </w:pPr>
  </w:style>
  <w:style w:type="character" w:customStyle="1" w:styleId="OdsekzoznamuChar">
    <w:name w:val="Odsek zoznamu Char"/>
    <w:aliases w:val="body Char,Odsek zoznamu2 Char,Odsek Char,Odsek zoznamu1 Char"/>
    <w:basedOn w:val="Predvolenpsmoodseku"/>
    <w:link w:val="Odsekzoznamu"/>
    <w:uiPriority w:val="34"/>
    <w:locked/>
    <w:rsid w:val="00421243"/>
    <w:rPr>
      <w:rFonts w:ascii="Times New Roman" w:eastAsiaTheme="minorEastAsia" w:hAnsi="Times New Roman" w:cs="Times New Roman"/>
      <w:kern w:val="28"/>
      <w:sz w:val="24"/>
      <w:szCs w:val="24"/>
      <w:lang w:eastAsia="sk-SK"/>
    </w:rPr>
  </w:style>
  <w:style w:type="character" w:customStyle="1" w:styleId="awspan">
    <w:name w:val="awspan"/>
    <w:basedOn w:val="Predvolenpsmoodseku"/>
    <w:rsid w:val="00421243"/>
  </w:style>
  <w:style w:type="paragraph" w:styleId="Nzov">
    <w:name w:val="Title"/>
    <w:basedOn w:val="Normlny"/>
    <w:link w:val="NzovChar"/>
    <w:uiPriority w:val="99"/>
    <w:qFormat/>
    <w:rsid w:val="00421243"/>
    <w:pPr>
      <w:widowControl/>
      <w:overflowPunct/>
      <w:adjustRightInd/>
      <w:jc w:val="center"/>
    </w:pPr>
    <w:rPr>
      <w:rFonts w:ascii="Arial Narrow" w:eastAsia="Times New Roman" w:hAnsi="Arial Narrow" w:cs="Arial Narrow"/>
      <w:b/>
      <w:bCs/>
      <w:kern w:val="0"/>
      <w:u w:val="single"/>
      <w:lang w:eastAsia="cs-CZ"/>
    </w:rPr>
  </w:style>
  <w:style w:type="character" w:customStyle="1" w:styleId="NzovChar">
    <w:name w:val="Názov Char"/>
    <w:basedOn w:val="Predvolenpsmoodseku"/>
    <w:link w:val="Nzov"/>
    <w:uiPriority w:val="99"/>
    <w:rsid w:val="00421243"/>
    <w:rPr>
      <w:rFonts w:ascii="Arial Narrow" w:eastAsia="Times New Roman" w:hAnsi="Arial Narrow" w:cs="Arial Narrow"/>
      <w:b/>
      <w:bCs/>
      <w:sz w:val="24"/>
      <w:szCs w:val="24"/>
      <w:u w:val="single"/>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779</Words>
  <Characters>4443</Characters>
  <Application>Microsoft Office Word</Application>
  <DocSecurity>0</DocSecurity>
  <Lines>37</Lines>
  <Paragraphs>10</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Mifková, Miroslava</dc:creator>
  <cp:keywords/>
  <dc:description/>
  <cp:lastModifiedBy>Mifková, Miroslava</cp:lastModifiedBy>
  <cp:revision>1</cp:revision>
  <dcterms:created xsi:type="dcterms:W3CDTF">2019-09-27T11:02:00Z</dcterms:created>
  <dcterms:modified xsi:type="dcterms:W3CDTF">2019-09-27T11:02:00Z</dcterms:modified>
</cp:coreProperties>
</file>