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19" w:rsidRPr="008762A6" w:rsidRDefault="00E34E19" w:rsidP="00E34E1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34E19" w:rsidRPr="008762A6" w:rsidRDefault="00E34E19" w:rsidP="00E34E1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E02A5" w:rsidRPr="00AE02A5" w:rsidRDefault="00AE02A5" w:rsidP="00AE02A5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4E19" w:rsidRPr="00AE02A5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="00E34E19" w:rsidRPr="00AE02A5">
        <w:rPr>
          <w:rFonts w:ascii="Times New Roman" w:hAnsi="Times New Roman" w:cs="Times New Roman"/>
          <w:sz w:val="24"/>
          <w:szCs w:val="24"/>
        </w:rPr>
        <w:t xml:space="preserve"> poslanci Národnej rady Slovenskej republiky </w:t>
      </w:r>
      <w:r w:rsidRPr="00AE02A5">
        <w:rPr>
          <w:rFonts w:ascii="Times New Roman" w:hAnsi="Times New Roman" w:cs="Times New Roman"/>
          <w:sz w:val="24"/>
          <w:szCs w:val="24"/>
          <w:lang w:eastAsia="en-US"/>
        </w:rPr>
        <w:t xml:space="preserve">Peter  </w:t>
      </w:r>
      <w:r w:rsidRPr="00AE02A5">
        <w:rPr>
          <w:rFonts w:ascii="Times New Roman" w:hAnsi="Times New Roman" w:cs="Times New Roman"/>
          <w:caps/>
          <w:sz w:val="24"/>
          <w:szCs w:val="24"/>
          <w:lang w:eastAsia="en-US"/>
        </w:rPr>
        <w:t>PčolinskÝ</w:t>
      </w:r>
      <w:r w:rsidRPr="00AE02A5">
        <w:rPr>
          <w:rFonts w:ascii="Times New Roman" w:hAnsi="Times New Roman" w:cs="Times New Roman"/>
          <w:sz w:val="24"/>
          <w:szCs w:val="24"/>
          <w:lang w:eastAsia="en-US"/>
        </w:rPr>
        <w:t xml:space="preserve">, Boris KOLLÁR, Milan </w:t>
      </w:r>
      <w:r w:rsidRPr="00AE02A5">
        <w:rPr>
          <w:rFonts w:ascii="Times New Roman" w:hAnsi="Times New Roman" w:cs="Times New Roman"/>
          <w:caps/>
          <w:sz w:val="24"/>
          <w:szCs w:val="24"/>
          <w:lang w:eastAsia="en-US"/>
        </w:rPr>
        <w:t>Krajniak</w:t>
      </w:r>
      <w:r w:rsidRPr="00AE02A5">
        <w:rPr>
          <w:rFonts w:ascii="Times New Roman" w:hAnsi="Times New Roman" w:cs="Times New Roman"/>
          <w:sz w:val="24"/>
          <w:szCs w:val="24"/>
          <w:lang w:eastAsia="en-US"/>
        </w:rPr>
        <w:t xml:space="preserve">,  Petra KRIŠTÚFKOVÁ, Adriana </w:t>
      </w:r>
      <w:r w:rsidRPr="00AE02A5">
        <w:rPr>
          <w:rFonts w:ascii="Times New Roman" w:hAnsi="Times New Roman" w:cs="Times New Roman"/>
          <w:caps/>
          <w:sz w:val="24"/>
          <w:szCs w:val="24"/>
          <w:lang w:eastAsia="en-US"/>
        </w:rPr>
        <w:t>Pčolinsk</w:t>
      </w:r>
      <w:r w:rsidRPr="00AE02A5">
        <w:rPr>
          <w:rFonts w:ascii="Times New Roman" w:hAnsi="Times New Roman" w:cs="Times New Roman"/>
          <w:sz w:val="24"/>
          <w:szCs w:val="24"/>
          <w:lang w:eastAsia="en-US"/>
        </w:rPr>
        <w:t>Á</w:t>
      </w:r>
      <w:r w:rsidRPr="00AE02A5">
        <w:rPr>
          <w:rFonts w:ascii="Times New Roman" w:hAnsi="Times New Roman" w:cs="Times New Roman"/>
          <w:caps/>
          <w:sz w:val="24"/>
          <w:szCs w:val="24"/>
          <w:lang w:eastAsia="en-US"/>
        </w:rPr>
        <w:t xml:space="preserve">, </w:t>
      </w:r>
      <w:r w:rsidRPr="00AE02A5">
        <w:rPr>
          <w:rFonts w:ascii="Times New Roman" w:hAnsi="Times New Roman" w:cs="Times New Roman"/>
          <w:sz w:val="24"/>
          <w:szCs w:val="24"/>
          <w:lang w:eastAsia="en-US"/>
        </w:rPr>
        <w:t>Peter ŠTARCHOŇ.</w:t>
      </w:r>
    </w:p>
    <w:p w:rsidR="004270F6" w:rsidRPr="00DE42CC" w:rsidRDefault="004270F6" w:rsidP="00AE02A5">
      <w:pPr>
        <w:pStyle w:val="Odsekzoznamu"/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  <w:color w:val="000000"/>
        </w:rPr>
      </w:pPr>
    </w:p>
    <w:p w:rsidR="00DE42CC" w:rsidRDefault="00DE42CC" w:rsidP="00DE42CC">
      <w:pPr>
        <w:pStyle w:val="Odsekzoznamu"/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  <w:color w:val="000000"/>
        </w:rPr>
      </w:pPr>
    </w:p>
    <w:p w:rsidR="00DE42CC" w:rsidRPr="00DE42CC" w:rsidRDefault="00DE42CC" w:rsidP="00DE42CC">
      <w:pPr>
        <w:pStyle w:val="Odsekzoznamu"/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  <w:color w:val="000000"/>
        </w:rPr>
      </w:pPr>
    </w:p>
    <w:p w:rsidR="00E34E19" w:rsidRDefault="00E34E19" w:rsidP="00DE42CC">
      <w:pPr>
        <w:suppressAutoHyphens/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4E1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19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DE42CC">
        <w:rPr>
          <w:rFonts w:ascii="Times New Roman" w:hAnsi="Times New Roman"/>
          <w:sz w:val="24"/>
          <w:szCs w:val="24"/>
        </w:rPr>
        <w:t>Návrh zákona, ktorým sa dopĺňa zákon č. 222/2004 Z. z. o dani z pridanej hodnoty v znení neskorších predpisov</w:t>
      </w:r>
    </w:p>
    <w:p w:rsidR="00DE42CC" w:rsidRDefault="00DE42CC" w:rsidP="00DE42CC">
      <w:pPr>
        <w:suppressAutoHyphens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predpisu:</w:t>
      </w:r>
    </w:p>
    <w:p w:rsidR="00E34E19" w:rsidRPr="004D2D80" w:rsidRDefault="00E34E19" w:rsidP="00E34E19">
      <w:pPr>
        <w:rPr>
          <w:rFonts w:ascii="Times New Roman" w:hAnsi="Times New Roman" w:cs="Times New Roman"/>
          <w:b/>
          <w:sz w:val="24"/>
          <w:szCs w:val="24"/>
        </w:rPr>
      </w:pPr>
    </w:p>
    <w:p w:rsidR="004D2D80" w:rsidRPr="004D2D80" w:rsidRDefault="004D2D80" w:rsidP="004D2D80">
      <w:pPr>
        <w:pStyle w:val="Zkladntext"/>
        <w:ind w:left="850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je upravená v práve Európskej únie:</w:t>
      </w:r>
    </w:p>
    <w:p w:rsidR="004D2D80" w:rsidRPr="004D2D80" w:rsidRDefault="004D2D80" w:rsidP="004D2D80">
      <w:pPr>
        <w:pStyle w:val="Zkladntext"/>
        <w:numPr>
          <w:ilvl w:val="1"/>
          <w:numId w:val="10"/>
        </w:numPr>
        <w:tabs>
          <w:tab w:val="left" w:pos="709"/>
          <w:tab w:val="left" w:pos="851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2D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Primárne právo: </w:t>
      </w:r>
    </w:p>
    <w:p w:rsidR="004D2D80" w:rsidRPr="004D2D80" w:rsidRDefault="004D2D80" w:rsidP="004D2D80">
      <w:pPr>
        <w:pStyle w:val="Zkladntext"/>
        <w:numPr>
          <w:ilvl w:val="0"/>
          <w:numId w:val="11"/>
        </w:numPr>
        <w:tabs>
          <w:tab w:val="num" w:pos="851"/>
        </w:tabs>
        <w:ind w:left="896" w:hanging="329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čl. 110 až 113, čl. 349 a 355 ods. 1 Zmluvy o fungovaní Európskej únie.</w:t>
      </w:r>
    </w:p>
    <w:p w:rsidR="004D2D80" w:rsidRPr="004D2D80" w:rsidRDefault="004D2D80" w:rsidP="004D2D80">
      <w:pPr>
        <w:pStyle w:val="Zarkazkladnhotextu"/>
        <w:numPr>
          <w:ilvl w:val="1"/>
          <w:numId w:val="10"/>
        </w:numPr>
        <w:spacing w:after="0"/>
        <w:jc w:val="both"/>
        <w:rPr>
          <w:sz w:val="24"/>
          <w:szCs w:val="24"/>
        </w:rPr>
      </w:pPr>
      <w:r w:rsidRPr="004D2D80">
        <w:rPr>
          <w:b/>
          <w:bCs/>
          <w:iCs/>
          <w:sz w:val="24"/>
          <w:szCs w:val="24"/>
        </w:rPr>
        <w:t>Sekundárne právo:</w:t>
      </w:r>
    </w:p>
    <w:p w:rsidR="004D2D80" w:rsidRPr="004D2D80" w:rsidRDefault="004D2D80" w:rsidP="004D2D80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D2D80">
        <w:rPr>
          <w:rStyle w:val="Siln"/>
          <w:rFonts w:ascii="Times New Roman" w:hAnsi="Times New Roman" w:cs="Times New Roman"/>
          <w:sz w:val="24"/>
          <w:szCs w:val="24"/>
        </w:rPr>
        <w:t>čl. 1 smernice Rady (EÚ) 2017/2455 z 5. decembra 2017, ktorou sa mení smernica 2006/112/ES a smernica 2009/132/ES, pokiaľ ide o určité povinnosti týkajúce sa dane z pridanej hodnoty pri poskytovaní služieb a predaji tovaru na diaľku (</w:t>
      </w:r>
      <w:r w:rsidRPr="004D2D80">
        <w:rPr>
          <w:rFonts w:ascii="Times New Roman" w:hAnsi="Times New Roman" w:cs="Times New Roman"/>
          <w:iCs/>
          <w:sz w:val="24"/>
          <w:szCs w:val="24"/>
        </w:rPr>
        <w:t>Ú. v. EÚ L 348, 29.12.2017), gestor: MF SR,</w:t>
      </w:r>
    </w:p>
    <w:p w:rsidR="004D2D80" w:rsidRPr="004D2D80" w:rsidRDefault="004D2D80" w:rsidP="004D2D80">
      <w:pPr>
        <w:pStyle w:val="Zarkazkladnhotextu"/>
        <w:numPr>
          <w:ilvl w:val="0"/>
          <w:numId w:val="12"/>
        </w:numPr>
        <w:autoSpaceDE w:val="0"/>
        <w:autoSpaceDN w:val="0"/>
        <w:adjustRightInd w:val="0"/>
        <w:ind w:left="896" w:hanging="357"/>
        <w:jc w:val="both"/>
        <w:rPr>
          <w:rStyle w:val="Zvraznenie"/>
          <w:i w:val="0"/>
        </w:rPr>
      </w:pPr>
      <w:r w:rsidRPr="004D2D80">
        <w:rPr>
          <w:rStyle w:val="Siln"/>
          <w:sz w:val="24"/>
          <w:szCs w:val="24"/>
        </w:rPr>
        <w:t>smernica Rady (EÚ) 2016/1065 z 27. júna 2016, ktorou sa mení smernica 2006/112/ES, pokiaľ ide o zaobchádzanie s poukazmi (</w:t>
      </w:r>
      <w:r w:rsidRPr="004D2D80">
        <w:rPr>
          <w:iCs/>
          <w:sz w:val="24"/>
          <w:szCs w:val="24"/>
        </w:rPr>
        <w:t>Ú. v. EÚ L 177, 1.7.2016) gestor: MF SR</w:t>
      </w:r>
      <w:r w:rsidRPr="004D2D80">
        <w:rPr>
          <w:rStyle w:val="Zvraznenie"/>
          <w:sz w:val="24"/>
          <w:szCs w:val="24"/>
        </w:rPr>
        <w:t>,</w:t>
      </w:r>
    </w:p>
    <w:p w:rsidR="004D2D80" w:rsidRPr="004D2D80" w:rsidRDefault="004D2D80" w:rsidP="004D2D80">
      <w:pPr>
        <w:pStyle w:val="Zarkazkladnhotextu"/>
        <w:numPr>
          <w:ilvl w:val="0"/>
          <w:numId w:val="12"/>
        </w:numPr>
        <w:autoSpaceDE w:val="0"/>
        <w:autoSpaceDN w:val="0"/>
        <w:adjustRightInd w:val="0"/>
        <w:ind w:left="907" w:hanging="397"/>
        <w:jc w:val="both"/>
      </w:pPr>
      <w:r w:rsidRPr="004D2D80">
        <w:rPr>
          <w:bCs/>
          <w:sz w:val="24"/>
          <w:szCs w:val="24"/>
        </w:rPr>
        <w:t xml:space="preserve">smernica Rady </w:t>
      </w:r>
      <w:r w:rsidRPr="004D2D80">
        <w:rPr>
          <w:bCs/>
          <w:sz w:val="24"/>
          <w:szCs w:val="24"/>
          <w:u w:val="single"/>
        </w:rPr>
        <w:t>2006/112/ES</w:t>
      </w:r>
      <w:r w:rsidRPr="004D2D80">
        <w:rPr>
          <w:bCs/>
          <w:sz w:val="24"/>
          <w:szCs w:val="24"/>
        </w:rPr>
        <w:t xml:space="preserve"> z  28. novembra 2006 o spoločnom systéme dane z pridanej hodnoty </w:t>
      </w:r>
      <w:r w:rsidRPr="004D2D80">
        <w:rPr>
          <w:sz w:val="24"/>
          <w:szCs w:val="24"/>
        </w:rPr>
        <w:t>(Ú. v. EÚ L 347, 11.12.2006)</w:t>
      </w:r>
      <w:r w:rsidRPr="004D2D80">
        <w:rPr>
          <w:bCs/>
          <w:sz w:val="24"/>
          <w:szCs w:val="24"/>
        </w:rPr>
        <w:t xml:space="preserve"> v platnom znení, </w:t>
      </w:r>
      <w:r w:rsidRPr="004D2D80">
        <w:rPr>
          <w:iCs/>
          <w:sz w:val="24"/>
          <w:szCs w:val="24"/>
        </w:rPr>
        <w:t>gestor: MF SR</w:t>
      </w:r>
      <w:r w:rsidRPr="004D2D80">
        <w:rPr>
          <w:sz w:val="24"/>
          <w:szCs w:val="24"/>
        </w:rPr>
        <w:t>.</w:t>
      </w:r>
    </w:p>
    <w:p w:rsidR="004D2D80" w:rsidRPr="004D2D80" w:rsidRDefault="004D2D80" w:rsidP="004D2D80">
      <w:pPr>
        <w:pStyle w:val="Zkladntex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je obsiahnutá v judikatúre Súdneho dvora Európskej únie:</w:t>
      </w:r>
    </w:p>
    <w:p w:rsidR="004D2D80" w:rsidRPr="004D2D80" w:rsidRDefault="004D2D80" w:rsidP="004D2D80">
      <w:pPr>
        <w:pStyle w:val="Zkladntext"/>
        <w:numPr>
          <w:ilvl w:val="0"/>
          <w:numId w:val="13"/>
        </w:numPr>
        <w:ind w:left="907" w:hanging="397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   rozhodnutie Súdneho dvora vo veci C - 381/97,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Belgocodex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SA proti Belgickému kráľovstvu [1998],</w:t>
      </w:r>
    </w:p>
    <w:p w:rsidR="004D2D80" w:rsidRPr="004D2D80" w:rsidRDefault="004D2D80" w:rsidP="004D2D80">
      <w:pPr>
        <w:spacing w:before="15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Výrok rozhodnutia:  </w:t>
      </w:r>
    </w:p>
    <w:p w:rsidR="004D2D80" w:rsidRPr="004D2D80" w:rsidRDefault="004D2D80" w:rsidP="004D2D80">
      <w:pPr>
        <w:pStyle w:val="Normlnywebov"/>
        <w:shd w:val="clear" w:color="auto" w:fill="FFFFFF"/>
        <w:spacing w:before="0" w:after="0"/>
        <w:ind w:left="851"/>
        <w:jc w:val="both"/>
        <w:rPr>
          <w:color w:val="000000"/>
        </w:rPr>
      </w:pPr>
      <w:r w:rsidRPr="004D2D80">
        <w:rPr>
          <w:color w:val="000000"/>
        </w:rPr>
        <w:t xml:space="preserve">Článok 2 Prvej smernice Rady 67/227/EHS Rady z 11. apríla 1967 o harmonizácii právnych predpisov členských štátov týkajúcich sa dane sa má vykladať tak, že nebráni členskému štátu, </w:t>
      </w:r>
    </w:p>
    <w:p w:rsidR="004D2D80" w:rsidRPr="004D2D80" w:rsidRDefault="004D2D80" w:rsidP="004D2D80">
      <w:pPr>
        <w:pStyle w:val="Normlnywebov"/>
        <w:shd w:val="clear" w:color="auto" w:fill="FFFFFF"/>
        <w:spacing w:before="0" w:after="0"/>
        <w:ind w:left="851"/>
        <w:jc w:val="both"/>
        <w:rPr>
          <w:color w:val="000000"/>
        </w:rPr>
      </w:pPr>
      <w:r w:rsidRPr="004D2D80">
        <w:rPr>
          <w:color w:val="000000"/>
        </w:rPr>
        <w:t>- ktorý využil možnosť stanovenú článkom 13C Šiestej smernice Rady 77/388/EHS Rady zo 17. mája 1997 o zosúladení právnych predpisov členských štátov týkajúcich sa daní z obratu - spoločný systém dane z pridanej hodnoty: jednotný základ jej stanovenia, a </w:t>
      </w:r>
    </w:p>
    <w:p w:rsidR="004D2D80" w:rsidRPr="004D2D80" w:rsidRDefault="004D2D80" w:rsidP="00F872D5">
      <w:pPr>
        <w:pStyle w:val="Normlnywebov"/>
        <w:shd w:val="clear" w:color="auto" w:fill="FFFFFF"/>
        <w:spacing w:before="0" w:after="0"/>
        <w:ind w:left="851"/>
        <w:jc w:val="both"/>
        <w:rPr>
          <w:color w:val="000000"/>
        </w:rPr>
      </w:pPr>
      <w:r w:rsidRPr="004D2D80">
        <w:rPr>
          <w:color w:val="000000"/>
        </w:rPr>
        <w:lastRenderedPageBreak/>
        <w:t>- ktorý tak poskytol svojim zdaniteľným osobám právo využiť voľbu zdaňovania určitých nájmov nehnuteľného majetku, aby zrušil toto právo voľby následným zákonom a tým opätovne zaviedol oslobodenie.</w:t>
      </w:r>
    </w:p>
    <w:p w:rsidR="004D2D80" w:rsidRPr="004D2D80" w:rsidRDefault="004D2D80" w:rsidP="004D2D80">
      <w:pPr>
        <w:pStyle w:val="Normlnywebov"/>
        <w:shd w:val="clear" w:color="auto" w:fill="FFFFFF"/>
        <w:spacing w:before="0" w:after="0"/>
        <w:ind w:left="851"/>
        <w:jc w:val="both"/>
        <w:rPr>
          <w:color w:val="000000"/>
        </w:rPr>
      </w:pPr>
      <w:r w:rsidRPr="004D2D80">
        <w:rPr>
          <w:color w:val="000000"/>
        </w:rPr>
        <w:t>Vnútroštátnemu súdu prislúcha určiť, či porušenie zásady ochrany legitímnej dôvery alebo zásady právnej istoty bolo spochybnené retroaktívnym zrušením zákona, v súvislosti s ktorým nebolo prijaté vykonávacie nariadenie.</w:t>
      </w:r>
    </w:p>
    <w:p w:rsidR="004D2D80" w:rsidRPr="004D2D80" w:rsidRDefault="004D2D80" w:rsidP="004D2D80">
      <w:pPr>
        <w:numPr>
          <w:ilvl w:val="0"/>
          <w:numId w:val="13"/>
        </w:numPr>
        <w:spacing w:before="150" w:after="240"/>
        <w:ind w:left="851" w:right="28" w:hanging="397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   rozhodnutie Súdneho dvora vo veciach C - 487/01 a C - 7/02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Gemeente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Leusden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Holin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Groep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BV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proti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Staatssecretaris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4D2D80">
        <w:rPr>
          <w:rFonts w:ascii="Times New Roman" w:hAnsi="Times New Roman" w:cs="Times New Roman"/>
          <w:sz w:val="24"/>
          <w:szCs w:val="24"/>
        </w:rPr>
        <w:t>Financiën</w:t>
      </w:r>
      <w:proofErr w:type="spellEnd"/>
      <w:r w:rsidRPr="004D2D80">
        <w:rPr>
          <w:rFonts w:ascii="Times New Roman" w:hAnsi="Times New Roman" w:cs="Times New Roman"/>
          <w:sz w:val="24"/>
          <w:szCs w:val="24"/>
        </w:rPr>
        <w:t>, [2004],</w:t>
      </w:r>
    </w:p>
    <w:p w:rsidR="004D2D80" w:rsidRPr="004D2D80" w:rsidRDefault="004D2D80" w:rsidP="004D2D80">
      <w:pPr>
        <w:spacing w:before="15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Výrok rozhodnutia:  </w:t>
      </w:r>
    </w:p>
    <w:p w:rsidR="004D2D80" w:rsidRPr="004D2D80" w:rsidRDefault="004D2D80" w:rsidP="004D2D80">
      <w:pPr>
        <w:ind w:lef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2D80">
        <w:rPr>
          <w:rFonts w:ascii="Times New Roman" w:hAnsi="Times New Roman" w:cs="Times New Roman"/>
          <w:bCs/>
          <w:color w:val="000000"/>
          <w:sz w:val="24"/>
          <w:szCs w:val="24"/>
        </w:rPr>
        <w:t>1. Články 17 a 20 šiestej smernice Rady 77/388/EHS zo 17. mája 1977</w:t>
      </w:r>
      <w:r w:rsidRPr="004D2D80">
        <w:rPr>
          <w:rFonts w:ascii="Times New Roman" w:hAnsi="Times New Roman" w:cs="Times New Roman"/>
          <w:color w:val="000000"/>
          <w:sz w:val="24"/>
          <w:szCs w:val="24"/>
        </w:rPr>
        <w:t xml:space="preserve"> o zosúladení právnych predpisov členských štátov týkajúcich sa daní z obratu — spoločný systém dane z pridanej hodnoty: jednotný základ jej stanovenia</w:t>
      </w:r>
      <w:r w:rsidRPr="004D2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vykladané v súlade so zásadami ochrany legitímnej dôvery a právnej istoty, nebránia tomu, aby členský štát zrušil právo voľby zdaňovania prenájmu nehnuteľného majetku s následnou úpravou odpočítanej dane vykonanej v súvislosti s nehnuteľným majetkom nadobudnutým ako investičný majetok,  v súlade s článkom 20 šiestej smernice 77/388. </w:t>
      </w:r>
    </w:p>
    <w:p w:rsidR="00C15269" w:rsidRDefault="004D2D80" w:rsidP="00C15269">
      <w:pPr>
        <w:ind w:lef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2D80">
        <w:rPr>
          <w:rFonts w:ascii="Times New Roman" w:hAnsi="Times New Roman" w:cs="Times New Roman"/>
          <w:bCs/>
          <w:color w:val="000000"/>
          <w:sz w:val="24"/>
          <w:szCs w:val="24"/>
        </w:rPr>
        <w:t>Ak členský štát zruší právo voľby zdaňovania nehnuteľného majetku, musí pri určovaní opatrení na vykonanie zmeny právnych predpisov zohľadniť legitímne očakávania svojich zdaniteľných osôb. Zrušenie právnych predpisov, z ktorých zdaniteľná osoba získala výhodu spoč</w:t>
      </w:r>
      <w:r w:rsidR="00441098">
        <w:rPr>
          <w:rFonts w:ascii="Times New Roman" w:hAnsi="Times New Roman" w:cs="Times New Roman"/>
          <w:bCs/>
          <w:color w:val="000000"/>
          <w:sz w:val="24"/>
          <w:szCs w:val="24"/>
        </w:rPr>
        <w:t>ívajúcu v zaplatení nižšej dane</w:t>
      </w:r>
      <w:r w:rsidRPr="004D2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bez toho, aby došlo k akémukoľvek zneužitiu, však nemôže ako také porušiť legitímne očakávania založe</w:t>
      </w:r>
      <w:r w:rsidR="00C15269">
        <w:rPr>
          <w:rFonts w:ascii="Times New Roman" w:hAnsi="Times New Roman" w:cs="Times New Roman"/>
          <w:bCs/>
          <w:color w:val="000000"/>
          <w:sz w:val="24"/>
          <w:szCs w:val="24"/>
        </w:rPr>
        <w:t>né na práve Spoločenstva.</w:t>
      </w:r>
    </w:p>
    <w:p w:rsidR="00C15269" w:rsidRDefault="00C15269" w:rsidP="00C15269">
      <w:pPr>
        <w:ind w:lef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2D80" w:rsidRPr="004D2D80" w:rsidRDefault="004D2D80" w:rsidP="00C15269">
      <w:pPr>
        <w:ind w:lef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2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Článok 5 ods. 7 písm. a) šiestej smernice 77/388 sa týka použitia tovaru zdaniteľnou osobou na účely jej podnikateľskej činnosti a nie legislatívnej zmeny zrušujúcej právo rozhodnúť sa pre zdanenie finančnej transakcie, ktorá je vo všeobecnosti oslobodená. </w:t>
      </w:r>
    </w:p>
    <w:p w:rsidR="004D2D80" w:rsidRPr="004D2D80" w:rsidRDefault="004D2D80" w:rsidP="004D2D80">
      <w:pPr>
        <w:numPr>
          <w:ilvl w:val="0"/>
          <w:numId w:val="13"/>
        </w:numPr>
        <w:spacing w:before="150" w:after="240"/>
        <w:ind w:left="851" w:hanging="397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  rozhodnutie Súdneho dvora vo veci C </w:t>
      </w:r>
      <w:r w:rsidRPr="004D2D80">
        <w:rPr>
          <w:rFonts w:ascii="Times New Roman" w:hAnsi="Times New Roman" w:cs="Times New Roman"/>
          <w:sz w:val="24"/>
          <w:szCs w:val="24"/>
        </w:rPr>
        <w:noBreakHyphen/>
        <w:t xml:space="preserve"> 308/16, </w:t>
      </w:r>
      <w:r w:rsidRPr="004D2D80">
        <w:rPr>
          <w:rFonts w:ascii="Times New Roman" w:hAnsi="Times New Roman" w:cs="Times New Roman"/>
          <w:bCs/>
          <w:sz w:val="24"/>
          <w:szCs w:val="24"/>
        </w:rPr>
        <w:t xml:space="preserve">Kozuba Premium 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Selection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sp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>. z 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o.o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D2D80">
        <w:rPr>
          <w:rFonts w:ascii="Times New Roman" w:hAnsi="Times New Roman" w:cs="Times New Roman"/>
          <w:sz w:val="24"/>
          <w:szCs w:val="24"/>
        </w:rPr>
        <w:t xml:space="preserve">proti 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Dyrektor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 xml:space="preserve"> Izby 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Skarbowej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 xml:space="preserve"> w </w:t>
      </w:r>
      <w:proofErr w:type="spellStart"/>
      <w:r w:rsidRPr="004D2D80">
        <w:rPr>
          <w:rFonts w:ascii="Times New Roman" w:hAnsi="Times New Roman" w:cs="Times New Roman"/>
          <w:bCs/>
          <w:sz w:val="24"/>
          <w:szCs w:val="24"/>
        </w:rPr>
        <w:t>Warszawie</w:t>
      </w:r>
      <w:proofErr w:type="spellEnd"/>
      <w:r w:rsidRPr="004D2D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D2D80">
        <w:rPr>
          <w:rFonts w:ascii="Times New Roman" w:hAnsi="Times New Roman" w:cs="Times New Roman"/>
          <w:sz w:val="24"/>
          <w:szCs w:val="24"/>
        </w:rPr>
        <w:t>[2017],</w:t>
      </w:r>
    </w:p>
    <w:p w:rsidR="004D2D80" w:rsidRPr="004D2D80" w:rsidRDefault="004D2D80" w:rsidP="004D2D80">
      <w:pPr>
        <w:spacing w:before="150" w:after="24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Výrok rozhodnutia:  </w:t>
      </w:r>
    </w:p>
    <w:p w:rsidR="004D2D80" w:rsidRDefault="004D2D80" w:rsidP="004D2D80">
      <w:pPr>
        <w:spacing w:before="150" w:after="24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D80">
        <w:rPr>
          <w:rFonts w:ascii="Times New Roman" w:hAnsi="Times New Roman" w:cs="Times New Roman"/>
          <w:bCs/>
          <w:sz w:val="24"/>
          <w:szCs w:val="24"/>
        </w:rPr>
        <w:t>Článok 12 ods. 1 a 2 a článok 135 ods. 1 písm. j) smernice Rady 2006/112/ES z 28. novembra 2006 o spoločnom systéme dane z pridanej hodnoty sa majú vykladať v tom zmysle, že bránia tak</w:t>
      </w:r>
      <w:r w:rsidR="00441098">
        <w:rPr>
          <w:rFonts w:ascii="Times New Roman" w:hAnsi="Times New Roman" w:cs="Times New Roman"/>
          <w:bCs/>
          <w:sz w:val="24"/>
          <w:szCs w:val="24"/>
        </w:rPr>
        <w:t>ej vnútroštátnej právnej úprave</w:t>
      </w:r>
      <w:r w:rsidRPr="004D2D80">
        <w:rPr>
          <w:rFonts w:ascii="Times New Roman" w:hAnsi="Times New Roman" w:cs="Times New Roman"/>
          <w:bCs/>
          <w:sz w:val="24"/>
          <w:szCs w:val="24"/>
        </w:rPr>
        <w:t xml:space="preserve"> o akú ide vo veci samej, ktorá podmieňuje oslobodenie od dane z pridanej hodnoty v prípade dodania budov tým, aby k prvému obývaniu týchto budov došlo v rámci zdaniteľnej transakcie. Tie isté ustanovenia sa majú vykladať v tom zmysle, že nebránia tomu, aby takáto vnútroštátna právna úprava podmieňovala to isté oslobodenie tým, aby v prípade „rekonštrukcie“ existujúcej budovy nepresiahli náklady na rekonštrukciu 30 % jej pôvodnej hodnoty, pokiaľ by sa pojem „rekonštrukcia“ vykladal rovnako ako pojem „prestavba“ nachádzajúci sa v článku 12 ods. 2 smernice 2006/112, a to v tom zmysle, že na dotknutej budove sa musia vykonať podstatné zmeny, ktorých účelom je zmeniť jej užívanie alebo podstatným spôsobom zmeniť podmienky jej obývania.</w:t>
      </w:r>
    </w:p>
    <w:p w:rsidR="004D2D80" w:rsidRDefault="004D2D80" w:rsidP="004D2D80">
      <w:pPr>
        <w:spacing w:before="150" w:after="240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D80" w:rsidRPr="004D2D80" w:rsidRDefault="004D2D80" w:rsidP="004D2D80">
      <w:pPr>
        <w:spacing w:before="150" w:after="24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D2D80" w:rsidRPr="004D2D80" w:rsidRDefault="00F872D5" w:rsidP="00F872D5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="004D2D80" w:rsidRPr="004D2D80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:rsidR="004D2D80" w:rsidRPr="004D2D80" w:rsidRDefault="004D2D80" w:rsidP="004D2D80">
      <w:pPr>
        <w:pStyle w:val="Zkladntext"/>
        <w:numPr>
          <w:ilvl w:val="0"/>
          <w:numId w:val="14"/>
        </w:num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Lehota na prebratie smernice 2016/1065 je stanovená do 31.12. 2018. Lehota na prebratie čl. 1 smernice 2017/2455 je stanovená  do 31.12. 2018.</w:t>
      </w:r>
    </w:p>
    <w:p w:rsidR="004D2D80" w:rsidRPr="004D2D80" w:rsidRDefault="004D2D80" w:rsidP="004D2D80">
      <w:pPr>
        <w:pStyle w:val="Zkladntext"/>
        <w:numPr>
          <w:ilvl w:val="0"/>
          <w:numId w:val="1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Proti Slovenskej republike nebolo začaté konanie v rámci „EÚ Pilot“, ani nebol začatý postup EK ako aj nebolo začaté konanie Súdneho dvora EÚ proti SR podľa čl. 258 až 260 Zmluvy o fungovaní Európskej únie.</w:t>
      </w:r>
    </w:p>
    <w:p w:rsidR="004D2D80" w:rsidRPr="004D2D80" w:rsidRDefault="004D2D80" w:rsidP="004D2D80">
      <w:pPr>
        <w:pStyle w:val="Zkladntext"/>
        <w:numPr>
          <w:ilvl w:val="0"/>
          <w:numId w:val="1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 xml:space="preserve">Bezpredmetné.  </w:t>
      </w:r>
    </w:p>
    <w:p w:rsidR="004D2D80" w:rsidRPr="004D2D80" w:rsidRDefault="004D2D80" w:rsidP="004D2D80">
      <w:pPr>
        <w:pStyle w:val="Zkladntext"/>
        <w:tabs>
          <w:tab w:val="left" w:pos="360"/>
        </w:tabs>
        <w:ind w:left="785"/>
        <w:rPr>
          <w:rFonts w:ascii="Times New Roman" w:hAnsi="Times New Roman" w:cs="Times New Roman"/>
          <w:sz w:val="24"/>
          <w:szCs w:val="24"/>
        </w:rPr>
      </w:pPr>
    </w:p>
    <w:p w:rsidR="004D2D80" w:rsidRPr="004D2D80" w:rsidRDefault="004D2D80" w:rsidP="004D2D80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D8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2D80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zákona s právom Európskej únie:</w:t>
      </w:r>
    </w:p>
    <w:p w:rsidR="004D2D80" w:rsidRPr="004D2D80" w:rsidRDefault="004D2D80" w:rsidP="004D2D80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D80">
        <w:rPr>
          <w:rFonts w:ascii="Times New Roman" w:hAnsi="Times New Roman" w:cs="Times New Roman"/>
          <w:sz w:val="24"/>
          <w:szCs w:val="24"/>
        </w:rPr>
        <w:t>Čiastočne. Čl. 2 smernice 2017/2455 bude prebratý do zákona o dani z pridanej hodnoty s účinnosťou od 1. januára 2021, čím sa dosiahne úplný súlad zákona o dani z pridanej hodnoty so smernicou 2017/2455.</w:t>
      </w:r>
    </w:p>
    <w:p w:rsidR="004D2D80" w:rsidRPr="004D2D80" w:rsidRDefault="004D2D80" w:rsidP="004D2D80">
      <w:pPr>
        <w:tabs>
          <w:tab w:val="num" w:pos="1080"/>
        </w:tabs>
        <w:ind w:left="-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D80" w:rsidRDefault="004D2D80" w:rsidP="004D2D80">
      <w:pPr>
        <w:tabs>
          <w:tab w:val="num" w:pos="1080"/>
        </w:tabs>
        <w:ind w:left="-900"/>
        <w:jc w:val="both"/>
        <w:rPr>
          <w:bCs/>
          <w:sz w:val="24"/>
          <w:szCs w:val="24"/>
        </w:rPr>
      </w:pPr>
    </w:p>
    <w:p w:rsidR="004D2D80" w:rsidRDefault="004D2D80" w:rsidP="004D2D80">
      <w:pPr>
        <w:tabs>
          <w:tab w:val="num" w:pos="1080"/>
        </w:tabs>
        <w:ind w:left="-900"/>
        <w:jc w:val="both"/>
        <w:rPr>
          <w:bCs/>
          <w:sz w:val="24"/>
          <w:szCs w:val="24"/>
        </w:rPr>
      </w:pPr>
    </w:p>
    <w:p w:rsidR="004D2D80" w:rsidRDefault="004D2D80" w:rsidP="004D2D80">
      <w:pPr>
        <w:tabs>
          <w:tab w:val="num" w:pos="1080"/>
        </w:tabs>
        <w:ind w:left="-900"/>
        <w:jc w:val="both"/>
        <w:rPr>
          <w:bCs/>
          <w:sz w:val="24"/>
          <w:szCs w:val="24"/>
        </w:rPr>
      </w:pPr>
    </w:p>
    <w:p w:rsidR="004D2D80" w:rsidRDefault="004D2D80" w:rsidP="004D2D80">
      <w:pPr>
        <w:tabs>
          <w:tab w:val="num" w:pos="1080"/>
        </w:tabs>
        <w:ind w:left="-900"/>
        <w:jc w:val="both"/>
        <w:rPr>
          <w:bCs/>
          <w:sz w:val="24"/>
          <w:szCs w:val="24"/>
        </w:rPr>
      </w:pPr>
    </w:p>
    <w:p w:rsidR="004D2D80" w:rsidRDefault="004D2D80" w:rsidP="004D2D80">
      <w:pPr>
        <w:tabs>
          <w:tab w:val="num" w:pos="1080"/>
        </w:tabs>
        <w:ind w:left="-900"/>
        <w:jc w:val="both"/>
        <w:rPr>
          <w:bCs/>
          <w:sz w:val="24"/>
          <w:szCs w:val="24"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DE42CC" w:rsidRDefault="00DE42CC" w:rsidP="00DE42CC">
      <w:pPr>
        <w:jc w:val="both"/>
        <w:rPr>
          <w:rFonts w:ascii="Times New Roman" w:hAnsi="Times New Roman"/>
          <w:sz w:val="24"/>
          <w:szCs w:val="24"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D2D80" w:rsidRDefault="004D2D80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F831E4" w:rsidRPr="00B377A8" w:rsidRDefault="00F831E4" w:rsidP="00F831E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F831E4" w:rsidRDefault="00F831E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872D5" w:rsidRDefault="00F872D5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0604" w:rsidRPr="00F831E4" w:rsidRDefault="0021060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831E4" w:rsidRPr="00F872D5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72D5" w:rsidRDefault="00F831E4" w:rsidP="00EF10F1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E42CC" w:rsidRPr="00F872D5" w:rsidRDefault="00DE42CC" w:rsidP="00DE42CC">
            <w:pPr>
              <w:suppressAutoHyphens/>
              <w:spacing w:after="120" w:line="276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F872D5">
              <w:rPr>
                <w:rFonts w:ascii="Times New Roman" w:hAnsi="Times New Roman"/>
              </w:rPr>
              <w:t>Návrh zákona, ktorým sa dopĺňa zákon č. 222/2004 Z. z. o dani z pridanej hodnoty v znení neskorších predpisov</w:t>
            </w:r>
          </w:p>
          <w:p w:rsidR="00F831E4" w:rsidRPr="00F872D5" w:rsidRDefault="00F831E4" w:rsidP="00A63B72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72D5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2A5" w:rsidRPr="00F872D5" w:rsidRDefault="004270F6" w:rsidP="00AE02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72D5">
              <w:rPr>
                <w:rFonts w:ascii="Times New Roman" w:hAnsi="Times New Roman" w:cs="Times New Roman"/>
              </w:rPr>
              <w:t xml:space="preserve">Poslanci Národnej rady Slovenskej republiky </w:t>
            </w:r>
            <w:r w:rsidR="00AE02A5" w:rsidRPr="00F872D5">
              <w:rPr>
                <w:rFonts w:ascii="Times New Roman" w:hAnsi="Times New Roman" w:cs="Times New Roman"/>
                <w:lang w:eastAsia="en-US"/>
              </w:rPr>
              <w:t xml:space="preserve">Peter  </w:t>
            </w:r>
            <w:r w:rsidR="00AE02A5" w:rsidRPr="00F872D5">
              <w:rPr>
                <w:rFonts w:ascii="Times New Roman" w:hAnsi="Times New Roman" w:cs="Times New Roman"/>
                <w:caps/>
                <w:lang w:eastAsia="en-US"/>
              </w:rPr>
              <w:t>PčolinskÝ</w:t>
            </w:r>
            <w:r w:rsidR="00AE02A5" w:rsidRPr="00F872D5">
              <w:rPr>
                <w:rFonts w:ascii="Times New Roman" w:hAnsi="Times New Roman" w:cs="Times New Roman"/>
                <w:lang w:eastAsia="en-US"/>
              </w:rPr>
              <w:t xml:space="preserve">, Boris KOLLÁR, Milan </w:t>
            </w:r>
            <w:r w:rsidR="00AE02A5" w:rsidRPr="00F872D5">
              <w:rPr>
                <w:rFonts w:ascii="Times New Roman" w:hAnsi="Times New Roman" w:cs="Times New Roman"/>
                <w:caps/>
                <w:lang w:eastAsia="en-US"/>
              </w:rPr>
              <w:t>Krajniak</w:t>
            </w:r>
            <w:r w:rsidR="00AE02A5" w:rsidRPr="00F872D5">
              <w:rPr>
                <w:rFonts w:ascii="Times New Roman" w:hAnsi="Times New Roman" w:cs="Times New Roman"/>
                <w:lang w:eastAsia="en-US"/>
              </w:rPr>
              <w:t xml:space="preserve">,  Petra KRIŠTÚFKOVÁ, Adriana </w:t>
            </w:r>
            <w:r w:rsidR="00AE02A5" w:rsidRPr="00F872D5">
              <w:rPr>
                <w:rFonts w:ascii="Times New Roman" w:hAnsi="Times New Roman" w:cs="Times New Roman"/>
                <w:caps/>
                <w:lang w:eastAsia="en-US"/>
              </w:rPr>
              <w:t>Pčolinsk</w:t>
            </w:r>
            <w:r w:rsidR="00AE02A5" w:rsidRPr="00F872D5">
              <w:rPr>
                <w:rFonts w:ascii="Times New Roman" w:hAnsi="Times New Roman" w:cs="Times New Roman"/>
                <w:lang w:eastAsia="en-US"/>
              </w:rPr>
              <w:t>Á</w:t>
            </w:r>
            <w:r w:rsidR="00AE02A5" w:rsidRPr="00F872D5">
              <w:rPr>
                <w:rFonts w:ascii="Times New Roman" w:hAnsi="Times New Roman" w:cs="Times New Roman"/>
                <w:caps/>
                <w:lang w:eastAsia="en-US"/>
              </w:rPr>
              <w:t xml:space="preserve">, </w:t>
            </w:r>
            <w:r w:rsidR="00AE02A5" w:rsidRPr="00F872D5">
              <w:rPr>
                <w:rFonts w:ascii="Times New Roman" w:hAnsi="Times New Roman" w:cs="Times New Roman"/>
                <w:lang w:eastAsia="en-US"/>
              </w:rPr>
              <w:t>Peter ŠTARCHOŇ.</w:t>
            </w:r>
          </w:p>
          <w:p w:rsidR="00F831E4" w:rsidRPr="00F872D5" w:rsidRDefault="00F831E4" w:rsidP="004D2D80">
            <w:pPr>
              <w:tabs>
                <w:tab w:val="left" w:leader="dot" w:pos="89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831E4" w:rsidRPr="00F872D5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Materiál nelegislatívnej povahy</w:t>
            </w:r>
          </w:p>
        </w:tc>
      </w:tr>
      <w:tr w:rsidR="00F831E4" w:rsidRPr="00F872D5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ind w:left="175" w:hanging="175"/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Materiál legislatívnej povahy</w:t>
            </w:r>
          </w:p>
        </w:tc>
      </w:tr>
      <w:tr w:rsidR="00F831E4" w:rsidRPr="00F872D5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Transpozícia práva EÚ</w:t>
            </w:r>
          </w:p>
        </w:tc>
      </w:tr>
      <w:tr w:rsidR="00F831E4" w:rsidRPr="00F872D5" w:rsidTr="008C13FD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4270F6" w:rsidRPr="00F872D5" w:rsidRDefault="00F831E4" w:rsidP="004270F6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Definovanie problému</w:t>
            </w:r>
          </w:p>
        </w:tc>
      </w:tr>
      <w:tr w:rsidR="00F831E4" w:rsidRPr="00F872D5" w:rsidTr="008C13F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DE42CC" w:rsidP="00441098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</w:rPr>
              <w:t>Podpora a rozvoj cestovného ruchu v Slovenskej republiky je jednou z hlavných prioritných oblastí hnutia SME RODNIA – Boris Ko</w:t>
            </w:r>
            <w:r w:rsidR="00441098" w:rsidRPr="00F872D5">
              <w:rPr>
                <w:rFonts w:ascii="Times New Roman" w:hAnsi="Times New Roman" w:cs="Times New Roman"/>
              </w:rPr>
              <w:t>llár.  Táto podpora vychádza aj z</w:t>
            </w:r>
            <w:r w:rsidRPr="00F872D5">
              <w:rPr>
                <w:rFonts w:ascii="Times New Roman" w:hAnsi="Times New Roman" w:cs="Times New Roman"/>
              </w:rPr>
              <w:t>o záverov rokovania Rady Európskej únie, ktorá prijala v máji 2019 závery o konkurencieschopnosti odvetvia cestovného ruchu ako hnacej sily udržateľného rastu, pracovných miest a sociálnej súdržnosti v Európskej únii v nasledujúcom desaťročí.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F831E4" w:rsidRPr="00F872D5" w:rsidTr="008C13F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2A5" w:rsidRPr="00F872D5" w:rsidRDefault="00AE02A5" w:rsidP="00AE02A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872D5">
              <w:rPr>
                <w:rFonts w:ascii="Times New Roman" w:hAnsi="Times New Roman" w:cs="Times New Roman"/>
                <w:lang w:eastAsia="en-US"/>
              </w:rPr>
              <w:t xml:space="preserve">Cieľom je znížiť sadzbu dane z pridanej hodnoty na úroveň 10 % aj za poskytovanie jedál zákazníkom, ktorým sú  poskytované ubytovacie  služby. </w:t>
            </w:r>
          </w:p>
          <w:p w:rsidR="00F831E4" w:rsidRPr="00F872D5" w:rsidRDefault="00F831E4" w:rsidP="00F726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726DD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920" w:rsidRPr="00F872D5" w:rsidRDefault="00F726DD" w:rsidP="00C82920">
            <w:pPr>
              <w:ind w:firstLine="22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872D5">
              <w:rPr>
                <w:rFonts w:ascii="Times New Roman" w:hAnsi="Times New Roman" w:cs="Times New Roman"/>
                <w:color w:val="363636"/>
                <w:spacing w:val="1"/>
              </w:rPr>
              <w:t xml:space="preserve">Ministerstvo financií SR, </w:t>
            </w:r>
            <w:r w:rsidR="00DE42CC" w:rsidRPr="00F872D5">
              <w:rPr>
                <w:rFonts w:ascii="Times New Roman" w:hAnsi="Times New Roman" w:cs="Times New Roman"/>
                <w:color w:val="363636"/>
                <w:spacing w:val="1"/>
              </w:rPr>
              <w:t>právnické a fyzické osoby podnikajúce v oblasti ubytovania .</w:t>
            </w:r>
          </w:p>
          <w:p w:rsidR="00F831E4" w:rsidRPr="00F872D5" w:rsidRDefault="00F831E4" w:rsidP="008C13F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F831E4" w:rsidRPr="00F872D5" w:rsidTr="008C13F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B377A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F831E4" w:rsidRPr="00F872D5" w:rsidTr="008C13F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  <w:r w:rsidRPr="00F872D5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72D5" w:rsidRDefault="00F872D5" w:rsidP="008C13F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 w:rsidRPr="00F872D5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F831E4" w:rsidRPr="00F872D5">
              <w:rPr>
                <w:rFonts w:ascii="Times New Roman" w:hAnsi="Times New Roman" w:cs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72D5" w:rsidP="008C13F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 w:rsidRPr="00F872D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831E4" w:rsidRPr="00F872D5">
              <w:rPr>
                <w:rFonts w:ascii="Times New Roman" w:hAnsi="Times New Roman" w:cs="Times New Roman"/>
              </w:rPr>
              <w:t xml:space="preserve">  Nie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AC26BE">
            <w:pPr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F831E4" w:rsidRPr="00F872D5" w:rsidTr="008C13F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Preskúmanie účelnosti**</w:t>
            </w:r>
          </w:p>
        </w:tc>
      </w:tr>
      <w:tr w:rsidR="00F831E4" w:rsidRPr="00F872D5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26BE" w:rsidRDefault="00AC26BE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Default="00F872D5" w:rsidP="008C13FD">
            <w:pPr>
              <w:rPr>
                <w:rFonts w:ascii="Times New Roman" w:hAnsi="Times New Roman" w:cs="Times New Roman"/>
              </w:rPr>
            </w:pPr>
          </w:p>
          <w:p w:rsidR="00F872D5" w:rsidRPr="00F872D5" w:rsidRDefault="00F872D5" w:rsidP="008C13FD">
            <w:pPr>
              <w:rPr>
                <w:rFonts w:ascii="Times New Roman" w:hAnsi="Times New Roman" w:cs="Times New Roman"/>
              </w:rPr>
            </w:pPr>
          </w:p>
        </w:tc>
      </w:tr>
      <w:tr w:rsidR="00F831E4" w:rsidRPr="00F872D5" w:rsidTr="008C13F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4270F6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4270F6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72D5" w:rsidRDefault="00C82920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Áno</w:t>
            </w:r>
          </w:p>
        </w:tc>
        <w:sdt>
          <w:sdtPr>
            <w:rPr>
              <w:rFonts w:ascii="Times New Roman" w:hAnsi="Times New Roman" w:cs="Times New Roman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C82920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Nie</w:t>
            </w:r>
          </w:p>
        </w:tc>
        <w:sdt>
          <w:sdtPr>
            <w:rPr>
              <w:rFonts w:ascii="Times New Roman" w:hAnsi="Times New Roman" w:cs="Times New Roman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34"/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Čiastočne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72D5" w:rsidRDefault="00DE42CC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F872D5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</w:rPr>
            </w:pPr>
            <w:r w:rsidRPr="00F872D5">
              <w:rPr>
                <w:rFonts w:ascii="Times New Roman" w:hAnsi="Times New Roman" w:cs="Times New Roman"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72D5" w:rsidRDefault="00F726DD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726DD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831E4" w:rsidRPr="00F872D5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eastAsia="Calibri" w:hAnsi="Times New Roman" w:cs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</w:p>
        </w:tc>
      </w:tr>
      <w:tr w:rsidR="00F831E4" w:rsidRPr="00F872D5" w:rsidTr="008C13FD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ind w:left="196" w:hanging="196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872D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872D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F831E4" w:rsidRPr="00F872D5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872D5">
              <w:rPr>
                <w:rFonts w:ascii="Times New Roman" w:hAnsi="Times New Roman" w:cs="Times New Roman"/>
                <w:b/>
                <w:bCs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726DD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726DD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72D5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872D5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72D5" w:rsidRDefault="00F831E4" w:rsidP="008C13FD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831E4" w:rsidRPr="00F872D5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F831E4" w:rsidRPr="00F872D5" w:rsidTr="008C13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F831E4" w:rsidRPr="00F872D5" w:rsidRDefault="00F831E4" w:rsidP="00C8292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831E4" w:rsidRPr="00F872D5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F831E4" w:rsidRPr="00F872D5" w:rsidTr="008C13F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C8292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831E4" w:rsidRPr="00F872D5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F831E4" w:rsidRPr="00F872D5" w:rsidTr="008C13F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  <w:p w:rsidR="00F831E4" w:rsidRPr="00F872D5" w:rsidRDefault="00F831E4" w:rsidP="008C13FD">
            <w:pPr>
              <w:rPr>
                <w:rFonts w:ascii="Times New Roman" w:hAnsi="Times New Roman" w:cs="Times New Roman"/>
                <w:i/>
              </w:rPr>
            </w:pPr>
          </w:p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31E4" w:rsidRPr="00F872D5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72D5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F872D5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F831E4" w:rsidRPr="00F872D5" w:rsidTr="008C13F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72D5" w:rsidRDefault="00F831E4" w:rsidP="008C13F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34E19" w:rsidRPr="00F872D5" w:rsidRDefault="00E34E19" w:rsidP="00E34E19">
      <w:pPr>
        <w:rPr>
          <w:rFonts w:ascii="Times New Roman" w:hAnsi="Times New Roman" w:cs="Times New Roman"/>
        </w:rPr>
      </w:pPr>
    </w:p>
    <w:p w:rsidR="00E34E19" w:rsidRPr="00F872D5" w:rsidRDefault="00E34E19" w:rsidP="00E34E19"/>
    <w:p w:rsidR="00E57135" w:rsidRDefault="00E57135"/>
    <w:sectPr w:rsidR="00E5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3146C"/>
    <w:multiLevelType w:val="hybridMultilevel"/>
    <w:tmpl w:val="44528930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49197D"/>
    <w:multiLevelType w:val="multilevel"/>
    <w:tmpl w:val="10FA859E"/>
    <w:lvl w:ilvl="0">
      <w:start w:val="6"/>
      <w:numFmt w:val="bullet"/>
      <w:lvlText w:val="-"/>
      <w:lvlJc w:val="left"/>
      <w:pPr>
        <w:ind w:left="993" w:hanging="425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1418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843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51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9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7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5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3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91" w:hanging="708"/>
      </w:pPr>
    </w:lvl>
  </w:abstractNum>
  <w:abstractNum w:abstractNumId="4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147171"/>
    <w:multiLevelType w:val="hybridMultilevel"/>
    <w:tmpl w:val="B906A3D4"/>
    <w:lvl w:ilvl="0" w:tplc="54EC6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B77D4"/>
    <w:multiLevelType w:val="multilevel"/>
    <w:tmpl w:val="D4E25A3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b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1" w15:restartNumberingAfterBreak="0">
    <w:nsid w:val="6BFD0AB5"/>
    <w:multiLevelType w:val="hybridMultilevel"/>
    <w:tmpl w:val="A7EA6072"/>
    <w:lvl w:ilvl="0" w:tplc="A3DEF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E54EF"/>
    <w:multiLevelType w:val="hybridMultilevel"/>
    <w:tmpl w:val="39E46CC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19"/>
    <w:rsid w:val="00210604"/>
    <w:rsid w:val="00261759"/>
    <w:rsid w:val="002C1832"/>
    <w:rsid w:val="003B6D13"/>
    <w:rsid w:val="004270F6"/>
    <w:rsid w:val="00441098"/>
    <w:rsid w:val="004D2D80"/>
    <w:rsid w:val="007B31BD"/>
    <w:rsid w:val="007D5694"/>
    <w:rsid w:val="00A63B72"/>
    <w:rsid w:val="00AC26BE"/>
    <w:rsid w:val="00AE02A5"/>
    <w:rsid w:val="00B16DF5"/>
    <w:rsid w:val="00B377A8"/>
    <w:rsid w:val="00C01829"/>
    <w:rsid w:val="00C15269"/>
    <w:rsid w:val="00C82920"/>
    <w:rsid w:val="00D31DF2"/>
    <w:rsid w:val="00DE42CC"/>
    <w:rsid w:val="00E34E19"/>
    <w:rsid w:val="00E57135"/>
    <w:rsid w:val="00E7417A"/>
    <w:rsid w:val="00EF10F1"/>
    <w:rsid w:val="00F726DD"/>
    <w:rsid w:val="00F831E4"/>
    <w:rsid w:val="00F8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DA43"/>
  <w15:chartTrackingRefBased/>
  <w15:docId w15:val="{68245CFB-918F-4577-BED0-2A6818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E19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F831E4"/>
    <w:pPr>
      <w:keepNext/>
      <w:numPr>
        <w:ilvl w:val="3"/>
        <w:numId w:val="4"/>
      </w:numPr>
      <w:suppressAutoHyphens/>
      <w:spacing w:line="100" w:lineRule="atLeast"/>
      <w:ind w:left="0" w:right="-2" w:firstLine="0"/>
      <w:jc w:val="center"/>
      <w:outlineLvl w:val="3"/>
    </w:pPr>
    <w:rPr>
      <w:rFonts w:ascii="Times New Roman" w:hAnsi="Times New Roman" w:cs="Times New Roman"/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E34E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34E19"/>
    <w:pPr>
      <w:ind w:left="720"/>
      <w:contextualSpacing/>
    </w:pPr>
  </w:style>
  <w:style w:type="paragraph" w:customStyle="1" w:styleId="Standard">
    <w:name w:val="Standard"/>
    <w:uiPriority w:val="99"/>
    <w:rsid w:val="00E34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awspan1">
    <w:name w:val="awspan1"/>
    <w:basedOn w:val="Predvolenpsmoodseku"/>
    <w:rsid w:val="00E34E19"/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F831E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table" w:styleId="Mriekatabuky">
    <w:name w:val="Table Grid"/>
    <w:basedOn w:val="Normlnatabuka"/>
    <w:uiPriority w:val="59"/>
    <w:rsid w:val="00F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831E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1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1E4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1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DE42CC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D2D80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D2D8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4D2D80"/>
    <w:rPr>
      <w:b/>
      <w:bCs/>
    </w:rPr>
  </w:style>
  <w:style w:type="character" w:styleId="Zvraznenie">
    <w:name w:val="Emphasis"/>
    <w:basedOn w:val="Predvolenpsmoodseku"/>
    <w:uiPriority w:val="20"/>
    <w:qFormat/>
    <w:rsid w:val="004D2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8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7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3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3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7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2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4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2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11</cp:revision>
  <cp:lastPrinted>2019-09-26T12:21:00Z</cp:lastPrinted>
  <dcterms:created xsi:type="dcterms:W3CDTF">2019-08-06T11:06:00Z</dcterms:created>
  <dcterms:modified xsi:type="dcterms:W3CDTF">2019-09-26T12:27:00Z</dcterms:modified>
</cp:coreProperties>
</file>