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B4" w:rsidRPr="008762A6" w:rsidRDefault="00CA23B4" w:rsidP="00CA23B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RDefault="00CA23B4" w:rsidP="00CA23B4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RDefault="00CA23B4" w:rsidP="00CA23B4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F4FB3" w:rsidRPr="00AF4FB3" w:rsidRDefault="00CA23B4" w:rsidP="00230DB7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F4FB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AF4FB3">
        <w:rPr>
          <w:rFonts w:ascii="Times New Roman" w:hAnsi="Times New Roman" w:cs="Times New Roman"/>
          <w:sz w:val="24"/>
          <w:szCs w:val="24"/>
        </w:rPr>
        <w:t xml:space="preserve"> </w:t>
      </w:r>
      <w:r w:rsidR="008C6D53" w:rsidRPr="00AF4FB3">
        <w:rPr>
          <w:rFonts w:ascii="Times New Roman" w:hAnsi="Times New Roman" w:cs="Times New Roman"/>
          <w:sz w:val="24"/>
          <w:szCs w:val="24"/>
        </w:rPr>
        <w:t>poslan</w:t>
      </w:r>
      <w:r w:rsidRPr="00AF4FB3">
        <w:rPr>
          <w:rFonts w:ascii="Times New Roman" w:hAnsi="Times New Roman" w:cs="Times New Roman"/>
          <w:sz w:val="24"/>
          <w:szCs w:val="24"/>
        </w:rPr>
        <w:t>c</w:t>
      </w:r>
      <w:r w:rsidR="008C6D53" w:rsidRPr="00AF4FB3">
        <w:rPr>
          <w:rFonts w:ascii="Times New Roman" w:hAnsi="Times New Roman" w:cs="Times New Roman"/>
          <w:sz w:val="24"/>
          <w:szCs w:val="24"/>
        </w:rPr>
        <w:t>i</w:t>
      </w:r>
      <w:r w:rsidRPr="00AF4FB3">
        <w:rPr>
          <w:rFonts w:ascii="Times New Roman" w:hAnsi="Times New Roman" w:cs="Times New Roman"/>
          <w:sz w:val="24"/>
          <w:szCs w:val="24"/>
        </w:rPr>
        <w:t xml:space="preserve"> Národnej rady Slovenskej </w:t>
      </w:r>
      <w:r w:rsidR="00747DF4" w:rsidRPr="00AF4FB3">
        <w:rPr>
          <w:rFonts w:ascii="Times New Roman" w:hAnsi="Times New Roman" w:cs="Times New Roman"/>
          <w:sz w:val="24"/>
          <w:szCs w:val="24"/>
        </w:rPr>
        <w:t xml:space="preserve">republiky  </w:t>
      </w:r>
      <w:r w:rsidR="00AF4FB3" w:rsidRPr="00AF4FB3">
        <w:rPr>
          <w:rFonts w:ascii="Times New Roman" w:hAnsi="Times New Roman"/>
          <w:sz w:val="24"/>
          <w:szCs w:val="24"/>
        </w:rPr>
        <w:t>Zuzana Šebová, B</w:t>
      </w:r>
      <w:r w:rsidR="00EE09F4">
        <w:rPr>
          <w:rFonts w:ascii="Times New Roman" w:hAnsi="Times New Roman"/>
          <w:sz w:val="24"/>
          <w:szCs w:val="24"/>
        </w:rPr>
        <w:t>oris Kollár, Jozef Lukáč.</w:t>
      </w:r>
    </w:p>
    <w:p w:rsidR="00AF4FB3" w:rsidRPr="00230DB7" w:rsidRDefault="00AF4FB3" w:rsidP="00230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65F" w:rsidRPr="008A765F" w:rsidRDefault="00CA23B4" w:rsidP="007149FA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504ED6">
        <w:rPr>
          <w:rFonts w:ascii="Times New Roman" w:hAnsi="Times New Roman"/>
          <w:sz w:val="24"/>
          <w:szCs w:val="24"/>
        </w:rPr>
        <w:t xml:space="preserve">Návrh zákona, </w:t>
      </w:r>
      <w:r w:rsidR="008A765F" w:rsidRPr="008A765F">
        <w:rPr>
          <w:rFonts w:ascii="Times New Roman" w:hAnsi="Times New Roman"/>
          <w:sz w:val="24"/>
          <w:szCs w:val="24"/>
          <w:lang w:eastAsia="en-US"/>
        </w:rPr>
        <w:t xml:space="preserve">ktorým sa  mení zákon </w:t>
      </w:r>
      <w:r w:rsidR="008A765F" w:rsidRPr="008A765F">
        <w:rPr>
          <w:rFonts w:ascii="Times New Roman" w:hAnsi="Times New Roman"/>
          <w:bCs/>
          <w:sz w:val="24"/>
          <w:szCs w:val="24"/>
        </w:rPr>
        <w:t xml:space="preserve">č. </w:t>
      </w:r>
      <w:r w:rsidR="008A765F" w:rsidRPr="008A765F">
        <w:rPr>
          <w:rFonts w:ascii="Times New Roman" w:hAnsi="Times New Roman"/>
          <w:sz w:val="24"/>
          <w:szCs w:val="24"/>
        </w:rPr>
        <w:t>363/2011 Z. z. o rozsahu a podmienkach úhrady liekov, zdravotníckych pomôcok a dietetických potravín na základe verejného zdravotného poistenia a o zmene a doplnení niektorých zákonov v znení neskorších predpisov</w:t>
      </w:r>
      <w:r w:rsidR="008A765F">
        <w:rPr>
          <w:rFonts w:ascii="Times New Roman" w:hAnsi="Times New Roman"/>
          <w:sz w:val="24"/>
          <w:szCs w:val="24"/>
        </w:rPr>
        <w:t xml:space="preserve"> </w:t>
      </w:r>
      <w:r w:rsidR="008A765F" w:rsidRPr="008A765F">
        <w:rPr>
          <w:rFonts w:ascii="Times New Roman" w:hAnsi="Times New Roman"/>
          <w:sz w:val="24"/>
          <w:szCs w:val="24"/>
        </w:rPr>
        <w:t xml:space="preserve">a ktorým sa dopĺňa zákon č. 581/2004 Z. z. o zdravotných poisťovniach, dohľade nad zdravotnou starostlivosťou a o zmene a doplnení niektorých zákonov v znení neskorších predpisov </w:t>
      </w:r>
    </w:p>
    <w:p w:rsidR="00CA23B4" w:rsidRPr="008762A6" w:rsidRDefault="00CA23B4" w:rsidP="008A765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34A3" w:rsidRDefault="008E34A3" w:rsidP="008E34A3">
      <w:pPr>
        <w:widowControl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Predmet návrhu zákona: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 upravený v práve Európskej únie</w:t>
      </w:r>
    </w:p>
    <w:p w:rsidR="008E34A3" w:rsidRDefault="008E34A3" w:rsidP="008E34A3">
      <w:pPr>
        <w:widowControl w:val="0"/>
        <w:ind w:left="340" w:hanging="340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7149FA">
      <w:pPr>
        <w:widowControl w:val="0"/>
        <w:ind w:left="340" w:hanging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 primárnom práve – čl. 114 Zmluvy o fungovaní Európskej únie</w:t>
      </w:r>
    </w:p>
    <w:p w:rsidR="008E34A3" w:rsidRDefault="008E34A3" w:rsidP="007149FA">
      <w:pPr>
        <w:ind w:left="340" w:hanging="56"/>
        <w:jc w:val="both"/>
      </w:pPr>
    </w:p>
    <w:p w:rsidR="008E34A3" w:rsidRDefault="008E34A3" w:rsidP="007149F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b) </w:t>
      </w:r>
      <w:r>
        <w:rPr>
          <w:rFonts w:ascii="Times New Roman" w:hAnsi="Times New Roman"/>
          <w:sz w:val="24"/>
          <w:szCs w:val="24"/>
        </w:rPr>
        <w:t>v sekundárnom práve – Smernica Rady 89/104/EHS o transparentnosti opatrení upravujúcich stanovovanie cien humánnych liekov a ich zaraďovanie do vnútroštátnych systémov zdravotného poistenia</w:t>
      </w:r>
    </w:p>
    <w:p w:rsidR="008E34A3" w:rsidRDefault="008E34A3" w:rsidP="007149FA">
      <w:pPr>
        <w:widowControl w:val="0"/>
        <w:ind w:left="340" w:hanging="56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7149FA">
      <w:pPr>
        <w:widowControl w:val="0"/>
        <w:ind w:left="340" w:hanging="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 judikatúre Súdneho dvora Európskej únie - nie je obsiahnutý</w:t>
      </w:r>
    </w:p>
    <w:p w:rsidR="008E34A3" w:rsidRDefault="008E34A3" w:rsidP="008E34A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8E34A3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Záväzky Slovenskej republiky vo vzťahu k Európskej únii:</w:t>
      </w:r>
    </w:p>
    <w:p w:rsidR="008E34A3" w:rsidRDefault="008E34A3" w:rsidP="008E34A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7149FA">
      <w:pPr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lehota na prebranie bola do 31. 12. 1989</w:t>
      </w:r>
    </w:p>
    <w:p w:rsidR="008E34A3" w:rsidRDefault="008E34A3" w:rsidP="007149FA">
      <w:pPr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7149FA">
      <w:pPr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nebolo začaté konanie podľa čl. 258 a 260 Zmluvy o fungovaní Európskej únie</w:t>
      </w:r>
    </w:p>
    <w:p w:rsidR="008E34A3" w:rsidRDefault="008E34A3" w:rsidP="007149FA">
      <w:pPr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7149FA">
      <w:pPr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smernica je v celosti prebraná v novelizovanom zákone č. 363/2011 Z. z.</w:t>
      </w:r>
    </w:p>
    <w:p w:rsidR="008E34A3" w:rsidRDefault="008E34A3" w:rsidP="007149FA">
      <w:pPr>
        <w:widowControl w:val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8E34A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8E34A3" w:rsidRDefault="008E34A3" w:rsidP="008E34A3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 xml:space="preserve">Návrh zákona je zlučiteľný s právom Európskej únie </w:t>
      </w:r>
      <w:r>
        <w:rPr>
          <w:rFonts w:ascii="Times New Roman" w:hAnsi="Times New Roman"/>
          <w:sz w:val="24"/>
          <w:szCs w:val="24"/>
        </w:rPr>
        <w:t>- úplne</w:t>
      </w:r>
    </w:p>
    <w:p w:rsidR="008E34A3" w:rsidRDefault="008E34A3" w:rsidP="008E34A3">
      <w:pPr>
        <w:rPr>
          <w:rFonts w:ascii="Calibri" w:hAnsi="Calibri"/>
          <w:sz w:val="22"/>
          <w:szCs w:val="22"/>
          <w:lang w:eastAsia="en-US"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149FA" w:rsidRPr="001C0651" w:rsidRDefault="007149FA" w:rsidP="007149F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C065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Doložka vybraných vplyvov</w:t>
      </w:r>
    </w:p>
    <w:p w:rsidR="007149FA" w:rsidRDefault="007149FA" w:rsidP="007149FA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7149FA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7149FA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Default="007149FA" w:rsidP="009F11B2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FA" w:rsidRPr="00EE09F4" w:rsidRDefault="007149FA" w:rsidP="007149FA">
            <w:pPr>
              <w:jc w:val="both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 xml:space="preserve">Návrh zákona, </w:t>
            </w:r>
            <w:r w:rsidRPr="00EE09F4">
              <w:rPr>
                <w:rFonts w:ascii="Times New Roman" w:hAnsi="Times New Roman" w:cs="Times New Roman"/>
                <w:lang w:eastAsia="en-US"/>
              </w:rPr>
              <w:t xml:space="preserve">ktorým sa  mení zákon </w:t>
            </w:r>
            <w:r w:rsidRPr="00EE09F4">
              <w:rPr>
                <w:rFonts w:ascii="Times New Roman" w:hAnsi="Times New Roman" w:cs="Times New Roman"/>
                <w:bCs/>
              </w:rPr>
              <w:t xml:space="preserve">č. </w:t>
            </w:r>
            <w:r w:rsidRPr="00EE09F4">
              <w:rPr>
                <w:rFonts w:ascii="Times New Roman" w:hAnsi="Times New Roman" w:cs="Times New Roman"/>
              </w:rPr>
              <w:t xml:space="preserve">363/2011 Z. z. o rozsahu a podmienkach úhrady liekov, zdravotníckych pomôcok a dietetických potravín na základe verejného zdravotného poistenia a o zmene a doplnení niektorých zákonov v znení neskorších predpisov a ktorým sa dopĺňa zákon č. 581/2004 Z. z. o zdravotných poisťovniach, dohľade nad zdravotnou starostlivosťou a o zmene a doplnení niektorých zákonov v znení neskorších predpisov 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9FA" w:rsidRPr="00EE09F4" w:rsidRDefault="007149FA" w:rsidP="00EE09F4">
            <w:pPr>
              <w:jc w:val="both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poslanci Národnej rady Slovenskej republiky Zuzana ŠEBOVÁ, Boris KOLLÁR</w:t>
            </w:r>
            <w:r w:rsidR="00EE09F4" w:rsidRPr="00EE09F4">
              <w:rPr>
                <w:rFonts w:ascii="Times New Roman" w:hAnsi="Times New Roman" w:cs="Times New Roman"/>
              </w:rPr>
              <w:t>, Jozef LUKÁČ</w:t>
            </w:r>
          </w:p>
        </w:tc>
      </w:tr>
      <w:tr w:rsidR="007149FA" w:rsidRPr="00EE09F4" w:rsidTr="009F11B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7149FA" w:rsidRPr="00EE09F4" w:rsidRDefault="007149FA" w:rsidP="009F11B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hAnsi="Times New Roman" w:cs="Times New Roman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Materiál nelegislatívnej povahy</w:t>
            </w:r>
          </w:p>
        </w:tc>
      </w:tr>
      <w:tr w:rsidR="007149FA" w:rsidRPr="00EE09F4" w:rsidTr="009F11B2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ind w:left="175" w:hanging="175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Materiál legislatívnej povahy</w:t>
            </w:r>
          </w:p>
        </w:tc>
      </w:tr>
      <w:tr w:rsidR="007149FA" w:rsidRPr="00EE09F4" w:rsidTr="009F11B2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Transpozícia práva EÚ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V prípade transpozície uveďte zoznam transponovaných predpisov:</w:t>
            </w: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</w:p>
        </w:tc>
      </w:tr>
      <w:tr w:rsidR="007149FA" w:rsidRPr="00EE09F4" w:rsidTr="009F11B2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49FA" w:rsidRPr="00EE09F4" w:rsidTr="009F11B2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49FA" w:rsidRPr="00EE09F4" w:rsidTr="009F11B2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Definovanie problému</w:t>
            </w:r>
          </w:p>
        </w:tc>
      </w:tr>
      <w:tr w:rsidR="007149FA" w:rsidRPr="00EE09F4" w:rsidTr="009F11B2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B32661" w:rsidP="00B326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</w:rPr>
              <w:t>Navrhuje sa   podporiť mladé rodiny s deťmi do šesť rokov, ako aj dôchodcov a</w:t>
            </w:r>
            <w:r w:rsidRPr="00EE09F4">
              <w:rPr>
                <w:rFonts w:ascii="Times New Roman" w:hAnsi="Times New Roman" w:cs="Times New Roman"/>
                <w:color w:val="000000" w:themeColor="text1"/>
              </w:rPr>
              <w:t xml:space="preserve"> osoby s ťažkým zdravotným postihnutím</w:t>
            </w:r>
            <w:r w:rsidRPr="00EE09F4">
              <w:rPr>
                <w:rFonts w:ascii="Times New Roman" w:hAnsi="Times New Roman" w:cs="Times New Roman"/>
              </w:rPr>
              <w:t xml:space="preserve">, teda skupiny spoluobčanov, ktoré sú ekonomicky najviac ohrozené. Tieto skupiny našich spoluobčanov  nebudú doplácať na lieky, zdravotnícke pomôcky a dietetické potraviny, ale  ich uhradia zdravotné poisťovne z verejného zdravotného poistenia. Návrhom zákona sa zabezpečí kvalitnejší život dôchodcom, </w:t>
            </w:r>
            <w:r w:rsidRPr="00EE09F4">
              <w:rPr>
                <w:rFonts w:ascii="Times New Roman" w:hAnsi="Times New Roman" w:cs="Times New Roman"/>
                <w:color w:val="000000" w:themeColor="text1"/>
              </w:rPr>
              <w:t>osobám s ťažkým zdravotným postihnutím</w:t>
            </w:r>
            <w:r w:rsidRPr="00EE09F4">
              <w:rPr>
                <w:rFonts w:ascii="Times New Roman" w:hAnsi="Times New Roman" w:cs="Times New Roman"/>
              </w:rPr>
              <w:t xml:space="preserve"> a mladým rodinám s deťmi do šiestich rokov. 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7149FA" w:rsidRPr="00EE09F4" w:rsidTr="009F11B2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</w:p>
          <w:p w:rsidR="00B32661" w:rsidRPr="00EE09F4" w:rsidRDefault="00B32661" w:rsidP="00B326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E09F4">
              <w:rPr>
                <w:rFonts w:ascii="Times New Roman" w:hAnsi="Times New Roman" w:cs="Times New Roman"/>
              </w:rPr>
              <w:t>Cieľom návrhu zákona je ustanoviť  poistencov, na ktorých sa vzťahuje nulový limit spoluúčasti  za doplatky na lieky,  zdravotnícke pomôcky a dietetické potraviny. Ide o o</w:t>
            </w:r>
            <w:r w:rsidRPr="00EE09F4">
              <w:rPr>
                <w:rFonts w:ascii="Times New Roman" w:hAnsi="Times New Roman" w:cs="Times New Roman"/>
                <w:bCs/>
              </w:rPr>
              <w:t xml:space="preserve">patrenie, ktoré sa môže dotknúť približne </w:t>
            </w:r>
            <w:r w:rsidRPr="00EE09F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1,6 milióna </w:t>
            </w:r>
            <w:r w:rsidRPr="00EE09F4">
              <w:rPr>
                <w:rFonts w:ascii="Times New Roman" w:hAnsi="Times New Roman" w:cs="Times New Roman"/>
                <w:bCs/>
              </w:rPr>
              <w:t>poistencov.</w:t>
            </w: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661" w:rsidRPr="00EE09F4" w:rsidRDefault="00B32661" w:rsidP="00B32661">
            <w:pPr>
              <w:pStyle w:val="Odsekzoznamu"/>
              <w:spacing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- deti do šiestich rokov,</w:t>
            </w:r>
          </w:p>
          <w:p w:rsidR="00B32661" w:rsidRPr="00EE09F4" w:rsidRDefault="00B32661" w:rsidP="00B32661">
            <w:pPr>
              <w:pStyle w:val="Odsekzoznamu"/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09F4">
              <w:rPr>
                <w:rFonts w:ascii="Times New Roman" w:hAnsi="Times New Roman" w:cs="Times New Roman"/>
              </w:rPr>
              <w:t xml:space="preserve">- </w:t>
            </w:r>
            <w:r w:rsidRPr="00EE09F4">
              <w:rPr>
                <w:rFonts w:ascii="Times New Roman" w:hAnsi="Times New Roman" w:cs="Times New Roman"/>
                <w:color w:val="000000" w:themeColor="text1"/>
              </w:rPr>
              <w:t>držiteľ preukazu fyzickej osoby s ťažkým zdravotným postihnutím alebo preukazu fyzickej osoby s ťažkým zdravotným postihnutím so sprievodcom,</w:t>
            </w:r>
          </w:p>
          <w:p w:rsidR="00B32661" w:rsidRPr="00EE09F4" w:rsidRDefault="00B32661" w:rsidP="00B32661">
            <w:pPr>
              <w:pStyle w:val="Odsekzoznamu"/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09F4">
              <w:rPr>
                <w:rFonts w:ascii="Times New Roman" w:hAnsi="Times New Roman" w:cs="Times New Roman"/>
                <w:color w:val="000000" w:themeColor="text1"/>
              </w:rPr>
              <w:t>- invalidný dôchodca,  invalidný výsluhový dôchodca alebo  invalid, ktorému  nevznikol  nárok na invalidný dôchodok,</w:t>
            </w:r>
          </w:p>
          <w:p w:rsidR="00B32661" w:rsidRPr="00EE09F4" w:rsidRDefault="00B32661" w:rsidP="00B32661">
            <w:pPr>
              <w:pStyle w:val="Odsekzoznamu"/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09F4">
              <w:rPr>
                <w:rFonts w:ascii="Times New Roman" w:hAnsi="Times New Roman" w:cs="Times New Roman"/>
                <w:color w:val="000000" w:themeColor="text1"/>
              </w:rPr>
              <w:t>-  poberateľ starobného dôchodku, dôchodku z výsluhového zabezpečenia policajtov a vojakov</w:t>
            </w:r>
            <w:r w:rsidRPr="00EE09F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  <w:r w:rsidRPr="00EE09F4">
              <w:rPr>
                <w:rFonts w:ascii="Times New Roman" w:hAnsi="Times New Roman" w:cs="Times New Roman"/>
                <w:color w:val="000000" w:themeColor="text1"/>
              </w:rPr>
              <w:t>vo veku ustanovenom na vznik nároku na starobný dôchodok,</w:t>
            </w:r>
          </w:p>
          <w:p w:rsidR="007149FA" w:rsidRPr="00EE09F4" w:rsidRDefault="00B32661" w:rsidP="001C0651">
            <w:pPr>
              <w:pStyle w:val="Odsekzoznamu"/>
              <w:spacing w:line="276" w:lineRule="auto"/>
              <w:ind w:hanging="720"/>
              <w:jc w:val="both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  <w:color w:val="000000" w:themeColor="text1"/>
              </w:rPr>
              <w:t>-  osoba, ktorá má  dôchodkový vek a nevznikol  jej nárok na starobný dôchodok.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7149FA" w:rsidRPr="00EE09F4" w:rsidTr="009F11B2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7149FA" w:rsidRPr="00EE09F4" w:rsidTr="009F11B2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149FA" w:rsidRPr="00EE09F4" w:rsidRDefault="00EE09F4" w:rsidP="009F11B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9FA" w:rsidRPr="00EE09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9FA" w:rsidRPr="00EE09F4">
              <w:rPr>
                <w:rFonts w:ascii="Times New Roman" w:hAnsi="Times New Roman" w:cs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EE09F4" w:rsidP="009F11B2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9FA" w:rsidRPr="00EE09F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7149FA" w:rsidRPr="00EE09F4">
              <w:rPr>
                <w:rFonts w:ascii="Times New Roman" w:hAnsi="Times New Roman" w:cs="Times New Roman"/>
              </w:rPr>
              <w:t xml:space="preserve">  Nie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Ak áno, uveďte ktoré oblasti budú nimi upravené, resp. ktorých vykonávacích predpisov sa zmena dotkne:</w:t>
            </w:r>
          </w:p>
          <w:p w:rsidR="007149FA" w:rsidRPr="00EE09F4" w:rsidRDefault="007149FA" w:rsidP="009F11B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7149FA" w:rsidRPr="00EE09F4" w:rsidTr="009F11B2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7149FA" w:rsidRPr="00EE09F4" w:rsidTr="009F11B2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Preskúmanie účelnosti**</w:t>
            </w:r>
          </w:p>
        </w:tc>
      </w:tr>
      <w:tr w:rsidR="007149FA" w:rsidRPr="00EE09F4" w:rsidTr="009F11B2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Uveďte termín, kedy by malo dôjsť k preskúmaniu účinnosti a účelnosti navrhovaného predpisu.</w:t>
            </w: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Uveďte kritériá, na základe ktorých bude preskúmanie vykonané.</w:t>
            </w: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</w:p>
        </w:tc>
      </w:tr>
      <w:tr w:rsidR="007149FA" w:rsidRPr="00EE09F4" w:rsidTr="009F11B2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lastRenderedPageBreak/>
              <w:t>Vplyvy navrhovaného materiálu</w:t>
            </w:r>
          </w:p>
        </w:tc>
      </w:tr>
      <w:tr w:rsidR="007149FA" w:rsidRPr="00EE09F4" w:rsidTr="009F11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bookmarkStart w:id="0" w:name="_Hlk500787423"/>
            <w:r w:rsidRPr="00EE09F4">
              <w:rPr>
                <w:rFonts w:ascii="Times New Roman" w:hAnsi="Times New Roman" w:cs="Times New Roman"/>
                <w:b/>
              </w:rPr>
              <w:t>Vplyvy na rozpočet verejnej správy</w:t>
            </w:r>
            <w:bookmarkEnd w:id="0"/>
          </w:p>
        </w:tc>
        <w:sdt>
          <w:sdtPr>
            <w:rPr>
              <w:rFonts w:ascii="Times New Roman" w:hAnsi="Times New Roman" w:cs="Times New Roman"/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ind w:left="-107" w:right="-108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7149FA" w:rsidRPr="00EE09F4" w:rsidTr="009F11B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 xml:space="preserve">    z toho rozpočtovo zabezpečené vplyvy</w:t>
            </w:r>
          </w:p>
        </w:tc>
        <w:sdt>
          <w:sdtPr>
            <w:rPr>
              <w:rFonts w:ascii="Times New Roman" w:hAnsi="Times New Roman" w:cs="Times New Roman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Áno</w:t>
            </w:r>
          </w:p>
        </w:tc>
        <w:sdt>
          <w:sdtPr>
            <w:rPr>
              <w:rFonts w:ascii="Times New Roman" w:hAnsi="Times New Roman" w:cs="Times New Roman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Nie</w:t>
            </w:r>
          </w:p>
        </w:tc>
        <w:sdt>
          <w:sdtPr>
            <w:rPr>
              <w:rFonts w:ascii="Times New Roman" w:hAnsi="Times New Roman" w:cs="Times New Roman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ind w:left="-107" w:right="-108"/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34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Čiastočne</w:t>
            </w:r>
          </w:p>
        </w:tc>
      </w:tr>
      <w:tr w:rsidR="007149FA" w:rsidRPr="00EE09F4" w:rsidTr="009F11B2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bookmarkStart w:id="1" w:name="_Hlk500787442"/>
            <w:r w:rsidRPr="00EE09F4">
              <w:rPr>
                <w:rFonts w:ascii="Times New Roman" w:hAnsi="Times New Roman" w:cs="Times New Roman"/>
                <w:b/>
              </w:rPr>
              <w:t>Vplyvy na podnikateľské prostredie</w:t>
            </w:r>
            <w:bookmarkEnd w:id="1"/>
          </w:p>
        </w:tc>
        <w:sdt>
          <w:sdtPr>
            <w:rPr>
              <w:rFonts w:ascii="Times New Roman" w:hAnsi="Times New Roman" w:cs="Times New Roman"/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7149FA" w:rsidRPr="00EE09F4" w:rsidTr="009F11B2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 xml:space="preserve">    z toho vplyvy na MSP</w:t>
            </w:r>
          </w:p>
        </w:tc>
        <w:sdt>
          <w:sdtPr>
            <w:rPr>
              <w:rFonts w:ascii="Times New Roman" w:hAnsi="Times New Roman" w:cs="Times New Roman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ind w:right="-108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</w:r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E09F4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54"/>
              <w:rPr>
                <w:rFonts w:ascii="Times New Roman" w:hAnsi="Times New Roman" w:cs="Times New Roman"/>
              </w:rPr>
            </w:pPr>
            <w:r w:rsidRPr="00EE09F4">
              <w:rPr>
                <w:rFonts w:ascii="Times New Roman" w:hAnsi="Times New Roman" w:cs="Times New Roman"/>
              </w:rPr>
              <w:t>Negatívne</w:t>
            </w:r>
          </w:p>
        </w:tc>
      </w:tr>
      <w:tr w:rsidR="007149FA" w:rsidRPr="00EE09F4" w:rsidTr="009F11B2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bookmarkStart w:id="2" w:name="_Hlk500787459"/>
            <w:r w:rsidRPr="00EE09F4">
              <w:rPr>
                <w:rFonts w:ascii="Times New Roman" w:hAnsi="Times New Roman" w:cs="Times New Roman"/>
                <w:b/>
              </w:rPr>
              <w:t>Sociálne vplyvy</w:t>
            </w:r>
            <w:bookmarkEnd w:id="2"/>
          </w:p>
        </w:tc>
        <w:sdt>
          <w:sdtPr>
            <w:rPr>
              <w:rFonts w:ascii="Times New Roman" w:hAnsi="Times New Roman" w:cs="Times New Roman"/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7149FA" w:rsidRPr="00EE09F4" w:rsidTr="009F11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bookmarkStart w:id="3" w:name="_Hlk500787492"/>
            <w:r w:rsidRPr="00EE09F4">
              <w:rPr>
                <w:rFonts w:ascii="Times New Roman" w:hAnsi="Times New Roman" w:cs="Times New Roman"/>
                <w:b/>
              </w:rPr>
              <w:t>Vplyvy na životné prostredie</w:t>
            </w:r>
            <w:bookmarkEnd w:id="3"/>
          </w:p>
        </w:tc>
        <w:sdt>
          <w:sdtPr>
            <w:rPr>
              <w:rFonts w:ascii="Times New Roman" w:hAnsi="Times New Roman" w:cs="Times New Roman"/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  <w:tr w:rsidR="007149FA" w:rsidRPr="00EE09F4" w:rsidTr="009F11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bookmarkStart w:id="4" w:name="_Hlk500787506"/>
            <w:bookmarkStart w:id="5" w:name="_GoBack"/>
            <w:r w:rsidRPr="00EE09F4">
              <w:rPr>
                <w:rFonts w:ascii="Times New Roman" w:hAnsi="Times New Roman" w:cs="Times New Roman"/>
                <w:b/>
              </w:rPr>
              <w:t>Vplyvy na informatizáciu</w:t>
            </w:r>
            <w:bookmarkEnd w:id="4"/>
          </w:p>
        </w:tc>
        <w:sdt>
          <w:sdtPr>
            <w:rPr>
              <w:rFonts w:ascii="Times New Roman" w:hAnsi="Times New Roman" w:cs="Times New Roman"/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B32661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Žiadne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ind w:left="54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Negatívne</w:t>
            </w:r>
          </w:p>
        </w:tc>
      </w:tr>
    </w:tbl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7149FA" w:rsidRPr="00EE09F4" w:rsidTr="009F11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6" w:name="_Hlk500787521"/>
            <w:bookmarkEnd w:id="5"/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Vplyvy na služby verejnej správy pre občana, </w:t>
            </w:r>
            <w:bookmarkEnd w:id="6"/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9FA" w:rsidRPr="00EE09F4" w:rsidRDefault="007149FA" w:rsidP="009F11B2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9FA" w:rsidRPr="00EE09F4" w:rsidRDefault="007149FA" w:rsidP="009F11B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49FA" w:rsidRPr="00EE09F4" w:rsidRDefault="007149FA" w:rsidP="009F11B2">
            <w:pPr>
              <w:spacing w:line="276" w:lineRule="auto"/>
              <w:ind w:left="54"/>
              <w:rPr>
                <w:rFonts w:ascii="Times New Roman" w:hAnsi="Times New Roman" w:cs="Times New Roman"/>
                <w:b/>
              </w:rPr>
            </w:pPr>
          </w:p>
        </w:tc>
      </w:tr>
      <w:tr w:rsidR="007149FA" w:rsidRPr="00EE09F4" w:rsidTr="009F11B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spacing w:line="276" w:lineRule="auto"/>
              <w:ind w:left="196" w:hanging="196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 w:rsidRPr="00EE09F4"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1583409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 w:rsidRPr="00EE09F4"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spacing w:line="276" w:lineRule="auto"/>
              <w:ind w:left="5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Negatívne“</w:t>
            </w:r>
          </w:p>
        </w:tc>
      </w:tr>
      <w:tr w:rsidR="007149FA" w:rsidRPr="00EE09F4" w:rsidTr="009F11B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9F11B2">
            <w:pPr>
              <w:spacing w:line="276" w:lineRule="auto"/>
              <w:ind w:left="168" w:hanging="16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 w:rsidRPr="00EE09F4"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Pozitívne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9116186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7149FA" w:rsidRPr="00EE09F4" w:rsidRDefault="007149FA" w:rsidP="009F11B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EE09F4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49FA" w:rsidRPr="00EE09F4" w:rsidRDefault="007149FA" w:rsidP="009F11B2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 w:rsidRPr="00EE09F4"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9FA" w:rsidRPr="00EE09F4" w:rsidRDefault="007149FA" w:rsidP="009F11B2">
            <w:pPr>
              <w:spacing w:line="276" w:lineRule="auto"/>
              <w:ind w:left="5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E09F4">
              <w:rPr>
                <w:rFonts w:ascii="Times New Roman" w:eastAsia="Calibri" w:hAnsi="Times New Roman" w:cs="Times New Roman"/>
                <w:b/>
                <w:lang w:eastAsia="en-US"/>
              </w:rPr>
              <w:t>Negatívne“</w:t>
            </w:r>
          </w:p>
        </w:tc>
      </w:tr>
    </w:tbl>
    <w:p w:rsidR="007149FA" w:rsidRPr="00EE09F4" w:rsidRDefault="007149FA" w:rsidP="007149FA">
      <w:pPr>
        <w:ind w:right="141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7149FA" w:rsidRPr="00EE09F4" w:rsidTr="009F11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7149FA" w:rsidRPr="00EE09F4" w:rsidTr="009F11B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149FA" w:rsidRPr="00EE09F4" w:rsidRDefault="00B32661" w:rsidP="00EF78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</w:rPr>
              <w:t xml:space="preserve">Návrh zákona predpokladá negatívny vplyv na zdroje verejného zdravotného poistenia z dôvodu zavedenia nulových limitov na doplatky za lieky pre jednotlivé skupiny poistencov a zároveň z dôvodu rozšírenia okruhu poistencov, na ktorých by sa nulový limit vzťahoval. Celkový negatívny dopad na zdroje verejného zdravotného poistenia sú cca </w:t>
            </w:r>
            <w:r w:rsidR="00EF78E5" w:rsidRPr="00EE09F4">
              <w:rPr>
                <w:rFonts w:ascii="Times New Roman" w:hAnsi="Times New Roman" w:cs="Times New Roman"/>
              </w:rPr>
              <w:t>5,4</w:t>
            </w:r>
            <w:r w:rsidRPr="00EE09F4">
              <w:rPr>
                <w:rFonts w:ascii="Times New Roman" w:hAnsi="Times New Roman" w:cs="Times New Roman"/>
              </w:rPr>
              <w:t xml:space="preserve"> mil. eur. Pozitívnym sociálnym vplyvom je zavedenie nulových limitov namiesto doterajších limitov spoluúčasti pre poistencov, nakoľko dôchodcovia, deti do 6 rokov a poistenci ťažko </w:t>
            </w:r>
            <w:r w:rsidR="00EF78E5" w:rsidRPr="00EE09F4">
              <w:rPr>
                <w:rFonts w:ascii="Times New Roman" w:hAnsi="Times New Roman" w:cs="Times New Roman"/>
              </w:rPr>
              <w:t>zdravotne postihnutí v období 5</w:t>
            </w:r>
            <w:r w:rsidRPr="00EE09F4">
              <w:rPr>
                <w:rFonts w:ascii="Times New Roman" w:hAnsi="Times New Roman" w:cs="Times New Roman"/>
              </w:rPr>
              <w:t xml:space="preserve"> mesiacov za rok 2019 zaplatili približne </w:t>
            </w:r>
            <w:r w:rsidR="00EF78E5" w:rsidRPr="00EE09F4">
              <w:rPr>
                <w:rFonts w:ascii="Times New Roman" w:hAnsi="Times New Roman" w:cs="Times New Roman"/>
              </w:rPr>
              <w:t>5,4 milióna</w:t>
            </w:r>
            <w:r w:rsidRPr="00EE09F4">
              <w:rPr>
                <w:rFonts w:ascii="Times New Roman" w:hAnsi="Times New Roman" w:cs="Times New Roman"/>
              </w:rPr>
              <w:t xml:space="preserve"> eur ako doplatok v lekárni. </w:t>
            </w:r>
          </w:p>
        </w:tc>
      </w:tr>
      <w:tr w:rsidR="007149FA" w:rsidRPr="00EE09F4" w:rsidTr="009F11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7149FA" w:rsidRPr="00EE09F4" w:rsidTr="009F11B2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49FA" w:rsidRPr="00EE09F4" w:rsidTr="009F11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7149FA" w:rsidRPr="00EE09F4" w:rsidTr="009F11B2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9FA" w:rsidRPr="00EE09F4" w:rsidTr="009F11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7149FA" w:rsidRPr="00EE09F4" w:rsidRDefault="007149FA" w:rsidP="007149FA">
            <w:pPr>
              <w:pStyle w:val="Odsekzoznamu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EE09F4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 w:rsidR="007149FA" w:rsidRPr="00EE09F4" w:rsidTr="009F11B2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  <w:r w:rsidRPr="00EE09F4">
              <w:rPr>
                <w:rFonts w:ascii="Times New Roman" w:hAnsi="Times New Roman" w:cs="Times New Roman"/>
                <w:i/>
              </w:rPr>
              <w:t>Uveďte stanovisko Komisie pre posudzovanie vybraných vplyvov, ktoré Vám bolo zaslané v rámci predbežného pripomienkového konania</w:t>
            </w: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  <w:i/>
              </w:rPr>
            </w:pP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</w:p>
          <w:p w:rsidR="007149FA" w:rsidRPr="00EE09F4" w:rsidRDefault="007149FA" w:rsidP="009F11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149FA" w:rsidRDefault="007149FA" w:rsidP="007149FA">
      <w:pPr>
        <w:rPr>
          <w:b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</w:p>
    <w:p w:rsidR="001A575B" w:rsidRDefault="001A575B"/>
    <w:sectPr w:rsidR="001A575B" w:rsidSect="00121037"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B3316A"/>
    <w:multiLevelType w:val="hybridMultilevel"/>
    <w:tmpl w:val="764E1362"/>
    <w:lvl w:ilvl="0" w:tplc="07A8FF5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4EF"/>
    <w:multiLevelType w:val="hybridMultilevel"/>
    <w:tmpl w:val="288E1BA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B4"/>
    <w:rsid w:val="000537A9"/>
    <w:rsid w:val="00121037"/>
    <w:rsid w:val="00123F0F"/>
    <w:rsid w:val="00151DFB"/>
    <w:rsid w:val="001A575B"/>
    <w:rsid w:val="001C0651"/>
    <w:rsid w:val="001F53AE"/>
    <w:rsid w:val="00205E15"/>
    <w:rsid w:val="00214442"/>
    <w:rsid w:val="00230DB7"/>
    <w:rsid w:val="00291EAD"/>
    <w:rsid w:val="00300FCF"/>
    <w:rsid w:val="00306327"/>
    <w:rsid w:val="00353F0B"/>
    <w:rsid w:val="003A13B6"/>
    <w:rsid w:val="0040761B"/>
    <w:rsid w:val="0044655A"/>
    <w:rsid w:val="00456EE0"/>
    <w:rsid w:val="00504ED6"/>
    <w:rsid w:val="00521D2E"/>
    <w:rsid w:val="0059572D"/>
    <w:rsid w:val="005A18F9"/>
    <w:rsid w:val="005B4559"/>
    <w:rsid w:val="00626D31"/>
    <w:rsid w:val="00633586"/>
    <w:rsid w:val="00657830"/>
    <w:rsid w:val="006B3367"/>
    <w:rsid w:val="006D695F"/>
    <w:rsid w:val="006F1906"/>
    <w:rsid w:val="007071C6"/>
    <w:rsid w:val="007149FA"/>
    <w:rsid w:val="007331B0"/>
    <w:rsid w:val="007370C7"/>
    <w:rsid w:val="00747DF4"/>
    <w:rsid w:val="00756EB3"/>
    <w:rsid w:val="008762A6"/>
    <w:rsid w:val="008A765F"/>
    <w:rsid w:val="008C6D53"/>
    <w:rsid w:val="008E34A3"/>
    <w:rsid w:val="00902132"/>
    <w:rsid w:val="009472A4"/>
    <w:rsid w:val="00980CA9"/>
    <w:rsid w:val="009B1911"/>
    <w:rsid w:val="009C5F79"/>
    <w:rsid w:val="00A21978"/>
    <w:rsid w:val="00AB4073"/>
    <w:rsid w:val="00AE26D0"/>
    <w:rsid w:val="00AF4FB3"/>
    <w:rsid w:val="00B32661"/>
    <w:rsid w:val="00B56C94"/>
    <w:rsid w:val="00C36283"/>
    <w:rsid w:val="00C63B3F"/>
    <w:rsid w:val="00CA23B4"/>
    <w:rsid w:val="00D67CCB"/>
    <w:rsid w:val="00D95998"/>
    <w:rsid w:val="00E162F1"/>
    <w:rsid w:val="00E70B3F"/>
    <w:rsid w:val="00EA5766"/>
    <w:rsid w:val="00EE09F4"/>
    <w:rsid w:val="00EF78E5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42599"/>
  <w14:defaultImageDpi w14:val="0"/>
  <w15:docId w15:val="{BA6B4D4A-0563-44B5-852E-DD9D5344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3B4"/>
    <w:pPr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49FA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rsid w:val="00CA23B4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CA23B4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33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3586"/>
    <w:rPr>
      <w:rFonts w:ascii="Segoe UI" w:hAnsi="Segoe UI" w:cs="Segoe UI"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rsid w:val="00CA23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F4FB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7149FA"/>
    <w:rPr>
      <w:rFonts w:ascii="Cambria" w:hAnsi="Cambria" w:cs="Times New Roman"/>
      <w:b/>
      <w:bCs/>
      <w:kern w:val="32"/>
      <w:sz w:val="32"/>
      <w:szCs w:val="3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7149FA"/>
    <w:rPr>
      <w:rFonts w:ascii="Arial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7149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Satinová Petra</dc:creator>
  <cp:keywords/>
  <dc:description/>
  <cp:lastModifiedBy>Pčolinská, Adriana (asistent)</cp:lastModifiedBy>
  <cp:revision>6</cp:revision>
  <cp:lastPrinted>2018-02-23T09:01:00Z</cp:lastPrinted>
  <dcterms:created xsi:type="dcterms:W3CDTF">2019-09-20T08:08:00Z</dcterms:created>
  <dcterms:modified xsi:type="dcterms:W3CDTF">2019-09-24T10:11:00Z</dcterms:modified>
</cp:coreProperties>
</file>