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377" w:rsidRDefault="00D52377" w:rsidP="008379AD">
      <w:pPr>
        <w:widowControl/>
        <w:tabs>
          <w:tab w:val="left" w:pos="9072"/>
        </w:tabs>
        <w:autoSpaceDE/>
        <w:adjustRightInd/>
        <w:jc w:val="center"/>
        <w:rPr>
          <w:b/>
          <w:bCs/>
        </w:rPr>
      </w:pPr>
      <w:r w:rsidRPr="007A46A9">
        <w:rPr>
          <w:b/>
          <w:bCs/>
          <w:caps/>
        </w:rPr>
        <w:t>Národná rada Slovenskej republiky</w:t>
      </w:r>
    </w:p>
    <w:p w:rsidR="00D52377" w:rsidRDefault="00D52377" w:rsidP="008379AD">
      <w:pPr>
        <w:widowControl/>
        <w:tabs>
          <w:tab w:val="left" w:pos="9072"/>
        </w:tabs>
        <w:autoSpaceDE/>
        <w:adjustRightInd/>
        <w:jc w:val="center"/>
        <w:rPr>
          <w:b/>
          <w:bCs/>
        </w:rPr>
      </w:pPr>
    </w:p>
    <w:p w:rsidR="00D52377" w:rsidRDefault="00D52377" w:rsidP="008379AD">
      <w:pPr>
        <w:widowControl/>
        <w:tabs>
          <w:tab w:val="left" w:pos="9072"/>
        </w:tabs>
        <w:autoSpaceDE/>
        <w:adjustRightInd/>
        <w:jc w:val="center"/>
        <w:rPr>
          <w:b/>
          <w:bCs/>
        </w:rPr>
      </w:pPr>
      <w:r>
        <w:rPr>
          <w:b/>
          <w:bCs/>
          <w:caps/>
        </w:rPr>
        <w:t>VII. volebné obdobie</w:t>
      </w:r>
    </w:p>
    <w:p w:rsidR="00D52377" w:rsidRDefault="00D52377" w:rsidP="008379AD">
      <w:pPr>
        <w:widowControl/>
        <w:tabs>
          <w:tab w:val="left" w:pos="9072"/>
        </w:tabs>
        <w:autoSpaceDE/>
        <w:adjustRightInd/>
        <w:jc w:val="center"/>
        <w:rPr>
          <w:b/>
          <w:bCs/>
        </w:rPr>
      </w:pPr>
    </w:p>
    <w:p w:rsidR="00D52377" w:rsidRDefault="00D52377" w:rsidP="008379AD">
      <w:pPr>
        <w:widowControl/>
        <w:tabs>
          <w:tab w:val="left" w:pos="9072"/>
        </w:tabs>
        <w:autoSpaceDE/>
        <w:adjustRightInd/>
        <w:jc w:val="center"/>
        <w:rPr>
          <w:b/>
          <w:bCs/>
        </w:rPr>
      </w:pPr>
      <w:r>
        <w:rPr>
          <w:b/>
          <w:bCs/>
          <w:smallCaps/>
        </w:rPr>
        <w:t>_______________________________________________________________________</w:t>
      </w:r>
    </w:p>
    <w:p w:rsidR="00D52377" w:rsidRDefault="00D52377" w:rsidP="008379AD">
      <w:pPr>
        <w:widowControl/>
        <w:tabs>
          <w:tab w:val="left" w:pos="9072"/>
        </w:tabs>
        <w:autoSpaceDE/>
        <w:adjustRightInd/>
        <w:jc w:val="center"/>
        <w:rPr>
          <w:b/>
          <w:bCs/>
        </w:rPr>
      </w:pPr>
    </w:p>
    <w:p w:rsidR="00D52377" w:rsidRDefault="00D52377" w:rsidP="008379AD">
      <w:pPr>
        <w:widowControl/>
        <w:tabs>
          <w:tab w:val="left" w:pos="9072"/>
        </w:tabs>
        <w:autoSpaceDE/>
        <w:adjustRightInd/>
        <w:spacing w:line="276" w:lineRule="auto"/>
        <w:jc w:val="center"/>
        <w:rPr>
          <w:b/>
          <w:bCs/>
        </w:rPr>
      </w:pPr>
      <w:r>
        <w:rPr>
          <w:b/>
          <w:bCs/>
        </w:rPr>
        <w:t>Návrh</w:t>
      </w:r>
    </w:p>
    <w:p w:rsidR="00D52377" w:rsidRDefault="00D52377" w:rsidP="008379AD">
      <w:pPr>
        <w:widowControl/>
        <w:tabs>
          <w:tab w:val="left" w:pos="9072"/>
        </w:tabs>
        <w:autoSpaceDE/>
        <w:adjustRightInd/>
        <w:spacing w:line="276" w:lineRule="auto"/>
        <w:jc w:val="center"/>
        <w:rPr>
          <w:b/>
          <w:bCs/>
        </w:rPr>
      </w:pPr>
    </w:p>
    <w:p w:rsidR="00D52377" w:rsidRDefault="00D52377" w:rsidP="008379AD">
      <w:pPr>
        <w:widowControl/>
        <w:tabs>
          <w:tab w:val="left" w:pos="9072"/>
        </w:tabs>
        <w:autoSpaceDE/>
        <w:adjustRightInd/>
        <w:spacing w:line="276" w:lineRule="auto"/>
        <w:jc w:val="center"/>
        <w:rPr>
          <w:b/>
          <w:bCs/>
        </w:rPr>
      </w:pPr>
      <w:r>
        <w:rPr>
          <w:b/>
          <w:bCs/>
        </w:rPr>
        <w:t>zákon</w:t>
      </w:r>
    </w:p>
    <w:p w:rsidR="00D52377" w:rsidRDefault="00D52377" w:rsidP="008379AD">
      <w:pPr>
        <w:widowControl/>
        <w:tabs>
          <w:tab w:val="left" w:pos="9072"/>
        </w:tabs>
        <w:autoSpaceDE/>
        <w:adjustRightInd/>
        <w:spacing w:line="276" w:lineRule="auto"/>
        <w:jc w:val="center"/>
        <w:rPr>
          <w:b/>
          <w:bCs/>
        </w:rPr>
      </w:pPr>
    </w:p>
    <w:p w:rsidR="00D52377" w:rsidRDefault="008379AD" w:rsidP="008379AD">
      <w:pPr>
        <w:widowControl/>
        <w:tabs>
          <w:tab w:val="left" w:pos="9072"/>
        </w:tabs>
        <w:autoSpaceDE/>
        <w:adjustRightInd/>
        <w:spacing w:line="276" w:lineRule="auto"/>
        <w:jc w:val="center"/>
        <w:rPr>
          <w:b/>
          <w:bCs/>
        </w:rPr>
      </w:pPr>
      <w:r>
        <w:rPr>
          <w:b/>
          <w:bCs/>
        </w:rPr>
        <w:t>z ......... 2019</w:t>
      </w:r>
      <w:r w:rsidR="00D52377">
        <w:rPr>
          <w:b/>
          <w:bCs/>
        </w:rPr>
        <w:t>,</w:t>
      </w:r>
    </w:p>
    <w:p w:rsidR="00D52377" w:rsidRDefault="00D52377" w:rsidP="008379AD">
      <w:pPr>
        <w:widowControl/>
        <w:tabs>
          <w:tab w:val="left" w:pos="9072"/>
        </w:tabs>
        <w:autoSpaceDE/>
        <w:adjustRightInd/>
        <w:spacing w:line="276" w:lineRule="auto"/>
        <w:jc w:val="center"/>
        <w:rPr>
          <w:b/>
          <w:bCs/>
        </w:rPr>
      </w:pPr>
    </w:p>
    <w:p w:rsidR="00D52377" w:rsidRDefault="00D52377" w:rsidP="008379AD">
      <w:pPr>
        <w:widowControl/>
        <w:spacing w:line="276" w:lineRule="auto"/>
        <w:jc w:val="center"/>
        <w:rPr>
          <w:b/>
          <w:sz w:val="28"/>
          <w:szCs w:val="28"/>
        </w:rPr>
      </w:pPr>
    </w:p>
    <w:p w:rsidR="00D52377" w:rsidRPr="007A6C03" w:rsidRDefault="00D52377" w:rsidP="008379AD">
      <w:pPr>
        <w:widowControl/>
        <w:autoSpaceDE/>
        <w:autoSpaceDN/>
        <w:adjustRightInd/>
        <w:spacing w:line="276" w:lineRule="auto"/>
        <w:jc w:val="center"/>
        <w:rPr>
          <w:b/>
          <w:color w:val="000000" w:themeColor="text1"/>
        </w:rPr>
      </w:pPr>
      <w:r w:rsidRPr="00AA5C4F">
        <w:rPr>
          <w:b/>
          <w:color w:val="000000" w:themeColor="text1"/>
        </w:rPr>
        <w:t xml:space="preserve">ktorým sa  </w:t>
      </w:r>
      <w:r>
        <w:rPr>
          <w:b/>
          <w:color w:val="000000" w:themeColor="text1"/>
        </w:rPr>
        <w:t xml:space="preserve">mení a </w:t>
      </w:r>
      <w:r w:rsidRPr="00AA5C4F">
        <w:rPr>
          <w:b/>
          <w:color w:val="000000" w:themeColor="text1"/>
        </w:rPr>
        <w:t>dopĺňa zákon č. 245/2008 Z. z.</w:t>
      </w:r>
      <w:r w:rsidR="003D698C">
        <w:rPr>
          <w:b/>
          <w:color w:val="000000" w:themeColor="text1"/>
        </w:rPr>
        <w:t xml:space="preserve"> </w:t>
      </w:r>
      <w:r w:rsidRPr="007A6C03">
        <w:rPr>
          <w:b/>
          <w:color w:val="000000" w:themeColor="text1"/>
        </w:rPr>
        <w:t>o výchove a vzdelávaní (školský zákon) a o zmene a doplnení niektorých zákonov</w:t>
      </w:r>
      <w:r w:rsidRPr="00AA5C4F">
        <w:rPr>
          <w:b/>
          <w:color w:val="000000" w:themeColor="text1"/>
        </w:rPr>
        <w:t xml:space="preserve"> v znení neskorších predpisov</w:t>
      </w:r>
    </w:p>
    <w:p w:rsidR="00D52377" w:rsidRPr="00AA5C4F" w:rsidRDefault="00D52377" w:rsidP="008379AD">
      <w:pPr>
        <w:widowControl/>
        <w:spacing w:line="276" w:lineRule="auto"/>
        <w:jc w:val="center"/>
        <w:rPr>
          <w:color w:val="000000" w:themeColor="text1"/>
        </w:rPr>
      </w:pPr>
    </w:p>
    <w:p w:rsidR="00D52377" w:rsidRDefault="00D52377" w:rsidP="008379AD">
      <w:pPr>
        <w:widowControl/>
        <w:spacing w:line="276" w:lineRule="auto"/>
        <w:jc w:val="center"/>
      </w:pPr>
    </w:p>
    <w:p w:rsidR="00D52377" w:rsidRPr="00C35BBF" w:rsidRDefault="00D52377" w:rsidP="008379AD">
      <w:pPr>
        <w:widowControl/>
        <w:spacing w:line="276" w:lineRule="auto"/>
        <w:jc w:val="center"/>
      </w:pPr>
      <w:r w:rsidRPr="00C35BBF">
        <w:t>Národná rada Slovenskej republiky sa uzniesla na tomto zákone:</w:t>
      </w:r>
    </w:p>
    <w:p w:rsidR="00D52377" w:rsidRDefault="00D52377" w:rsidP="008379AD">
      <w:pPr>
        <w:spacing w:line="276" w:lineRule="auto"/>
        <w:jc w:val="center"/>
        <w:rPr>
          <w:b/>
        </w:rPr>
      </w:pPr>
    </w:p>
    <w:p w:rsidR="00D52377" w:rsidRDefault="00D52377" w:rsidP="008379AD">
      <w:pPr>
        <w:spacing w:line="276" w:lineRule="auto"/>
        <w:jc w:val="center"/>
        <w:rPr>
          <w:b/>
        </w:rPr>
      </w:pPr>
      <w:r w:rsidRPr="00C35BBF">
        <w:rPr>
          <w:b/>
        </w:rPr>
        <w:t>Čl. I</w:t>
      </w:r>
    </w:p>
    <w:p w:rsidR="00D52377" w:rsidRDefault="00D52377" w:rsidP="008379AD">
      <w:pPr>
        <w:spacing w:line="276" w:lineRule="auto"/>
        <w:jc w:val="center"/>
        <w:rPr>
          <w:b/>
        </w:rPr>
      </w:pPr>
    </w:p>
    <w:p w:rsidR="00D52377" w:rsidRPr="00754DC0" w:rsidRDefault="003D698C" w:rsidP="003D698C">
      <w:pPr>
        <w:widowControl/>
        <w:spacing w:line="276" w:lineRule="auto"/>
        <w:ind w:firstLine="708"/>
        <w:jc w:val="both"/>
        <w:rPr>
          <w:color w:val="000000" w:themeColor="text1"/>
        </w:rPr>
      </w:pPr>
      <w:r>
        <w:t xml:space="preserve">Zákon č. 245/2008 Z. z. o výchove a vzdelávaní (školský zákon) a o zmene a doplnení niektorých zákonov v znení zákona č. 462/2008 Z. z., zákona č. 37/2009 Z. z., zákona                    č. 184/2009 Z. z., zákona č. 37/2011 Z. z., zákona č. 390/2011 Z. z., zákona č. 324/2012 Z. z., zákona č. 125/2013 Z. z., zákona č. 464/2013 Z. z., zákona č. 307/2014 Z. z., nálezu Ústavného súdu Slovenskej republiky č. 330/2014 Z. z., zákona č. 377/2014 Z. z., zákona č. 61/2015 Z. z., zákona č.188/2015 Z. z., zákona č. 440/2015 Z. z., zákona č. 125/2016 Z. z., zákona č. 216/2016 Z. z., zákona č. 56/2017 Z. z., zákona č. 151/2017 Z. z., zákona     č. 178/2017 Z. z., zákona č. 182/2017 Z. z., zákona č. 62/2018 Z. z., zákona č. 209/2018 Z. z., zákona č. 210/2018 Z. z., zákona č. 365/2018 Z. z., zákona č. 375/2018 Z. z., zákona č. 209/2019 Z. z. a zákona č. 221/2019 Z. z. </w:t>
      </w:r>
      <w:r w:rsidR="00D52377">
        <w:rPr>
          <w:color w:val="000000" w:themeColor="text1"/>
        </w:rPr>
        <w:t xml:space="preserve">sa mení a </w:t>
      </w:r>
      <w:r w:rsidR="00D52377" w:rsidRPr="00754DC0">
        <w:rPr>
          <w:color w:val="000000" w:themeColor="text1"/>
        </w:rPr>
        <w:t>dopĺňa takto:</w:t>
      </w:r>
    </w:p>
    <w:p w:rsidR="00D52377" w:rsidRDefault="00D52377" w:rsidP="003D698C">
      <w:pPr>
        <w:spacing w:line="276" w:lineRule="auto"/>
        <w:jc w:val="both"/>
      </w:pPr>
    </w:p>
    <w:p w:rsidR="00D52377" w:rsidRDefault="00D52377" w:rsidP="008379AD">
      <w:pPr>
        <w:pStyle w:val="Odsekzoznamu"/>
        <w:spacing w:line="276" w:lineRule="auto"/>
        <w:ind w:left="284"/>
        <w:jc w:val="both"/>
        <w:rPr>
          <w:b/>
        </w:rPr>
      </w:pPr>
    </w:p>
    <w:p w:rsidR="00D52377" w:rsidRDefault="00A51508" w:rsidP="008379AD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§ 35 odsek 1 znie:</w:t>
      </w:r>
    </w:p>
    <w:p w:rsidR="00D52377" w:rsidRPr="00A51508" w:rsidRDefault="00A51508" w:rsidP="008379AD">
      <w:pPr>
        <w:spacing w:line="276" w:lineRule="auto"/>
        <w:ind w:left="284" w:hanging="142"/>
        <w:jc w:val="both"/>
        <w:rPr>
          <w:iCs/>
        </w:rPr>
      </w:pPr>
      <w:r w:rsidRPr="00A51508">
        <w:rPr>
          <w:iCs/>
        </w:rPr>
        <w:t>„</w:t>
      </w:r>
      <w:r w:rsidR="00D52377" w:rsidRPr="00A51508">
        <w:rPr>
          <w:iCs/>
        </w:rPr>
        <w:t>(1) Prestup žiaka do inej strednej školy na ten istý alebo iný študijný odbor alebo učebný odbor</w:t>
      </w:r>
      <w:r w:rsidRPr="00A51508">
        <w:rPr>
          <w:iCs/>
        </w:rPr>
        <w:t xml:space="preserve"> </w:t>
      </w:r>
      <w:r w:rsidR="00D52377" w:rsidRPr="00A51508">
        <w:rPr>
          <w:iCs/>
        </w:rPr>
        <w:t>povoľuje riaditeľ strednej školy, do ktorej sa žiak hlási. Žiakovi prijatému do učebného odboru</w:t>
      </w:r>
      <w:r w:rsidRPr="00A51508">
        <w:rPr>
          <w:iCs/>
        </w:rPr>
        <w:t xml:space="preserve"> </w:t>
      </w:r>
      <w:r w:rsidR="00D52377" w:rsidRPr="00A51508">
        <w:rPr>
          <w:iCs/>
        </w:rPr>
        <w:t>možno povoliť prestup do inej strednej odbornej školy alebo strednej športovej školy na ten istý</w:t>
      </w:r>
      <w:r w:rsidRPr="00A51508">
        <w:rPr>
          <w:iCs/>
        </w:rPr>
        <w:t xml:space="preserve"> </w:t>
      </w:r>
      <w:r w:rsidR="00D52377" w:rsidRPr="00A51508">
        <w:rPr>
          <w:iCs/>
        </w:rPr>
        <w:t>učebný odbor alebo na iný učebný odbor. Prestup povoľuje na základe žiadosti jeho zákonného zástupcu; ak ide o plnoletého žiaka, na základe jeho žiadosti. Súčasťou žiadosti o prestup žiaka, ktorý sa pripravuje v systéme duálneho vzdelávania, je aj súhlas zamestnávateľa, u ktorého sa tento žiak pripravuje. Stredná škola, do ktorej žiak s učebnou zmluvou prestúpil bez súhlasu zamestnávateľa, je povinná uhradiť zamestnávateľovi pomernú časť nákladov na prípravu žiaka na povolanie v učebnom odbore alebo v študijnom odbore.</w:t>
      </w:r>
      <w:r w:rsidRPr="00A51508">
        <w:rPr>
          <w:iCs/>
        </w:rPr>
        <w:t>“.</w:t>
      </w:r>
    </w:p>
    <w:p w:rsidR="00D52377" w:rsidRDefault="00D52377" w:rsidP="008379AD">
      <w:pPr>
        <w:pStyle w:val="Bezriadkovani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79AD" w:rsidRPr="000E5A33" w:rsidRDefault="008379AD" w:rsidP="008379AD">
      <w:pPr>
        <w:pStyle w:val="Bezriadkovani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508" w:rsidRPr="007A46A9" w:rsidRDefault="00A51508" w:rsidP="008379AD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50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D52377" w:rsidRPr="007A46A9">
        <w:rPr>
          <w:rFonts w:ascii="Times New Roman" w:hAnsi="Times New Roman" w:cs="Times New Roman"/>
          <w:bCs/>
          <w:sz w:val="24"/>
          <w:szCs w:val="24"/>
        </w:rPr>
        <w:t>§ 37 ods</w:t>
      </w:r>
      <w:r w:rsidRPr="007A46A9">
        <w:rPr>
          <w:rFonts w:ascii="Times New Roman" w:hAnsi="Times New Roman" w:cs="Times New Roman"/>
          <w:bCs/>
          <w:sz w:val="24"/>
          <w:szCs w:val="24"/>
        </w:rPr>
        <w:t>ek 1 znie:</w:t>
      </w:r>
      <w:r w:rsidR="00D52377" w:rsidRPr="007A46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377" w:rsidRPr="007A46A9" w:rsidRDefault="00A51508" w:rsidP="008379AD">
      <w:pPr>
        <w:pStyle w:val="Bezriadkovania"/>
        <w:spacing w:line="276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46A9">
        <w:rPr>
          <w:rFonts w:ascii="Times New Roman" w:hAnsi="Times New Roman" w:cs="Times New Roman"/>
          <w:iCs/>
          <w:sz w:val="24"/>
          <w:szCs w:val="24"/>
        </w:rPr>
        <w:t xml:space="preserve">     „</w:t>
      </w:r>
      <w:r w:rsidR="00D52377" w:rsidRPr="007A46A9">
        <w:rPr>
          <w:rFonts w:ascii="Times New Roman" w:hAnsi="Times New Roman" w:cs="Times New Roman"/>
          <w:iCs/>
          <w:sz w:val="24"/>
          <w:szCs w:val="24"/>
        </w:rPr>
        <w:t>(1) Riaditeľ strednej školy rozhoduje o opakovaní ročníka žiaka na základe posúdenia jeho vzdelávacích výsledkov a dôvodov, ktoré uvedie plnoletý žiak vo svojej písomnej žiadosti alebo</w:t>
      </w:r>
      <w:r w:rsidRPr="007A46A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52377" w:rsidRPr="007A46A9">
        <w:rPr>
          <w:rFonts w:ascii="Times New Roman" w:hAnsi="Times New Roman" w:cs="Times New Roman"/>
          <w:iCs/>
          <w:sz w:val="24"/>
          <w:szCs w:val="24"/>
        </w:rPr>
        <w:t>ktoré uvedie v písomnej žiadosti jeho zákonný zástupca. O opakovaní ročníka žiaka, ktorý sa pripravuje v systéme duálneho vzdelávania, rozhoduje riaditeľ strednej školy po súhlase zamestnávateľa, u ktorého sa tento žiak pripravuje. Stredná odborná škola, ktorá rozhodla o opakovaní ročníka žiaka s učebnou zmluvou bez súhlasu zamestnávateľa, je povinná uhradiť zamestnávateľovi pomernú časť nákladov na prípravu žiaka na povolanie v učebnom odbore alebo v študijnom odbore.</w:t>
      </w:r>
      <w:r w:rsidRPr="007A46A9">
        <w:rPr>
          <w:rFonts w:ascii="Times New Roman" w:hAnsi="Times New Roman" w:cs="Times New Roman"/>
          <w:iCs/>
          <w:sz w:val="24"/>
          <w:szCs w:val="24"/>
        </w:rPr>
        <w:t>“.</w:t>
      </w:r>
    </w:p>
    <w:p w:rsidR="00D52377" w:rsidRPr="00A51508" w:rsidRDefault="00D52377" w:rsidP="008379AD">
      <w:pPr>
        <w:pStyle w:val="Bezriadkovania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51508" w:rsidRPr="007A46A9" w:rsidRDefault="00A51508" w:rsidP="008379AD">
      <w:pPr>
        <w:pStyle w:val="Bezriadkovania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46A9">
        <w:rPr>
          <w:rFonts w:ascii="Times New Roman" w:hAnsi="Times New Roman" w:cs="Times New Roman"/>
          <w:sz w:val="24"/>
          <w:szCs w:val="24"/>
        </w:rPr>
        <w:t xml:space="preserve">3.  </w:t>
      </w:r>
      <w:r w:rsidRPr="007A46A9">
        <w:rPr>
          <w:rFonts w:ascii="Times New Roman" w:hAnsi="Times New Roman" w:cs="Times New Roman"/>
          <w:bCs/>
          <w:sz w:val="24"/>
          <w:szCs w:val="24"/>
        </w:rPr>
        <w:t>§ 39  sa dopĺňa odsekom 3, ktorý znie:</w:t>
      </w:r>
    </w:p>
    <w:p w:rsidR="00D52377" w:rsidRPr="007A46A9" w:rsidRDefault="00A51508" w:rsidP="008379AD">
      <w:pPr>
        <w:pStyle w:val="Bezriadkovania"/>
        <w:spacing w:line="276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46A9"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Pr="007A46A9">
        <w:rPr>
          <w:rFonts w:ascii="Times New Roman" w:hAnsi="Times New Roman" w:cs="Times New Roman"/>
          <w:iCs/>
          <w:sz w:val="24"/>
          <w:szCs w:val="24"/>
        </w:rPr>
        <w:t>„</w:t>
      </w:r>
      <w:r w:rsidR="00D52377" w:rsidRPr="007A46A9">
        <w:rPr>
          <w:rFonts w:ascii="Times New Roman" w:hAnsi="Times New Roman" w:cs="Times New Roman"/>
          <w:iCs/>
          <w:sz w:val="24"/>
          <w:szCs w:val="24"/>
        </w:rPr>
        <w:t>(3) Žiak s učebnou zmluvou alebo zákonný zástupca neplnoletého žiaka s učebnou zmluvou, ktorý zanechal štúdium bez súhlasu zamestnávateľa, je povinný uhradiť zamestnávateľovi pomernú časť nákladov na prípravu žiaka na povolanie v učebnom odbore alebo v študijnom odbore.</w:t>
      </w:r>
      <w:r w:rsidRPr="007A46A9">
        <w:rPr>
          <w:rFonts w:ascii="Times New Roman" w:hAnsi="Times New Roman" w:cs="Times New Roman"/>
          <w:iCs/>
          <w:sz w:val="24"/>
          <w:szCs w:val="24"/>
        </w:rPr>
        <w:t>“.</w:t>
      </w:r>
    </w:p>
    <w:p w:rsidR="00D52377" w:rsidRDefault="00D52377" w:rsidP="008379AD">
      <w:pPr>
        <w:pStyle w:val="Bezriadkovani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6A9" w:rsidRPr="007A46A9" w:rsidRDefault="007A46A9" w:rsidP="008379AD">
      <w:pPr>
        <w:pStyle w:val="Bezriadkovania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46A9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D52377" w:rsidRPr="007A46A9">
        <w:rPr>
          <w:rFonts w:ascii="Times New Roman" w:hAnsi="Times New Roman" w:cs="Times New Roman"/>
          <w:bCs/>
          <w:sz w:val="24"/>
          <w:szCs w:val="24"/>
        </w:rPr>
        <w:t xml:space="preserve">§ 68 </w:t>
      </w:r>
      <w:r w:rsidRPr="007A46A9">
        <w:rPr>
          <w:rFonts w:ascii="Times New Roman" w:hAnsi="Times New Roman" w:cs="Times New Roman"/>
          <w:bCs/>
          <w:sz w:val="24"/>
          <w:szCs w:val="24"/>
        </w:rPr>
        <w:t>sa dopĺňa odsekom 6 a 7, ktoré znejú:</w:t>
      </w:r>
    </w:p>
    <w:p w:rsidR="00D52377" w:rsidRDefault="007A46A9" w:rsidP="008379AD">
      <w:pPr>
        <w:pStyle w:val="Bezriadkovania"/>
        <w:spacing w:line="276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46A9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   „</w:t>
      </w:r>
      <w:r w:rsidR="00D52377" w:rsidRPr="007A46A9">
        <w:rPr>
          <w:rFonts w:ascii="Times New Roman" w:hAnsi="Times New Roman" w:cs="Times New Roman"/>
          <w:iCs/>
          <w:sz w:val="24"/>
          <w:szCs w:val="24"/>
        </w:rPr>
        <w:t>(6) Ak prijatý a zapísaný žiak, ktorému zamestnávateľ vydal potvrdenie, neuzatvorí najneskôr do 31. augusta pred nástupom do prvého ročníka štúdia so zamestnávateľom učebnú zmluvu, rozhodnutie, ktorým bol uchádzač prijatý na štúdium v strednej škole, je neplatné.</w:t>
      </w:r>
    </w:p>
    <w:p w:rsidR="00DC091A" w:rsidRPr="007A46A9" w:rsidRDefault="00DC091A" w:rsidP="008379AD">
      <w:pPr>
        <w:pStyle w:val="Bezriadkovania"/>
        <w:spacing w:line="276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52377" w:rsidRPr="007A46A9" w:rsidRDefault="007A46A9" w:rsidP="008379AD">
      <w:pPr>
        <w:pStyle w:val="Bezriadkovania"/>
        <w:spacing w:line="276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</w:t>
      </w:r>
      <w:r w:rsidR="00D52377" w:rsidRPr="007A46A9">
        <w:rPr>
          <w:rFonts w:ascii="Times New Roman" w:hAnsi="Times New Roman" w:cs="Times New Roman"/>
          <w:iCs/>
          <w:sz w:val="24"/>
          <w:szCs w:val="24"/>
        </w:rPr>
        <w:t>(7) Ak škola neotvorí pre nízky počet prijatých a zapísaných uchádzačov triedu, do ktorej mali byť  žiaci</w:t>
      </w:r>
      <w:r w:rsidR="00DC091A">
        <w:rPr>
          <w:rFonts w:ascii="Times New Roman" w:hAnsi="Times New Roman" w:cs="Times New Roman"/>
          <w:iCs/>
          <w:sz w:val="24"/>
          <w:szCs w:val="24"/>
        </w:rPr>
        <w:t xml:space="preserve"> s potvrdením od zamestnávateľa</w:t>
      </w:r>
      <w:r w:rsidR="00D52377" w:rsidRPr="007A46A9">
        <w:rPr>
          <w:rFonts w:ascii="Times New Roman" w:hAnsi="Times New Roman" w:cs="Times New Roman"/>
          <w:iCs/>
          <w:sz w:val="24"/>
          <w:szCs w:val="24"/>
        </w:rPr>
        <w:t xml:space="preserve"> zaradení a nie je možné </w:t>
      </w:r>
      <w:r w:rsidR="00DC091A">
        <w:rPr>
          <w:rFonts w:ascii="Times New Roman" w:hAnsi="Times New Roman" w:cs="Times New Roman"/>
          <w:iCs/>
          <w:sz w:val="24"/>
          <w:szCs w:val="24"/>
        </w:rPr>
        <w:t xml:space="preserve">takého </w:t>
      </w:r>
      <w:r w:rsidR="00D52377" w:rsidRPr="007A46A9">
        <w:rPr>
          <w:rFonts w:ascii="Times New Roman" w:hAnsi="Times New Roman" w:cs="Times New Roman"/>
          <w:iCs/>
          <w:sz w:val="24"/>
          <w:szCs w:val="24"/>
        </w:rPr>
        <w:t>žiaka zaradiť do inej triedy, môže riaditeľ strednej odbornej školy na žiadosť žiaka alebo zákonného zástupcu maloletého žiaka so súhlasom zamestnávateľa rozhodnúť o zmene učebného odboru na študijný odbor, ak sa vzdelávanie žiaka v študijnom odbore bude uskutočňovať v systéme duálneho vzdelávania na základe učebnej zmluvy v triede, v ktorej sa vyučuje daný študijný odbor sú voľné miesta.</w:t>
      </w:r>
      <w:r>
        <w:rPr>
          <w:rFonts w:ascii="Times New Roman" w:hAnsi="Times New Roman" w:cs="Times New Roman"/>
          <w:iCs/>
          <w:sz w:val="24"/>
          <w:szCs w:val="24"/>
        </w:rPr>
        <w:t>“.</w:t>
      </w:r>
    </w:p>
    <w:p w:rsidR="00D52377" w:rsidRDefault="00D52377" w:rsidP="008379AD">
      <w:pPr>
        <w:pStyle w:val="Bezriadkovani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6A9" w:rsidRPr="007A46A9" w:rsidRDefault="007A46A9" w:rsidP="008379AD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6A9">
        <w:rPr>
          <w:rFonts w:ascii="Times New Roman" w:hAnsi="Times New Roman" w:cs="Times New Roman"/>
          <w:sz w:val="24"/>
          <w:szCs w:val="24"/>
        </w:rPr>
        <w:t xml:space="preserve">5. </w:t>
      </w:r>
      <w:r w:rsidRPr="007A46A9">
        <w:rPr>
          <w:rFonts w:ascii="Times New Roman" w:hAnsi="Times New Roman" w:cs="Times New Roman"/>
          <w:bCs/>
          <w:sz w:val="24"/>
          <w:szCs w:val="24"/>
        </w:rPr>
        <w:t xml:space="preserve">§ 80 odsek </w:t>
      </w:r>
      <w:r w:rsidR="00D52377" w:rsidRPr="007A46A9">
        <w:rPr>
          <w:rFonts w:ascii="Times New Roman" w:hAnsi="Times New Roman" w:cs="Times New Roman"/>
          <w:bCs/>
          <w:sz w:val="24"/>
          <w:szCs w:val="24"/>
        </w:rPr>
        <w:t xml:space="preserve"> 6</w:t>
      </w:r>
      <w:r w:rsidR="00D52377" w:rsidRPr="007A46A9">
        <w:rPr>
          <w:rFonts w:ascii="Times New Roman" w:hAnsi="Times New Roman" w:cs="Times New Roman"/>
          <w:sz w:val="24"/>
          <w:szCs w:val="24"/>
        </w:rPr>
        <w:t xml:space="preserve"> </w:t>
      </w:r>
      <w:r w:rsidRPr="007A46A9">
        <w:rPr>
          <w:rFonts w:ascii="Times New Roman" w:hAnsi="Times New Roman" w:cs="Times New Roman"/>
          <w:sz w:val="24"/>
          <w:szCs w:val="24"/>
        </w:rPr>
        <w:t>znie:</w:t>
      </w:r>
    </w:p>
    <w:p w:rsidR="00D52377" w:rsidRPr="007A46A9" w:rsidRDefault="007A46A9" w:rsidP="008379AD">
      <w:pPr>
        <w:pStyle w:val="Bezriadkovania"/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A46A9">
        <w:rPr>
          <w:rFonts w:ascii="Times New Roman" w:hAnsi="Times New Roman" w:cs="Times New Roman"/>
          <w:iCs/>
          <w:sz w:val="24"/>
          <w:szCs w:val="24"/>
        </w:rPr>
        <w:t>„</w:t>
      </w:r>
      <w:r w:rsidR="00D52377" w:rsidRPr="007A46A9">
        <w:rPr>
          <w:rFonts w:ascii="Times New Roman" w:hAnsi="Times New Roman" w:cs="Times New Roman"/>
          <w:iCs/>
          <w:sz w:val="24"/>
          <w:szCs w:val="24"/>
        </w:rPr>
        <w:t>(6) Odborná zložka maturitnej skúšky v študijnom odbore sa koná pred predmetovou maturitnou komisiou pre teoretickú časť odbornej zložky maturitnej skúšky a predmetovou maturitnou komisiou pre praktickú časť odbornej zložky maturitnej skúšky. Praktická časť maturitnej skúšky žiaka, ktorý sa pripravoval v systéme duálneho vzdelávania a ktorá sa koná na pracovisku praktického vyučovania sa koná za účasti najmenej troch členov predmetovej maturitnej komisie, ktorých určí riaditeľ školy so súhlasom predsedu maturitnej komisie.</w:t>
      </w:r>
      <w:r w:rsidRPr="007A46A9">
        <w:rPr>
          <w:rFonts w:ascii="Times New Roman" w:hAnsi="Times New Roman" w:cs="Times New Roman"/>
          <w:iCs/>
          <w:sz w:val="24"/>
          <w:szCs w:val="24"/>
        </w:rPr>
        <w:t>“.</w:t>
      </w:r>
    </w:p>
    <w:p w:rsidR="00D52377" w:rsidRDefault="00D52377" w:rsidP="008379AD">
      <w:pPr>
        <w:pStyle w:val="Bezriadkovani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698C" w:rsidRDefault="003D698C" w:rsidP="008379AD">
      <w:pPr>
        <w:pStyle w:val="Bezriadkovani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698C" w:rsidRDefault="003D698C" w:rsidP="008379AD">
      <w:pPr>
        <w:pStyle w:val="Bezriadkovani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671" w:rsidRPr="001E4671" w:rsidRDefault="001E4671" w:rsidP="008379AD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671">
        <w:rPr>
          <w:rFonts w:ascii="Times New Roman" w:hAnsi="Times New Roman" w:cs="Times New Roman"/>
          <w:sz w:val="24"/>
          <w:szCs w:val="24"/>
        </w:rPr>
        <w:t xml:space="preserve">6.  </w:t>
      </w:r>
      <w:r w:rsidR="00D52377" w:rsidRPr="001E4671">
        <w:rPr>
          <w:rFonts w:ascii="Times New Roman" w:hAnsi="Times New Roman" w:cs="Times New Roman"/>
          <w:bCs/>
          <w:sz w:val="24"/>
          <w:szCs w:val="24"/>
        </w:rPr>
        <w:t>§ 83</w:t>
      </w:r>
      <w:r w:rsidR="00D52377" w:rsidRPr="001E4671">
        <w:rPr>
          <w:rFonts w:ascii="Times New Roman" w:hAnsi="Times New Roman" w:cs="Times New Roman"/>
          <w:sz w:val="24"/>
          <w:szCs w:val="24"/>
        </w:rPr>
        <w:t xml:space="preserve"> </w:t>
      </w:r>
      <w:r w:rsidR="00DC091A">
        <w:rPr>
          <w:rFonts w:ascii="Times New Roman" w:hAnsi="Times New Roman" w:cs="Times New Roman"/>
          <w:sz w:val="24"/>
          <w:szCs w:val="24"/>
        </w:rPr>
        <w:t xml:space="preserve"> sa dopĺňa </w:t>
      </w:r>
      <w:r w:rsidRPr="001E4671">
        <w:rPr>
          <w:rFonts w:ascii="Times New Roman" w:hAnsi="Times New Roman" w:cs="Times New Roman"/>
          <w:sz w:val="24"/>
          <w:szCs w:val="24"/>
        </w:rPr>
        <w:t>odsek</w:t>
      </w:r>
      <w:r w:rsidR="00DC091A">
        <w:rPr>
          <w:rFonts w:ascii="Times New Roman" w:hAnsi="Times New Roman" w:cs="Times New Roman"/>
          <w:sz w:val="24"/>
          <w:szCs w:val="24"/>
        </w:rPr>
        <w:t xml:space="preserve">om 8, ktorý </w:t>
      </w:r>
      <w:r w:rsidRPr="001E4671">
        <w:rPr>
          <w:rFonts w:ascii="Times New Roman" w:hAnsi="Times New Roman" w:cs="Times New Roman"/>
          <w:sz w:val="24"/>
          <w:szCs w:val="24"/>
        </w:rPr>
        <w:t xml:space="preserve"> znie:</w:t>
      </w:r>
    </w:p>
    <w:p w:rsidR="00D52377" w:rsidRDefault="001E4671" w:rsidP="008379AD">
      <w:pPr>
        <w:pStyle w:val="Bezriadkovania"/>
        <w:spacing w:line="276" w:lineRule="auto"/>
        <w:ind w:left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E4671">
        <w:rPr>
          <w:rFonts w:ascii="Times New Roman" w:hAnsi="Times New Roman" w:cs="Times New Roman"/>
          <w:iCs/>
          <w:sz w:val="24"/>
          <w:szCs w:val="24"/>
        </w:rPr>
        <w:t>„</w:t>
      </w:r>
      <w:r w:rsidR="00DC091A">
        <w:rPr>
          <w:rFonts w:ascii="Times New Roman" w:hAnsi="Times New Roman" w:cs="Times New Roman"/>
          <w:iCs/>
          <w:sz w:val="24"/>
          <w:szCs w:val="24"/>
        </w:rPr>
        <w:t>(8</w:t>
      </w:r>
      <w:r w:rsidR="00D52377" w:rsidRPr="001E4671">
        <w:rPr>
          <w:rFonts w:ascii="Times New Roman" w:hAnsi="Times New Roman" w:cs="Times New Roman"/>
          <w:iCs/>
          <w:sz w:val="24"/>
          <w:szCs w:val="24"/>
        </w:rPr>
        <w:t>) Praktická časť záverečnej skúšky v učebnom odbore sa koná pred skúšobnou komisiou. Praktická časť záverečnej skúšky žiaka, ktorý sa pripravoval v systéme duálneho vzdelávania a ktorá sa koná na pracovisku praktického vyučovania sa koná za účasti najmenej troch členov skúšobnej komisie, ktorých určí riaditeľ školy so súhlasom predsedu skúšobnej komisie.</w:t>
      </w:r>
      <w:r w:rsidRPr="001E4671">
        <w:rPr>
          <w:rFonts w:ascii="Times New Roman" w:hAnsi="Times New Roman" w:cs="Times New Roman"/>
          <w:iCs/>
          <w:sz w:val="24"/>
          <w:szCs w:val="24"/>
        </w:rPr>
        <w:t>“.</w:t>
      </w:r>
    </w:p>
    <w:p w:rsidR="008379AD" w:rsidRPr="001E4671" w:rsidRDefault="008379AD" w:rsidP="008379AD">
      <w:pPr>
        <w:pStyle w:val="Bezriadkovania"/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D52377" w:rsidRDefault="001E4671" w:rsidP="008379AD">
      <w:pPr>
        <w:pStyle w:val="Bezriadkovania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4671">
        <w:rPr>
          <w:rFonts w:ascii="Times New Roman" w:hAnsi="Times New Roman" w:cs="Times New Roman"/>
          <w:sz w:val="24"/>
          <w:szCs w:val="24"/>
        </w:rPr>
        <w:t xml:space="preserve">7. V </w:t>
      </w:r>
      <w:r w:rsidR="00D52377" w:rsidRPr="001E4671">
        <w:rPr>
          <w:rFonts w:ascii="Times New Roman" w:hAnsi="Times New Roman" w:cs="Times New Roman"/>
          <w:bCs/>
          <w:sz w:val="24"/>
          <w:szCs w:val="24"/>
        </w:rPr>
        <w:t>§ 157</w:t>
      </w:r>
      <w:r w:rsidRPr="001E46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2377" w:rsidRPr="001E46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2377" w:rsidRPr="006415E9">
        <w:rPr>
          <w:rFonts w:ascii="Times New Roman" w:hAnsi="Times New Roman" w:cs="Times New Roman"/>
          <w:iCs/>
          <w:sz w:val="24"/>
          <w:szCs w:val="24"/>
        </w:rPr>
        <w:t>ods</w:t>
      </w:r>
      <w:r>
        <w:rPr>
          <w:rFonts w:ascii="Times New Roman" w:hAnsi="Times New Roman" w:cs="Times New Roman"/>
          <w:iCs/>
          <w:sz w:val="24"/>
          <w:szCs w:val="24"/>
        </w:rPr>
        <w:t xml:space="preserve">ek </w:t>
      </w:r>
      <w:r w:rsidR="00D52377" w:rsidRPr="006415E9">
        <w:rPr>
          <w:rFonts w:ascii="Times New Roman" w:hAnsi="Times New Roman" w:cs="Times New Roman"/>
          <w:iCs/>
          <w:sz w:val="24"/>
          <w:szCs w:val="24"/>
        </w:rPr>
        <w:t xml:space="preserve"> 3 písm</w:t>
      </w:r>
      <w:r>
        <w:rPr>
          <w:rFonts w:ascii="Times New Roman" w:hAnsi="Times New Roman" w:cs="Times New Roman"/>
          <w:iCs/>
          <w:sz w:val="24"/>
          <w:szCs w:val="24"/>
        </w:rPr>
        <w:t>eno</w:t>
      </w:r>
      <w:r w:rsidR="00D52377" w:rsidRPr="006415E9">
        <w:rPr>
          <w:rFonts w:ascii="Times New Roman" w:hAnsi="Times New Roman" w:cs="Times New Roman"/>
          <w:iCs/>
          <w:sz w:val="24"/>
          <w:szCs w:val="24"/>
        </w:rPr>
        <w:t xml:space="preserve"> a) bod</w:t>
      </w:r>
      <w:r w:rsidR="004120CE">
        <w:rPr>
          <w:rFonts w:ascii="Times New Roman" w:hAnsi="Times New Roman" w:cs="Times New Roman"/>
          <w:iCs/>
          <w:sz w:val="24"/>
          <w:szCs w:val="24"/>
        </w:rPr>
        <w:t>y</w:t>
      </w:r>
      <w:r w:rsidR="00D52377" w:rsidRPr="006415E9">
        <w:rPr>
          <w:rFonts w:ascii="Times New Roman" w:hAnsi="Times New Roman" w:cs="Times New Roman"/>
          <w:iCs/>
          <w:sz w:val="24"/>
          <w:szCs w:val="24"/>
        </w:rPr>
        <w:t xml:space="preserve"> 15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="00D52377" w:rsidRPr="006415E9">
        <w:rPr>
          <w:rFonts w:ascii="Times New Roman" w:hAnsi="Times New Roman" w:cs="Times New Roman"/>
          <w:iCs/>
          <w:sz w:val="24"/>
          <w:szCs w:val="24"/>
        </w:rPr>
        <w:t xml:space="preserve"> a</w:t>
      </w:r>
      <w:r>
        <w:rPr>
          <w:rFonts w:ascii="Times New Roman" w:hAnsi="Times New Roman" w:cs="Times New Roman"/>
          <w:iCs/>
          <w:sz w:val="24"/>
          <w:szCs w:val="24"/>
        </w:rPr>
        <w:t> </w:t>
      </w:r>
      <w:r w:rsidR="00D52377" w:rsidRPr="006415E9">
        <w:rPr>
          <w:rFonts w:ascii="Times New Roman" w:hAnsi="Times New Roman" w:cs="Times New Roman"/>
          <w:iCs/>
          <w:sz w:val="24"/>
          <w:szCs w:val="24"/>
        </w:rPr>
        <w:t>16</w:t>
      </w:r>
      <w:r>
        <w:rPr>
          <w:rFonts w:ascii="Times New Roman" w:hAnsi="Times New Roman" w:cs="Times New Roman"/>
          <w:iCs/>
          <w:sz w:val="24"/>
          <w:szCs w:val="24"/>
        </w:rPr>
        <w:t>. znejú:</w:t>
      </w:r>
    </w:p>
    <w:p w:rsidR="00D52377" w:rsidRPr="001E4671" w:rsidRDefault="001E4671" w:rsidP="008379AD">
      <w:pPr>
        <w:pStyle w:val="Bezriadkovania"/>
        <w:spacing w:line="276" w:lineRule="auto"/>
        <w:ind w:left="851" w:hanging="56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„</w:t>
      </w:r>
      <w:r w:rsidR="00D52377" w:rsidRPr="001E4671">
        <w:rPr>
          <w:rFonts w:ascii="Times New Roman" w:hAnsi="Times New Roman" w:cs="Times New Roman"/>
          <w:iCs/>
          <w:sz w:val="24"/>
          <w:szCs w:val="24"/>
        </w:rPr>
        <w:t>15. dátum prijatia, študijný odbor, zameranie študijného odboru, učebný odbor alebo zameranie učebného odboru, výchovno-vzdelávací program, forma organizácie výchovy a vzdelávania v škole, školskom zariadení, názov, adresa a identifikačné číslo zamestnávateľa, ktorý poskytuje praktické vyučovanie, adresa miesta praktického vyučovania, ak je iné ako dielňa a údaje o účasti na aktivitách v nich,</w:t>
      </w:r>
    </w:p>
    <w:p w:rsidR="00D52377" w:rsidRPr="001E4671" w:rsidRDefault="00D52377" w:rsidP="008379AD">
      <w:pPr>
        <w:pStyle w:val="Bezriadkovania"/>
        <w:spacing w:line="276" w:lineRule="auto"/>
        <w:ind w:left="709" w:hanging="42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52377" w:rsidRPr="001E4671" w:rsidRDefault="00D52377" w:rsidP="008379AD">
      <w:pPr>
        <w:pStyle w:val="Bezriadkovania"/>
        <w:spacing w:line="276" w:lineRule="auto"/>
        <w:ind w:left="851" w:hanging="42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E4671">
        <w:rPr>
          <w:rFonts w:ascii="Times New Roman" w:hAnsi="Times New Roman" w:cs="Times New Roman"/>
          <w:iCs/>
          <w:sz w:val="24"/>
          <w:szCs w:val="24"/>
        </w:rPr>
        <w:t>16. učebná zmluva podľa osobitného predpisu,92a) s uvedením názvu, adresy a identifikačného čísla zamestnávateľa,</w:t>
      </w:r>
      <w:r w:rsidR="001E4671">
        <w:rPr>
          <w:rFonts w:ascii="Times New Roman" w:hAnsi="Times New Roman" w:cs="Times New Roman"/>
          <w:iCs/>
          <w:sz w:val="24"/>
          <w:szCs w:val="24"/>
        </w:rPr>
        <w:t>“.</w:t>
      </w:r>
    </w:p>
    <w:p w:rsidR="00D52377" w:rsidRDefault="00D52377" w:rsidP="008379AD">
      <w:pPr>
        <w:pStyle w:val="Bezriadkovani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377" w:rsidRPr="006415E9" w:rsidRDefault="001E4671" w:rsidP="008379AD">
      <w:pPr>
        <w:pStyle w:val="Bezriadkovania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8. V § 157 </w:t>
      </w:r>
      <w:r w:rsidR="003D698C">
        <w:rPr>
          <w:rFonts w:ascii="Times New Roman" w:hAnsi="Times New Roman" w:cs="Times New Roman"/>
          <w:iCs/>
          <w:sz w:val="24"/>
          <w:szCs w:val="24"/>
        </w:rPr>
        <w:t>s</w:t>
      </w:r>
      <w:r>
        <w:rPr>
          <w:rFonts w:ascii="Times New Roman" w:hAnsi="Times New Roman" w:cs="Times New Roman"/>
          <w:iCs/>
          <w:sz w:val="24"/>
          <w:szCs w:val="24"/>
        </w:rPr>
        <w:t xml:space="preserve">a dopĺňa </w:t>
      </w:r>
      <w:r w:rsidR="00D52377" w:rsidRPr="006415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120CE">
        <w:rPr>
          <w:rFonts w:ascii="Times New Roman" w:hAnsi="Times New Roman" w:cs="Times New Roman"/>
          <w:iCs/>
          <w:sz w:val="24"/>
          <w:szCs w:val="24"/>
        </w:rPr>
        <w:t xml:space="preserve">novým </w:t>
      </w:r>
      <w:bookmarkStart w:id="0" w:name="_GoBack"/>
      <w:bookmarkEnd w:id="0"/>
      <w:r w:rsidR="00D52377" w:rsidRPr="006415E9">
        <w:rPr>
          <w:rFonts w:ascii="Times New Roman" w:hAnsi="Times New Roman" w:cs="Times New Roman"/>
          <w:iCs/>
          <w:sz w:val="24"/>
          <w:szCs w:val="24"/>
        </w:rPr>
        <w:t>odsek</w:t>
      </w:r>
      <w:r>
        <w:rPr>
          <w:rFonts w:ascii="Times New Roman" w:hAnsi="Times New Roman" w:cs="Times New Roman"/>
          <w:iCs/>
          <w:sz w:val="24"/>
          <w:szCs w:val="24"/>
        </w:rPr>
        <w:t>om</w:t>
      </w:r>
      <w:r w:rsidR="003D698C">
        <w:rPr>
          <w:rFonts w:ascii="Times New Roman" w:hAnsi="Times New Roman" w:cs="Times New Roman"/>
          <w:iCs/>
          <w:sz w:val="24"/>
          <w:szCs w:val="24"/>
        </w:rPr>
        <w:t xml:space="preserve"> 8</w:t>
      </w:r>
      <w:r>
        <w:rPr>
          <w:rFonts w:ascii="Times New Roman" w:hAnsi="Times New Roman" w:cs="Times New Roman"/>
          <w:iCs/>
          <w:sz w:val="24"/>
          <w:szCs w:val="24"/>
        </w:rPr>
        <w:t>, ktorý znie:</w:t>
      </w:r>
    </w:p>
    <w:p w:rsidR="00D52377" w:rsidRPr="001E4671" w:rsidRDefault="001E4671" w:rsidP="008379AD">
      <w:pPr>
        <w:pStyle w:val="Bezriadkovania"/>
        <w:spacing w:line="276" w:lineRule="auto"/>
        <w:ind w:left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„</w:t>
      </w:r>
      <w:r w:rsidR="00D52377" w:rsidRPr="001E4671">
        <w:rPr>
          <w:rFonts w:ascii="Times New Roman" w:hAnsi="Times New Roman" w:cs="Times New Roman"/>
          <w:iCs/>
          <w:sz w:val="24"/>
          <w:szCs w:val="24"/>
        </w:rPr>
        <w:t>(8) V centrálnom registri sa vedú  aj identifikačné údaje o zamestnávateľoch, s ktorými škola uzatvorila zmluvu o poskytovaní praktického vyučovania alebo zmluvu o duálnom vzdelávaní v rozsahu obchodný názov, IČO, adresa zamestnávateľa, adresa pracoviska zamestnávateľa, adresa pracoviska pr</w:t>
      </w:r>
      <w:r>
        <w:rPr>
          <w:rFonts w:ascii="Times New Roman" w:hAnsi="Times New Roman" w:cs="Times New Roman"/>
          <w:iCs/>
          <w:sz w:val="24"/>
          <w:szCs w:val="24"/>
        </w:rPr>
        <w:t>aktického vyučovania.“.</w:t>
      </w:r>
    </w:p>
    <w:p w:rsidR="00D52377" w:rsidRDefault="00D52377" w:rsidP="008379AD">
      <w:pPr>
        <w:spacing w:line="276" w:lineRule="auto"/>
        <w:ind w:left="284"/>
      </w:pPr>
    </w:p>
    <w:p w:rsidR="001E4671" w:rsidRDefault="001E4671" w:rsidP="008379AD">
      <w:pPr>
        <w:spacing w:line="276" w:lineRule="auto"/>
        <w:ind w:left="284"/>
      </w:pPr>
      <w:r>
        <w:t>Doterajšie odseky 8 až 12 sa označujú ako odseky 9 až 13.</w:t>
      </w:r>
    </w:p>
    <w:p w:rsidR="008379AD" w:rsidRDefault="008379AD" w:rsidP="008379AD">
      <w:pPr>
        <w:spacing w:line="276" w:lineRule="auto"/>
        <w:ind w:left="284"/>
      </w:pPr>
    </w:p>
    <w:p w:rsidR="008379AD" w:rsidRPr="00870347" w:rsidRDefault="008379AD" w:rsidP="008379AD">
      <w:pPr>
        <w:spacing w:line="276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Čl. II</w:t>
      </w:r>
    </w:p>
    <w:p w:rsidR="008379AD" w:rsidRPr="00870347" w:rsidRDefault="008379AD" w:rsidP="008379AD">
      <w:pPr>
        <w:spacing w:line="276" w:lineRule="auto"/>
        <w:jc w:val="center"/>
        <w:rPr>
          <w:b/>
          <w:color w:val="000000" w:themeColor="text1"/>
        </w:rPr>
      </w:pPr>
    </w:p>
    <w:p w:rsidR="008379AD" w:rsidRPr="00870347" w:rsidRDefault="008379AD" w:rsidP="008379AD">
      <w:pPr>
        <w:spacing w:line="276" w:lineRule="auto"/>
        <w:jc w:val="both"/>
        <w:rPr>
          <w:color w:val="000000" w:themeColor="text1"/>
        </w:rPr>
      </w:pPr>
      <w:r w:rsidRPr="00870347">
        <w:rPr>
          <w:color w:val="000000" w:themeColor="text1"/>
        </w:rPr>
        <w:t xml:space="preserve">Tento zákon nadobúda účinnosť 1. </w:t>
      </w:r>
      <w:r>
        <w:rPr>
          <w:color w:val="000000" w:themeColor="text1"/>
        </w:rPr>
        <w:t>januára 2020</w:t>
      </w:r>
      <w:r w:rsidRPr="00870347">
        <w:rPr>
          <w:color w:val="000000" w:themeColor="text1"/>
        </w:rPr>
        <w:t>.</w:t>
      </w:r>
    </w:p>
    <w:p w:rsidR="008379AD" w:rsidRPr="001E4671" w:rsidRDefault="008379AD" w:rsidP="001E4671">
      <w:pPr>
        <w:spacing w:line="276" w:lineRule="auto"/>
        <w:ind w:left="284"/>
      </w:pPr>
    </w:p>
    <w:sectPr w:rsidR="008379AD" w:rsidRPr="001E4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377"/>
    <w:rsid w:val="001E4671"/>
    <w:rsid w:val="002E6988"/>
    <w:rsid w:val="003D698C"/>
    <w:rsid w:val="004120CE"/>
    <w:rsid w:val="007A46A9"/>
    <w:rsid w:val="008379AD"/>
    <w:rsid w:val="00A51508"/>
    <w:rsid w:val="00D52377"/>
    <w:rsid w:val="00DC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34D6A"/>
  <w15:chartTrackingRefBased/>
  <w15:docId w15:val="{D1C2FB78-A202-49C3-B92C-E8E13B1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523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5237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D52377"/>
    <w:rPr>
      <w:color w:val="0000FF"/>
      <w:u w:val="single"/>
    </w:rPr>
  </w:style>
  <w:style w:type="paragraph" w:styleId="Bezriadkovania">
    <w:name w:val="No Spacing"/>
    <w:uiPriority w:val="1"/>
    <w:qFormat/>
    <w:rsid w:val="00D52377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D6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698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Pčolinská, Adriana (asistent)</dc:creator>
  <cp:keywords/>
  <dc:description/>
  <cp:lastModifiedBy>Pčolinská, Adriana (asistent)</cp:lastModifiedBy>
  <cp:revision>5</cp:revision>
  <cp:lastPrinted>2019-09-27T09:58:00Z</cp:lastPrinted>
  <dcterms:created xsi:type="dcterms:W3CDTF">2019-07-29T10:23:00Z</dcterms:created>
  <dcterms:modified xsi:type="dcterms:W3CDTF">2019-09-27T10:02:00Z</dcterms:modified>
</cp:coreProperties>
</file>