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E66" w:rsidRPr="004E1E66" w:rsidRDefault="004E1E66" w:rsidP="004E1E66">
      <w:pPr>
        <w:widowControl/>
        <w:autoSpaceDE/>
        <w:autoSpaceDN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:rsidR="004E1E66" w:rsidRPr="004E1E66" w:rsidRDefault="004E1E66" w:rsidP="004E1E66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:rsidR="004E1E66" w:rsidRPr="004E1E66" w:rsidRDefault="00CD49BD" w:rsidP="004E1E66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09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:rsidR="004E1E66" w:rsidRPr="004E1E66" w:rsidRDefault="004E1E66" w:rsidP="004E1E66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Návrh zákona, ktorým sa mení </w:t>
      </w:r>
      <w:r w:rsidR="000E26F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 dopĺňa </w:t>
      </w:r>
      <w:r w:rsidRPr="004E1E66">
        <w:rPr>
          <w:rFonts w:ascii="Book Antiqua" w:hAnsi="Book Antiqua"/>
          <w:color w:val="000000"/>
          <w:kern w:val="0"/>
          <w:sz w:val="22"/>
          <w:szCs w:val="22"/>
          <w:lang w:bidi="ar-SA"/>
        </w:rPr>
        <w:t xml:space="preserve">zákon č. 301/2005 Z. z. Trestný poriadok </w:t>
      </w:r>
      <w:r w:rsidRPr="004E1E66">
        <w:rPr>
          <w:rFonts w:ascii="Book Antiqua" w:hAnsi="Book Antiqua"/>
          <w:color w:val="000000"/>
          <w:kern w:val="0"/>
          <w:sz w:val="22"/>
          <w:szCs w:val="22"/>
          <w:lang w:bidi="ar-SA"/>
        </w:rPr>
        <w:br/>
        <w:t xml:space="preserve">v znení neskorších predpisov </w:t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predkladajú do Národnej rady Slovenskej republiky poslanci Národnej rady Slovenskej republiky za politickú stranu Kotleba – Ľudová strana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Naše Slovensko Marian Kotleba, Rastislav Schlosár</w:t>
      </w:r>
      <w:r w:rsid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Stanislav Drobný</w:t>
      </w:r>
      <w:r w:rsid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</w:t>
      </w:r>
      <w:r w:rsidR="000B570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Peter Krupa</w:t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</w:r>
    </w:p>
    <w:p w:rsidR="004E1E66" w:rsidRDefault="004E1E66" w:rsidP="00C63DA0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Cieľom legislatívneho návrhu je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posilnenie postavenia poškodeného v trestnom konaní tak, aby bol zabezpečený objektívnejší a spravodlivejší proces. To v konečnom dôsledku povedie k nižšej miere kri</w:t>
      </w:r>
      <w:r w:rsidR="00C63DA0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minality, väčšej vymožiteľnosti práva a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vyššej</w:t>
      </w:r>
      <w:r w:rsidR="00C63DA0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bezpečnosti obyvateľov Slovenskej republiky.</w:t>
      </w:r>
    </w:p>
    <w:p w:rsidR="007374A8" w:rsidRDefault="00D458E1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súčasnom právnom poriadku sú záujmy obetí trestných činov, t. j. 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p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oškodených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,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nedostatočne chránené. A to aj napriek tomu, že 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zmyslom a hlavným cieľom trestného práva je práve ochra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na ľudí pred nebezpečnou krimina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litou, ktorá predstavuje významný zásah 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  <w:t xml:space="preserve">do života poškodených a ich blízkych. Dokonca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platí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, že súčasné zákony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častokrát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viac ochraňujú páchateľov trestných činov, ako ich obete.</w:t>
      </w:r>
    </w:p>
    <w:p w:rsidR="007374A8" w:rsidRPr="007374A8" w:rsidRDefault="007374A8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Akokoľvek by bola vysoká dôvera k  súdom a  orgánom činným v  trestnom konaní, vždy je riziko nesprávneho posúdenia veci a  tým aj riziko vynesenia nespravodlivého </w:t>
      </w:r>
      <w:r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>rozhodnutia súdu</w:t>
      </w: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. Z tohto dôvodu je mimoriadne dôležité, aby mali všetky strany </w:t>
      </w: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  <w:t>v trestnom konaní rovnocenné postavenie, resp. také postavenie, ktoré im umožní účinne obraňovať svoje práva.</w:t>
      </w:r>
    </w:p>
    <w:p w:rsidR="00D46245" w:rsidRDefault="00445805" w:rsidP="00D46245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Trestný poriadok dnes dáva 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prokurátorovi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aj obžalovanému široké práva vo veci podávania opravných prostriedkov, ako aj v konaní o dohode o vine a treste.</w:t>
      </w:r>
      <w:r w:rsidR="00D4624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</w:t>
      </w:r>
      <w:r w:rsidR="00D4624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  <w:t xml:space="preserve">Naproti tomu poškodený má právo podávať len niektoré opravné prostriedky a aj to len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  <w:t xml:space="preserve">proti </w:t>
      </w:r>
      <w:r w:rsidR="00D4624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výrokom o náhrade škody, ak si včas uplatnil nárok na náhradu škody.</w:t>
      </w:r>
    </w:p>
    <w:p w:rsidR="00D46245" w:rsidRDefault="00D46245" w:rsidP="00D46245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Poškodený môže v súčasnosti </w:t>
      </w:r>
      <w:r w:rsidR="00C07276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trestnom konaní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podávať len riadne opravné prostriedky, a to:</w:t>
      </w:r>
    </w:p>
    <w:p w:rsidR="00C07276" w:rsidRPr="00C07276" w:rsidRDefault="00C07276" w:rsidP="00C07276">
      <w:pPr>
        <w:pStyle w:val="Standard"/>
        <w:numPr>
          <w:ilvl w:val="0"/>
          <w:numId w:val="2"/>
        </w:numPr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P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sťažnosť proti uzneseniu v zmysle 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§ 186 ods. 1 Trestného poriadku, </w:t>
      </w:r>
    </w:p>
    <w:p w:rsidR="00C07276" w:rsidRDefault="00D46245" w:rsidP="00D46245">
      <w:pPr>
        <w:pStyle w:val="Standard"/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odvolanie proti rozsudku súdu prvého stupňa</w:t>
      </w:r>
      <w:r w:rsidR="00C07276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, ale len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</w:t>
      </w:r>
      <w:r w:rsidRPr="00D46245">
        <w:rPr>
          <w:rFonts w:ascii="Book Antiqua" w:hAnsi="Book Antiqua"/>
          <w:color w:val="000000"/>
          <w:sz w:val="22"/>
          <w:szCs w:val="22"/>
          <w:lang w:eastAsia="en-US" w:bidi="ar-SA"/>
        </w:rPr>
        <w:t>pre nesprávnosť výroku o náhrade škody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v zmysle </w:t>
      </w:r>
      <w:r w:rsidRPr="00D4624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§ 307 ods. 1 písm. c) Trestného poriadku</w:t>
      </w:r>
      <w:r w:rsid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a</w:t>
      </w:r>
    </w:p>
    <w:p w:rsidR="00C07276" w:rsidRDefault="00D46245" w:rsidP="00D46245">
      <w:pPr>
        <w:pStyle w:val="Standard"/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Pr="00C07276">
        <w:rPr>
          <w:rFonts w:ascii="Book Antiqua" w:hAnsi="Book Antiqua"/>
          <w:color w:val="000000"/>
          <w:sz w:val="22"/>
          <w:szCs w:val="22"/>
          <w:lang w:eastAsia="en-US" w:bidi="ar-SA"/>
        </w:rPr>
        <w:t>odpor proti trestnému rozkazu</w:t>
      </w:r>
      <w:r w:rsidR="00C07276">
        <w:rPr>
          <w:rFonts w:ascii="Book Antiqua" w:hAnsi="Book Antiqua"/>
          <w:color w:val="000000"/>
          <w:sz w:val="22"/>
          <w:szCs w:val="22"/>
          <w:lang w:eastAsia="en-US" w:bidi="ar-SA"/>
        </w:rPr>
        <w:t>, ale len</w:t>
      </w:r>
      <w:r w:rsidRP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proti výroku o náhrade škody, ktorým bola priznaná náhrada škody v zmysle </w:t>
      </w:r>
      <w:r w:rsidR="00C07276" w:rsidRPr="00C07276">
        <w:rPr>
          <w:rFonts w:ascii="Book Antiqua" w:hAnsi="Book Antiqua"/>
          <w:color w:val="000000"/>
          <w:sz w:val="22"/>
          <w:szCs w:val="22"/>
          <w:lang w:eastAsia="en-US" w:bidi="ar-SA"/>
        </w:rPr>
        <w:t>§</w:t>
      </w:r>
      <w:r w:rsid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355 ods. 2 Trestného poriadku.</w:t>
      </w:r>
    </w:p>
    <w:p w:rsidR="00C07276" w:rsidRDefault="00C07276" w:rsidP="00C63DA0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eastAsia="en-US" w:bidi="ar-SA"/>
        </w:rPr>
        <w:t>Mimoriadn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>e opravné prostriedky –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t. j. dovolanie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</w:t>
      </w:r>
      <w:r w:rsidR="00C63DA0" w:rsidRPr="00C63DA0">
        <w:rPr>
          <w:rFonts w:ascii="Book Antiqua" w:hAnsi="Book Antiqua"/>
          <w:color w:val="000000"/>
          <w:sz w:val="22"/>
          <w:szCs w:val="22"/>
          <w:lang w:eastAsia="en-US" w:bidi="ar-SA"/>
        </w:rPr>
        <w:t>proti právoplatnému rozhodnutiu súdu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a návrh na obnovu konania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>,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poškodený nie je oprávnený podávať vôbec.</w:t>
      </w:r>
    </w:p>
    <w:p w:rsidR="007374A8" w:rsidRDefault="00C07276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eastAsia="en-US" w:bidi="ar-SA"/>
        </w:rPr>
        <w:t>Slabšie postavenie oproti páchateľovi trestného činu má poškodený aj v konaní o dohode o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vine a treste. Zatiaľ čo bez súhlasu obvineného nie je možné uzavrieť 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túto dohodu, súhlas poškodeného sa vyžaduje len </w:t>
      </w:r>
      <w:r w:rsid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vo veci náhrady škody. </w:t>
      </w:r>
      <w:r w:rsidR="007374A8"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Ak nedošlo 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7374A8"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k dohode o náhrade škody, prokurátor navrhne, aby súd poškodeného odkázal s nárokom </w:t>
      </w:r>
      <w:r w:rsidR="009F2433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7374A8"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>na náhradu škody alebo jej časti na civilný proces alebo iné konanie.</w:t>
      </w:r>
    </w:p>
    <w:p w:rsidR="007374A8" w:rsidRDefault="007374A8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lastRenderedPageBreak/>
        <w:t xml:space="preserve">Z  </w:t>
      </w:r>
      <w:r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uvedeného vyplýva, že poškodený je v  najslabšej pozícii spomedzi 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všetkých strán trestného konania, pritom je to práve jeho život, zdravie, majetok alebo česť, 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ktoré sú objektami chránenými zákonmi. </w:t>
      </w:r>
    </w:p>
    <w:p w:rsidR="00AC4D1E" w:rsidRDefault="007374A8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eastAsia="en-US" w:bidi="ar-SA"/>
        </w:rPr>
        <w:t>Skutočnosť, že poškodený má len veľmi obmedzené možnosti podávania</w:t>
      </w:r>
      <w:r w:rsidR="00AC4D1E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opravných prostriedkov a z konania o dohode o vine a treste je takmer vylúčený, vedie k veľkej miere korupcie. Pre obvineného je omnoho jednoduchšie dosiahnuť vhodnými úplatkami </w:t>
      </w:r>
      <w:r w:rsidR="006329D9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AC4D1E">
        <w:rPr>
          <w:rFonts w:ascii="Book Antiqua" w:hAnsi="Book Antiqua"/>
          <w:color w:val="000000"/>
          <w:sz w:val="22"/>
          <w:szCs w:val="22"/>
          <w:lang w:eastAsia="en-US" w:bidi="ar-SA"/>
        </w:rPr>
        <w:t>pre neho priaznivú dohodu o vine a treste, ak túto dohodu nemôže zablokovať poškodený. Tak isto obžalovaný má väčšie možnosti korupcie vo vzťahu k</w:t>
      </w:r>
      <w:r w:rsidR="002E3CB8">
        <w:rPr>
          <w:rFonts w:ascii="Book Antiqua" w:hAnsi="Book Antiqua"/>
          <w:color w:val="000000"/>
          <w:sz w:val="22"/>
          <w:szCs w:val="22"/>
          <w:lang w:eastAsia="en-US" w:bidi="ar-SA"/>
        </w:rPr>
        <w:t> </w:t>
      </w:r>
      <w:r w:rsidR="00AC4D1E">
        <w:rPr>
          <w:rFonts w:ascii="Book Antiqua" w:hAnsi="Book Antiqua"/>
          <w:color w:val="000000"/>
          <w:sz w:val="22"/>
          <w:szCs w:val="22"/>
          <w:lang w:eastAsia="en-US" w:bidi="ar-SA"/>
        </w:rPr>
        <w:t>prokurátorovi,</w:t>
      </w:r>
      <w:r w:rsidR="002E3CB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</w:t>
      </w:r>
      <w:r w:rsidR="006329D9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2E3CB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ak opravné prostriedky proti rozhodnutiam súdu môže v celom rozsahu podávať </w:t>
      </w:r>
      <w:r w:rsidR="006329D9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2E3CB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len prokurátor. </w:t>
      </w:r>
    </w:p>
    <w:p w:rsidR="008D50B9" w:rsidRDefault="006329D9" w:rsidP="008D50B9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Nedostatočná možnosť uplatnenia</w:t>
      </w:r>
      <w:r w:rsidR="00ED6347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práv poškodených vedie v konečnom dôsledku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ED6347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k neobjektívnym a nespravodlivým súdnym rozhodnutiam. Páchatelia trestných činov dostávajú neprimerane nízke tresty, ktoré im nijako nebránia pokračovať v trestnej činnosti – častokrát aj voči ich pôvodným obetiam. </w:t>
      </w:r>
      <w:r w:rsidR="008D50B9" w:rsidRPr="00CF1C12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takom prípade </w:t>
      </w:r>
      <w:r w:rsidR="008D50B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možno hovoriť o sekundárnej viktimácii obetí, ktorá môže prevýšiť aj ich primárnu ujmu. Navyše tieto tresty nepôsobia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8D50B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ani preventívne voči tretím osobám, čím ďalej napomáhajú k zvyšovaniu kriminality.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8D50B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neposlednom rade tiež prispievajú k nižšej vymožiteľnosti práva, strate dôvery verejnosti </w:t>
      </w:r>
      <w:r w:rsidR="009F2433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8D50B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k súdnictvu a celkovému úpadku princípov právneho štátu na Slovensku.</w:t>
      </w:r>
    </w:p>
    <w:p w:rsidR="008D50B9" w:rsidRPr="00C63DA0" w:rsidRDefault="00ED6347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b/>
          <w:color w:val="000000"/>
          <w:sz w:val="22"/>
          <w:szCs w:val="22"/>
          <w:lang w:eastAsia="en-US" w:bidi="ar-SA"/>
        </w:rPr>
      </w:pPr>
      <w:r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Z tohto dôvodu </w:t>
      </w:r>
      <w:r w:rsidR="008D50B9"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je potrebné posilniť postavenie poškodeného v trestnom konaní </w:t>
      </w:r>
      <w:r w:rsidR="006329D9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br/>
      </w:r>
      <w:r w:rsidR="008D50B9"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a zrovnoprávniť ho s obvineným, resp. obžalovaným. To možno dosiahnuť jedine tak, </w:t>
      </w:r>
      <w:r w:rsidR="006329D9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br/>
      </w:r>
      <w:r w:rsidR="008D50B9"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>že poškodený získa právo podávať všetky opravné prostriedky, a to nielen vo veci náhrady škody, ako aj právo zablokovať dohodu o vine a treste.</w:t>
      </w:r>
    </w:p>
    <w:p w:rsidR="00CB653D" w:rsidRDefault="00CB653D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Pr="009F6924" w:rsidRDefault="009F6924" w:rsidP="009F6924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>Osobitná časť</w:t>
      </w:r>
    </w:p>
    <w:p w:rsidR="009F6924" w:rsidRPr="009F6924" w:rsidRDefault="00CD49BD" w:rsidP="009F6924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F5E89" id="Rovná spojovacia šípka 1" o:spid="_x0000_s1026" type="#_x0000_t32" style="position:absolute;margin-left:-.35pt;margin-top:2.75pt;width:45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    </w:pict>
          </mc:Fallback>
        </mc:AlternateConten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Rozsudok sa bude doručovať poškodenému aj vtedy, ak si neuplatnil nárok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náhradu škody, aby mohol proti nemu podať odvolanie.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2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Dohoda o vine a treste sa bude môcť uzavrieť len so súhlasom poškodeného.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Vzhľadom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to je potrebná aj jeho prítomnosť na konaní o dohode o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 vine a treste prostredníctvom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jeho predvolania a upovedomenia jeho splnomocnenca. 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3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Vypúšťa sa nadbytočné ustanovenie, vzhľadom na to, že bez súhlasu poškodeného nebude možné uzatvoriť dohodu o vine a treste.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4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Dohodu o vine a treste bude musieť podpísať poškodený na znak súhlasu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 jej obsahom, pričom sa vypúšťa podmienka úspešného uplatnenia nároku na náhradu škody a zúčastnenia sa konania.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5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Rozširuje sa právo poškodeného podať odvolanie proti rozsudku. Rozsudok bude môcť poškodený napadnúť nielen pre nesprávnosť výroku o náhrade škody,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ale aj pre nesprávnosť ktoréhokoľvek iného výroku.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6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Poškodený bude môcť rozsudok napadnúť odvolaním v neprospech obžalovaného nielen čo do povinnosti nahradiť škodu, ale aj z dôvodu nesprávnosti ktoréhokoľvek iného výroku. 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7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Odvolací súd bude môcť zmeniť napadnutý rozsudok v neprospech obžalovaného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aj na základe odvolania poškodeného, a to nielen vo výroku o náhrade škody.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8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Trestný rozkaz sa bude doručovať poškodenému aj vtedy, ak si neuplatnil nárok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na náhradu škody, aby mohol proti nemu podať odpor.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lastRenderedPageBreak/>
        <w:t>K bodu 9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Rozširuje sa právo poškodeného podať odpor proti trestnému rozkazu. Poškodený bude môcť napadnúť nielen výrok o náhrade škody, ale  aj akýkoľvek iný výrok trestného rozkazu.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10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Vypúšťa sa nadbytočné ustanovenie, vzhľadom na to, že poškodený bude môcť podať odpor proti ktorémukoľvek výroku trestného rozkazu.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11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Poškodený získa právo podať dovolanie proti právoplatnému rozhodnutiu súdu druhého stupňa, a to proti ktorémukoľvek výroku.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12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Poškodený získa právo podať návrh na obnovu konania v neprospech obvineného.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</w:t>
      </w:r>
    </w:p>
    <w:p w:rsidR="009F6924" w:rsidRPr="009F6924" w:rsidRDefault="009F6924" w:rsidP="009F6924">
      <w:pPr>
        <w:autoSpaceDN/>
        <w:ind w:firstLine="708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Pr="009F6924">
        <w:rPr>
          <w:rFonts w:ascii="Book Antiqua" w:hAnsi="Book Antiqua" w:cs="Arial"/>
          <w:color w:val="000000"/>
          <w:kern w:val="1"/>
          <w:sz w:val="22"/>
          <w:szCs w:val="22"/>
        </w:rPr>
        <w:t xml:space="preserve">Navrhuje sa účinnosť zákona </w:t>
      </w:r>
      <w:bookmarkStart w:id="0" w:name="_GoBack"/>
      <w:bookmarkEnd w:id="0"/>
      <w:r w:rsidR="000B570D" w:rsidRPr="000B570D">
        <w:rPr>
          <w:rFonts w:ascii="Book Antiqua" w:hAnsi="Book Antiqua" w:cs="Liberation Serif"/>
          <w:color w:val="000000"/>
          <w:kern w:val="1"/>
          <w:sz w:val="22"/>
        </w:rPr>
        <w:t>pätnástym dňom po jeho vyhlásení v Zbierke zákonov.</w:t>
      </w:r>
    </w:p>
    <w:p w:rsidR="009F6924" w:rsidRPr="009F6924" w:rsidRDefault="009F6924" w:rsidP="009F6924">
      <w:pPr>
        <w:autoSpaceDN/>
        <w:jc w:val="both"/>
        <w:textAlignment w:val="auto"/>
        <w:rPr>
          <w:rFonts w:ascii="Book Antiqua" w:hAnsi="Book Antiqua" w:cs="Liberation Serif"/>
          <w:color w:val="000000"/>
          <w:kern w:val="1"/>
          <w:sz w:val="22"/>
        </w:rPr>
      </w:pPr>
    </w:p>
    <w:p w:rsidR="009F6924" w:rsidRPr="009F6924" w:rsidRDefault="009F6924" w:rsidP="009F6924">
      <w:pPr>
        <w:autoSpaceDN/>
        <w:jc w:val="both"/>
        <w:textAlignment w:val="auto"/>
        <w:rPr>
          <w:rFonts w:ascii="Book Antiqua" w:hAnsi="Book Antiqua" w:cs="Liberation Serif"/>
          <w:color w:val="000000"/>
          <w:kern w:val="1"/>
          <w:sz w:val="22"/>
        </w:rPr>
      </w:pPr>
    </w:p>
    <w:p w:rsidR="009F6924" w:rsidRDefault="009F6924" w:rsidP="009F6924">
      <w:pPr>
        <w:pStyle w:val="Default"/>
        <w:jc w:val="both"/>
        <w:rPr>
          <w:rFonts w:ascii="Book Antiqua" w:hAnsi="Book Antiqua"/>
          <w:sz w:val="22"/>
        </w:rPr>
      </w:pPr>
    </w:p>
    <w:p w:rsidR="009F6924" w:rsidRDefault="009F6924" w:rsidP="009F6924">
      <w:pPr>
        <w:pStyle w:val="Default"/>
        <w:jc w:val="both"/>
        <w:rPr>
          <w:rFonts w:ascii="Book Antiqua" w:hAnsi="Book Antiqua"/>
          <w:sz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Pr="00CF1C12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sectPr w:rsidR="009F6924" w:rsidRPr="00CF1C12">
      <w:type w:val="continuous"/>
      <w:pgSz w:w="11906" w:h="16838"/>
      <w:pgMar w:top="1417" w:right="1417" w:bottom="1417" w:left="1417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F96" w:rsidRDefault="00AC3F96">
      <w:r>
        <w:separator/>
      </w:r>
    </w:p>
  </w:endnote>
  <w:endnote w:type="continuationSeparator" w:id="0">
    <w:p w:rsidR="00AC3F96" w:rsidRDefault="00AC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2"/>
    <w:family w:val="auto"/>
    <w:notTrueType/>
    <w:pitch w:val="variable"/>
  </w:font>
  <w:font w:name="Symbol, 'Times New Roman'">
    <w:panose1 w:val="00000000000000000000"/>
    <w:charset w:val="02"/>
    <w:family w:val="roman"/>
    <w:notTrueType/>
    <w:pitch w:val="variable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F96" w:rsidRDefault="00AC3F96">
      <w:r>
        <w:rPr>
          <w:color w:val="000000"/>
        </w:rPr>
        <w:separator/>
      </w:r>
    </w:p>
  </w:footnote>
  <w:footnote w:type="continuationSeparator" w:id="0">
    <w:p w:rsidR="00AC3F96" w:rsidRDefault="00AC3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A8D"/>
    <w:multiLevelType w:val="hybridMultilevel"/>
    <w:tmpl w:val="7F3809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3D"/>
    <w:rsid w:val="00075798"/>
    <w:rsid w:val="000B570D"/>
    <w:rsid w:val="000E26FA"/>
    <w:rsid w:val="002163D3"/>
    <w:rsid w:val="00297050"/>
    <w:rsid w:val="002E3CB8"/>
    <w:rsid w:val="003C2C20"/>
    <w:rsid w:val="003F2C29"/>
    <w:rsid w:val="00401CEF"/>
    <w:rsid w:val="00445805"/>
    <w:rsid w:val="00470E08"/>
    <w:rsid w:val="004C7C57"/>
    <w:rsid w:val="004E1E66"/>
    <w:rsid w:val="005469A9"/>
    <w:rsid w:val="006329D9"/>
    <w:rsid w:val="006C15F7"/>
    <w:rsid w:val="007374A8"/>
    <w:rsid w:val="00784B25"/>
    <w:rsid w:val="007B25B8"/>
    <w:rsid w:val="007E1102"/>
    <w:rsid w:val="007E1A7C"/>
    <w:rsid w:val="00880065"/>
    <w:rsid w:val="008D50B9"/>
    <w:rsid w:val="009F2433"/>
    <w:rsid w:val="009F6924"/>
    <w:rsid w:val="00AC0B5A"/>
    <w:rsid w:val="00AC3F96"/>
    <w:rsid w:val="00AC4D1E"/>
    <w:rsid w:val="00AE6541"/>
    <w:rsid w:val="00B52ABA"/>
    <w:rsid w:val="00B553D2"/>
    <w:rsid w:val="00C07276"/>
    <w:rsid w:val="00C176E4"/>
    <w:rsid w:val="00C63173"/>
    <w:rsid w:val="00C63DA0"/>
    <w:rsid w:val="00CA3BF2"/>
    <w:rsid w:val="00CB653D"/>
    <w:rsid w:val="00CD49BD"/>
    <w:rsid w:val="00CF1C12"/>
    <w:rsid w:val="00CF3A95"/>
    <w:rsid w:val="00D458E1"/>
    <w:rsid w:val="00D46245"/>
    <w:rsid w:val="00DB39CF"/>
    <w:rsid w:val="00E13DF0"/>
    <w:rsid w:val="00ED6347"/>
    <w:rsid w:val="00F7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ABB97"/>
  <w14:defaultImageDpi w14:val="0"/>
  <w15:docId w15:val="{51619208-208D-4971-B0C0-46BE1E61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bidi="hi-IN"/>
    </w:rPr>
  </w:style>
  <w:style w:type="paragraph" w:styleId="Nzov">
    <w:name w:val="Title"/>
    <w:basedOn w:val="Standard"/>
    <w:next w:val="Textbody"/>
    <w:link w:val="NzovChar"/>
    <w:uiPriority w:val="99"/>
    <w:qFormat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</w:pPr>
    <w:rPr>
      <w:lang w:eastAsia="zh-CN"/>
    </w:rPr>
  </w:style>
  <w:style w:type="paragraph" w:styleId="Zoznam">
    <w:name w:val="List"/>
    <w:basedOn w:val="Textbody"/>
    <w:uiPriority w:val="99"/>
  </w:style>
  <w:style w:type="paragraph" w:styleId="Popis">
    <w:name w:val="caption"/>
    <w:basedOn w:val="Standard"/>
    <w:uiPriority w:val="99"/>
    <w:qFormat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/>
    </w:rPr>
  </w:style>
  <w:style w:type="character" w:customStyle="1" w:styleId="RTFNum52">
    <w:name w:val="RTF_Num 5 2"/>
    <w:uiPriority w:val="99"/>
    <w:rPr>
      <w:rFonts w:ascii="Courier New" w:hAnsi="Courier New"/>
    </w:rPr>
  </w:style>
  <w:style w:type="character" w:customStyle="1" w:styleId="RTFNum53">
    <w:name w:val="RTF_Num 5 3"/>
    <w:uiPriority w:val="99"/>
    <w:rPr>
      <w:rFonts w:ascii="Wingdings, Symbol" w:hAnsi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/>
    </w:rPr>
  </w:style>
  <w:style w:type="character" w:customStyle="1" w:styleId="RTFNum55">
    <w:name w:val="RTF_Num 5 5"/>
    <w:uiPriority w:val="99"/>
    <w:rPr>
      <w:rFonts w:ascii="Courier New" w:hAnsi="Courier New"/>
    </w:rPr>
  </w:style>
  <w:style w:type="character" w:customStyle="1" w:styleId="RTFNum56">
    <w:name w:val="RTF_Num 5 6"/>
    <w:uiPriority w:val="99"/>
    <w:rPr>
      <w:rFonts w:ascii="Wingdings, Symbol" w:hAnsi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/>
    </w:rPr>
  </w:style>
  <w:style w:type="character" w:customStyle="1" w:styleId="RTFNum58">
    <w:name w:val="RTF_Num 5 8"/>
    <w:uiPriority w:val="99"/>
    <w:rPr>
      <w:rFonts w:ascii="Courier New" w:hAnsi="Courier New"/>
    </w:rPr>
  </w:style>
  <w:style w:type="character" w:customStyle="1" w:styleId="RTFNum59">
    <w:name w:val="RTF_Num 5 9"/>
    <w:uiPriority w:val="99"/>
    <w:rPr>
      <w:rFonts w:ascii="Wingdings, Symbol" w:hAnsi="Wingdings, Symbol"/>
    </w:rPr>
  </w:style>
  <w:style w:type="paragraph" w:customStyle="1" w:styleId="Default">
    <w:name w:val="Default"/>
    <w:uiPriority w:val="99"/>
    <w:rsid w:val="009F6924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cibula</dc:creator>
  <cp:keywords/>
  <dc:description/>
  <cp:lastModifiedBy>NašeSlovensko</cp:lastModifiedBy>
  <cp:revision>4</cp:revision>
  <cp:lastPrinted>2017-04-03T09:34:00Z</cp:lastPrinted>
  <dcterms:created xsi:type="dcterms:W3CDTF">2018-09-26T09:59:00Z</dcterms:created>
  <dcterms:modified xsi:type="dcterms:W3CDTF">2019-09-25T15:41:00Z</dcterms:modified>
</cp:coreProperties>
</file>