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VII. volebné obdobie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201</w:t>
      </w:r>
      <w:r w:rsidR="00FC6CA0">
        <w:rPr>
          <w:rFonts w:ascii="Book Antiqua" w:hAnsi="Book Antiqua"/>
          <w:color w:val="000000" w:themeColor="text1"/>
        </w:rPr>
        <w:t>9</w:t>
      </w:r>
      <w:r w:rsidRPr="00904FE2">
        <w:rPr>
          <w:rFonts w:ascii="Book Antiqua" w:hAnsi="Book Antiqua"/>
          <w:color w:val="000000" w:themeColor="text1"/>
        </w:rPr>
        <w:t>,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:rsidR="00591AE0" w:rsidRPr="00A15BC0" w:rsidRDefault="009436E6" w:rsidP="00B46F1D">
      <w:pPr>
        <w:pStyle w:val="TextBody"/>
        <w:spacing w:line="276" w:lineRule="auto"/>
        <w:rPr>
          <w:rFonts w:ascii="Book Antiqua" w:hAnsi="Book Antiqua"/>
          <w:b/>
          <w:color w:val="000000" w:themeColor="text1"/>
          <w:u w:val="single"/>
        </w:rPr>
      </w:pPr>
      <w:r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r w:rsidR="00A15BC0"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r w:rsidR="004059E1" w:rsidRPr="004059E1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č. </w:t>
      </w:r>
      <w:r w:rsidR="005E4029" w:rsidRPr="005E402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461/2003 </w:t>
      </w:r>
      <w:r w:rsidR="004059E1" w:rsidRPr="004059E1">
        <w:rPr>
          <w:rFonts w:ascii="Book Antiqua" w:hAnsi="Book Antiqua" w:cs="Times New Roman"/>
          <w:b/>
          <w:color w:val="000000" w:themeColor="text1"/>
          <w:sz w:val="22"/>
          <w:szCs w:val="22"/>
        </w:rPr>
        <w:t>Z.</w:t>
      </w:r>
      <w:r w:rsidR="00FC6CA0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z.</w:t>
      </w:r>
      <w:r w:rsidR="004059E1" w:rsidRPr="004059E1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r w:rsidR="00FC6CA0" w:rsidRPr="00FC6CA0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o </w:t>
      </w:r>
      <w:r w:rsidR="005E4029" w:rsidRPr="005E402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sociálnom poistení </w:t>
      </w:r>
      <w:r w:rsidR="00A15BC0" w:rsidRPr="00A15BC0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v znení neskorších predpisov </w:t>
      </w:r>
      <w:r w:rsidR="004E109D">
        <w:rPr>
          <w:rFonts w:ascii="Book Antiqua" w:hAnsi="Book Antiqua" w:cs="Times New Roman"/>
          <w:b/>
          <w:color w:val="000000" w:themeColor="text1"/>
          <w:sz w:val="22"/>
          <w:szCs w:val="22"/>
        </w:rPr>
        <w:br/>
      </w:r>
    </w:p>
    <w:p w:rsidR="00C5238B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:rsidR="00C5238B" w:rsidRPr="004719AB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D21EA9" w:rsidRPr="00C867F0" w:rsidRDefault="00D21EA9" w:rsidP="00FC6CA0">
      <w:pPr>
        <w:suppressAutoHyphens w:val="0"/>
        <w:spacing w:after="0" w:line="240" w:lineRule="auto"/>
        <w:jc w:val="both"/>
        <w:rPr>
          <w:rFonts w:ascii="Book Antiqua" w:hAnsi="Book Antiqua"/>
          <w:color w:val="000000" w:themeColor="text1"/>
          <w:kern w:val="2"/>
        </w:rPr>
      </w:pPr>
      <w:r w:rsidRPr="00FC6CA0">
        <w:rPr>
          <w:rFonts w:ascii="Book Antiqua" w:hAnsi="Book Antiqua"/>
          <w:color w:val="000000" w:themeColor="text1"/>
          <w:kern w:val="2"/>
        </w:rPr>
        <w:t xml:space="preserve">Zákon </w:t>
      </w:r>
      <w:r w:rsidR="00FC6CA0" w:rsidRPr="00FC6CA0">
        <w:rPr>
          <w:rFonts w:ascii="Book Antiqua" w:hAnsi="Book Antiqua"/>
          <w:color w:val="000000" w:themeColor="text1"/>
          <w:kern w:val="2"/>
        </w:rPr>
        <w:t xml:space="preserve">č. </w:t>
      </w:r>
      <w:r w:rsidR="005E4029" w:rsidRPr="005E4029">
        <w:rPr>
          <w:rFonts w:ascii="Book Antiqua" w:hAnsi="Book Antiqua"/>
          <w:color w:val="000000" w:themeColor="text1"/>
          <w:kern w:val="2"/>
        </w:rPr>
        <w:t>461/2003 Z. z. o sociálnom poistení</w:t>
      </w:r>
      <w:r w:rsidR="004059E1" w:rsidRPr="00FC6CA0">
        <w:rPr>
          <w:rFonts w:ascii="Book Antiqua" w:hAnsi="Book Antiqua"/>
          <w:color w:val="000000" w:themeColor="text1"/>
          <w:kern w:val="2"/>
        </w:rPr>
        <w:t xml:space="preserve"> </w:t>
      </w:r>
      <w:r w:rsidR="005E4029" w:rsidRPr="005E4029">
        <w:rPr>
          <w:rFonts w:ascii="Book Antiqua" w:hAnsi="Book Antiqua"/>
          <w:color w:val="000000" w:themeColor="text1"/>
        </w:rPr>
        <w:t>v znení č. r1/c224/2003 Z. z., 551/2003 Z. z., 600/2003 Z. z., 5/2004 Z. z., 43/2004 Z. z., 186/2004 Z. z., 365/2004 Z. z., 391/2004 Z. z., 439/2004 Z. z., 523/2004 Z. z., 721/2004 Z. z., 82/2005 Z. z., 244/2005 Z. z., 351/2005 Z. z., 534/2005 Z. z., 584/2005 Z. z., 310/2006 Z. z., 460/2006 Z. z., 529/2006 Z. z., 566/2006 Z. z., 592/2006 Z. z., 677/2006 Z. z., 274/2007 Z. z., 519/2007 Z. z., 555/2007 Z. z., 659/2007 Z. z., 204/2008 Z. z., 434/2008 Z. z., 449/2008 Z. z., 599/2008 Z. z., 108/2009 Z. z., 192/2009 Z. z., 200/2009 Z. z., 285/2009 Z. z., 571/2009 Z. z., 572/2009 Z. z., 52/2010 Z. z., 151/2010 Z. z., 403/2010 Z. z., 543/2010 Z. z., 125/2011 Z. z., 223/2011 Z. z., 250/2011 Z. z., 334/2011 Z. z., 348/2011 Z. z., 521/2011 Z. z., 69/2012 Z. z., 252/2012 Z. z., 413/2012 Z. z., 96/2013 Z. z., 338/2013 Z. z., 352/2013 Z. z., 183/2014 Z. z., 195/2014 Z. z., 204/2014 Z. z., 240/2014 Z. z., 298/2014 Z. z., 25/2015 Z. z., 32/2015 Z. z., 61/2015 Z. z., 77/2015 Z. z., 87/2015 Z. z., 112/2015 Z. z., 140/2015 Z. z., 176/2015 Z. z., 336/2015 Z. z., 378/2015 Z. z., 407/2015 Z. z., 440/2015 Z. z., 125/2016 Z. z., 285/2016 Z. z., 310/2016 Z. z., 355/2016 Z. z., 2/2017 Z. z., 85/2017 Z. z., 184/2017 Z. z., 264/2017 Z. z., 266/2017 Z. z., 279/2017 Z. z., 63/2018 Z. z., 87/2018 Z. z., 177/2018 Z. z., 191/2018 Z. z., 282/2018 Z. z., 314/2018 Z. z., 317/2018 Z. z., 366/2018 Z. z., 368/2018 Z. z., 35/2019 Z. z., 225/2019 Z. z.</w:t>
      </w:r>
      <w:r w:rsidR="00FC6CA0">
        <w:rPr>
          <w:rFonts w:ascii="Book Antiqua" w:hAnsi="Book Antiqua"/>
          <w:color w:val="000000" w:themeColor="text1"/>
          <w:kern w:val="2"/>
        </w:rPr>
        <w:t xml:space="preserve"> </w:t>
      </w:r>
      <w:r w:rsidRPr="00C867F0">
        <w:rPr>
          <w:rFonts w:ascii="Book Antiqua" w:hAnsi="Book Antiqua"/>
          <w:color w:val="000000" w:themeColor="text1"/>
          <w:kern w:val="2"/>
        </w:rPr>
        <w:t>sa</w:t>
      </w:r>
      <w:r w:rsidR="00C97D8D" w:rsidRPr="00C867F0">
        <w:rPr>
          <w:rFonts w:ascii="Book Antiqua" w:hAnsi="Book Antiqua"/>
          <w:color w:val="000000" w:themeColor="text1"/>
          <w:kern w:val="2"/>
        </w:rPr>
        <w:t xml:space="preserve"> mení a</w:t>
      </w:r>
      <w:r w:rsidRPr="00C867F0">
        <w:rPr>
          <w:rFonts w:ascii="Book Antiqua" w:hAnsi="Book Antiqua"/>
          <w:color w:val="000000" w:themeColor="text1"/>
          <w:kern w:val="2"/>
        </w:rPr>
        <w:t> dopĺňa takto:</w:t>
      </w:r>
    </w:p>
    <w:p w:rsidR="005E4029" w:rsidRDefault="005E4029" w:rsidP="005E4029">
      <w:pPr>
        <w:pStyle w:val="Default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:rsidR="000C5641" w:rsidRDefault="000C5641" w:rsidP="00F357FA">
      <w:pPr>
        <w:pStyle w:val="Default"/>
        <w:numPr>
          <w:ilvl w:val="0"/>
          <w:numId w:val="17"/>
        </w:numPr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  <w:r w:rsidRPr="000C5641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>V § 105 odsek 1 znie:</w:t>
      </w:r>
    </w:p>
    <w:p w:rsidR="004A0616" w:rsidRPr="000C5641" w:rsidRDefault="004A0616" w:rsidP="00F357FA">
      <w:pPr>
        <w:pStyle w:val="Default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</w:p>
    <w:p w:rsidR="000C5641" w:rsidRPr="000C5641" w:rsidRDefault="000C5641" w:rsidP="00F357FA">
      <w:pPr>
        <w:pStyle w:val="Default"/>
        <w:ind w:left="360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  <w:r w:rsidRPr="000C5641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>„(1) Poistencovi, ktorý splnil podmienky nároku na dávku v nezamestnanosti, nárok na dávku v nezamestnanosti vzniká odo dňa zaradenia do evidencie uchádzačov o zamestnanie a zaniká uplynutím podporného obdobia v nezamestnanosti.“.</w:t>
      </w:r>
    </w:p>
    <w:p w:rsidR="000C5641" w:rsidRPr="000C5641" w:rsidRDefault="000C5641" w:rsidP="00F357FA">
      <w:pPr>
        <w:pStyle w:val="Default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</w:p>
    <w:p w:rsidR="000C5641" w:rsidRDefault="000C5641" w:rsidP="00F357FA">
      <w:pPr>
        <w:pStyle w:val="Default"/>
        <w:numPr>
          <w:ilvl w:val="0"/>
          <w:numId w:val="17"/>
        </w:numPr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  <w:r w:rsidRPr="000C5641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>V § 105 sa pridávajú odseky 2 a 3, ktoré znejú:</w:t>
      </w:r>
    </w:p>
    <w:p w:rsidR="004A0616" w:rsidRPr="000C5641" w:rsidRDefault="004A0616" w:rsidP="00F357FA">
      <w:pPr>
        <w:pStyle w:val="Default"/>
        <w:ind w:left="720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</w:p>
    <w:p w:rsidR="000C5641" w:rsidRPr="000C5641" w:rsidRDefault="000C5641" w:rsidP="00F357FA">
      <w:pPr>
        <w:pStyle w:val="Default"/>
        <w:ind w:left="360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  <w:r w:rsidRPr="000C5641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>„(2) Podpora v nezamestnanosti sa poskytuje evidovanému nezamestnanému v závislosti od celkovej doby platenia príspevku na poistenie v nezamestnanosti dosiahnutej v príslušnom kalendárnom roku takto:</w:t>
      </w:r>
    </w:p>
    <w:p w:rsidR="000C5641" w:rsidRPr="000C5641" w:rsidRDefault="000C5641" w:rsidP="00F357FA">
      <w:pPr>
        <w:pStyle w:val="Default"/>
        <w:ind w:firstLine="360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  <w:r w:rsidRPr="000C5641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>do 15 rokov po dobu 6 mesiacov,</w:t>
      </w:r>
    </w:p>
    <w:p w:rsidR="000C5641" w:rsidRPr="000C5641" w:rsidRDefault="000C5641" w:rsidP="00F357FA">
      <w:pPr>
        <w:pStyle w:val="Default"/>
        <w:ind w:firstLine="360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  <w:r w:rsidRPr="000C5641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>od 15 do 25 rokov po dobu 9 mesiacov,</w:t>
      </w:r>
    </w:p>
    <w:p w:rsidR="000C5641" w:rsidRPr="000C5641" w:rsidRDefault="000C5641" w:rsidP="00F357FA">
      <w:pPr>
        <w:pStyle w:val="Default"/>
        <w:ind w:firstLine="360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  <w:r w:rsidRPr="000C5641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lastRenderedPageBreak/>
        <w:t>nad 25 rokov po dobu 12 mesiacov,</w:t>
      </w:r>
    </w:p>
    <w:p w:rsidR="000C5641" w:rsidRPr="000C5641" w:rsidRDefault="000C5641" w:rsidP="00F357FA">
      <w:pPr>
        <w:pStyle w:val="Default"/>
        <w:ind w:firstLine="360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  <w:r w:rsidRPr="000C5641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>(ďalej len „podporné obdobie“), ak zákon ďalej neustanovuje inak.</w:t>
      </w:r>
    </w:p>
    <w:p w:rsidR="004A0616" w:rsidRDefault="004A0616" w:rsidP="00F357FA">
      <w:pPr>
        <w:pStyle w:val="Default"/>
        <w:ind w:left="360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</w:p>
    <w:p w:rsidR="000C5641" w:rsidRPr="000C5641" w:rsidRDefault="000C5641" w:rsidP="00F357FA">
      <w:pPr>
        <w:pStyle w:val="Default"/>
        <w:ind w:left="360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  <w:r w:rsidRPr="000C5641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>(3) Do podporného obdobia v nezamestnanosti sa nezapočítava obdobie, počas ktorého poistenec nemá nárok na výplatu dávky v nezamestnanosti z dôvodu uvedeného v § 106.“.</w:t>
      </w:r>
    </w:p>
    <w:p w:rsidR="004A0616" w:rsidRDefault="004A0616" w:rsidP="00F357FA">
      <w:pPr>
        <w:pStyle w:val="Default"/>
        <w:ind w:firstLine="360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</w:p>
    <w:p w:rsidR="004A0616" w:rsidRDefault="004A0616" w:rsidP="00F357FA">
      <w:pPr>
        <w:pStyle w:val="Default"/>
        <w:ind w:firstLine="360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>Doterajšie odseky 2 až 4 sa označujú ako odseky 4</w:t>
      </w:r>
      <w:r w:rsidRPr="004A0616"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  <w:t xml:space="preserve"> až 6.</w:t>
      </w:r>
    </w:p>
    <w:p w:rsidR="00BA7C5D" w:rsidRPr="000C5641" w:rsidRDefault="00BA7C5D" w:rsidP="00F357FA">
      <w:pPr>
        <w:pStyle w:val="Default"/>
        <w:jc w:val="both"/>
        <w:rPr>
          <w:rFonts w:ascii="Book Antiqua" w:hAnsi="Book Antiqua" w:cs="Times New Roman"/>
          <w:color w:val="auto"/>
          <w:kern w:val="0"/>
          <w:sz w:val="22"/>
          <w:szCs w:val="22"/>
          <w:lang w:eastAsia="en-US" w:bidi="ar-SA"/>
        </w:rPr>
      </w:pPr>
      <w:bookmarkStart w:id="0" w:name="_GoBack"/>
      <w:bookmarkEnd w:id="0"/>
    </w:p>
    <w:p w:rsidR="007A002C" w:rsidRPr="007A002C" w:rsidRDefault="007A002C" w:rsidP="00F357FA">
      <w:pPr>
        <w:pStyle w:val="Default"/>
        <w:jc w:val="center"/>
        <w:rPr>
          <w:rFonts w:ascii="Book Antiqua" w:hAnsi="Book Antiqua"/>
          <w:b/>
          <w:color w:val="000000" w:themeColor="text1"/>
        </w:rPr>
      </w:pPr>
      <w:r w:rsidRPr="007A002C">
        <w:rPr>
          <w:rFonts w:ascii="Book Antiqua" w:hAnsi="Book Antiqua"/>
          <w:b/>
          <w:color w:val="000000" w:themeColor="text1"/>
        </w:rPr>
        <w:t xml:space="preserve">Čl. </w:t>
      </w:r>
      <w:r w:rsidR="00C97D8D">
        <w:rPr>
          <w:rFonts w:ascii="Book Antiqua" w:hAnsi="Book Antiqua"/>
          <w:b/>
          <w:color w:val="000000" w:themeColor="text1"/>
        </w:rPr>
        <w:t>II</w:t>
      </w:r>
    </w:p>
    <w:p w:rsidR="001A3FA4" w:rsidRPr="00904FE2" w:rsidRDefault="001A3FA4" w:rsidP="00F357FA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:rsidR="00511D6B" w:rsidRPr="00797128" w:rsidRDefault="00D30BED" w:rsidP="00F357FA">
      <w:pPr>
        <w:pStyle w:val="Default"/>
        <w:jc w:val="both"/>
        <w:rPr>
          <w:rFonts w:ascii="Book Antiqua" w:hAnsi="Book Antiqua"/>
          <w:color w:val="000000" w:themeColor="text1"/>
          <w:sz w:val="22"/>
          <w:lang w:bidi="ar-SA"/>
        </w:rPr>
      </w:pPr>
      <w:r w:rsidRPr="00D30BED">
        <w:rPr>
          <w:rFonts w:ascii="Book Antiqua" w:hAnsi="Book Antiqua"/>
          <w:color w:val="000000" w:themeColor="text1"/>
          <w:sz w:val="22"/>
          <w:lang w:bidi="ar-SA"/>
        </w:rPr>
        <w:t xml:space="preserve">Tento zákon nadobúda účinnosť </w:t>
      </w:r>
      <w:r w:rsidR="006517E1">
        <w:rPr>
          <w:rFonts w:ascii="Book Antiqua" w:hAnsi="Book Antiqua"/>
          <w:color w:val="000000" w:themeColor="text1"/>
          <w:sz w:val="22"/>
          <w:lang w:bidi="ar-SA"/>
        </w:rPr>
        <w:t>1 januára 2020</w:t>
      </w:r>
      <w:r w:rsidRPr="00D30BED">
        <w:rPr>
          <w:rFonts w:ascii="Book Antiqua" w:hAnsi="Book Antiqua"/>
          <w:color w:val="000000" w:themeColor="text1"/>
          <w:sz w:val="22"/>
          <w:lang w:bidi="ar-SA"/>
        </w:rPr>
        <w:t>.</w:t>
      </w:r>
    </w:p>
    <w:sectPr w:rsidR="00511D6B" w:rsidRPr="00797128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03CD1E6"/>
    <w:name w:val="WW8Num1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A8716D"/>
    <w:multiLevelType w:val="hybridMultilevel"/>
    <w:tmpl w:val="24924392"/>
    <w:lvl w:ilvl="0" w:tplc="B080C69E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737743"/>
    <w:multiLevelType w:val="hybridMultilevel"/>
    <w:tmpl w:val="AA6A3B80"/>
    <w:lvl w:ilvl="0" w:tplc="339A2A1A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25643711"/>
    <w:multiLevelType w:val="hybridMultilevel"/>
    <w:tmpl w:val="D430BE16"/>
    <w:lvl w:ilvl="0" w:tplc="CE9E334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187AFB"/>
    <w:multiLevelType w:val="hybridMultilevel"/>
    <w:tmpl w:val="1868D6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627DA"/>
    <w:multiLevelType w:val="hybridMultilevel"/>
    <w:tmpl w:val="23667430"/>
    <w:lvl w:ilvl="0" w:tplc="4E8EF4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651629"/>
    <w:multiLevelType w:val="hybridMultilevel"/>
    <w:tmpl w:val="A95A8C7C"/>
    <w:lvl w:ilvl="0" w:tplc="787EE8B2">
      <w:start w:val="1"/>
      <w:numFmt w:val="lowerLetter"/>
      <w:lvlText w:val="%1)"/>
      <w:lvlJc w:val="left"/>
      <w:pPr>
        <w:ind w:left="1077" w:hanging="360"/>
      </w:pPr>
      <w:rPr>
        <w:rFonts w:ascii="Book Antiqua" w:hAnsi="Book Antiqua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5AF00035"/>
    <w:multiLevelType w:val="hybridMultilevel"/>
    <w:tmpl w:val="D2D83A44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FA73894"/>
    <w:multiLevelType w:val="hybridMultilevel"/>
    <w:tmpl w:val="E16EC746"/>
    <w:lvl w:ilvl="0" w:tplc="9552E6C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BAF44CD"/>
    <w:multiLevelType w:val="hybridMultilevel"/>
    <w:tmpl w:val="238049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15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  <w:num w:numId="14">
    <w:abstractNumId w:val="13"/>
  </w:num>
  <w:num w:numId="15">
    <w:abstractNumId w:val="16"/>
  </w:num>
  <w:num w:numId="16">
    <w:abstractNumId w:val="5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136AE"/>
    <w:rsid w:val="000156BB"/>
    <w:rsid w:val="00024802"/>
    <w:rsid w:val="00040DE1"/>
    <w:rsid w:val="00046A2D"/>
    <w:rsid w:val="00046C58"/>
    <w:rsid w:val="00050F30"/>
    <w:rsid w:val="00052911"/>
    <w:rsid w:val="00076701"/>
    <w:rsid w:val="00093552"/>
    <w:rsid w:val="000944BB"/>
    <w:rsid w:val="000B2FAE"/>
    <w:rsid w:val="000B6F55"/>
    <w:rsid w:val="000C156B"/>
    <w:rsid w:val="000C5641"/>
    <w:rsid w:val="000E4DF9"/>
    <w:rsid w:val="00114D93"/>
    <w:rsid w:val="00122BC9"/>
    <w:rsid w:val="00126CC1"/>
    <w:rsid w:val="00142F44"/>
    <w:rsid w:val="00150F80"/>
    <w:rsid w:val="00162D55"/>
    <w:rsid w:val="001632E7"/>
    <w:rsid w:val="001671E0"/>
    <w:rsid w:val="00170248"/>
    <w:rsid w:val="00186F2D"/>
    <w:rsid w:val="001A3FA4"/>
    <w:rsid w:val="001A56DA"/>
    <w:rsid w:val="001C329B"/>
    <w:rsid w:val="001D178D"/>
    <w:rsid w:val="001F012C"/>
    <w:rsid w:val="00203A40"/>
    <w:rsid w:val="00205740"/>
    <w:rsid w:val="00265C56"/>
    <w:rsid w:val="0028131F"/>
    <w:rsid w:val="002952F8"/>
    <w:rsid w:val="002C47FB"/>
    <w:rsid w:val="002E36EE"/>
    <w:rsid w:val="00300633"/>
    <w:rsid w:val="00310106"/>
    <w:rsid w:val="0032109D"/>
    <w:rsid w:val="00334AA1"/>
    <w:rsid w:val="003400DA"/>
    <w:rsid w:val="00361473"/>
    <w:rsid w:val="00361BB3"/>
    <w:rsid w:val="00365DBE"/>
    <w:rsid w:val="00377562"/>
    <w:rsid w:val="003857AC"/>
    <w:rsid w:val="003A3A79"/>
    <w:rsid w:val="003C1391"/>
    <w:rsid w:val="004037F7"/>
    <w:rsid w:val="004059E1"/>
    <w:rsid w:val="00417D11"/>
    <w:rsid w:val="00420474"/>
    <w:rsid w:val="00422E02"/>
    <w:rsid w:val="0042757B"/>
    <w:rsid w:val="00457E69"/>
    <w:rsid w:val="00462133"/>
    <w:rsid w:val="004719AB"/>
    <w:rsid w:val="00472679"/>
    <w:rsid w:val="00472E03"/>
    <w:rsid w:val="0048082B"/>
    <w:rsid w:val="00484B67"/>
    <w:rsid w:val="00493233"/>
    <w:rsid w:val="004A0616"/>
    <w:rsid w:val="004B6DCB"/>
    <w:rsid w:val="004B7E36"/>
    <w:rsid w:val="004C5E2D"/>
    <w:rsid w:val="004D2B56"/>
    <w:rsid w:val="004E109D"/>
    <w:rsid w:val="004F09B2"/>
    <w:rsid w:val="00511D6B"/>
    <w:rsid w:val="0052606C"/>
    <w:rsid w:val="005270AD"/>
    <w:rsid w:val="0054171B"/>
    <w:rsid w:val="00551C8B"/>
    <w:rsid w:val="00555A58"/>
    <w:rsid w:val="00591AE0"/>
    <w:rsid w:val="005A59C2"/>
    <w:rsid w:val="005B4FBA"/>
    <w:rsid w:val="005C1514"/>
    <w:rsid w:val="005C4313"/>
    <w:rsid w:val="005E3ACF"/>
    <w:rsid w:val="005E4029"/>
    <w:rsid w:val="006061FE"/>
    <w:rsid w:val="00626E0E"/>
    <w:rsid w:val="00634B93"/>
    <w:rsid w:val="00643142"/>
    <w:rsid w:val="006517E1"/>
    <w:rsid w:val="00670B59"/>
    <w:rsid w:val="006728FA"/>
    <w:rsid w:val="006974DD"/>
    <w:rsid w:val="006A2633"/>
    <w:rsid w:val="006C1AE0"/>
    <w:rsid w:val="006C2592"/>
    <w:rsid w:val="006D167F"/>
    <w:rsid w:val="006F2586"/>
    <w:rsid w:val="0072063B"/>
    <w:rsid w:val="007239B0"/>
    <w:rsid w:val="00760B7D"/>
    <w:rsid w:val="0076667B"/>
    <w:rsid w:val="00775E09"/>
    <w:rsid w:val="00781D69"/>
    <w:rsid w:val="00786005"/>
    <w:rsid w:val="00797128"/>
    <w:rsid w:val="007A002C"/>
    <w:rsid w:val="007A63D5"/>
    <w:rsid w:val="007B47D4"/>
    <w:rsid w:val="007C25D3"/>
    <w:rsid w:val="007F08B9"/>
    <w:rsid w:val="00806CCD"/>
    <w:rsid w:val="00812F93"/>
    <w:rsid w:val="00820496"/>
    <w:rsid w:val="008224A0"/>
    <w:rsid w:val="008342EF"/>
    <w:rsid w:val="00852C90"/>
    <w:rsid w:val="00865375"/>
    <w:rsid w:val="008676DA"/>
    <w:rsid w:val="00880C25"/>
    <w:rsid w:val="00885E13"/>
    <w:rsid w:val="00886492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52DE4"/>
    <w:rsid w:val="00955481"/>
    <w:rsid w:val="009605D9"/>
    <w:rsid w:val="00971CF1"/>
    <w:rsid w:val="00997D8C"/>
    <w:rsid w:val="009A0093"/>
    <w:rsid w:val="009C0F61"/>
    <w:rsid w:val="009C73C3"/>
    <w:rsid w:val="009E1696"/>
    <w:rsid w:val="009F231C"/>
    <w:rsid w:val="00A1519C"/>
    <w:rsid w:val="00A15BC0"/>
    <w:rsid w:val="00A215B8"/>
    <w:rsid w:val="00A245E1"/>
    <w:rsid w:val="00A24B3C"/>
    <w:rsid w:val="00A553C3"/>
    <w:rsid w:val="00A63B57"/>
    <w:rsid w:val="00A66E22"/>
    <w:rsid w:val="00A8600F"/>
    <w:rsid w:val="00A96D4C"/>
    <w:rsid w:val="00AB347E"/>
    <w:rsid w:val="00AC1932"/>
    <w:rsid w:val="00AD21AC"/>
    <w:rsid w:val="00AE79FA"/>
    <w:rsid w:val="00B105A0"/>
    <w:rsid w:val="00B12D34"/>
    <w:rsid w:val="00B46F1D"/>
    <w:rsid w:val="00B5595C"/>
    <w:rsid w:val="00B845D6"/>
    <w:rsid w:val="00B85BD1"/>
    <w:rsid w:val="00B95850"/>
    <w:rsid w:val="00BA7C5D"/>
    <w:rsid w:val="00BB1482"/>
    <w:rsid w:val="00BB3EA3"/>
    <w:rsid w:val="00BB59C0"/>
    <w:rsid w:val="00BD4297"/>
    <w:rsid w:val="00C00A6C"/>
    <w:rsid w:val="00C46AE6"/>
    <w:rsid w:val="00C5238B"/>
    <w:rsid w:val="00C71D1D"/>
    <w:rsid w:val="00C737D6"/>
    <w:rsid w:val="00C84EED"/>
    <w:rsid w:val="00C867F0"/>
    <w:rsid w:val="00C97D8D"/>
    <w:rsid w:val="00CA4E1A"/>
    <w:rsid w:val="00CB31F0"/>
    <w:rsid w:val="00CB42AB"/>
    <w:rsid w:val="00CD1F39"/>
    <w:rsid w:val="00CD5855"/>
    <w:rsid w:val="00CD7146"/>
    <w:rsid w:val="00D017AB"/>
    <w:rsid w:val="00D21EA9"/>
    <w:rsid w:val="00D23EF6"/>
    <w:rsid w:val="00D30BED"/>
    <w:rsid w:val="00D57E24"/>
    <w:rsid w:val="00D63EA2"/>
    <w:rsid w:val="00D70F0C"/>
    <w:rsid w:val="00D74E2D"/>
    <w:rsid w:val="00D809D0"/>
    <w:rsid w:val="00D93BED"/>
    <w:rsid w:val="00DA1A51"/>
    <w:rsid w:val="00DA38A7"/>
    <w:rsid w:val="00DD25CE"/>
    <w:rsid w:val="00DE11AA"/>
    <w:rsid w:val="00E16A0D"/>
    <w:rsid w:val="00E43ADB"/>
    <w:rsid w:val="00E54985"/>
    <w:rsid w:val="00E54DE8"/>
    <w:rsid w:val="00E92958"/>
    <w:rsid w:val="00E93C27"/>
    <w:rsid w:val="00EC3DE4"/>
    <w:rsid w:val="00ED7B5A"/>
    <w:rsid w:val="00EE3DBA"/>
    <w:rsid w:val="00EF71AD"/>
    <w:rsid w:val="00F1372A"/>
    <w:rsid w:val="00F14804"/>
    <w:rsid w:val="00F1494A"/>
    <w:rsid w:val="00F15782"/>
    <w:rsid w:val="00F216AA"/>
    <w:rsid w:val="00F31CDB"/>
    <w:rsid w:val="00F32E59"/>
    <w:rsid w:val="00F357FA"/>
    <w:rsid w:val="00F36282"/>
    <w:rsid w:val="00F40863"/>
    <w:rsid w:val="00F40EDF"/>
    <w:rsid w:val="00F4158F"/>
    <w:rsid w:val="00F41953"/>
    <w:rsid w:val="00F43BA8"/>
    <w:rsid w:val="00F450DA"/>
    <w:rsid w:val="00F47159"/>
    <w:rsid w:val="00F657D4"/>
    <w:rsid w:val="00F80331"/>
    <w:rsid w:val="00F84A26"/>
    <w:rsid w:val="00F8664F"/>
    <w:rsid w:val="00F87D46"/>
    <w:rsid w:val="00FA155D"/>
    <w:rsid w:val="00FA6FFF"/>
    <w:rsid w:val="00FC6CA0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86C76B-36AC-4B22-B563-3028B3E5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142F4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30CA-F28C-4E8D-8995-07EE4F0E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Martin Beluský</cp:lastModifiedBy>
  <cp:revision>17</cp:revision>
  <cp:lastPrinted>2019-05-28T10:06:00Z</cp:lastPrinted>
  <dcterms:created xsi:type="dcterms:W3CDTF">2019-05-29T09:06:00Z</dcterms:created>
  <dcterms:modified xsi:type="dcterms:W3CDTF">2019-09-25T19:29:00Z</dcterms:modified>
</cp:coreProperties>
</file>