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67" w:rsidRPr="00933A57" w:rsidRDefault="001E5C1B" w:rsidP="001E5C1B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3A57">
        <w:rPr>
          <w:rFonts w:ascii="Times New Roman" w:hAnsi="Times New Roman" w:cs="Times New Roman"/>
          <w:b/>
          <w:sz w:val="28"/>
          <w:szCs w:val="28"/>
        </w:rPr>
        <w:t>DÔVODOVÁ SPRÁVA</w:t>
      </w:r>
    </w:p>
    <w:p w:rsidR="001E5C1B" w:rsidRDefault="001E5C1B" w:rsidP="001E5C1B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C1B" w:rsidRPr="001E5C1B" w:rsidRDefault="001E5C1B" w:rsidP="001E5C1B">
      <w:pPr>
        <w:pStyle w:val="Bezriadkovani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1E5C1B" w:rsidRDefault="001E5C1B" w:rsidP="001E5C1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2632B" w:rsidRDefault="008316F9" w:rsidP="0052632B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</w:t>
      </w:r>
      <w:r w:rsidR="001E5C1B" w:rsidRPr="001E5C1B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>
        <w:rPr>
          <w:rFonts w:ascii="Times New Roman" w:hAnsi="Times New Roman" w:cs="Times New Roman"/>
          <w:sz w:val="24"/>
          <w:szCs w:val="24"/>
        </w:rPr>
        <w:t>predkladajú</w:t>
      </w:r>
      <w:r w:rsidR="001E5C1B" w:rsidRPr="001E5C1B">
        <w:rPr>
          <w:rFonts w:ascii="Times New Roman" w:hAnsi="Times New Roman" w:cs="Times New Roman"/>
          <w:sz w:val="24"/>
          <w:szCs w:val="24"/>
        </w:rPr>
        <w:t xml:space="preserve"> na schôdzu Národnej rady Slovenskej republiky</w:t>
      </w:r>
      <w:r w:rsidR="001E5C1B">
        <w:rPr>
          <w:rFonts w:ascii="Times New Roman" w:hAnsi="Times New Roman" w:cs="Times New Roman"/>
          <w:sz w:val="24"/>
          <w:szCs w:val="24"/>
        </w:rPr>
        <w:t xml:space="preserve"> návrh </w:t>
      </w:r>
      <w:r w:rsidR="001E5C1B" w:rsidRPr="001E5C1B">
        <w:rPr>
          <w:rFonts w:ascii="Times New Roman" w:hAnsi="Times New Roman" w:cs="Times New Roman"/>
          <w:sz w:val="24"/>
          <w:szCs w:val="24"/>
        </w:rPr>
        <w:t>zákona, ktorým sa mení a dopĺňa zákon č.</w:t>
      </w:r>
      <w:r w:rsidR="0052632B">
        <w:rPr>
          <w:rFonts w:ascii="Times New Roman" w:hAnsi="Times New Roman" w:cs="Times New Roman"/>
          <w:sz w:val="24"/>
          <w:szCs w:val="24"/>
        </w:rPr>
        <w:t> </w:t>
      </w:r>
      <w:r w:rsidR="001E5C1B" w:rsidRPr="001E5C1B">
        <w:rPr>
          <w:rFonts w:ascii="Times New Roman" w:hAnsi="Times New Roman" w:cs="Times New Roman"/>
          <w:sz w:val="24"/>
          <w:szCs w:val="24"/>
        </w:rPr>
        <w:t>434/2010 Z. z. o poskytovaní dotácií v pôsobnosti Ministerstva kultúry Slovenskej republiky v znení neskorších predpisov</w:t>
      </w:r>
      <w:r w:rsidR="001E5C1B">
        <w:rPr>
          <w:rFonts w:ascii="Times New Roman" w:hAnsi="Times New Roman" w:cs="Times New Roman"/>
          <w:sz w:val="24"/>
          <w:szCs w:val="24"/>
        </w:rPr>
        <w:t>.</w:t>
      </w:r>
    </w:p>
    <w:p w:rsidR="0052632B" w:rsidRDefault="0052632B" w:rsidP="0052632B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632B" w:rsidRDefault="0052632B" w:rsidP="0052632B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rozšíriť okruh účelov, na ktoré poskytuje Ministerstvo kultúry Slovenskej republiky (ďalej len „ministerstvo kultúry“) </w:t>
      </w:r>
      <w:r w:rsidRPr="0052632B">
        <w:rPr>
          <w:rFonts w:ascii="Times New Roman" w:hAnsi="Times New Roman" w:cs="Times New Roman"/>
          <w:sz w:val="24"/>
          <w:szCs w:val="24"/>
        </w:rPr>
        <w:t>dotáciu zo štátneho rozpočtu</w:t>
      </w:r>
      <w:r>
        <w:rPr>
          <w:rFonts w:ascii="Times New Roman" w:hAnsi="Times New Roman" w:cs="Times New Roman"/>
          <w:sz w:val="24"/>
          <w:szCs w:val="24"/>
        </w:rPr>
        <w:t xml:space="preserve"> na príslušný rozpočtový rok, o</w:t>
      </w:r>
      <w:r w:rsidR="003F55FA">
        <w:rPr>
          <w:rFonts w:ascii="Times New Roman" w:hAnsi="Times New Roman" w:cs="Times New Roman"/>
          <w:sz w:val="24"/>
          <w:szCs w:val="24"/>
        </w:rPr>
        <w:t> účel podpora</w:t>
      </w:r>
      <w:r w:rsidR="000323B4">
        <w:rPr>
          <w:rFonts w:ascii="Times New Roman" w:hAnsi="Times New Roman" w:cs="Times New Roman"/>
          <w:sz w:val="24"/>
          <w:szCs w:val="24"/>
        </w:rPr>
        <w:t xml:space="preserve"> miestnej a regionálnej kultúry </w:t>
      </w:r>
      <w:r w:rsidR="00086E6F">
        <w:rPr>
          <w:rFonts w:ascii="Times New Roman" w:hAnsi="Times New Roman" w:cs="Times New Roman"/>
          <w:sz w:val="24"/>
          <w:szCs w:val="24"/>
        </w:rPr>
        <w:t xml:space="preserve">a </w:t>
      </w:r>
      <w:r w:rsidR="000323B4">
        <w:rPr>
          <w:rFonts w:ascii="Times New Roman" w:hAnsi="Times New Roman" w:cs="Times New Roman"/>
          <w:sz w:val="24"/>
          <w:szCs w:val="24"/>
        </w:rPr>
        <w:t>obnovu knižníc a knižničného fondu.</w:t>
      </w:r>
    </w:p>
    <w:p w:rsidR="0052632B" w:rsidRDefault="0052632B" w:rsidP="0052632B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72C9" w:rsidRDefault="003F55FA" w:rsidP="00621793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Miestna</w:t>
      </w:r>
      <w:r w:rsidR="0052632B"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>regionálna</w:t>
      </w:r>
      <w:r w:rsidR="0052632B">
        <w:rPr>
          <w:rFonts w:ascii="Times New Roman" w:hAnsi="Times New Roman" w:cs="Times New Roman"/>
          <w:sz w:val="24"/>
          <w:szCs w:val="24"/>
        </w:rPr>
        <w:t xml:space="preserve"> kul</w:t>
      </w:r>
      <w:r>
        <w:rPr>
          <w:rFonts w:ascii="Times New Roman" w:hAnsi="Times New Roman" w:cs="Times New Roman"/>
          <w:sz w:val="24"/>
          <w:szCs w:val="24"/>
        </w:rPr>
        <w:t xml:space="preserve">túra predstavuje významnú súčasť </w:t>
      </w:r>
      <w:r w:rsidR="007853C8">
        <w:rPr>
          <w:rFonts w:ascii="Times New Roman" w:hAnsi="Times New Roman" w:cs="Times New Roman"/>
          <w:sz w:val="24"/>
          <w:szCs w:val="24"/>
        </w:rPr>
        <w:t xml:space="preserve">celoštátnej </w:t>
      </w:r>
      <w:r>
        <w:rPr>
          <w:rFonts w:ascii="Times New Roman" w:hAnsi="Times New Roman" w:cs="Times New Roman"/>
          <w:sz w:val="24"/>
          <w:szCs w:val="24"/>
        </w:rPr>
        <w:t>kultúry, napriek tomu sa javí jej podpora zo strany štátu ako</w:t>
      </w:r>
      <w:r w:rsidR="00891130">
        <w:rPr>
          <w:rFonts w:ascii="Times New Roman" w:hAnsi="Times New Roman" w:cs="Times New Roman"/>
          <w:sz w:val="24"/>
          <w:szCs w:val="24"/>
        </w:rPr>
        <w:t xml:space="preserve"> nie úplne dostatočná</w:t>
      </w:r>
      <w:r>
        <w:rPr>
          <w:rFonts w:ascii="Times New Roman" w:hAnsi="Times New Roman" w:cs="Times New Roman"/>
          <w:sz w:val="24"/>
          <w:szCs w:val="24"/>
        </w:rPr>
        <w:t xml:space="preserve">. V mestách a obciach sa </w:t>
      </w:r>
      <w:r w:rsidR="004A043C">
        <w:rPr>
          <w:rFonts w:ascii="Times New Roman" w:hAnsi="Times New Roman" w:cs="Times New Roman"/>
          <w:sz w:val="24"/>
          <w:szCs w:val="24"/>
        </w:rPr>
        <w:t>množstvo obyvateľov vo</w:t>
      </w:r>
      <w:r>
        <w:rPr>
          <w:rFonts w:ascii="Times New Roman" w:hAnsi="Times New Roman" w:cs="Times New Roman"/>
          <w:sz w:val="24"/>
          <w:szCs w:val="24"/>
        </w:rPr>
        <w:t xml:space="preserve"> všetkých vekových kategóriách</w:t>
      </w:r>
      <w:r w:rsidR="004A043C">
        <w:rPr>
          <w:rFonts w:ascii="Times New Roman" w:hAnsi="Times New Roman" w:cs="Times New Roman"/>
          <w:sz w:val="24"/>
          <w:szCs w:val="24"/>
        </w:rPr>
        <w:t xml:space="preserve"> angažuje v rôznych záujmovo-umeleckých telesách, skupinách, súboroch, voľno-časových zoskup</w:t>
      </w:r>
      <w:r w:rsidR="00891130">
        <w:rPr>
          <w:rFonts w:ascii="Times New Roman" w:hAnsi="Times New Roman" w:cs="Times New Roman"/>
          <w:sz w:val="24"/>
          <w:szCs w:val="24"/>
        </w:rPr>
        <w:t>eniach a záujmových združeniach</w:t>
      </w:r>
      <w:r w:rsidR="00B072C9">
        <w:rPr>
          <w:rFonts w:ascii="Times New Roman" w:hAnsi="Times New Roman" w:cs="Times New Roman"/>
          <w:sz w:val="24"/>
          <w:szCs w:val="24"/>
        </w:rPr>
        <w:t xml:space="preserve"> zameraných na rôzne oblasti umenia a kultúry</w:t>
      </w:r>
      <w:r w:rsidR="004A043C">
        <w:rPr>
          <w:rFonts w:ascii="Times New Roman" w:hAnsi="Times New Roman" w:cs="Times New Roman"/>
          <w:sz w:val="24"/>
          <w:szCs w:val="24"/>
        </w:rPr>
        <w:t xml:space="preserve">. </w:t>
      </w:r>
      <w:r w:rsidR="007853C8">
        <w:rPr>
          <w:rFonts w:ascii="Times New Roman" w:hAnsi="Times New Roman" w:cs="Times New Roman"/>
          <w:sz w:val="24"/>
          <w:szCs w:val="24"/>
        </w:rPr>
        <w:t>Ide</w:t>
      </w:r>
      <w:r w:rsidR="004A043C">
        <w:rPr>
          <w:rFonts w:ascii="Times New Roman" w:hAnsi="Times New Roman" w:cs="Times New Roman"/>
          <w:sz w:val="24"/>
          <w:szCs w:val="24"/>
        </w:rPr>
        <w:t xml:space="preserve"> </w:t>
      </w:r>
      <w:r w:rsidR="00823911">
        <w:rPr>
          <w:rFonts w:ascii="Times New Roman" w:hAnsi="Times New Roman" w:cs="Times New Roman"/>
          <w:sz w:val="24"/>
          <w:szCs w:val="24"/>
        </w:rPr>
        <w:t>o</w:t>
      </w:r>
      <w:r w:rsidR="00C123BF">
        <w:rPr>
          <w:rFonts w:ascii="Times New Roman" w:hAnsi="Times New Roman" w:cs="Times New Roman"/>
          <w:sz w:val="24"/>
          <w:szCs w:val="24"/>
        </w:rPr>
        <w:t xml:space="preserve"> jednotlivcov alebo </w:t>
      </w:r>
      <w:r w:rsidR="00B072C9">
        <w:rPr>
          <w:rFonts w:ascii="Times New Roman" w:hAnsi="Times New Roman" w:cs="Times New Roman"/>
          <w:sz w:val="24"/>
          <w:szCs w:val="24"/>
        </w:rPr>
        <w:t xml:space="preserve">rôznorodé </w:t>
      </w:r>
      <w:r w:rsidR="004A043C">
        <w:rPr>
          <w:rFonts w:ascii="Times New Roman" w:hAnsi="Times New Roman" w:cs="Times New Roman"/>
          <w:sz w:val="24"/>
          <w:szCs w:val="24"/>
        </w:rPr>
        <w:t>zoskup</w:t>
      </w:r>
      <w:r w:rsidR="007853C8">
        <w:rPr>
          <w:rFonts w:ascii="Times New Roman" w:hAnsi="Times New Roman" w:cs="Times New Roman"/>
          <w:sz w:val="24"/>
          <w:szCs w:val="24"/>
        </w:rPr>
        <w:t xml:space="preserve">enia, ktoré </w:t>
      </w:r>
      <w:r w:rsidR="008D61D2">
        <w:rPr>
          <w:rFonts w:ascii="Times New Roman" w:hAnsi="Times New Roman" w:cs="Times New Roman"/>
          <w:sz w:val="24"/>
          <w:szCs w:val="24"/>
        </w:rPr>
        <w:t xml:space="preserve">majú viac alebo menej profesionálny </w:t>
      </w:r>
      <w:r w:rsidR="00823911">
        <w:rPr>
          <w:rFonts w:ascii="Times New Roman" w:hAnsi="Times New Roman" w:cs="Times New Roman"/>
          <w:sz w:val="24"/>
          <w:szCs w:val="24"/>
        </w:rPr>
        <w:t>charakter</w:t>
      </w:r>
      <w:r w:rsidR="007853C8">
        <w:rPr>
          <w:rFonts w:ascii="Times New Roman" w:hAnsi="Times New Roman" w:cs="Times New Roman"/>
          <w:sz w:val="24"/>
          <w:szCs w:val="24"/>
        </w:rPr>
        <w:t>, často</w:t>
      </w:r>
      <w:r w:rsidR="007853C8" w:rsidRPr="007853C8">
        <w:rPr>
          <w:rFonts w:ascii="Times New Roman" w:hAnsi="Times New Roman" w:cs="Times New Roman"/>
          <w:sz w:val="24"/>
          <w:szCs w:val="24"/>
        </w:rPr>
        <w:t xml:space="preserve"> </w:t>
      </w:r>
      <w:r w:rsidR="007853C8">
        <w:rPr>
          <w:rFonts w:ascii="Times New Roman" w:hAnsi="Times New Roman" w:cs="Times New Roman"/>
          <w:sz w:val="24"/>
          <w:szCs w:val="24"/>
        </w:rPr>
        <w:t>vznikajú na báze dobrovoľnosti</w:t>
      </w:r>
      <w:r w:rsidR="008D61D2">
        <w:rPr>
          <w:rFonts w:ascii="Times New Roman" w:hAnsi="Times New Roman" w:cs="Times New Roman"/>
          <w:sz w:val="24"/>
          <w:szCs w:val="24"/>
        </w:rPr>
        <w:t xml:space="preserve"> a ich primárnym cieľom je napĺňanie potreby sebarealizácie ich členov. Popritom</w:t>
      </w:r>
      <w:r w:rsidR="007853C8">
        <w:rPr>
          <w:rFonts w:ascii="Times New Roman" w:hAnsi="Times New Roman" w:cs="Times New Roman"/>
          <w:sz w:val="24"/>
          <w:szCs w:val="24"/>
        </w:rPr>
        <w:t xml:space="preserve"> </w:t>
      </w:r>
      <w:r w:rsidR="00B072C9">
        <w:rPr>
          <w:rFonts w:ascii="Times New Roman" w:hAnsi="Times New Roman" w:cs="Times New Roman"/>
          <w:sz w:val="24"/>
          <w:szCs w:val="24"/>
        </w:rPr>
        <w:t xml:space="preserve">však </w:t>
      </w:r>
      <w:r w:rsidR="007853C8">
        <w:rPr>
          <w:rFonts w:ascii="Times New Roman" w:hAnsi="Times New Roman" w:cs="Times New Roman"/>
          <w:sz w:val="24"/>
          <w:szCs w:val="24"/>
        </w:rPr>
        <w:t>plnia</w:t>
      </w:r>
      <w:r w:rsidR="00F725CD">
        <w:rPr>
          <w:rFonts w:ascii="Times New Roman" w:hAnsi="Times New Roman" w:cs="Times New Roman"/>
          <w:sz w:val="24"/>
          <w:szCs w:val="24"/>
        </w:rPr>
        <w:t xml:space="preserve"> aj</w:t>
      </w:r>
      <w:r w:rsidR="008D61D2">
        <w:rPr>
          <w:rFonts w:ascii="Times New Roman" w:hAnsi="Times New Roman" w:cs="Times New Roman"/>
          <w:sz w:val="24"/>
          <w:szCs w:val="24"/>
        </w:rPr>
        <w:t xml:space="preserve"> významnú</w:t>
      </w:r>
      <w:r w:rsidR="007853C8">
        <w:rPr>
          <w:rFonts w:ascii="Times New Roman" w:hAnsi="Times New Roman" w:cs="Times New Roman"/>
          <w:sz w:val="24"/>
          <w:szCs w:val="24"/>
        </w:rPr>
        <w:t xml:space="preserve"> </w:t>
      </w:r>
      <w:r w:rsidR="008D61D2">
        <w:rPr>
          <w:rFonts w:ascii="Times New Roman" w:hAnsi="Times New Roman" w:cs="Times New Roman"/>
          <w:sz w:val="24"/>
          <w:szCs w:val="24"/>
        </w:rPr>
        <w:t>umeleckú, výchovnú a sociálnu funkciu v danej obci alebo regióne.</w:t>
      </w:r>
      <w:r w:rsidR="00891130">
        <w:rPr>
          <w:rFonts w:ascii="Times New Roman" w:hAnsi="Times New Roman" w:cs="Times New Roman"/>
          <w:sz w:val="24"/>
          <w:szCs w:val="24"/>
        </w:rPr>
        <w:t xml:space="preserve"> Nezriedka z takýchto zoskupení vzídu aj budúci profesionálni umelci.</w:t>
      </w:r>
      <w:r w:rsidR="008D61D2">
        <w:rPr>
          <w:rFonts w:ascii="Times New Roman" w:hAnsi="Times New Roman" w:cs="Times New Roman"/>
          <w:sz w:val="24"/>
          <w:szCs w:val="24"/>
        </w:rPr>
        <w:t xml:space="preserve"> Z pohľadu predkladateľa si preto </w:t>
      </w:r>
      <w:r w:rsidR="00891130">
        <w:rPr>
          <w:rFonts w:ascii="Times New Roman" w:hAnsi="Times New Roman" w:cs="Times New Roman"/>
          <w:sz w:val="24"/>
          <w:szCs w:val="24"/>
        </w:rPr>
        <w:t>táto oblasť</w:t>
      </w:r>
      <w:r w:rsidR="00B072C9">
        <w:rPr>
          <w:rFonts w:ascii="Times New Roman" w:hAnsi="Times New Roman" w:cs="Times New Roman"/>
          <w:sz w:val="24"/>
          <w:szCs w:val="24"/>
        </w:rPr>
        <w:t xml:space="preserve"> kultúry</w:t>
      </w:r>
      <w:r w:rsidR="00891130">
        <w:rPr>
          <w:rFonts w:ascii="Times New Roman" w:hAnsi="Times New Roman" w:cs="Times New Roman"/>
          <w:sz w:val="24"/>
          <w:szCs w:val="24"/>
        </w:rPr>
        <w:t xml:space="preserve"> </w:t>
      </w:r>
      <w:r w:rsidR="004A043C">
        <w:rPr>
          <w:rFonts w:ascii="Times New Roman" w:hAnsi="Times New Roman" w:cs="Times New Roman"/>
          <w:sz w:val="24"/>
          <w:szCs w:val="24"/>
        </w:rPr>
        <w:t>za</w:t>
      </w:r>
      <w:r w:rsidR="00823911">
        <w:rPr>
          <w:rFonts w:ascii="Times New Roman" w:hAnsi="Times New Roman" w:cs="Times New Roman"/>
          <w:sz w:val="24"/>
          <w:szCs w:val="24"/>
        </w:rPr>
        <w:t>s</w:t>
      </w:r>
      <w:r w:rsidR="00891130">
        <w:rPr>
          <w:rFonts w:ascii="Times New Roman" w:hAnsi="Times New Roman" w:cs="Times New Roman"/>
          <w:sz w:val="24"/>
          <w:szCs w:val="24"/>
        </w:rPr>
        <w:t>lúži</w:t>
      </w:r>
      <w:r w:rsidR="008D61D2">
        <w:rPr>
          <w:rFonts w:ascii="Times New Roman" w:hAnsi="Times New Roman" w:cs="Times New Roman"/>
          <w:sz w:val="24"/>
          <w:szCs w:val="24"/>
        </w:rPr>
        <w:t xml:space="preserve"> </w:t>
      </w:r>
      <w:r w:rsidR="00823911">
        <w:rPr>
          <w:rFonts w:ascii="Times New Roman" w:hAnsi="Times New Roman" w:cs="Times New Roman"/>
          <w:sz w:val="24"/>
          <w:szCs w:val="24"/>
        </w:rPr>
        <w:t>väčšiu pozornosť a podporu zo strany štátu.</w:t>
      </w:r>
      <w:r w:rsidR="00F725CD">
        <w:rPr>
          <w:rFonts w:ascii="Times New Roman" w:hAnsi="Times New Roman" w:cs="Times New Roman"/>
          <w:sz w:val="24"/>
          <w:szCs w:val="24"/>
        </w:rPr>
        <w:t xml:space="preserve"> Podpora bu</w:t>
      </w:r>
      <w:r w:rsidR="00891130">
        <w:rPr>
          <w:rFonts w:ascii="Times New Roman" w:hAnsi="Times New Roman" w:cs="Times New Roman"/>
          <w:sz w:val="24"/>
          <w:szCs w:val="24"/>
        </w:rPr>
        <w:t>de spočívať vo forme poskytovania dotácií</w:t>
      </w:r>
      <w:r w:rsidR="00B072C9">
        <w:rPr>
          <w:rFonts w:ascii="Times New Roman" w:hAnsi="Times New Roman" w:cs="Times New Roman"/>
          <w:sz w:val="24"/>
          <w:szCs w:val="24"/>
        </w:rPr>
        <w:t xml:space="preserve"> uvedeným subjektom</w:t>
      </w:r>
      <w:r w:rsidR="00C123BF">
        <w:rPr>
          <w:rFonts w:ascii="Times New Roman" w:hAnsi="Times New Roman" w:cs="Times New Roman"/>
          <w:sz w:val="24"/>
          <w:szCs w:val="24"/>
        </w:rPr>
        <w:t xml:space="preserve"> alebo jednotlivcom</w:t>
      </w:r>
      <w:r w:rsidR="00B072C9">
        <w:rPr>
          <w:rFonts w:ascii="Times New Roman" w:hAnsi="Times New Roman" w:cs="Times New Roman"/>
          <w:sz w:val="24"/>
          <w:szCs w:val="24"/>
        </w:rPr>
        <w:t xml:space="preserve"> </w:t>
      </w:r>
      <w:r w:rsidR="00F725CD">
        <w:rPr>
          <w:rFonts w:ascii="Times New Roman" w:hAnsi="Times New Roman" w:cs="Times New Roman"/>
          <w:sz w:val="24"/>
          <w:szCs w:val="24"/>
        </w:rPr>
        <w:t xml:space="preserve">na účel zakúpenia alebo obstarania </w:t>
      </w:r>
      <w:r w:rsidR="00F02260">
        <w:rPr>
          <w:rFonts w:ascii="Times New Roman" w:hAnsi="Times New Roman" w:cs="Times New Roman"/>
          <w:sz w:val="24"/>
          <w:szCs w:val="24"/>
        </w:rPr>
        <w:t xml:space="preserve">ľudových </w:t>
      </w:r>
      <w:r w:rsidR="00F725CD">
        <w:rPr>
          <w:rFonts w:ascii="Times New Roman" w:hAnsi="Times New Roman" w:cs="Times New Roman"/>
          <w:sz w:val="24"/>
          <w:szCs w:val="24"/>
        </w:rPr>
        <w:t xml:space="preserve">krojov, kostýmov, hudobných nástrojov, </w:t>
      </w:r>
      <w:r w:rsidR="00F826E9">
        <w:rPr>
          <w:rFonts w:ascii="Times New Roman" w:hAnsi="Times New Roman" w:cs="Times New Roman"/>
          <w:sz w:val="24"/>
          <w:szCs w:val="24"/>
        </w:rPr>
        <w:t xml:space="preserve">hudobnej </w:t>
      </w:r>
      <w:r w:rsidR="00F725CD">
        <w:rPr>
          <w:rFonts w:ascii="Times New Roman" w:hAnsi="Times New Roman" w:cs="Times New Roman"/>
          <w:sz w:val="24"/>
          <w:szCs w:val="24"/>
        </w:rPr>
        <w:t>aparatúry, náradia a prístrojov na tvorbu umeleckých výrobkov, potrieb</w:t>
      </w:r>
      <w:r w:rsidR="00F826E9">
        <w:rPr>
          <w:rFonts w:ascii="Times New Roman" w:hAnsi="Times New Roman" w:cs="Times New Roman"/>
          <w:sz w:val="24"/>
          <w:szCs w:val="24"/>
        </w:rPr>
        <w:t xml:space="preserve"> pre tvorbu výtvarníkov</w:t>
      </w:r>
      <w:r w:rsidR="00F725CD">
        <w:rPr>
          <w:rFonts w:ascii="Times New Roman" w:hAnsi="Times New Roman" w:cs="Times New Roman"/>
          <w:sz w:val="24"/>
          <w:szCs w:val="24"/>
        </w:rPr>
        <w:t>, atď.</w:t>
      </w:r>
      <w:r w:rsidR="00891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42F" w:rsidRDefault="0040342F" w:rsidP="00621793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23B4" w:rsidRDefault="000323B4" w:rsidP="000323B4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knižníc a knižničného fondu bude zmeraná na podporu rozvoja verejných knižníc. Nový dotačný titul napĺňa Stratégiu rozvoja slovenského knihovníctva na roky 2015 – 2020. Podpora bude zmeraná na skvalitnenie, modernizáciu a ďalší rozvoj verejných knižníc.</w:t>
      </w:r>
    </w:p>
    <w:p w:rsidR="000323B4" w:rsidRDefault="000323B4" w:rsidP="000323B4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386" w:rsidRDefault="003C5D8C" w:rsidP="00827386">
      <w:pPr>
        <w:pStyle w:val="Bezriadkovania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3B4">
        <w:rPr>
          <w:rFonts w:ascii="Times New Roman" w:hAnsi="Times New Roman" w:cs="Times New Roman"/>
          <w:color w:val="000000"/>
          <w:sz w:val="24"/>
          <w:szCs w:val="24"/>
        </w:rPr>
        <w:t xml:space="preserve">Návrh zákona </w:t>
      </w:r>
      <w:r w:rsidR="00827386" w:rsidRPr="000323B4">
        <w:rPr>
          <w:rFonts w:ascii="Times New Roman" w:hAnsi="Times New Roman" w:cs="Times New Roman"/>
          <w:color w:val="000000"/>
          <w:sz w:val="24"/>
          <w:szCs w:val="24"/>
        </w:rPr>
        <w:t xml:space="preserve">má </w:t>
      </w:r>
      <w:r w:rsidRPr="000323B4">
        <w:rPr>
          <w:rFonts w:ascii="Times New Roman" w:hAnsi="Times New Roman" w:cs="Times New Roman"/>
          <w:color w:val="000000"/>
          <w:sz w:val="24"/>
          <w:szCs w:val="24"/>
        </w:rPr>
        <w:t xml:space="preserve">negatívny </w:t>
      </w:r>
      <w:r w:rsidR="00827386" w:rsidRPr="000323B4">
        <w:rPr>
          <w:rFonts w:ascii="Times New Roman" w:hAnsi="Times New Roman" w:cs="Times New Roman"/>
          <w:color w:val="000000"/>
          <w:sz w:val="24"/>
          <w:szCs w:val="24"/>
        </w:rPr>
        <w:t>vplyv na roz</w:t>
      </w:r>
      <w:r w:rsidRPr="000323B4">
        <w:rPr>
          <w:rFonts w:ascii="Times New Roman" w:hAnsi="Times New Roman" w:cs="Times New Roman"/>
          <w:color w:val="000000"/>
          <w:sz w:val="24"/>
          <w:szCs w:val="24"/>
        </w:rPr>
        <w:t>počet verejnej správy</w:t>
      </w:r>
      <w:r w:rsidR="00565D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65D7B">
        <w:rPr>
          <w:rFonts w:ascii="Times New Roman" w:hAnsi="Times New Roman" w:cs="Times New Roman"/>
          <w:color w:val="000000"/>
          <w:sz w:val="24"/>
          <w:szCs w:val="24"/>
        </w:rPr>
        <w:t>nemá</w:t>
      </w:r>
      <w:r w:rsidR="00565D7B" w:rsidRPr="00565D7B">
        <w:rPr>
          <w:rFonts w:ascii="Times New Roman" w:hAnsi="Times New Roman" w:cs="Times New Roman"/>
          <w:color w:val="000000"/>
          <w:sz w:val="24"/>
          <w:szCs w:val="24"/>
        </w:rPr>
        <w:t xml:space="preserve"> vplyv na manželstvo, rodičovstvo a rodinu, </w:t>
      </w:r>
      <w:r w:rsidR="00827386" w:rsidRPr="00565D7B">
        <w:rPr>
          <w:rFonts w:ascii="Times New Roman" w:hAnsi="Times New Roman" w:cs="Times New Roman"/>
          <w:color w:val="000000"/>
          <w:sz w:val="24"/>
          <w:szCs w:val="24"/>
        </w:rPr>
        <w:t>podnikateľské prostredie,</w:t>
      </w:r>
      <w:r w:rsidR="00565D7B" w:rsidRPr="00565D7B">
        <w:rPr>
          <w:rFonts w:ascii="Times New Roman" w:hAnsi="Times New Roman" w:cs="Times New Roman"/>
          <w:color w:val="000000"/>
          <w:sz w:val="24"/>
          <w:szCs w:val="24"/>
        </w:rPr>
        <w:t xml:space="preserve"> životné prostredie,</w:t>
      </w:r>
      <w:r w:rsidR="00827386" w:rsidRPr="00565D7B">
        <w:rPr>
          <w:rFonts w:ascii="Times New Roman" w:hAnsi="Times New Roman" w:cs="Times New Roman"/>
          <w:color w:val="000000"/>
          <w:sz w:val="24"/>
          <w:szCs w:val="24"/>
        </w:rPr>
        <w:t xml:space="preserve"> informatizáciu spoločnosti, služby verejnej správy pre občana a nemá sociálne vplyvy.</w:t>
      </w:r>
      <w:r w:rsidR="00827386" w:rsidRPr="008273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27386" w:rsidRPr="00827386" w:rsidRDefault="00827386" w:rsidP="00827386">
      <w:pPr>
        <w:pStyle w:val="Bezriadkovania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5C1B" w:rsidRDefault="00827386" w:rsidP="00827386">
      <w:pPr>
        <w:pStyle w:val="Bezriadkovania"/>
        <w:ind w:firstLine="720"/>
        <w:jc w:val="both"/>
        <w:rPr>
          <w:rStyle w:val="Zstupntext"/>
          <w:color w:val="000000"/>
          <w:sz w:val="24"/>
          <w:szCs w:val="24"/>
        </w:rPr>
      </w:pPr>
      <w:r w:rsidRPr="00827386">
        <w:rPr>
          <w:rStyle w:val="Zstupntext"/>
          <w:color w:val="000000"/>
          <w:sz w:val="24"/>
          <w:szCs w:val="24"/>
        </w:rPr>
        <w:t>Návrh zákona je v súlade s Ústavou Slovenske</w:t>
      </w:r>
      <w:r>
        <w:rPr>
          <w:rStyle w:val="Zstupntext"/>
          <w:color w:val="000000"/>
          <w:sz w:val="24"/>
          <w:szCs w:val="24"/>
        </w:rPr>
        <w:t>j republiky, ústavnými zákonmi</w:t>
      </w:r>
      <w:r w:rsidRPr="00827386">
        <w:rPr>
          <w:rStyle w:val="Zstupntext"/>
          <w:color w:val="000000"/>
          <w:sz w:val="24"/>
          <w:szCs w:val="24"/>
        </w:rPr>
        <w:t>,</w:t>
      </w:r>
      <w:r w:rsidR="003C5D8C">
        <w:rPr>
          <w:rStyle w:val="Zstupntext"/>
          <w:color w:val="000000"/>
          <w:sz w:val="24"/>
          <w:szCs w:val="24"/>
        </w:rPr>
        <w:t xml:space="preserve"> nálezmi Ústavného súdu Slovenskej republiky,</w:t>
      </w:r>
      <w:r w:rsidRPr="00827386">
        <w:rPr>
          <w:rStyle w:val="Zstupntext"/>
          <w:color w:val="000000"/>
          <w:sz w:val="24"/>
          <w:szCs w:val="24"/>
        </w:rPr>
        <w:t xml:space="preserve"> ostatnými zákonmi a všeobecne záväznými právnymi predpismi, medzinárodnými zmluvami a medzinárodnými dokumentmi, ktorými je Slovenská republika viazaná. Predložený návrh je v súlade s právom Európskej únie.</w:t>
      </w:r>
    </w:p>
    <w:p w:rsidR="00EA0347" w:rsidRDefault="00EA0347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EA0347" w:rsidRDefault="00EA0347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EA0347" w:rsidRDefault="00EA0347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EA0347" w:rsidRDefault="00EA0347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EA0347" w:rsidRDefault="00EA0347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565D7B" w:rsidRDefault="00565D7B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565D7B" w:rsidRDefault="00565D7B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565D7B" w:rsidRDefault="00565D7B" w:rsidP="00EA0347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EA0347" w:rsidRPr="00EA0347" w:rsidRDefault="00EA0347" w:rsidP="0045454F">
      <w:pPr>
        <w:pStyle w:val="Bezriadkovania"/>
        <w:numPr>
          <w:ilvl w:val="0"/>
          <w:numId w:val="3"/>
        </w:numPr>
        <w:ind w:left="284" w:hanging="284"/>
        <w:jc w:val="both"/>
        <w:rPr>
          <w:rStyle w:val="Zstupntext"/>
          <w:b/>
          <w:color w:val="000000"/>
          <w:sz w:val="24"/>
          <w:szCs w:val="24"/>
        </w:rPr>
      </w:pPr>
      <w:r w:rsidRPr="00EA0347">
        <w:rPr>
          <w:rStyle w:val="Zstupntext"/>
          <w:b/>
          <w:color w:val="000000"/>
          <w:sz w:val="24"/>
          <w:szCs w:val="24"/>
        </w:rPr>
        <w:t>Osobitná časť</w:t>
      </w:r>
    </w:p>
    <w:p w:rsidR="00EA0347" w:rsidRDefault="00EA0347" w:rsidP="0045454F">
      <w:pPr>
        <w:pStyle w:val="Bezriadkovania"/>
        <w:ind w:left="360" w:hanging="720"/>
        <w:jc w:val="both"/>
        <w:rPr>
          <w:rStyle w:val="Zstupntext"/>
          <w:color w:val="000000"/>
          <w:sz w:val="24"/>
          <w:szCs w:val="24"/>
        </w:rPr>
      </w:pPr>
    </w:p>
    <w:p w:rsidR="00EA0347" w:rsidRDefault="00EA0347" w:rsidP="00E21BB7">
      <w:pPr>
        <w:pStyle w:val="Bezriadkovania"/>
        <w:ind w:left="360" w:hanging="360"/>
        <w:jc w:val="both"/>
        <w:rPr>
          <w:rStyle w:val="Zstupntext"/>
          <w:b/>
          <w:color w:val="000000"/>
          <w:sz w:val="24"/>
          <w:szCs w:val="24"/>
        </w:rPr>
      </w:pPr>
      <w:r w:rsidRPr="00EA0347">
        <w:rPr>
          <w:rStyle w:val="Zstupntext"/>
          <w:b/>
          <w:color w:val="000000"/>
          <w:sz w:val="24"/>
          <w:szCs w:val="24"/>
        </w:rPr>
        <w:t>K čl. I</w:t>
      </w:r>
    </w:p>
    <w:p w:rsidR="00E21BB7" w:rsidRDefault="00E21BB7" w:rsidP="0045454F">
      <w:pPr>
        <w:pStyle w:val="Bezriadkovania"/>
        <w:ind w:left="360" w:hanging="360"/>
        <w:jc w:val="both"/>
        <w:rPr>
          <w:rStyle w:val="Zstupntext"/>
          <w:b/>
          <w:color w:val="000000"/>
          <w:sz w:val="24"/>
          <w:szCs w:val="24"/>
        </w:rPr>
      </w:pPr>
    </w:p>
    <w:p w:rsidR="00EA0347" w:rsidRDefault="00EA0347" w:rsidP="00E21BB7">
      <w:pPr>
        <w:pStyle w:val="Bezriadkovania"/>
        <w:ind w:left="360" w:hanging="360"/>
        <w:jc w:val="both"/>
        <w:rPr>
          <w:rStyle w:val="Zstupntext"/>
          <w:b/>
          <w:color w:val="000000"/>
          <w:sz w:val="24"/>
          <w:szCs w:val="24"/>
        </w:rPr>
      </w:pPr>
      <w:r>
        <w:rPr>
          <w:rStyle w:val="Zstupntext"/>
          <w:b/>
          <w:color w:val="000000"/>
          <w:sz w:val="24"/>
          <w:szCs w:val="24"/>
        </w:rPr>
        <w:t>K bodu 1</w:t>
      </w:r>
    </w:p>
    <w:p w:rsidR="00086E6F" w:rsidRDefault="00EA0347" w:rsidP="0045454F">
      <w:pPr>
        <w:pStyle w:val="Bezriadkovania"/>
        <w:ind w:firstLine="709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>Dopĺňa</w:t>
      </w:r>
      <w:r w:rsidR="000323B4">
        <w:rPr>
          <w:rStyle w:val="Zstupntext"/>
          <w:color w:val="000000"/>
          <w:sz w:val="24"/>
          <w:szCs w:val="24"/>
        </w:rPr>
        <w:t>jú</w:t>
      </w:r>
      <w:r>
        <w:rPr>
          <w:rStyle w:val="Zstupntext"/>
          <w:color w:val="000000"/>
          <w:sz w:val="24"/>
          <w:szCs w:val="24"/>
        </w:rPr>
        <w:t xml:space="preserve"> sa </w:t>
      </w:r>
      <w:r w:rsidR="000323B4">
        <w:rPr>
          <w:rStyle w:val="Zstupntext"/>
          <w:color w:val="000000"/>
          <w:sz w:val="24"/>
          <w:szCs w:val="24"/>
        </w:rPr>
        <w:t>nové</w:t>
      </w:r>
      <w:r w:rsidR="0045454F">
        <w:rPr>
          <w:rStyle w:val="Zstupntext"/>
          <w:color w:val="000000"/>
          <w:sz w:val="24"/>
          <w:szCs w:val="24"/>
        </w:rPr>
        <w:t xml:space="preserve"> účel</w:t>
      </w:r>
      <w:r w:rsidR="000323B4">
        <w:rPr>
          <w:rStyle w:val="Zstupntext"/>
          <w:color w:val="000000"/>
          <w:sz w:val="24"/>
          <w:szCs w:val="24"/>
        </w:rPr>
        <w:t>y</w:t>
      </w:r>
      <w:r w:rsidR="0045454F">
        <w:rPr>
          <w:rStyle w:val="Zstupntext"/>
          <w:color w:val="000000"/>
          <w:sz w:val="24"/>
          <w:szCs w:val="24"/>
        </w:rPr>
        <w:t xml:space="preserve"> poskytovania dotácií v </w:t>
      </w:r>
      <w:r w:rsidR="00086E6F">
        <w:rPr>
          <w:rStyle w:val="Zstupntext"/>
          <w:color w:val="000000"/>
          <w:sz w:val="24"/>
          <w:szCs w:val="24"/>
        </w:rPr>
        <w:t>pôsobnosti ministerstva kultúry:</w:t>
      </w:r>
      <w:r w:rsidR="0045454F">
        <w:rPr>
          <w:rStyle w:val="Zstupntext"/>
          <w:color w:val="000000"/>
          <w:sz w:val="24"/>
          <w:szCs w:val="24"/>
        </w:rPr>
        <w:t xml:space="preserve"> podpora miestnej a regionálnej kultúry</w:t>
      </w:r>
      <w:r w:rsidR="000323B4">
        <w:rPr>
          <w:rStyle w:val="Zstupntext"/>
          <w:color w:val="000000"/>
          <w:sz w:val="24"/>
          <w:szCs w:val="24"/>
        </w:rPr>
        <w:t xml:space="preserve"> a obnova knižníc a knižničného fondu</w:t>
      </w:r>
      <w:r w:rsidR="0045454F">
        <w:rPr>
          <w:rStyle w:val="Zstupntext"/>
          <w:color w:val="000000"/>
          <w:sz w:val="24"/>
          <w:szCs w:val="24"/>
        </w:rPr>
        <w:t xml:space="preserve">. </w:t>
      </w:r>
    </w:p>
    <w:p w:rsidR="00053938" w:rsidRDefault="0045454F" w:rsidP="0045454F">
      <w:pPr>
        <w:pStyle w:val="Bezriadkovania"/>
        <w:ind w:firstLine="709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>Ci</w:t>
      </w:r>
      <w:r w:rsidR="009E7962">
        <w:rPr>
          <w:rStyle w:val="Zstupntext"/>
          <w:color w:val="000000"/>
          <w:sz w:val="24"/>
          <w:szCs w:val="24"/>
        </w:rPr>
        <w:t xml:space="preserve">eľom nového dotačného titulu je </w:t>
      </w:r>
      <w:r>
        <w:rPr>
          <w:rStyle w:val="Zstupntext"/>
          <w:color w:val="000000"/>
          <w:sz w:val="24"/>
          <w:szCs w:val="24"/>
        </w:rPr>
        <w:t xml:space="preserve">podporiť miestne umelecké a iné </w:t>
      </w:r>
      <w:r w:rsidR="00C123BF">
        <w:rPr>
          <w:rStyle w:val="Zstupntext"/>
          <w:color w:val="000000"/>
          <w:sz w:val="24"/>
          <w:szCs w:val="24"/>
        </w:rPr>
        <w:t xml:space="preserve">kultúrne zoskupenia, </w:t>
      </w:r>
      <w:r>
        <w:rPr>
          <w:rStyle w:val="Zstupntext"/>
          <w:color w:val="000000"/>
          <w:sz w:val="24"/>
          <w:szCs w:val="24"/>
        </w:rPr>
        <w:t>subjekty</w:t>
      </w:r>
      <w:r w:rsidR="00C123BF">
        <w:rPr>
          <w:rStyle w:val="Zstupntext"/>
          <w:color w:val="000000"/>
          <w:sz w:val="24"/>
          <w:szCs w:val="24"/>
        </w:rPr>
        <w:t xml:space="preserve"> a</w:t>
      </w:r>
      <w:r w:rsidR="000323B4">
        <w:rPr>
          <w:rStyle w:val="Zstupntext"/>
          <w:color w:val="000000"/>
          <w:sz w:val="24"/>
          <w:szCs w:val="24"/>
        </w:rPr>
        <w:t> </w:t>
      </w:r>
      <w:r w:rsidR="00C123BF">
        <w:rPr>
          <w:rStyle w:val="Zstupntext"/>
          <w:color w:val="000000"/>
          <w:sz w:val="24"/>
          <w:szCs w:val="24"/>
        </w:rPr>
        <w:t>jednotlivcov</w:t>
      </w:r>
      <w:r>
        <w:rPr>
          <w:rStyle w:val="Zstupntext"/>
          <w:color w:val="000000"/>
          <w:sz w:val="24"/>
          <w:szCs w:val="24"/>
        </w:rPr>
        <w:t xml:space="preserve">, napríklad folklórne súbory, </w:t>
      </w:r>
      <w:r w:rsidR="009E7962">
        <w:rPr>
          <w:rStyle w:val="Zstupntext"/>
          <w:color w:val="000000"/>
          <w:sz w:val="24"/>
          <w:szCs w:val="24"/>
        </w:rPr>
        <w:t>spevácke súbory,</w:t>
      </w:r>
      <w:r w:rsidR="00C123BF">
        <w:rPr>
          <w:rStyle w:val="Zstupntext"/>
          <w:color w:val="000000"/>
          <w:sz w:val="24"/>
          <w:szCs w:val="24"/>
        </w:rPr>
        <w:t xml:space="preserve"> spevákov,</w:t>
      </w:r>
      <w:r w:rsidR="009E7962">
        <w:rPr>
          <w:rStyle w:val="Zstupntext"/>
          <w:color w:val="000000"/>
          <w:sz w:val="24"/>
          <w:szCs w:val="24"/>
        </w:rPr>
        <w:t xml:space="preserve"> </w:t>
      </w:r>
      <w:r>
        <w:rPr>
          <w:rStyle w:val="Zstupntext"/>
          <w:color w:val="000000"/>
          <w:sz w:val="24"/>
          <w:szCs w:val="24"/>
        </w:rPr>
        <w:t>hudobné skupiny,</w:t>
      </w:r>
      <w:r w:rsidR="009E7962">
        <w:rPr>
          <w:rStyle w:val="Zstupntext"/>
          <w:color w:val="000000"/>
          <w:sz w:val="24"/>
          <w:szCs w:val="24"/>
        </w:rPr>
        <w:t xml:space="preserve"> tanečné súbory, ochotnícke divadlá, zoskupenia</w:t>
      </w:r>
      <w:r w:rsidR="00C123BF">
        <w:rPr>
          <w:rStyle w:val="Zstupntext"/>
          <w:color w:val="000000"/>
          <w:sz w:val="24"/>
          <w:szCs w:val="24"/>
        </w:rPr>
        <w:t xml:space="preserve"> alebo jednotlivcov zaoberajúcich</w:t>
      </w:r>
      <w:r w:rsidR="009E7962">
        <w:rPr>
          <w:rStyle w:val="Zstupntext"/>
          <w:color w:val="000000"/>
          <w:sz w:val="24"/>
          <w:szCs w:val="24"/>
        </w:rPr>
        <w:t xml:space="preserve"> sa umelecko-remeselnou výrobou alebo výtvarnou činnosťou vo forme poskytnutia</w:t>
      </w:r>
      <w:r w:rsidR="00740192">
        <w:rPr>
          <w:rStyle w:val="Zstupntext"/>
          <w:color w:val="000000"/>
          <w:sz w:val="24"/>
          <w:szCs w:val="24"/>
        </w:rPr>
        <w:t xml:space="preserve"> dotácie zo strany štátu- ministerstva kultúry. Podpora bude spočívať v prideľovaní finančných prostriedkov uvedeným subjektom</w:t>
      </w:r>
      <w:r w:rsidR="00C123BF">
        <w:rPr>
          <w:rStyle w:val="Zstupntext"/>
          <w:color w:val="000000"/>
          <w:sz w:val="24"/>
          <w:szCs w:val="24"/>
        </w:rPr>
        <w:t xml:space="preserve"> a jednotlivcom</w:t>
      </w:r>
      <w:r w:rsidR="00740192">
        <w:rPr>
          <w:rStyle w:val="Zstupntext"/>
          <w:color w:val="000000"/>
          <w:sz w:val="24"/>
          <w:szCs w:val="24"/>
        </w:rPr>
        <w:t xml:space="preserve"> napríklad na účel zakúpenia alebo výroby nových ľudových krojov, úpravy existujúcich krojov, nákup kostýmov pre tanečné zoskupenia alebo ochotnícke divadlá, nákup hudobných nástrojov pre ľudové skupiny</w:t>
      </w:r>
      <w:r w:rsidR="00C123BF">
        <w:rPr>
          <w:rStyle w:val="Zstupntext"/>
          <w:color w:val="000000"/>
          <w:sz w:val="24"/>
          <w:szCs w:val="24"/>
        </w:rPr>
        <w:t xml:space="preserve">, </w:t>
      </w:r>
      <w:r w:rsidR="00F02260">
        <w:rPr>
          <w:rStyle w:val="Zstupntext"/>
          <w:color w:val="000000"/>
          <w:sz w:val="24"/>
          <w:szCs w:val="24"/>
        </w:rPr>
        <w:t>iné hudobné skupiny</w:t>
      </w:r>
      <w:r w:rsidR="00C123BF">
        <w:rPr>
          <w:rStyle w:val="Zstupntext"/>
          <w:color w:val="000000"/>
          <w:sz w:val="24"/>
          <w:szCs w:val="24"/>
        </w:rPr>
        <w:t xml:space="preserve"> alebo jednotlivcov</w:t>
      </w:r>
      <w:r w:rsidR="00F02260">
        <w:rPr>
          <w:rStyle w:val="Zstupntext"/>
          <w:color w:val="000000"/>
          <w:sz w:val="24"/>
          <w:szCs w:val="24"/>
        </w:rPr>
        <w:t>, nákup hudobnej aparatúry, obstaranie nástrojov a prístrojov na tvorbu umelecko-remeselných výrobkov al</w:t>
      </w:r>
      <w:r w:rsidR="00053938">
        <w:rPr>
          <w:rStyle w:val="Zstupntext"/>
          <w:color w:val="000000"/>
          <w:sz w:val="24"/>
          <w:szCs w:val="24"/>
        </w:rPr>
        <w:t xml:space="preserve">ebo prostriedkov potrebných pre </w:t>
      </w:r>
      <w:r w:rsidR="00F02260">
        <w:rPr>
          <w:rStyle w:val="Zstupntext"/>
          <w:color w:val="000000"/>
          <w:sz w:val="24"/>
          <w:szCs w:val="24"/>
        </w:rPr>
        <w:t>výtvarníkov.</w:t>
      </w:r>
    </w:p>
    <w:p w:rsidR="0024247A" w:rsidRDefault="0024247A" w:rsidP="0024247A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0323B4" w:rsidRDefault="00086E6F" w:rsidP="0024247A">
      <w:pPr>
        <w:pStyle w:val="Bezriadkovania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>Druhý n</w:t>
      </w:r>
      <w:r w:rsidR="000323B4">
        <w:rPr>
          <w:rStyle w:val="Zstupntext"/>
          <w:color w:val="000000"/>
          <w:sz w:val="24"/>
          <w:szCs w:val="24"/>
        </w:rPr>
        <w:t>ový dotačný titul bude zameraný na skvalitnenie, modernizáciu a ďalší rozvoj verejných knižníc a ich služieb, napríklad na zabezpečenie, ochranu a bezpečnosť knižničných fondov prostredníctvom technického, technologického, elektronického alebo mechanického zariadenia. Poskytnuté dotácie budú zamerané aj na nákup knižničného fondu.</w:t>
      </w:r>
    </w:p>
    <w:p w:rsidR="000323B4" w:rsidRDefault="000323B4" w:rsidP="0024247A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0323B4" w:rsidRPr="000323B4" w:rsidRDefault="000323B4" w:rsidP="0024247A">
      <w:pPr>
        <w:pStyle w:val="Bezriadkovania"/>
        <w:jc w:val="both"/>
        <w:rPr>
          <w:rStyle w:val="Zstupntext"/>
          <w:b/>
          <w:color w:val="000000"/>
          <w:sz w:val="24"/>
          <w:szCs w:val="24"/>
        </w:rPr>
      </w:pPr>
      <w:r w:rsidRPr="000323B4">
        <w:rPr>
          <w:rStyle w:val="Zstupntext"/>
          <w:b/>
          <w:color w:val="000000"/>
          <w:sz w:val="24"/>
          <w:szCs w:val="24"/>
        </w:rPr>
        <w:t>K bodu 2</w:t>
      </w:r>
    </w:p>
    <w:p w:rsidR="000323B4" w:rsidRDefault="000323B4" w:rsidP="000323B4">
      <w:pPr>
        <w:pStyle w:val="Bezriadkovania"/>
        <w:ind w:firstLine="708"/>
        <w:jc w:val="both"/>
        <w:rPr>
          <w:rStyle w:val="Zstupntext"/>
          <w:color w:val="000000"/>
          <w:sz w:val="24"/>
          <w:szCs w:val="24"/>
        </w:rPr>
      </w:pPr>
      <w:r>
        <w:rPr>
          <w:rStyle w:val="Zstupntext"/>
          <w:color w:val="000000"/>
          <w:sz w:val="24"/>
          <w:szCs w:val="24"/>
        </w:rPr>
        <w:t>Vzhľadom na § 6a ods. 3, v ktorom sa uvádzajú kultúrne poukazy, ale v celom zákone nie je definícia tohto pojmu vysvetlená, sa navrhovaným ustanovením tento nedostatok odstraňuje.</w:t>
      </w:r>
    </w:p>
    <w:p w:rsidR="000323B4" w:rsidRDefault="000323B4" w:rsidP="0024247A">
      <w:pPr>
        <w:pStyle w:val="Bezriadkovania"/>
        <w:jc w:val="both"/>
        <w:rPr>
          <w:rStyle w:val="Zstupntext"/>
          <w:color w:val="000000"/>
          <w:sz w:val="24"/>
          <w:szCs w:val="24"/>
        </w:rPr>
      </w:pPr>
    </w:p>
    <w:p w:rsidR="00EA0347" w:rsidRDefault="000323B4" w:rsidP="0024247A">
      <w:pPr>
        <w:pStyle w:val="Bezriadkovania"/>
        <w:jc w:val="both"/>
        <w:rPr>
          <w:rStyle w:val="Zstupntext"/>
          <w:b/>
          <w:color w:val="000000"/>
          <w:sz w:val="24"/>
          <w:szCs w:val="24"/>
        </w:rPr>
      </w:pPr>
      <w:r>
        <w:rPr>
          <w:rStyle w:val="Zstupntext"/>
          <w:b/>
          <w:color w:val="000000"/>
          <w:sz w:val="24"/>
          <w:szCs w:val="24"/>
        </w:rPr>
        <w:t>K bodu 3</w:t>
      </w:r>
    </w:p>
    <w:p w:rsidR="00AB06F1" w:rsidRPr="00565D7B" w:rsidRDefault="0024247A" w:rsidP="00565D7B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Zstupntext"/>
          <w:b/>
          <w:color w:val="000000"/>
          <w:sz w:val="24"/>
          <w:szCs w:val="24"/>
        </w:rPr>
        <w:tab/>
      </w:r>
      <w:r w:rsidR="006F5DC8" w:rsidRPr="006F5DC8">
        <w:rPr>
          <w:rStyle w:val="Zstupntext"/>
          <w:color w:val="000000"/>
          <w:sz w:val="24"/>
          <w:szCs w:val="24"/>
        </w:rPr>
        <w:t xml:space="preserve">Ustanovuje sa, ktoré subjekty budú môcť požiadať o poskytnutie dotácie na účel podpory miestnej a regionálnej </w:t>
      </w:r>
      <w:r w:rsidR="006F5DC8">
        <w:rPr>
          <w:rStyle w:val="Zstupntext"/>
          <w:color w:val="000000"/>
          <w:sz w:val="24"/>
          <w:szCs w:val="24"/>
        </w:rPr>
        <w:t>kultúry. Pôjde o tieto nepodnikateľské subjekty: fyzická</w:t>
      </w:r>
      <w:r w:rsidR="006F5DC8" w:rsidRPr="006F5DC8">
        <w:rPr>
          <w:rStyle w:val="Zstupntext"/>
          <w:color w:val="000000"/>
          <w:sz w:val="24"/>
          <w:szCs w:val="24"/>
        </w:rPr>
        <w:t xml:space="preserve"> osoba, ktorá má na území Slovenskej republiky trvalý pobyt a ktorá dovŕšila vek 18 rokov, vyšší územný celok alebo obec,</w:t>
      </w:r>
      <w:r w:rsidR="006F5DC8" w:rsidRPr="006F5DC8">
        <w:rPr>
          <w:rFonts w:ascii="Times New Roman" w:hAnsi="Times New Roman" w:cs="Times New Roman"/>
          <w:sz w:val="24"/>
          <w:szCs w:val="24"/>
        </w:rPr>
        <w:t xml:space="preserve"> </w:t>
      </w:r>
      <w:r w:rsidR="006F5DC8" w:rsidRPr="006F5DC8">
        <w:rPr>
          <w:rStyle w:val="Zstupntext"/>
          <w:color w:val="000000"/>
          <w:sz w:val="24"/>
          <w:szCs w:val="24"/>
        </w:rPr>
        <w:t>rozpočtová organizácia alebo príspevková organizácia, ktorej zriaďovateľom j</w:t>
      </w:r>
      <w:r w:rsidR="005202FE">
        <w:rPr>
          <w:rStyle w:val="Zstupntext"/>
          <w:color w:val="000000"/>
          <w:sz w:val="24"/>
          <w:szCs w:val="24"/>
        </w:rPr>
        <w:t>e vyšší územný celok alebo obec a</w:t>
      </w:r>
      <w:r w:rsidR="006F5DC8" w:rsidRPr="006F5DC8">
        <w:rPr>
          <w:rFonts w:ascii="Times New Roman" w:hAnsi="Times New Roman" w:cs="Times New Roman"/>
          <w:sz w:val="24"/>
          <w:szCs w:val="24"/>
        </w:rPr>
        <w:t xml:space="preserve"> ob</w:t>
      </w:r>
      <w:r w:rsidR="006F5DC8" w:rsidRPr="006F5DC8">
        <w:rPr>
          <w:rStyle w:val="Zstupntext"/>
          <w:color w:val="000000"/>
          <w:sz w:val="24"/>
          <w:szCs w:val="24"/>
        </w:rPr>
        <w:t>čianske združenie so sídlom na území Slovenskej republiky</w:t>
      </w:r>
      <w:r w:rsidR="006F5DC8" w:rsidRPr="00924AAB">
        <w:rPr>
          <w:rStyle w:val="Zstupntext"/>
          <w:color w:val="000000"/>
          <w:sz w:val="24"/>
          <w:szCs w:val="24"/>
        </w:rPr>
        <w:t>.</w:t>
      </w:r>
      <w:r w:rsidR="00565D7B">
        <w:rPr>
          <w:rStyle w:val="Zstupntext"/>
          <w:color w:val="000000"/>
          <w:sz w:val="24"/>
          <w:szCs w:val="24"/>
        </w:rPr>
        <w:t xml:space="preserve"> D</w:t>
      </w:r>
      <w:r w:rsidR="00924AAB">
        <w:rPr>
          <w:rStyle w:val="Zstupntext"/>
          <w:color w:val="000000"/>
          <w:sz w:val="24"/>
          <w:szCs w:val="24"/>
        </w:rPr>
        <w:t>otáciu bude</w:t>
      </w:r>
      <w:r w:rsidR="00924AAB" w:rsidRPr="00924AAB">
        <w:rPr>
          <w:rStyle w:val="Zstupntext"/>
          <w:color w:val="000000"/>
          <w:sz w:val="24"/>
          <w:szCs w:val="24"/>
        </w:rPr>
        <w:t xml:space="preserve"> </w:t>
      </w:r>
      <w:r w:rsidR="00924AAB">
        <w:rPr>
          <w:rFonts w:ascii="Times New Roman" w:hAnsi="Times New Roman" w:cs="Times New Roman"/>
          <w:sz w:val="24"/>
          <w:szCs w:val="24"/>
        </w:rPr>
        <w:t>možné</w:t>
      </w:r>
      <w:r w:rsidR="00924AAB" w:rsidRPr="00924AAB">
        <w:rPr>
          <w:rFonts w:ascii="Times New Roman" w:hAnsi="Times New Roman" w:cs="Times New Roman"/>
          <w:sz w:val="24"/>
          <w:szCs w:val="24"/>
        </w:rPr>
        <w:t xml:space="preserve"> poskytnúť aj umeleckému súboru, folklórnemu súboru, speváckemu súboru, hudobnému súboru alebo tanečnému súboru, skupine alebo </w:t>
      </w:r>
      <w:r w:rsidR="00565D7B">
        <w:rPr>
          <w:rFonts w:ascii="Times New Roman" w:hAnsi="Times New Roman" w:cs="Times New Roman"/>
          <w:sz w:val="24"/>
          <w:szCs w:val="24"/>
        </w:rPr>
        <w:t>telesu</w:t>
      </w:r>
      <w:r w:rsidR="00FE29AD">
        <w:rPr>
          <w:rFonts w:ascii="Times New Roman" w:hAnsi="Times New Roman" w:cs="Times New Roman"/>
          <w:sz w:val="24"/>
          <w:szCs w:val="24"/>
        </w:rPr>
        <w:t>,</w:t>
      </w:r>
      <w:r w:rsidR="00C17AE7">
        <w:rPr>
          <w:rFonts w:ascii="Times New Roman" w:hAnsi="Times New Roman" w:cs="Times New Roman"/>
          <w:sz w:val="24"/>
          <w:szCs w:val="24"/>
        </w:rPr>
        <w:t xml:space="preserve"> a to prostred</w:t>
      </w:r>
      <w:r w:rsidR="00173B28">
        <w:rPr>
          <w:rFonts w:ascii="Times New Roman" w:hAnsi="Times New Roman" w:cs="Times New Roman"/>
          <w:sz w:val="24"/>
          <w:szCs w:val="24"/>
        </w:rPr>
        <w:t>níctvom fyzickej osoby. Môže ňou</w:t>
      </w:r>
      <w:r w:rsidR="00C17AE7">
        <w:rPr>
          <w:rFonts w:ascii="Times New Roman" w:hAnsi="Times New Roman" w:cs="Times New Roman"/>
          <w:sz w:val="24"/>
          <w:szCs w:val="24"/>
        </w:rPr>
        <w:t xml:space="preserve"> byť napríklad člen súboru, skupiny alebo telesa, alebo príb</w:t>
      </w:r>
      <w:r w:rsidR="00FE29AD">
        <w:rPr>
          <w:rFonts w:ascii="Times New Roman" w:hAnsi="Times New Roman" w:cs="Times New Roman"/>
          <w:sz w:val="24"/>
          <w:szCs w:val="24"/>
        </w:rPr>
        <w:t>u</w:t>
      </w:r>
      <w:r w:rsidR="00C17AE7">
        <w:rPr>
          <w:rFonts w:ascii="Times New Roman" w:hAnsi="Times New Roman" w:cs="Times New Roman"/>
          <w:sz w:val="24"/>
          <w:szCs w:val="24"/>
        </w:rPr>
        <w:t>zný, známy člena, ak pôjde o detské súbory, atď.</w:t>
      </w:r>
      <w:r w:rsidR="00565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6EA" w:rsidRDefault="00AE76EA" w:rsidP="00AE76E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323B4" w:rsidRPr="000323B4" w:rsidRDefault="000323B4" w:rsidP="0083464F">
      <w:pPr>
        <w:pStyle w:val="Bezriadkovania"/>
        <w:jc w:val="both"/>
        <w:rPr>
          <w:rStyle w:val="Zstupntext"/>
          <w:b/>
          <w:color w:val="000000"/>
          <w:sz w:val="24"/>
          <w:szCs w:val="24"/>
        </w:rPr>
      </w:pPr>
      <w:r>
        <w:rPr>
          <w:rStyle w:val="Zstupntext"/>
          <w:b/>
          <w:color w:val="000000"/>
          <w:sz w:val="24"/>
          <w:szCs w:val="24"/>
        </w:rPr>
        <w:t>K bodu 4</w:t>
      </w:r>
    </w:p>
    <w:p w:rsidR="0040342F" w:rsidRDefault="00A41539" w:rsidP="00086E6F">
      <w:pPr>
        <w:ind w:firstLine="708"/>
        <w:jc w:val="both"/>
      </w:pPr>
      <w:r>
        <w:t xml:space="preserve">Navrhuje sa </w:t>
      </w:r>
      <w:r w:rsidR="000323B4">
        <w:t>zrušenie</w:t>
      </w:r>
      <w:r>
        <w:t xml:space="preserve"> lehoty </w:t>
      </w:r>
      <w:r w:rsidR="00DB09CC">
        <w:t>na zverejnenie</w:t>
      </w:r>
      <w:r>
        <w:t xml:space="preserve"> výzvy </w:t>
      </w:r>
      <w:r w:rsidR="00E21BB7">
        <w:t>m</w:t>
      </w:r>
      <w:r w:rsidR="00DB09CC">
        <w:t>inisterstvom kultúry</w:t>
      </w:r>
      <w:r>
        <w:t xml:space="preserve">. </w:t>
      </w:r>
      <w:r w:rsidR="00E774DB">
        <w:t xml:space="preserve">Zákonom č. 221/2019 Z. z., </w:t>
      </w:r>
      <w:r w:rsidR="00E774DB" w:rsidRPr="00E774DB">
        <w:t>ktorým sa mení a dopĺňa zákon č. 177/2018 Z.</w:t>
      </w:r>
      <w:r w:rsidR="00E774DB">
        <w:t xml:space="preserve"> </w:t>
      </w:r>
      <w:r w:rsidR="00E774DB" w:rsidRPr="00E774DB">
        <w:t>z. o niektorých opatreniach na znižovanie administratívnej záťaže využívaním informačných systémov verejnej správy a</w:t>
      </w:r>
      <w:r w:rsidR="00AE2CBD">
        <w:t> </w:t>
      </w:r>
      <w:r w:rsidR="00E774DB" w:rsidRPr="00E774DB">
        <w:t>o zmene a doplnení niektorých zákonov (zákon proti byrokracii) a ktorým sa menia a</w:t>
      </w:r>
      <w:r w:rsidR="00AE2CBD">
        <w:t> </w:t>
      </w:r>
      <w:r w:rsidR="00E774DB" w:rsidRPr="00E774DB">
        <w:t>dopĺňajú niektoré zákony</w:t>
      </w:r>
      <w:r w:rsidR="00E774DB">
        <w:t xml:space="preserve"> sa s účinnosťou od 1. decembra 2019 novelizuje zákon č. 523/2004 Z. z. </w:t>
      </w:r>
      <w:r w:rsidR="00E774DB" w:rsidRPr="00E774DB">
        <w:t>o rozpočtových pravidlách verejnej správy a o zmene a doplnení niektorých zákonov</w:t>
      </w:r>
      <w:r w:rsidR="00E774DB">
        <w:t xml:space="preserve"> v znení neskorších predpisov</w:t>
      </w:r>
      <w:r w:rsidR="00E65C47">
        <w:t xml:space="preserve"> (ďalej len „zákon o rozpočtových pravidlách“). Na základe tejto </w:t>
      </w:r>
      <w:r w:rsidR="00E774DB">
        <w:t>novely</w:t>
      </w:r>
      <w:r w:rsidR="00E65C47">
        <w:t xml:space="preserve"> zákona o rozpočtových pravidlách</w:t>
      </w:r>
      <w:r w:rsidR="00E774DB">
        <w:t xml:space="preserve"> dochádza k zníženiu administratívnej záťaže</w:t>
      </w:r>
      <w:r w:rsidR="0040342F">
        <w:t xml:space="preserve"> u žiadateľa</w:t>
      </w:r>
      <w:r w:rsidR="0040342F" w:rsidRPr="0040342F">
        <w:t xml:space="preserve"> </w:t>
      </w:r>
      <w:r w:rsidR="0040342F">
        <w:t>o poskytnutie dotácie (ďalej len „žiadateľ“)</w:t>
      </w:r>
      <w:r w:rsidR="00E774DB">
        <w:t xml:space="preserve">, </w:t>
      </w:r>
      <w:r w:rsidR="00E65C47">
        <w:t>ktorý už nebude musieť preukazovať splnenie niektorých podmienok na poskytnutie dotácie</w:t>
      </w:r>
      <w:r w:rsidR="00E21BB7">
        <w:t xml:space="preserve"> (</w:t>
      </w:r>
      <w:r w:rsidR="00A96A11">
        <w:t>nebude</w:t>
      </w:r>
      <w:r w:rsidR="00E21BB7">
        <w:t xml:space="preserve"> už</w:t>
      </w:r>
      <w:r w:rsidR="00A96A11">
        <w:t xml:space="preserve"> predkladať potvrdenie od správcu</w:t>
      </w:r>
      <w:r w:rsidR="00A96A11" w:rsidRPr="00A96A11">
        <w:t xml:space="preserve"> </w:t>
      </w:r>
      <w:r w:rsidR="00A96A11">
        <w:lastRenderedPageBreak/>
        <w:t>dane, od</w:t>
      </w:r>
      <w:r w:rsidR="00A96A11" w:rsidRPr="00A96A11">
        <w:t xml:space="preserve"> Sociálnej poisťovne a každej zdravotnej poisťovne</w:t>
      </w:r>
      <w:r w:rsidR="00E21BB7">
        <w:t>)</w:t>
      </w:r>
      <w:r w:rsidR="00A96A11">
        <w:t xml:space="preserve">. </w:t>
      </w:r>
      <w:r w:rsidR="00E65C47">
        <w:t>Splnenie týchto podmienok si overí samotný poskytovateľ dotácie, v tomto prípade</w:t>
      </w:r>
      <w:r w:rsidR="00823E58">
        <w:t xml:space="preserve"> ministerstvo kultúry. </w:t>
      </w:r>
    </w:p>
    <w:p w:rsidR="00086E6F" w:rsidRDefault="00086E6F" w:rsidP="00086E6F">
      <w:pPr>
        <w:ind w:firstLine="708"/>
        <w:jc w:val="both"/>
      </w:pPr>
    </w:p>
    <w:p w:rsidR="00AE2CBD" w:rsidRPr="00AE2CBD" w:rsidRDefault="00AE2CBD" w:rsidP="0040342F">
      <w:pPr>
        <w:jc w:val="both"/>
        <w:rPr>
          <w:b/>
        </w:rPr>
      </w:pPr>
      <w:r w:rsidRPr="00AE2CBD">
        <w:rPr>
          <w:b/>
        </w:rPr>
        <w:t>K bodu 5</w:t>
      </w:r>
    </w:p>
    <w:p w:rsidR="00AE2CBD" w:rsidRDefault="00AE2CBD" w:rsidP="0040342F">
      <w:pPr>
        <w:jc w:val="both"/>
      </w:pPr>
      <w:r>
        <w:rPr>
          <w:b/>
        </w:rPr>
        <w:tab/>
      </w:r>
      <w:r w:rsidRPr="00AE2CBD">
        <w:t>Návrh novely ustanovuje, čo má obsahovať žiadosť o poskytnutie dotácie a povinnosť žiadateľa priložiť k žiadosti prílohy, ktoré sú uvedené vo výzve na predkladanie žiadostí. Ministerstvo kultúry pristúpilo k úprave odseku z dôvodu flexibilnosti predkladaných príloh vzhľadom širokú paletu účelov poskytovaných dotácií.</w:t>
      </w:r>
    </w:p>
    <w:p w:rsidR="00AE2CBD" w:rsidRPr="00AE2CBD" w:rsidRDefault="00AE2CBD" w:rsidP="0040342F">
      <w:pPr>
        <w:jc w:val="both"/>
      </w:pPr>
    </w:p>
    <w:p w:rsidR="00AE76EA" w:rsidRPr="0040342F" w:rsidRDefault="00AE76EA" w:rsidP="0040342F">
      <w:pPr>
        <w:jc w:val="both"/>
      </w:pPr>
      <w:r w:rsidRPr="00AE76EA">
        <w:rPr>
          <w:b/>
        </w:rPr>
        <w:t>K čl. II</w:t>
      </w:r>
    </w:p>
    <w:p w:rsidR="00AB06F1" w:rsidRDefault="00AE76EA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6EA">
        <w:rPr>
          <w:rFonts w:ascii="Times New Roman" w:hAnsi="Times New Roman" w:cs="Times New Roman"/>
          <w:sz w:val="24"/>
          <w:szCs w:val="24"/>
        </w:rPr>
        <w:t>Navrhuje sa účinnosť zákona</w:t>
      </w:r>
      <w:r>
        <w:rPr>
          <w:rFonts w:ascii="Times New Roman" w:hAnsi="Times New Roman" w:cs="Times New Roman"/>
          <w:sz w:val="24"/>
          <w:szCs w:val="24"/>
        </w:rPr>
        <w:t xml:space="preserve"> vzhľadom na dĺžku legislatívneho procesu</w:t>
      </w:r>
      <w:r w:rsidR="00E72DDC">
        <w:rPr>
          <w:rFonts w:ascii="Times New Roman" w:hAnsi="Times New Roman" w:cs="Times New Roman"/>
          <w:sz w:val="24"/>
          <w:szCs w:val="24"/>
        </w:rPr>
        <w:t xml:space="preserve"> od 1. januára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E21BB7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064" w:rsidRDefault="002E5064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F7243D" w:rsidRPr="00A179AE" w:rsidRDefault="00F7243D" w:rsidP="00F724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:rsidR="00F7243D" w:rsidRPr="00BF3078" w:rsidRDefault="00F7243D" w:rsidP="00F7243D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Základné údaje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580F8E">
            <w:pPr>
              <w:pStyle w:val="Odsekzoznamu"/>
              <w:ind w:left="142"/>
              <w:rPr>
                <w:b/>
              </w:rPr>
            </w:pPr>
            <w:r w:rsidRPr="00A179AE">
              <w:rPr>
                <w:b/>
              </w:rPr>
              <w:t>Názov materiálu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</w:tcPr>
          <w:p w:rsidR="00F7243D" w:rsidRPr="00A179AE" w:rsidRDefault="00F7243D" w:rsidP="00580F8E"/>
          <w:p w:rsidR="00F7243D" w:rsidRDefault="00F7243D" w:rsidP="00580F8E">
            <w:pPr>
              <w:jc w:val="both"/>
              <w:rPr>
                <w:noProof/>
              </w:rPr>
            </w:pPr>
            <w:r w:rsidRPr="00943C3F">
              <w:rPr>
                <w:noProof/>
              </w:rPr>
              <w:t>Návrh zákona, ktorým sa mení a dopĺňa zákon č. 434/2010 Z. z. o poskytovaní dotácií v pôsobnosti Ministerstva kultúry Slovenskej republiky v znení neskorších predpisov</w:t>
            </w:r>
          </w:p>
          <w:p w:rsidR="00F7243D" w:rsidRPr="00A179AE" w:rsidRDefault="00F7243D" w:rsidP="00580F8E">
            <w:pPr>
              <w:jc w:val="both"/>
            </w:pP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580F8E">
            <w:pPr>
              <w:pStyle w:val="Odsekzoznamu"/>
              <w:ind w:left="142"/>
              <w:rPr>
                <w:b/>
              </w:rPr>
            </w:pPr>
            <w:r w:rsidRPr="00A179AE">
              <w:rPr>
                <w:b/>
              </w:rPr>
              <w:t>Predkladateľ (a spolupredkladateľ)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7243D" w:rsidRPr="00A179AE" w:rsidRDefault="00F7243D" w:rsidP="00580F8E"/>
          <w:p w:rsidR="00F7243D" w:rsidRPr="00A179AE" w:rsidRDefault="00F7243D" w:rsidP="00580F8E">
            <w:r>
              <w:t>Poslanec Národnej rady Slovenskej republiky</w:t>
            </w:r>
          </w:p>
        </w:tc>
      </w:tr>
      <w:tr w:rsidR="00F7243D" w:rsidRPr="00A179AE" w:rsidTr="00580F8E">
        <w:tc>
          <w:tcPr>
            <w:tcW w:w="4212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7243D" w:rsidRPr="00A179AE" w:rsidRDefault="00F7243D" w:rsidP="00580F8E">
            <w:pPr>
              <w:pStyle w:val="Odsekzoznamu"/>
              <w:ind w:left="142"/>
              <w:rPr>
                <w:b/>
              </w:rPr>
            </w:pPr>
            <w:r w:rsidRPr="00A179AE">
              <w:rPr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F7243D" w:rsidRPr="00A179AE" w:rsidRDefault="00F7243D" w:rsidP="00580F8E">
            <w:r w:rsidRPr="00A179AE">
              <w:t>Materiál nelegislatívnej povahy</w:t>
            </w:r>
          </w:p>
        </w:tc>
      </w:tr>
      <w:tr w:rsidR="00F7243D" w:rsidRPr="00A179AE" w:rsidTr="00580F8E">
        <w:tc>
          <w:tcPr>
            <w:tcW w:w="4212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580F8E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F7243D" w:rsidRPr="00A179AE" w:rsidTr="00580F8E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F7243D" w:rsidRPr="00A179AE" w:rsidRDefault="00F7243D" w:rsidP="00580F8E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F7243D" w:rsidRPr="00A179AE" w:rsidRDefault="00F7243D" w:rsidP="00580F8E">
            <w:r w:rsidRPr="00A179AE">
              <w:t>Transpozícia práva EÚ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F7243D" w:rsidRPr="00A179AE" w:rsidRDefault="00F7243D" w:rsidP="00580F8E"/>
          <w:p w:rsidR="00F7243D" w:rsidRPr="00A179AE" w:rsidRDefault="00F7243D" w:rsidP="00580F8E"/>
        </w:tc>
      </w:tr>
      <w:tr w:rsidR="00F7243D" w:rsidRPr="00A179AE" w:rsidTr="00580F8E">
        <w:tc>
          <w:tcPr>
            <w:tcW w:w="5634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580F8E">
            <w:pPr>
              <w:pStyle w:val="Odsekzoznamu"/>
              <w:ind w:left="142"/>
              <w:rPr>
                <w:b/>
              </w:rPr>
            </w:pPr>
            <w:r w:rsidRPr="00A179AE">
              <w:rPr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</w:tcBorders>
          </w:tcPr>
          <w:p w:rsidR="00F7243D" w:rsidRPr="00943C3F" w:rsidRDefault="00F7243D" w:rsidP="00580F8E">
            <w:pPr>
              <w:rPr>
                <w:color w:val="000000"/>
                <w:sz w:val="20"/>
                <w:szCs w:val="20"/>
              </w:rPr>
            </w:pPr>
            <w:r w:rsidRPr="00F7243D">
              <w:rPr>
                <w:color w:val="000000"/>
                <w:sz w:val="20"/>
                <w:szCs w:val="20"/>
              </w:rPr>
              <w:t xml:space="preserve">Materiál nebol predmetom PPK </w:t>
            </w:r>
          </w:p>
          <w:p w:rsidR="00F7243D" w:rsidRPr="00D93857" w:rsidRDefault="00F7243D" w:rsidP="00580F8E"/>
        </w:tc>
      </w:tr>
      <w:tr w:rsidR="00F7243D" w:rsidRPr="00A179AE" w:rsidTr="00580F8E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580F8E">
            <w:pPr>
              <w:pStyle w:val="Odsekzoznamu"/>
              <w:ind w:left="142"/>
              <w:rPr>
                <w:b/>
              </w:rPr>
            </w:pPr>
            <w:r w:rsidRPr="00A179AE">
              <w:rPr>
                <w:b/>
              </w:rPr>
              <w:t>Predpokladaný termín predloženia na MPK</w:t>
            </w:r>
            <w:r>
              <w:rPr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F7243D" w:rsidRPr="00D93857" w:rsidRDefault="00F7243D" w:rsidP="00580F8E">
            <w:r>
              <w:rPr>
                <w:color w:val="000000"/>
                <w:sz w:val="20"/>
                <w:szCs w:val="20"/>
              </w:rPr>
              <w:t>Materiál nebol predmetom MPK</w:t>
            </w:r>
          </w:p>
        </w:tc>
      </w:tr>
      <w:tr w:rsidR="00F7243D" w:rsidRPr="00A179AE" w:rsidTr="00580F8E">
        <w:tc>
          <w:tcPr>
            <w:tcW w:w="5634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580F8E">
            <w:pPr>
              <w:pStyle w:val="Odsekzoznamu"/>
              <w:ind w:left="142"/>
              <w:rPr>
                <w:b/>
              </w:rPr>
            </w:pPr>
            <w:r w:rsidRPr="00A179AE">
              <w:rPr>
                <w:b/>
              </w:rPr>
              <w:t>Predp</w:t>
            </w:r>
            <w:r>
              <w:rPr>
                <w:b/>
              </w:rPr>
              <w:t>okladaný termín predloženia na r</w:t>
            </w:r>
            <w:r w:rsidRPr="00A179AE">
              <w:rPr>
                <w:b/>
              </w:rPr>
              <w:t>okovanie vlády SR</w:t>
            </w:r>
            <w:r>
              <w:rPr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F7243D" w:rsidRPr="00D93857" w:rsidRDefault="00F7243D" w:rsidP="00580F8E">
            <w:r>
              <w:rPr>
                <w:rStyle w:val="awspan"/>
                <w:color w:val="000000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F7243D" w:rsidRPr="00A179AE" w:rsidRDefault="00F7243D" w:rsidP="00580F8E"/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Defin</w:t>
            </w:r>
            <w:r>
              <w:rPr>
                <w:b/>
              </w:rPr>
              <w:t>ovanie</w:t>
            </w:r>
            <w:r w:rsidRPr="00A179AE">
              <w:rPr>
                <w:b/>
              </w:rPr>
              <w:t xml:space="preserve"> problému</w:t>
            </w:r>
          </w:p>
        </w:tc>
      </w:tr>
      <w:tr w:rsidR="00F7243D" w:rsidRPr="00A179AE" w:rsidTr="00580F8E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7243D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F7243D" w:rsidRPr="00A179AE" w:rsidRDefault="00F7243D" w:rsidP="00580F8E">
            <w:pPr>
              <w:rPr>
                <w:i/>
              </w:rPr>
            </w:pPr>
          </w:p>
          <w:p w:rsidR="00F7243D" w:rsidRDefault="00F7243D" w:rsidP="00580F8E">
            <w:pPr>
              <w:jc w:val="both"/>
            </w:pPr>
            <w:r w:rsidRPr="00943C3F">
              <w:t>Miestna a regionálna kultúra predstavuje významnú súčasť celoštátnej kultúry, napriek tomu sa javí jej podpora zo strany štátu ako nie úplne dostatočná. V mestách a obciach sa množstvo obyvateľov vo všetkých vekových kategóriách angažuje v rôznych záujmovo-umeleckých telesách, skupinách, súboroch, voľno-časových zoskupeniach a záujmových združeniach zameraných na rôzne oblasti umenia a kultúry. Ide o jednotlivcov alebo rôznorodé zoskupenia, ktoré majú viac alebo menej profesionálny charakter, často vznikajú na báze dobrovoľnosti a ich primárnym cieľom je napĺňanie potreby sebarealizácie ich členov. Popritom však plnia aj významnú umeleckú, výchovnú a sociálnu funkciu v danej obci alebo regióne. Nezriedka z takýchto zoskupení vzídu aj budúci profesionálni umelci. Z pohľadu predkladateľa si preto táto oblasť kultúry zaslúži väčšiu pozornosť a podporu zo strany štátu.</w:t>
            </w:r>
          </w:p>
          <w:p w:rsidR="00F7243D" w:rsidRPr="00E42BDD" w:rsidRDefault="00F7243D" w:rsidP="00580F8E">
            <w:pPr>
              <w:jc w:val="both"/>
            </w:pP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Ciele a výsledný stav</w:t>
            </w:r>
          </w:p>
        </w:tc>
      </w:tr>
      <w:tr w:rsidR="00F7243D" w:rsidRPr="00A179AE" w:rsidTr="00580F8E"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F7243D" w:rsidRDefault="00F7243D" w:rsidP="00580F8E">
            <w:pPr>
              <w:jc w:val="both"/>
              <w:rPr>
                <w:rStyle w:val="Zstupntext"/>
                <w:color w:val="000000"/>
              </w:rPr>
            </w:pPr>
          </w:p>
          <w:p w:rsidR="00F7243D" w:rsidRDefault="00F7243D" w:rsidP="00580F8E">
            <w:pPr>
              <w:jc w:val="both"/>
              <w:rPr>
                <w:rStyle w:val="Zstupntext"/>
                <w:color w:val="000000"/>
              </w:rPr>
            </w:pPr>
            <w:r w:rsidRPr="00943C3F">
              <w:rPr>
                <w:rStyle w:val="Zstupntext"/>
                <w:color w:val="000000"/>
              </w:rPr>
              <w:t>Navrhuje sa rozšíriť okruh účelov, na ktoré poskytuje Ministerstvo kultúry Slovenskej republiky dotáciu zo štátneho rozpočtu na príslušný rozpočtový rok</w:t>
            </w:r>
            <w:r>
              <w:rPr>
                <w:rStyle w:val="Zstupntext"/>
                <w:color w:val="000000"/>
              </w:rPr>
              <w:t>, a to o podporu</w:t>
            </w:r>
            <w:r w:rsidRPr="00943C3F">
              <w:rPr>
                <w:rStyle w:val="Zstupntext"/>
                <w:color w:val="000000"/>
              </w:rPr>
              <w:t xml:space="preserve"> miestne</w:t>
            </w:r>
            <w:r>
              <w:rPr>
                <w:rStyle w:val="Zstupntext"/>
                <w:color w:val="000000"/>
              </w:rPr>
              <w:t>j a regionálnej kultúry a obnovu</w:t>
            </w:r>
            <w:r w:rsidRPr="00943C3F">
              <w:rPr>
                <w:rStyle w:val="Zstupntext"/>
                <w:color w:val="000000"/>
              </w:rPr>
              <w:t xml:space="preserve"> knižníc a knižničného fondu.</w:t>
            </w:r>
          </w:p>
          <w:p w:rsidR="00F7243D" w:rsidRDefault="00F7243D" w:rsidP="00580F8E">
            <w:pPr>
              <w:jc w:val="both"/>
              <w:rPr>
                <w:rStyle w:val="Zstupntext"/>
                <w:color w:val="000000"/>
              </w:rPr>
            </w:pPr>
            <w:r w:rsidRPr="00533443">
              <w:rPr>
                <w:rStyle w:val="Zstupntext"/>
                <w:color w:val="000000"/>
              </w:rPr>
              <w:t xml:space="preserve">Podpora bude spočívať vo forme poskytovania dotácií uvedeným subjektom alebo jednotlivcom na účel zakúpenia alebo obstarania ľudových krojov, kostýmov, hudobných nástrojov, hudobnej aparatúry, náradia a prístrojov na tvorbu umeleckých výrobkov, potrieb </w:t>
            </w:r>
            <w:r w:rsidRPr="00533443">
              <w:rPr>
                <w:rStyle w:val="Zstupntext"/>
                <w:color w:val="000000"/>
              </w:rPr>
              <w:lastRenderedPageBreak/>
              <w:t>pre tvorbu výtvarníkov, atď.</w:t>
            </w:r>
          </w:p>
          <w:p w:rsidR="00F7243D" w:rsidRPr="00533443" w:rsidRDefault="00F7243D" w:rsidP="00580F8E">
            <w:pPr>
              <w:jc w:val="both"/>
              <w:rPr>
                <w:color w:val="000000"/>
              </w:rPr>
            </w:pPr>
            <w:r w:rsidRPr="00533443">
              <w:rPr>
                <w:color w:val="000000"/>
              </w:rPr>
              <w:t>Obnova knižníc a knižničného fondu bude zmeraná na podporu rozvoja verejných knižníc. Nový dotačný titul napĺňa Stratégiu rozvoja slovenského knihovníctva na roky 2015 – 2020. Podpora bude zmeraná na skvalitnenie, modernizáciu a ďalší rozvoj verejných knižníc.</w:t>
            </w:r>
          </w:p>
          <w:p w:rsidR="00F7243D" w:rsidRPr="00A179AE" w:rsidRDefault="00F7243D" w:rsidP="00580F8E">
            <w:pPr>
              <w:ind w:firstLine="708"/>
              <w:jc w:val="both"/>
            </w:pP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lastRenderedPageBreak/>
              <w:t>Dotknuté subjekty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F7243D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F7243D" w:rsidRDefault="00F7243D" w:rsidP="00580F8E">
            <w:pPr>
              <w:rPr>
                <w:i/>
              </w:rPr>
            </w:pPr>
          </w:p>
          <w:p w:rsidR="00F7243D" w:rsidRDefault="00F7243D" w:rsidP="00580F8E">
            <w:pPr>
              <w:jc w:val="both"/>
            </w:pPr>
            <w:r>
              <w:t>-  m</w:t>
            </w:r>
            <w:r w:rsidRPr="00533443">
              <w:t>iestne umelecké a iné kultúrne zos</w:t>
            </w:r>
            <w:r>
              <w:t xml:space="preserve">kupenia, subjekty a jednotlivci, </w:t>
            </w:r>
            <w:r w:rsidRPr="00533443">
              <w:t>napríklad folklórne s</w:t>
            </w:r>
            <w:r>
              <w:t>úbory, spevácke súbory, speváci</w:t>
            </w:r>
            <w:r w:rsidRPr="00533443">
              <w:t>, hudobné skupiny, tanečné súbory, ochotnícke divad</w:t>
            </w:r>
            <w:r>
              <w:t>lá, zoskupenia,</w:t>
            </w:r>
          </w:p>
          <w:p w:rsidR="00F7243D" w:rsidRDefault="00F7243D" w:rsidP="00580F8E">
            <w:pPr>
              <w:jc w:val="both"/>
            </w:pPr>
            <w:r>
              <w:t>- jednotlivci</w:t>
            </w:r>
            <w:r w:rsidRPr="00533443">
              <w:t xml:space="preserve"> za</w:t>
            </w:r>
            <w:r>
              <w:t>oberajúci</w:t>
            </w:r>
            <w:r w:rsidRPr="00533443">
              <w:t xml:space="preserve"> sa umelecko-remeselnou výrobou alebo výtvarnou činnosťou</w:t>
            </w:r>
          </w:p>
          <w:p w:rsidR="00F7243D" w:rsidRDefault="00F7243D" w:rsidP="00580F8E">
            <w:pPr>
              <w:jc w:val="both"/>
            </w:pPr>
            <w:r>
              <w:t>- verejné knižnice</w:t>
            </w:r>
          </w:p>
          <w:p w:rsidR="00F7243D" w:rsidRPr="008C1D51" w:rsidRDefault="00F7243D" w:rsidP="00580F8E">
            <w:pPr>
              <w:jc w:val="both"/>
            </w:pP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Alternatívne riešenia</w:t>
            </w:r>
          </w:p>
        </w:tc>
      </w:tr>
      <w:tr w:rsidR="00F7243D" w:rsidRPr="00A179AE" w:rsidTr="00580F8E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F7243D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F7243D" w:rsidRDefault="00F7243D" w:rsidP="00580F8E">
            <w:pPr>
              <w:rPr>
                <w:i/>
              </w:rPr>
            </w:pPr>
          </w:p>
          <w:p w:rsidR="00F7243D" w:rsidRDefault="00F7243D" w:rsidP="00580F8E">
            <w:pPr>
              <w:jc w:val="both"/>
            </w:pPr>
            <w:r>
              <w:t>Neboli zvažované alternatívne riešenia.</w:t>
            </w:r>
          </w:p>
          <w:p w:rsidR="00F7243D" w:rsidRPr="00DD4FF9" w:rsidRDefault="00F7243D" w:rsidP="00580F8E">
            <w:pPr>
              <w:jc w:val="both"/>
            </w:pPr>
            <w:r>
              <w:t xml:space="preserve"> 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Vykonávacie predpisy</w:t>
            </w:r>
          </w:p>
        </w:tc>
      </w:tr>
      <w:tr w:rsidR="00F7243D" w:rsidRPr="00A179AE" w:rsidTr="00580F8E">
        <w:tc>
          <w:tcPr>
            <w:tcW w:w="6203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  <w:r>
              <w:rPr>
                <w:rFonts w:ascii="MS Gothic" w:eastAsia="MS Gothic" w:hAnsi="MS Gothic"/>
              </w:rPr>
              <w:t xml:space="preserve"> </w:t>
            </w:r>
            <w:r w:rsidRPr="00A179AE">
              <w:t>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  <w:r w:rsidRPr="00A179AE">
              <w:t xml:space="preserve">  </w:t>
            </w:r>
            <w:r w:rsidRPr="00B82E78">
              <w:t>Nie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F7243D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F7243D" w:rsidRDefault="00F7243D" w:rsidP="00580F8E">
            <w:pPr>
              <w:rPr>
                <w:i/>
              </w:rPr>
            </w:pPr>
          </w:p>
          <w:p w:rsidR="00F7243D" w:rsidRPr="00A179AE" w:rsidRDefault="00F7243D" w:rsidP="00580F8E"/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 xml:space="preserve">Transpozícia práva EÚ </w:t>
            </w:r>
          </w:p>
        </w:tc>
      </w:tr>
      <w:tr w:rsidR="00F7243D" w:rsidRPr="00A179AE" w:rsidTr="00580F8E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F7243D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  <w:p w:rsidR="00F7243D" w:rsidRDefault="00F7243D" w:rsidP="00580F8E">
            <w:pPr>
              <w:rPr>
                <w:i/>
              </w:rPr>
            </w:pPr>
          </w:p>
          <w:p w:rsidR="00F7243D" w:rsidRPr="00A179AE" w:rsidRDefault="00F7243D" w:rsidP="00580F8E">
            <w:pPr>
              <w:rPr>
                <w:i/>
              </w:rPr>
            </w:pPr>
            <w:r w:rsidRPr="009931F5">
              <w:t>Materiál sa netýka transpozície práva EÚ.</w:t>
            </w:r>
          </w:p>
        </w:tc>
      </w:tr>
      <w:tr w:rsidR="00F7243D" w:rsidRPr="00A179AE" w:rsidTr="00580F8E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jc w:val="center"/>
            </w:pP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Preskúmanie účelnosti</w:t>
            </w:r>
            <w:r>
              <w:rPr>
                <w:b/>
              </w:rPr>
              <w:t>**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F7243D" w:rsidRPr="008E2492" w:rsidRDefault="00F7243D" w:rsidP="00580F8E">
            <w:pPr>
              <w:jc w:val="both"/>
            </w:pPr>
          </w:p>
        </w:tc>
      </w:tr>
      <w:tr w:rsidR="00F7243D" w:rsidRPr="00A179AE" w:rsidTr="00580F8E">
        <w:trPr>
          <w:trHeight w:val="715"/>
        </w:trPr>
        <w:tc>
          <w:tcPr>
            <w:tcW w:w="91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F7243D" w:rsidRDefault="00F7243D" w:rsidP="00580F8E">
            <w:pPr>
              <w:ind w:left="142" w:hanging="142"/>
            </w:pPr>
          </w:p>
          <w:p w:rsidR="00F7243D" w:rsidRDefault="00F7243D" w:rsidP="00580F8E">
            <w:pPr>
              <w:ind w:left="142" w:hanging="142"/>
            </w:pPr>
          </w:p>
          <w:p w:rsidR="00F7243D" w:rsidRDefault="00F7243D" w:rsidP="00580F8E">
            <w:pPr>
              <w:ind w:left="142" w:hanging="142"/>
            </w:pPr>
            <w:r>
              <w:t xml:space="preserve">* vyplniť iba v prípade, </w:t>
            </w:r>
            <w:r w:rsidRPr="004C60B8">
              <w:t>ak materiál nie je zahrnutý do Plánu práce vlády Slovenskej republiky alebo Plán</w:t>
            </w:r>
            <w:r>
              <w:t>u</w:t>
            </w:r>
            <w:r w:rsidRPr="004C60B8">
              <w:t xml:space="preserve"> </w:t>
            </w:r>
            <w:r>
              <w:t xml:space="preserve">       </w:t>
            </w:r>
            <w:r w:rsidRPr="004C60B8">
              <w:t>legislatívnych úloh vlády Slovenskej republiky.</w:t>
            </w:r>
            <w:r>
              <w:t xml:space="preserve"> </w:t>
            </w:r>
          </w:p>
          <w:p w:rsidR="00F7243D" w:rsidRPr="00A179AE" w:rsidRDefault="00F7243D" w:rsidP="00580F8E">
            <w:r>
              <w:t>** nepovinné</w:t>
            </w:r>
          </w:p>
        </w:tc>
      </w:tr>
      <w:tr w:rsidR="00F7243D" w:rsidRPr="00A179AE" w:rsidTr="00580F8E">
        <w:tc>
          <w:tcPr>
            <w:tcW w:w="9180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b/>
              </w:rPr>
            </w:pPr>
          </w:p>
        </w:tc>
      </w:tr>
      <w:tr w:rsidR="00F7243D" w:rsidRPr="00A179AE" w:rsidTr="00580F8E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Vplyvy navrhovaného materiálu</w:t>
            </w:r>
          </w:p>
        </w:tc>
      </w:tr>
      <w:tr w:rsidR="00F7243D" w:rsidRPr="00A179AE" w:rsidTr="00580F8E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36A2C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A179AE" w:rsidRDefault="00F7243D" w:rsidP="00580F8E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F7243D" w:rsidRPr="00A179AE" w:rsidTr="00580F8E">
        <w:tc>
          <w:tcPr>
            <w:tcW w:w="3812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F7243D" w:rsidRPr="002E5064" w:rsidRDefault="00F7243D" w:rsidP="00580F8E">
            <w:r w:rsidRPr="00A179AE">
              <w:t xml:space="preserve">    </w:t>
            </w:r>
            <w:r w:rsidRPr="002E5064">
              <w:t xml:space="preserve">z toho rozpočtovo zabezpečené </w:t>
            </w:r>
            <w:r w:rsidRPr="002E5064">
              <w:lastRenderedPageBreak/>
              <w:t>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7243D" w:rsidRPr="002E5064" w:rsidRDefault="002E5064" w:rsidP="00580F8E">
            <w:pPr>
              <w:jc w:val="center"/>
            </w:pPr>
            <w:r w:rsidRPr="002E5064">
              <w:rPr>
                <w:rFonts w:ascii="MS Mincho" w:eastAsia="MS Mincho" w:hAnsi="MS Mincho" w:cs="MS Mincho" w:hint="eastAsia"/>
                <w:b/>
              </w:rPr>
              <w:lastRenderedPageBreak/>
              <w:t>☒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2E5064" w:rsidRDefault="00F7243D" w:rsidP="00580F8E">
            <w:r w:rsidRPr="002E5064"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2E5064" w:rsidRDefault="00F7243D" w:rsidP="00580F8E">
            <w:pPr>
              <w:jc w:val="center"/>
            </w:pPr>
            <w:r w:rsidRPr="002E506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2E5064" w:rsidRDefault="00F7243D" w:rsidP="00580F8E">
            <w:r w:rsidRPr="002E5064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2E5064" w:rsidRDefault="00F7243D" w:rsidP="00580F8E">
            <w:pPr>
              <w:ind w:left="-107" w:right="-108"/>
              <w:jc w:val="center"/>
            </w:pPr>
            <w:r w:rsidRPr="002E5064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2E5064" w:rsidRDefault="00F7243D" w:rsidP="00580F8E">
            <w:pPr>
              <w:ind w:left="34"/>
            </w:pPr>
            <w:r w:rsidRPr="002E5064">
              <w:t>Čiastočne</w:t>
            </w:r>
          </w:p>
        </w:tc>
      </w:tr>
      <w:tr w:rsidR="00F7243D" w:rsidRPr="00A179AE" w:rsidTr="00580F8E">
        <w:tc>
          <w:tcPr>
            <w:tcW w:w="3812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36A2C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F7243D" w:rsidRPr="00A179AE" w:rsidTr="00580F8E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F7243D" w:rsidRPr="00A179AE" w:rsidRDefault="00F7243D" w:rsidP="00580F8E">
            <w:r w:rsidRPr="00A179AE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F7243D" w:rsidRPr="00A179AE" w:rsidRDefault="00F7243D" w:rsidP="00580F8E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ind w:right="-108"/>
            </w:pPr>
            <w:r w:rsidRPr="00A179AE"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A179AE" w:rsidRDefault="00F7243D" w:rsidP="00580F8E">
            <w:r w:rsidRPr="00A179AE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A179AE" w:rsidRDefault="00F7243D" w:rsidP="00580F8E">
            <w:pPr>
              <w:ind w:left="54"/>
            </w:pPr>
            <w:r w:rsidRPr="00A179AE">
              <w:t>Negatívne</w:t>
            </w:r>
          </w:p>
        </w:tc>
      </w:tr>
      <w:tr w:rsidR="00F7243D" w:rsidRPr="00A179AE" w:rsidTr="00580F8E">
        <w:tc>
          <w:tcPr>
            <w:tcW w:w="3812" w:type="dxa"/>
            <w:tcBorders>
              <w:top w:val="single" w:sz="4" w:space="0" w:color="000000" w:themeColor="text1"/>
            </w:tcBorders>
            <w:shd w:val="clear" w:color="auto" w:fill="E2E2E2"/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F7243D" w:rsidRPr="00A179AE" w:rsidTr="00580F8E">
        <w:tc>
          <w:tcPr>
            <w:tcW w:w="3812" w:type="dxa"/>
            <w:shd w:val="clear" w:color="auto" w:fill="E2E2E2"/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F7243D" w:rsidRPr="00A179AE" w:rsidTr="00580F8E">
        <w:tc>
          <w:tcPr>
            <w:tcW w:w="3812" w:type="dxa"/>
            <w:shd w:val="clear" w:color="auto" w:fill="E2E2E2"/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F7243D" w:rsidRPr="00A179AE" w:rsidTr="00580F8E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F7243D" w:rsidRPr="00653ADA" w:rsidRDefault="00F7243D" w:rsidP="00580F8E">
            <w:pPr>
              <w:rPr>
                <w:b/>
              </w:rPr>
            </w:pPr>
            <w:r>
              <w:rPr>
                <w:b/>
                <w:lang w:eastAsia="en-US"/>
              </w:rPr>
              <w:t>V</w:t>
            </w:r>
            <w:r w:rsidRPr="00127DAC">
              <w:rPr>
                <w:b/>
                <w:lang w:eastAsia="en-US"/>
              </w:rPr>
              <w:t>plyv</w:t>
            </w:r>
            <w:r>
              <w:rPr>
                <w:b/>
                <w:lang w:eastAsia="en-US"/>
              </w:rPr>
              <w:t>y</w:t>
            </w:r>
            <w:r w:rsidRPr="00127DAC">
              <w:rPr>
                <w:b/>
                <w:lang w:eastAsia="en-US"/>
              </w:rPr>
              <w:t xml:space="preserve"> na služby verejnej správy pre občana</w:t>
            </w:r>
            <w:r>
              <w:rPr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:rsidR="00F7243D" w:rsidRPr="00653ADA" w:rsidRDefault="00F7243D" w:rsidP="00580F8E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F7243D" w:rsidRPr="00653ADA" w:rsidRDefault="00F7243D" w:rsidP="00580F8E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F7243D" w:rsidRPr="00653ADA" w:rsidRDefault="00F7243D" w:rsidP="00580F8E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F7243D" w:rsidRPr="00653ADA" w:rsidRDefault="00F7243D" w:rsidP="00580F8E">
            <w:pPr>
              <w:rPr>
                <w:b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F7243D" w:rsidRPr="00653ADA" w:rsidRDefault="00F7243D" w:rsidP="00580F8E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F7243D" w:rsidRPr="00653ADA" w:rsidRDefault="00F7243D" w:rsidP="00580F8E">
            <w:pPr>
              <w:ind w:left="54"/>
              <w:rPr>
                <w:b/>
              </w:rPr>
            </w:pPr>
          </w:p>
        </w:tc>
      </w:tr>
      <w:tr w:rsidR="00F7243D" w:rsidRPr="009634B3" w:rsidTr="00580F8E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F7243D" w:rsidRPr="009634B3" w:rsidRDefault="00F7243D" w:rsidP="00580F8E">
            <w:pPr>
              <w:ind w:left="196" w:hanging="196"/>
              <w:rPr>
                <w:b/>
                <w:lang w:eastAsia="en-US"/>
              </w:rPr>
            </w:pPr>
            <w:r w:rsidRPr="009634B3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F7243D" w:rsidRPr="009634B3" w:rsidTr="00580F8E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F7243D" w:rsidRPr="009634B3" w:rsidRDefault="00F7243D" w:rsidP="00580F8E">
            <w:pPr>
              <w:ind w:left="168" w:hanging="16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</w:t>
            </w:r>
            <w:r w:rsidRPr="009634B3">
              <w:rPr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F7243D" w:rsidRPr="009634B3" w:rsidTr="00580F8E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F7243D" w:rsidRDefault="00F7243D" w:rsidP="00580F8E">
            <w:pPr>
              <w:ind w:left="168" w:hanging="168"/>
              <w:rPr>
                <w:b/>
                <w:lang w:eastAsia="en-US"/>
              </w:rPr>
            </w:pPr>
          </w:p>
        </w:tc>
        <w:tc>
          <w:tcPr>
            <w:tcW w:w="541" w:type="dxa"/>
            <w:tcBorders>
              <w:top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rFonts w:ascii="MS Mincho" w:eastAsia="MS Mincho" w:hAnsi="MS Mincho" w:cs="MS Mincho"/>
                <w:b/>
              </w:rPr>
            </w:pP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 w:rsidR="00F7243D" w:rsidRPr="00A179AE" w:rsidRDefault="00F7243D" w:rsidP="00580F8E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</w:tcPr>
          <w:p w:rsidR="00F7243D" w:rsidRDefault="00F7243D" w:rsidP="00580F8E">
            <w:pPr>
              <w:jc w:val="center"/>
              <w:rPr>
                <w:rFonts w:ascii="MS Gothic" w:eastAsia="MS Gothic" w:hAnsi="MS Gothic"/>
                <w:b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F7243D" w:rsidRPr="00A179AE" w:rsidRDefault="00F7243D" w:rsidP="00580F8E">
            <w:pPr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F7243D" w:rsidRPr="00A179AE" w:rsidRDefault="00F7243D" w:rsidP="00580F8E">
            <w:pPr>
              <w:jc w:val="center"/>
              <w:rPr>
                <w:rFonts w:ascii="MS Mincho" w:eastAsia="MS Mincho" w:hAnsi="MS Mincho" w:cs="MS Mincho"/>
                <w:b/>
              </w:rPr>
            </w:pP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F7243D" w:rsidRPr="00A179AE" w:rsidRDefault="00F7243D" w:rsidP="00580F8E">
            <w:pPr>
              <w:ind w:left="54"/>
              <w:rPr>
                <w:b/>
              </w:rPr>
            </w:pPr>
          </w:p>
        </w:tc>
      </w:tr>
      <w:tr w:rsidR="00F7243D" w:rsidRPr="00FD692E" w:rsidTr="00580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7243D" w:rsidRPr="00AE0BAB" w:rsidRDefault="00F7243D" w:rsidP="00580F8E">
            <w:pPr>
              <w:ind w:left="168" w:hanging="168"/>
              <w:rPr>
                <w:b/>
                <w:lang w:eastAsia="en-US"/>
              </w:rPr>
            </w:pPr>
            <w:r w:rsidRPr="00AE0BAB">
              <w:rPr>
                <w:b/>
                <w:lang w:eastAsia="en-US"/>
              </w:rPr>
              <w:t>Vpl</w:t>
            </w:r>
            <w:r>
              <w:rPr>
                <w:b/>
                <w:lang w:eastAsia="en-US"/>
              </w:rPr>
              <w:t xml:space="preserve">yv na manželstvo, rodičovstvo a </w:t>
            </w:r>
            <w:r w:rsidRPr="00AE0BAB">
              <w:rPr>
                <w:b/>
                <w:lang w:eastAsia="en-US"/>
              </w:rPr>
              <w:t>rodinu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243D" w:rsidRPr="00355C2D" w:rsidRDefault="00F7243D" w:rsidP="00580F8E">
            <w:pPr>
              <w:jc w:val="center"/>
              <w:rPr>
                <w:rFonts w:ascii="MS Mincho" w:eastAsia="MS Mincho" w:hAnsi="MS Mincho" w:cs="MS Mincho"/>
                <w:b/>
              </w:rPr>
            </w:pPr>
            <w:r w:rsidRPr="00FD69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3D" w:rsidRPr="00FD692E" w:rsidRDefault="00F7243D" w:rsidP="00580F8E">
            <w:pPr>
              <w:ind w:right="-108"/>
              <w:rPr>
                <w:b/>
              </w:rPr>
            </w:pPr>
            <w:r w:rsidRPr="00FD692E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3D" w:rsidRPr="00355C2D" w:rsidRDefault="00F7243D" w:rsidP="00580F8E">
            <w:pPr>
              <w:jc w:val="center"/>
              <w:rPr>
                <w:rFonts w:ascii="MS Gothic" w:eastAsia="MS Gothic" w:hAnsi="MS Gothic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3D" w:rsidRPr="00FD692E" w:rsidRDefault="00F7243D" w:rsidP="00580F8E">
            <w:pPr>
              <w:rPr>
                <w:b/>
              </w:rPr>
            </w:pPr>
            <w:r w:rsidRPr="00FD692E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3D" w:rsidRPr="00355C2D" w:rsidRDefault="00F7243D" w:rsidP="00580F8E">
            <w:pPr>
              <w:jc w:val="center"/>
              <w:rPr>
                <w:rFonts w:ascii="MS Mincho" w:eastAsia="MS Mincho" w:hAnsi="MS Mincho" w:cs="MS Mincho"/>
                <w:b/>
              </w:rPr>
            </w:pPr>
            <w:r w:rsidRPr="00FD69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243D" w:rsidRPr="00FD692E" w:rsidRDefault="00F7243D" w:rsidP="00580F8E">
            <w:pPr>
              <w:ind w:left="54"/>
              <w:rPr>
                <w:b/>
              </w:rPr>
            </w:pPr>
            <w:r>
              <w:rPr>
                <w:b/>
              </w:rPr>
              <w:t>Negatívne</w:t>
            </w:r>
          </w:p>
        </w:tc>
      </w:tr>
    </w:tbl>
    <w:p w:rsidR="00F7243D" w:rsidRPr="00A179AE" w:rsidRDefault="00F7243D" w:rsidP="00F7243D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F7243D" w:rsidRPr="00A179AE" w:rsidTr="00580F8E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Poznámky</w:t>
            </w:r>
          </w:p>
        </w:tc>
      </w:tr>
      <w:tr w:rsidR="00F7243D" w:rsidRPr="00A179AE" w:rsidTr="00580F8E">
        <w:trPr>
          <w:trHeight w:val="437"/>
        </w:trPr>
        <w:tc>
          <w:tcPr>
            <w:tcW w:w="9176" w:type="dxa"/>
            <w:tcBorders>
              <w:top w:val="nil"/>
              <w:bottom w:val="single" w:sz="4" w:space="0" w:color="FFFFFF" w:themeColor="background1"/>
            </w:tcBorders>
          </w:tcPr>
          <w:p w:rsidR="00F7243D" w:rsidRPr="00B35FD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</w:tc>
      </w:tr>
      <w:tr w:rsidR="00F7243D" w:rsidRPr="00A179AE" w:rsidTr="00580F8E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Kontakt na spracovateľa</w:t>
            </w:r>
          </w:p>
        </w:tc>
      </w:tr>
      <w:tr w:rsidR="00F7243D" w:rsidRPr="00A179AE" w:rsidTr="00580F8E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7243D" w:rsidRDefault="00F7243D" w:rsidP="00580F8E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  <w:r>
              <w:rPr>
                <w:i/>
              </w:rPr>
              <w:t>.</w:t>
            </w:r>
          </w:p>
          <w:p w:rsidR="00F7243D" w:rsidRPr="00D13B6F" w:rsidRDefault="00F7243D" w:rsidP="00580F8E">
            <w:pPr>
              <w:jc w:val="both"/>
              <w:rPr>
                <w:i/>
              </w:rPr>
            </w:pPr>
          </w:p>
        </w:tc>
      </w:tr>
      <w:tr w:rsidR="00F7243D" w:rsidRPr="00A179AE" w:rsidTr="00580F8E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>Zdroje</w:t>
            </w:r>
          </w:p>
        </w:tc>
      </w:tr>
      <w:tr w:rsidR="00F7243D" w:rsidRPr="00A179AE" w:rsidTr="00580F8E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7243D" w:rsidRPr="00A179AE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>
              <w:rPr>
                <w:i/>
              </w:rPr>
              <w:t xml:space="preserve"> 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F7243D" w:rsidRPr="00517327" w:rsidRDefault="00F7243D" w:rsidP="00580F8E"/>
        </w:tc>
      </w:tr>
      <w:tr w:rsidR="00F7243D" w:rsidRPr="00A179AE" w:rsidTr="00580F8E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F7243D" w:rsidRPr="00A179AE" w:rsidRDefault="00F7243D" w:rsidP="00F7243D">
            <w:pPr>
              <w:pStyle w:val="Odsekzoznamu"/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/>
              <w:rPr>
                <w:b/>
              </w:rPr>
            </w:pPr>
            <w:r w:rsidRPr="00A179AE">
              <w:rPr>
                <w:b/>
              </w:rPr>
              <w:t xml:space="preserve">Stanovisko </w:t>
            </w:r>
            <w:r>
              <w:rPr>
                <w:b/>
              </w:rPr>
              <w:t>Komisie pre posudzovanie vybraných vplyvov</w:t>
            </w:r>
            <w:r w:rsidRPr="00A179AE">
              <w:rPr>
                <w:b/>
              </w:rPr>
              <w:t xml:space="preserve"> z PPK</w:t>
            </w:r>
          </w:p>
        </w:tc>
      </w:tr>
      <w:tr w:rsidR="00F7243D" w:rsidRPr="00A179AE" w:rsidTr="00580F8E"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F7243D" w:rsidRDefault="00F7243D" w:rsidP="00580F8E">
            <w:pPr>
              <w:rPr>
                <w:i/>
              </w:rPr>
            </w:pPr>
            <w:r w:rsidRPr="00A179AE">
              <w:rPr>
                <w:i/>
              </w:rPr>
              <w:t xml:space="preserve">Uveďte stanovisko </w:t>
            </w:r>
            <w:r>
              <w:rPr>
                <w:i/>
              </w:rPr>
              <w:t>Komisie pre posudzovanie vybraných vplyvov</w:t>
            </w:r>
            <w:r w:rsidRPr="00A179AE">
              <w:rPr>
                <w:i/>
              </w:rPr>
              <w:t>, ktoré Vám bolo zaslané v rámci pred</w:t>
            </w:r>
            <w:r>
              <w:rPr>
                <w:i/>
              </w:rPr>
              <w:t>bežného pripomienkového konania.</w:t>
            </w:r>
          </w:p>
          <w:p w:rsidR="00F7243D" w:rsidRPr="005203DB" w:rsidRDefault="00F7243D" w:rsidP="00580F8E">
            <w:pPr>
              <w:rPr>
                <w:i/>
              </w:rPr>
            </w:pPr>
          </w:p>
          <w:p w:rsidR="00F7243D" w:rsidRPr="00A179AE" w:rsidRDefault="00F7243D" w:rsidP="00580F8E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Materiál nebol predmetom PPK.</w:t>
            </w:r>
          </w:p>
        </w:tc>
      </w:tr>
    </w:tbl>
    <w:p w:rsidR="00F7243D" w:rsidRDefault="00F7243D" w:rsidP="00F7243D">
      <w:pPr>
        <w:rPr>
          <w:b/>
        </w:rPr>
      </w:pPr>
    </w:p>
    <w:p w:rsidR="009C77D0" w:rsidRDefault="009C77D0" w:rsidP="00750F88">
      <w:pPr>
        <w:pStyle w:val="Odsekzoznamu"/>
        <w:ind w:left="0"/>
        <w:jc w:val="both"/>
        <w:rPr>
          <w:rFonts w:eastAsia="SimSun"/>
          <w:lang w:eastAsia="ar-SA"/>
        </w:rPr>
      </w:pPr>
    </w:p>
    <w:p w:rsidR="00750F88" w:rsidRDefault="00750F88" w:rsidP="00750F88">
      <w:pPr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9C77D0" w:rsidRPr="00C21C11" w:rsidRDefault="009C77D0" w:rsidP="00750F88">
      <w:pPr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:rsidR="00AB06F1" w:rsidRDefault="00AB06F1" w:rsidP="00750F8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E2CBD" w:rsidRDefault="00AE2CBD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C77D0" w:rsidRDefault="009C77D0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6E6F" w:rsidRDefault="00086E6F" w:rsidP="00AE2CBD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E5064" w:rsidRDefault="002E5064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22689F" w:rsidRPr="00C21C11" w:rsidRDefault="0022689F" w:rsidP="0022689F">
      <w:pPr>
        <w:jc w:val="center"/>
        <w:rPr>
          <w:b/>
          <w:bCs/>
        </w:rPr>
      </w:pPr>
      <w:r w:rsidRPr="00C21C11">
        <w:rPr>
          <w:b/>
          <w:bCs/>
        </w:rPr>
        <w:lastRenderedPageBreak/>
        <w:t>DOLOŽKA  ZLUČITEĽNOSTI</w:t>
      </w:r>
    </w:p>
    <w:p w:rsidR="0022689F" w:rsidRPr="00C21C11" w:rsidRDefault="0022689F" w:rsidP="0022689F">
      <w:pPr>
        <w:jc w:val="center"/>
        <w:rPr>
          <w:b/>
        </w:rPr>
      </w:pPr>
      <w:r w:rsidRPr="00C21C11">
        <w:rPr>
          <w:b/>
          <w:bCs/>
        </w:rPr>
        <w:t xml:space="preserve">návrhu zákona s </w:t>
      </w:r>
      <w:r w:rsidRPr="00C21C11">
        <w:rPr>
          <w:b/>
        </w:rPr>
        <w:t>právom Európskej únie</w:t>
      </w:r>
    </w:p>
    <w:p w:rsidR="0022689F" w:rsidRPr="00C21C11" w:rsidRDefault="0022689F" w:rsidP="0022689F">
      <w:pPr>
        <w:jc w:val="both"/>
      </w:pPr>
    </w:p>
    <w:p w:rsidR="0022689F" w:rsidRDefault="005F4267" w:rsidP="0022689F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</w:pPr>
      <w:r w:rsidRPr="009C77D0">
        <w:rPr>
          <w:b/>
        </w:rPr>
        <w:t>Navrhovateľ</w:t>
      </w:r>
      <w:r w:rsidR="0022689F" w:rsidRPr="009C77D0">
        <w:rPr>
          <w:b/>
        </w:rPr>
        <w:t xml:space="preserve"> zákona: </w:t>
      </w:r>
      <w:r w:rsidR="009C77D0">
        <w:t>Poslanci</w:t>
      </w:r>
      <w:r w:rsidR="0022689F" w:rsidRPr="00C21C11">
        <w:t xml:space="preserve"> Národnej rady Slovenskej republiky</w:t>
      </w:r>
      <w:r w:rsidR="0022689F">
        <w:t xml:space="preserve"> </w:t>
      </w:r>
    </w:p>
    <w:p w:rsidR="009C77D0" w:rsidRPr="00C21C11" w:rsidRDefault="009C77D0" w:rsidP="009C77D0">
      <w:pPr>
        <w:widowControl/>
        <w:autoSpaceDE/>
        <w:autoSpaceDN/>
        <w:adjustRightInd/>
        <w:jc w:val="both"/>
      </w:pPr>
    </w:p>
    <w:p w:rsidR="0022689F" w:rsidRPr="00C21C11" w:rsidRDefault="0022689F" w:rsidP="0022689F">
      <w:pPr>
        <w:widowControl/>
        <w:numPr>
          <w:ilvl w:val="0"/>
          <w:numId w:val="5"/>
        </w:numPr>
        <w:adjustRightInd/>
        <w:ind w:left="0" w:firstLine="0"/>
        <w:jc w:val="both"/>
      </w:pPr>
      <w:r w:rsidRPr="0022689F">
        <w:rPr>
          <w:b/>
        </w:rPr>
        <w:t xml:space="preserve">Názov návrhu </w:t>
      </w:r>
      <w:r>
        <w:rPr>
          <w:b/>
        </w:rPr>
        <w:t>zákona</w:t>
      </w:r>
      <w:r w:rsidRPr="0022689F">
        <w:rPr>
          <w:b/>
        </w:rPr>
        <w:t xml:space="preserve">: </w:t>
      </w:r>
      <w:r w:rsidRPr="00AB06F1">
        <w:t>Návrh zákona, ktorým sa mení a dopĺňa zákon č. 434/2010 Z. z. o poskytovaní dotácií v pôsobnosti Ministerstva kultúry Slovenskej republiky v znení neskorších predpisov</w:t>
      </w:r>
    </w:p>
    <w:p w:rsidR="0022689F" w:rsidRPr="00C21C11" w:rsidRDefault="0022689F" w:rsidP="0022689F">
      <w:pPr>
        <w:jc w:val="both"/>
        <w:rPr>
          <w:b/>
        </w:rPr>
      </w:pPr>
    </w:p>
    <w:p w:rsidR="0022689F" w:rsidRPr="00C21C11" w:rsidRDefault="0022689F" w:rsidP="0022689F">
      <w:pPr>
        <w:jc w:val="both"/>
      </w:pPr>
      <w:r w:rsidRPr="00C21C11">
        <w:rPr>
          <w:b/>
        </w:rPr>
        <w:t xml:space="preserve">3.   Predmet návrhu </w:t>
      </w:r>
      <w:r>
        <w:rPr>
          <w:b/>
        </w:rPr>
        <w:t>zákona je upravený v práve Európskej únie</w:t>
      </w:r>
      <w:r w:rsidRPr="00C21C11">
        <w:rPr>
          <w:b/>
        </w:rPr>
        <w:t>:</w:t>
      </w:r>
      <w:r w:rsidRPr="00C21C11">
        <w:t xml:space="preserve"> </w:t>
      </w:r>
    </w:p>
    <w:p w:rsidR="0022689F" w:rsidRPr="00C21C11" w:rsidRDefault="0022689F" w:rsidP="0022689F">
      <w:pPr>
        <w:pStyle w:val="Odsekzoznamu"/>
        <w:widowControl/>
        <w:numPr>
          <w:ilvl w:val="3"/>
          <w:numId w:val="6"/>
        </w:numPr>
        <w:autoSpaceDE/>
        <w:autoSpaceDN/>
        <w:adjustRightInd/>
        <w:ind w:left="0" w:firstLine="0"/>
        <w:jc w:val="both"/>
      </w:pPr>
      <w:r w:rsidRPr="00C21C11">
        <w:t>v primárnom práve</w:t>
      </w:r>
      <w:r w:rsidR="002E5064">
        <w:t xml:space="preserve"> </w:t>
      </w:r>
      <w:r w:rsidRPr="00C21C11">
        <w:t>–</w:t>
      </w:r>
      <w:r>
        <w:t xml:space="preserve"> </w:t>
      </w:r>
      <w:r>
        <w:rPr>
          <w:rFonts w:ascii="Times" w:hAnsi="Times" w:cs="Times"/>
          <w:sz w:val="25"/>
          <w:szCs w:val="25"/>
        </w:rPr>
        <w:t>Čl. 107 a 108 Zmluvy o fungovaní Európskej únie,</w:t>
      </w:r>
    </w:p>
    <w:p w:rsidR="0022689F" w:rsidRPr="00C21C11" w:rsidRDefault="0022689F" w:rsidP="0022689F">
      <w:pPr>
        <w:pStyle w:val="Odsekzoznamu"/>
        <w:widowControl/>
        <w:numPr>
          <w:ilvl w:val="3"/>
          <w:numId w:val="6"/>
        </w:numPr>
        <w:autoSpaceDE/>
        <w:autoSpaceDN/>
        <w:adjustRightInd/>
        <w:ind w:left="0" w:firstLine="0"/>
        <w:jc w:val="both"/>
      </w:pPr>
      <w:r>
        <w:t xml:space="preserve">nie </w:t>
      </w:r>
      <w:r w:rsidRPr="00C21C11">
        <w:t>je upravený v sekundárnom práve,</w:t>
      </w:r>
    </w:p>
    <w:p w:rsidR="0022689F" w:rsidRPr="00C21C11" w:rsidRDefault="0022689F" w:rsidP="0022689F">
      <w:pPr>
        <w:pStyle w:val="Odsekzoznamu"/>
        <w:widowControl/>
        <w:numPr>
          <w:ilvl w:val="3"/>
          <w:numId w:val="6"/>
        </w:numPr>
        <w:autoSpaceDE/>
        <w:autoSpaceDN/>
        <w:adjustRightInd/>
        <w:ind w:left="0" w:firstLine="0"/>
        <w:jc w:val="both"/>
      </w:pPr>
      <w:r w:rsidRPr="00C21C11">
        <w:t>nie je obsiahnutý v judikatúre Súdneho dvora Európskej únie.</w:t>
      </w:r>
    </w:p>
    <w:p w:rsidR="0022689F" w:rsidRPr="00C21C11" w:rsidRDefault="0022689F" w:rsidP="0022689F">
      <w:pPr>
        <w:jc w:val="both"/>
        <w:rPr>
          <w:b/>
          <w:bCs/>
        </w:rPr>
      </w:pPr>
    </w:p>
    <w:p w:rsidR="0022689F" w:rsidRPr="00C21C11" w:rsidRDefault="0022689F" w:rsidP="0022689F">
      <w:pPr>
        <w:jc w:val="both"/>
        <w:rPr>
          <w:b/>
          <w:bCs/>
        </w:rPr>
      </w:pPr>
      <w:r w:rsidRPr="00C21C11">
        <w:rPr>
          <w:b/>
          <w:bCs/>
        </w:rPr>
        <w:t>4.  Záväzky Slovenskej republiky vo vzťahu k Európskej únii:</w:t>
      </w:r>
      <w:r w:rsidRPr="00C21C11">
        <w:rPr>
          <w:bCs/>
        </w:rPr>
        <w:t xml:space="preserve"> Nie sú predkladaným  návrhom </w:t>
      </w:r>
      <w:r>
        <w:rPr>
          <w:bCs/>
        </w:rPr>
        <w:t>zákona</w:t>
      </w:r>
      <w:r w:rsidRPr="00C21C11">
        <w:rPr>
          <w:bCs/>
        </w:rPr>
        <w:t xml:space="preserve"> dotknuté.</w:t>
      </w:r>
    </w:p>
    <w:p w:rsidR="0022689F" w:rsidRPr="00C21C11" w:rsidRDefault="0022689F" w:rsidP="0022689F">
      <w:pPr>
        <w:pStyle w:val="Odsekzoznamu"/>
        <w:ind w:left="0"/>
        <w:jc w:val="both"/>
      </w:pPr>
    </w:p>
    <w:p w:rsidR="0022689F" w:rsidRPr="00C21C11" w:rsidRDefault="0022689F" w:rsidP="0022689F">
      <w:pPr>
        <w:rPr>
          <w:b/>
        </w:rPr>
      </w:pPr>
      <w:r w:rsidRPr="00C21C11">
        <w:rPr>
          <w:b/>
        </w:rPr>
        <w:t xml:space="preserve">5.    </w:t>
      </w:r>
      <w:r w:rsidRPr="00C21C11">
        <w:rPr>
          <w:b/>
          <w:bCs/>
        </w:rPr>
        <w:t xml:space="preserve">Stupeň zlučiteľnosti návrhu </w:t>
      </w:r>
      <w:r w:rsidR="005F4267">
        <w:rPr>
          <w:b/>
          <w:bCs/>
        </w:rPr>
        <w:t>zákona</w:t>
      </w:r>
      <w:r w:rsidRPr="00C21C11">
        <w:rPr>
          <w:b/>
          <w:bCs/>
        </w:rPr>
        <w:t xml:space="preserve"> s právom Európskej únie:</w:t>
      </w:r>
      <w:r w:rsidRPr="00C21C11">
        <w:t xml:space="preserve"> Úplný.</w:t>
      </w:r>
    </w:p>
    <w:p w:rsidR="00AB06F1" w:rsidRPr="00AB06F1" w:rsidRDefault="00AB06F1" w:rsidP="0022689F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B06F1" w:rsidRPr="00AB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F04242"/>
    <w:multiLevelType w:val="hybridMultilevel"/>
    <w:tmpl w:val="827C3E2E"/>
    <w:lvl w:ilvl="0" w:tplc="292CEA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3EEA"/>
    <w:multiLevelType w:val="hybridMultilevel"/>
    <w:tmpl w:val="B708238A"/>
    <w:lvl w:ilvl="0" w:tplc="493295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213C"/>
    <w:multiLevelType w:val="hybridMultilevel"/>
    <w:tmpl w:val="7AC65FCA"/>
    <w:lvl w:ilvl="0" w:tplc="041B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330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679A3CC2"/>
    <w:multiLevelType w:val="hybridMultilevel"/>
    <w:tmpl w:val="37D40A7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1B"/>
    <w:rsid w:val="000323B4"/>
    <w:rsid w:val="00053938"/>
    <w:rsid w:val="00086E6F"/>
    <w:rsid w:val="000B3836"/>
    <w:rsid w:val="00173B28"/>
    <w:rsid w:val="001E5C1B"/>
    <w:rsid w:val="0022689F"/>
    <w:rsid w:val="00233A10"/>
    <w:rsid w:val="0024247A"/>
    <w:rsid w:val="002E5064"/>
    <w:rsid w:val="00352641"/>
    <w:rsid w:val="003C5D8C"/>
    <w:rsid w:val="003F55FA"/>
    <w:rsid w:val="0040342F"/>
    <w:rsid w:val="0045454F"/>
    <w:rsid w:val="004A043C"/>
    <w:rsid w:val="005202FE"/>
    <w:rsid w:val="0052632B"/>
    <w:rsid w:val="00565D7B"/>
    <w:rsid w:val="005F4267"/>
    <w:rsid w:val="00621793"/>
    <w:rsid w:val="0067650F"/>
    <w:rsid w:val="006F5DC8"/>
    <w:rsid w:val="00740192"/>
    <w:rsid w:val="00750F88"/>
    <w:rsid w:val="007825FB"/>
    <w:rsid w:val="007853C8"/>
    <w:rsid w:val="007F548E"/>
    <w:rsid w:val="0081341B"/>
    <w:rsid w:val="00823911"/>
    <w:rsid w:val="00823E58"/>
    <w:rsid w:val="00827386"/>
    <w:rsid w:val="008316F9"/>
    <w:rsid w:val="0083464F"/>
    <w:rsid w:val="008678BB"/>
    <w:rsid w:val="00891130"/>
    <w:rsid w:val="008D2E8C"/>
    <w:rsid w:val="008D61D2"/>
    <w:rsid w:val="00924AAB"/>
    <w:rsid w:val="00933A57"/>
    <w:rsid w:val="009A4213"/>
    <w:rsid w:val="009C77D0"/>
    <w:rsid w:val="009E7962"/>
    <w:rsid w:val="00A41539"/>
    <w:rsid w:val="00A65FC7"/>
    <w:rsid w:val="00A96A11"/>
    <w:rsid w:val="00AA15BC"/>
    <w:rsid w:val="00AA674E"/>
    <w:rsid w:val="00AB06F1"/>
    <w:rsid w:val="00AE2CBD"/>
    <w:rsid w:val="00AE76EA"/>
    <w:rsid w:val="00B072C9"/>
    <w:rsid w:val="00B549E2"/>
    <w:rsid w:val="00C123BF"/>
    <w:rsid w:val="00C17AE7"/>
    <w:rsid w:val="00C637D1"/>
    <w:rsid w:val="00D631EC"/>
    <w:rsid w:val="00DB09CC"/>
    <w:rsid w:val="00DC6577"/>
    <w:rsid w:val="00DF24A1"/>
    <w:rsid w:val="00E21BB7"/>
    <w:rsid w:val="00E65C47"/>
    <w:rsid w:val="00E72DDC"/>
    <w:rsid w:val="00E774DB"/>
    <w:rsid w:val="00EA0347"/>
    <w:rsid w:val="00EA1EC0"/>
    <w:rsid w:val="00F02260"/>
    <w:rsid w:val="00F7243D"/>
    <w:rsid w:val="00F725CD"/>
    <w:rsid w:val="00F826E9"/>
    <w:rsid w:val="00FB1B64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0DDE6-4A40-4B88-855C-5AFB441A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0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5C1B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827386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link w:val="OdsekzoznamuChar"/>
    <w:uiPriority w:val="34"/>
    <w:qFormat/>
    <w:rsid w:val="00AB06F1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AB06F1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750F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2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9A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F7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7FE6-8D9D-47C3-AADE-7CC3FF5D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Posch Viliam</dc:creator>
  <cp:lastModifiedBy>Senko, Ján, PhDr.</cp:lastModifiedBy>
  <cp:revision>2</cp:revision>
  <dcterms:created xsi:type="dcterms:W3CDTF">2019-09-25T13:21:00Z</dcterms:created>
  <dcterms:modified xsi:type="dcterms:W3CDTF">2019-09-25T13:21:00Z</dcterms:modified>
</cp:coreProperties>
</file>