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233A93">
      <w:pPr>
        <w:pStyle w:val="Title"/>
      </w:pPr>
      <w:r>
        <w:t>NÁRODNÁ RADA SLOVENSKEJ REPUBLIKY</w:t>
      </w:r>
    </w:p>
    <w:p w:rsidR="00233A93">
      <w:pPr>
        <w:pStyle w:val="Subtitle"/>
      </w:pPr>
      <w:r w:rsidR="00AF1636">
        <w:t>V</w:t>
      </w:r>
      <w:r w:rsidR="00C23D38">
        <w:t>I</w:t>
      </w:r>
      <w:r w:rsidR="001B11BA">
        <w:t>I</w:t>
      </w:r>
      <w:r>
        <w:t>. volebné obdobie</w:t>
      </w:r>
    </w:p>
    <w:p w:rsidR="00233A93">
      <w:r>
        <w:t>___________________________________________________________________________</w:t>
      </w:r>
    </w:p>
    <w:p w:rsidR="00233A93">
      <w:r w:rsidR="008E794A">
        <w:t>K číslu</w:t>
      </w:r>
      <w:r>
        <w:t>:</w:t>
      </w:r>
      <w:r w:rsidR="00BF3C60">
        <w:t xml:space="preserve"> </w:t>
      </w:r>
      <w:r w:rsidR="000F719E">
        <w:t>128</w:t>
      </w:r>
      <w:r w:rsidR="000102B1">
        <w:t>4</w:t>
      </w:r>
      <w:r w:rsidR="003D6EDC">
        <w:t>/</w:t>
      </w:r>
      <w:r w:rsidR="009F1034">
        <w:t>20</w:t>
      </w:r>
      <w:r w:rsidR="00CD2A22">
        <w:t>1</w:t>
      </w:r>
      <w:r w:rsidR="00FE1C8D">
        <w:t>9</w:t>
      </w:r>
      <w:r>
        <w:tab/>
        <w:tab/>
        <w:tab/>
        <w:tab/>
      </w:r>
    </w:p>
    <w:p w:rsidR="00233A93"/>
    <w:p w:rsidR="008E794A"/>
    <w:p w:rsidR="00A46744"/>
    <w:p w:rsidR="00AB15C9"/>
    <w:p w:rsidR="00233A93" w:rsidP="0085353E">
      <w:pPr>
        <w:jc w:val="center"/>
        <w:rPr>
          <w:b/>
          <w:bCs/>
          <w:sz w:val="28"/>
        </w:rPr>
      </w:pPr>
      <w:r w:rsidR="004D053D">
        <w:rPr>
          <w:b/>
          <w:bCs/>
          <w:sz w:val="28"/>
        </w:rPr>
        <w:t>1</w:t>
      </w:r>
      <w:r w:rsidR="000F719E">
        <w:rPr>
          <w:b/>
          <w:bCs/>
          <w:sz w:val="28"/>
        </w:rPr>
        <w:t>51</w:t>
      </w:r>
      <w:r w:rsidR="000102B1">
        <w:rPr>
          <w:b/>
          <w:bCs/>
          <w:sz w:val="28"/>
        </w:rPr>
        <w:t>4</w:t>
      </w:r>
      <w:r>
        <w:rPr>
          <w:b/>
          <w:bCs/>
          <w:sz w:val="28"/>
        </w:rPr>
        <w:t>a</w:t>
      </w:r>
    </w:p>
    <w:p w:rsidR="00D35084" w:rsidP="0085353E">
      <w:pPr>
        <w:jc w:val="center"/>
        <w:rPr>
          <w:b/>
          <w:bCs/>
          <w:sz w:val="28"/>
        </w:rPr>
      </w:pPr>
    </w:p>
    <w:p w:rsidR="00233A93">
      <w:pPr>
        <w:pStyle w:val="Heading1"/>
      </w:pPr>
      <w:r>
        <w:t xml:space="preserve">S p o l o č n á    s p r á v a </w:t>
      </w:r>
    </w:p>
    <w:p w:rsidR="00BF3C60"/>
    <w:p w:rsidR="00233A93" w:rsidRPr="00FE1C8D" w:rsidP="00FE1C8D">
      <w:pPr>
        <w:jc w:val="both"/>
        <w:rPr>
          <w:b/>
        </w:rPr>
      </w:pPr>
      <w:r w:rsidRPr="00FE1C8D" w:rsidR="001856F2">
        <w:rPr>
          <w:b/>
        </w:rPr>
        <w:t>výborov</w:t>
      </w:r>
      <w:r w:rsidRPr="00FE1C8D">
        <w:rPr>
          <w:b/>
        </w:rPr>
        <w:t xml:space="preserve"> Národnej rady Sl</w:t>
      </w:r>
      <w:r w:rsidRPr="00FE1C8D" w:rsidR="00401761">
        <w:rPr>
          <w:b/>
        </w:rPr>
        <w:t xml:space="preserve">ovenskej republiky </w:t>
      </w:r>
      <w:r w:rsidRPr="00FE1C8D">
        <w:rPr>
          <w:b/>
        </w:rPr>
        <w:t>o výsledku prer</w:t>
      </w:r>
      <w:r w:rsidRPr="00FE1C8D">
        <w:rPr>
          <w:b/>
        </w:rPr>
        <w:t>okovania</w:t>
      </w:r>
      <w:r w:rsidRPr="00FE1C8D" w:rsidR="00F53C66">
        <w:rPr>
          <w:b/>
        </w:rPr>
        <w:t xml:space="preserve"> </w:t>
      </w:r>
      <w:r w:rsidRPr="000102B1" w:rsidR="000102B1">
        <w:rPr>
          <w:b/>
        </w:rPr>
        <w:t xml:space="preserve">vládneho návrhu zákona, ktorým sa mení a dopĺňa zákon č. 80/1997 Z. z. o Exportno-importnej banke Slovenskej republiky v znení neskorších predpisov a ktorým sa menia a dopĺňajú niektoré zákony </w:t>
      </w:r>
      <w:r w:rsidRPr="000D4331" w:rsidR="000102B1">
        <w:rPr>
          <w:b/>
        </w:rPr>
        <w:t>(tlač 1514)</w:t>
      </w:r>
      <w:r w:rsidR="000102B1">
        <w:rPr>
          <w:b/>
        </w:rPr>
        <w:t xml:space="preserve"> </w:t>
      </w:r>
      <w:r w:rsidRPr="00FE1C8D">
        <w:rPr>
          <w:b/>
        </w:rPr>
        <w:t>v</w:t>
      </w:r>
      <w:r w:rsidRPr="00FE1C8D" w:rsidR="00D57D3E">
        <w:rPr>
          <w:b/>
        </w:rPr>
        <w:t>o výboroch Národnej rady Slovenskej repub</w:t>
      </w:r>
      <w:r w:rsidRPr="00FE1C8D" w:rsidR="00D57D3E">
        <w:rPr>
          <w:b/>
        </w:rPr>
        <w:t xml:space="preserve">liky v </w:t>
      </w:r>
      <w:r w:rsidRPr="00FE1C8D">
        <w:rPr>
          <w:b/>
        </w:rPr>
        <w:t xml:space="preserve">druhom čítaní </w:t>
      </w:r>
    </w:p>
    <w:p w:rsidR="00233A93" w:rsidRPr="00846B8E" w:rsidP="00846B8E">
      <w:pPr>
        <w:jc w:val="both"/>
        <w:rPr>
          <w:b/>
        </w:rPr>
      </w:pPr>
      <w:r w:rsidRPr="00846B8E">
        <w:rPr>
          <w:b/>
        </w:rPr>
        <w:t>___________________________________________________________________________</w:t>
      </w:r>
      <w:r w:rsidR="00873586">
        <w:rPr>
          <w:b/>
        </w:rPr>
        <w:t>____</w:t>
      </w:r>
    </w:p>
    <w:p w:rsidR="00C742A8">
      <w:pPr>
        <w:rPr>
          <w:b/>
        </w:rPr>
      </w:pPr>
    </w:p>
    <w:p w:rsidR="00233A93">
      <w:pPr>
        <w:jc w:val="both"/>
      </w:pPr>
      <w:r>
        <w:t>Výbor Národnej rady Slovenskej republiky pre financie</w:t>
      </w:r>
      <w:r w:rsidR="00401761">
        <w:t xml:space="preserve"> a rozpočet</w:t>
      </w:r>
      <w:r>
        <w:t xml:space="preserve"> ako gestorský výbor, podáva Národnej rade Slovenskej republiky v súlade s § 79 ods. 1 zákona Národnej rady Slovenskej republiky č. 350/1996 Z. z. o rokovacom poriadku Národnej rady Slovenskej republiky v znení neskorších predpisov túto spoločnú správu výborov Národnej rady Slovenskej republiky o prerokovaní vyššie uvedeného</w:t>
      </w:r>
      <w:r w:rsidR="001D62BD">
        <w:t xml:space="preserve"> </w:t>
      </w:r>
      <w:r w:rsidR="00FE1C8D">
        <w:t xml:space="preserve">vládneho </w:t>
      </w:r>
      <w:r>
        <w:t>návrhu zá</w:t>
      </w:r>
      <w:r>
        <w:t>kona.</w:t>
      </w:r>
    </w:p>
    <w:p w:rsidR="00D35084">
      <w:pPr>
        <w:jc w:val="both"/>
      </w:pPr>
      <w:r w:rsidR="00233A93">
        <w:tab/>
        <w:tab/>
        <w:tab/>
        <w:tab/>
        <w:tab/>
      </w:r>
    </w:p>
    <w:p w:rsidR="00AB15C9">
      <w:pPr>
        <w:jc w:val="both"/>
      </w:pPr>
    </w:p>
    <w:p w:rsidR="00233A93">
      <w:pPr>
        <w:jc w:val="center"/>
        <w:rPr>
          <w:b/>
          <w:bCs/>
        </w:rPr>
      </w:pPr>
      <w:r>
        <w:rPr>
          <w:b/>
          <w:bCs/>
        </w:rPr>
        <w:t>I.</w:t>
      </w:r>
    </w:p>
    <w:p w:rsidR="00233A93">
      <w:pPr>
        <w:jc w:val="center"/>
        <w:rPr>
          <w:b/>
          <w:bCs/>
        </w:rPr>
      </w:pPr>
    </w:p>
    <w:p w:rsidR="00233A93" w:rsidRPr="004D053D" w:rsidP="004D053D">
      <w:pPr>
        <w:pStyle w:val="BodyText"/>
        <w:rPr>
          <w:b w:val="0"/>
        </w:rPr>
      </w:pPr>
      <w:r w:rsidRPr="004D053D">
        <w:rPr>
          <w:b w:val="0"/>
        </w:rPr>
        <w:t>Národná rada Sl</w:t>
      </w:r>
      <w:r w:rsidRPr="004D053D" w:rsidR="00680EDA">
        <w:rPr>
          <w:b w:val="0"/>
        </w:rPr>
        <w:t xml:space="preserve">ovenskej republiky </w:t>
      </w:r>
      <w:r w:rsidRPr="004D053D" w:rsidR="0018539F">
        <w:rPr>
          <w:b w:val="0"/>
        </w:rPr>
        <w:t>uznesením</w:t>
      </w:r>
      <w:r w:rsidRPr="004D053D" w:rsidR="00CE5AB9">
        <w:rPr>
          <w:b w:val="0"/>
        </w:rPr>
        <w:t xml:space="preserve"> </w:t>
      </w:r>
      <w:r w:rsidRPr="004D053D" w:rsidR="000965A1">
        <w:rPr>
          <w:b w:val="0"/>
        </w:rPr>
        <w:t>č.</w:t>
      </w:r>
      <w:r w:rsidRPr="004D053D" w:rsidR="006F2D15">
        <w:rPr>
          <w:b w:val="0"/>
        </w:rPr>
        <w:t xml:space="preserve"> </w:t>
      </w:r>
      <w:r w:rsidR="000F719E">
        <w:rPr>
          <w:b w:val="0"/>
        </w:rPr>
        <w:t>187</w:t>
      </w:r>
      <w:r w:rsidR="000102B1">
        <w:rPr>
          <w:b w:val="0"/>
        </w:rPr>
        <w:t>3</w:t>
      </w:r>
      <w:r w:rsidRPr="004D053D" w:rsidR="00C23D38">
        <w:rPr>
          <w:b w:val="0"/>
        </w:rPr>
        <w:t xml:space="preserve"> </w:t>
      </w:r>
      <w:r w:rsidRPr="004D053D">
        <w:rPr>
          <w:b w:val="0"/>
        </w:rPr>
        <w:t>z</w:t>
      </w:r>
      <w:r w:rsidRPr="004D053D" w:rsidR="00893F40">
        <w:rPr>
          <w:b w:val="0"/>
        </w:rPr>
        <w:t xml:space="preserve"> </w:t>
      </w:r>
      <w:r w:rsidR="00FE1C8D">
        <w:rPr>
          <w:b w:val="0"/>
        </w:rPr>
        <w:t>1</w:t>
      </w:r>
      <w:r w:rsidR="001A0DC2">
        <w:rPr>
          <w:b w:val="0"/>
        </w:rPr>
        <w:t>8</w:t>
      </w:r>
      <w:r w:rsidR="00F4305D">
        <w:rPr>
          <w:b w:val="0"/>
        </w:rPr>
        <w:t>.</w:t>
      </w:r>
      <w:r w:rsidRPr="004D053D">
        <w:rPr>
          <w:b w:val="0"/>
        </w:rPr>
        <w:t xml:space="preserve"> </w:t>
      </w:r>
      <w:r w:rsidR="00FE1C8D">
        <w:rPr>
          <w:b w:val="0"/>
        </w:rPr>
        <w:t>júna</w:t>
      </w:r>
      <w:r w:rsidRPr="004D053D" w:rsidR="00CD2A22">
        <w:rPr>
          <w:b w:val="0"/>
        </w:rPr>
        <w:t xml:space="preserve"> </w:t>
      </w:r>
      <w:r w:rsidRPr="004D053D">
        <w:rPr>
          <w:b w:val="0"/>
        </w:rPr>
        <w:t>20</w:t>
      </w:r>
      <w:r w:rsidRPr="004D053D" w:rsidR="00CD2A22">
        <w:rPr>
          <w:b w:val="0"/>
        </w:rPr>
        <w:t>1</w:t>
      </w:r>
      <w:r w:rsidRPr="004D053D" w:rsidR="004D053D">
        <w:rPr>
          <w:b w:val="0"/>
        </w:rPr>
        <w:t>9</w:t>
      </w:r>
      <w:r w:rsidRPr="004D053D" w:rsidR="009F77AE">
        <w:rPr>
          <w:b w:val="0"/>
        </w:rPr>
        <w:t xml:space="preserve"> </w:t>
      </w:r>
      <w:r w:rsidRPr="004D053D">
        <w:rPr>
          <w:b w:val="0"/>
        </w:rPr>
        <w:t>pridelila</w:t>
      </w:r>
      <w:r w:rsidRPr="004D053D" w:rsidR="00353558">
        <w:rPr>
          <w:b w:val="0"/>
        </w:rPr>
        <w:t xml:space="preserve"> </w:t>
      </w:r>
      <w:r w:rsidRPr="000102B1" w:rsidR="000102B1">
        <w:rPr>
          <w:b w:val="0"/>
        </w:rPr>
        <w:t>vládn</w:t>
      </w:r>
      <w:r w:rsidR="000102B1">
        <w:rPr>
          <w:b w:val="0"/>
        </w:rPr>
        <w:t>y</w:t>
      </w:r>
      <w:r w:rsidRPr="000102B1" w:rsidR="000102B1">
        <w:rPr>
          <w:b w:val="0"/>
        </w:rPr>
        <w:t xml:space="preserve"> návrh zákona, ktorým sa mení a dopĺňa zákon č. 80/1997 Z. z. o Exportno-importnej banke Slovenskej republiky v znení neskorších predpisov a ktorým sa menia a dopĺňajú niektoré zákony </w:t>
      </w:r>
      <w:r w:rsidRPr="000D4331" w:rsidR="000102B1">
        <w:rPr>
          <w:b w:val="0"/>
        </w:rPr>
        <w:t>(tlač 1514)</w:t>
      </w:r>
      <w:r w:rsidR="000102B1">
        <w:rPr>
          <w:b w:val="0"/>
        </w:rPr>
        <w:t xml:space="preserve"> </w:t>
      </w:r>
      <w:r w:rsidRPr="004D053D">
        <w:rPr>
          <w:b w:val="0"/>
        </w:rPr>
        <w:t>týmto výborom Národnej rady Slovenskej republiky</w:t>
      </w:r>
      <w:r w:rsidRPr="004D053D" w:rsidR="00184003">
        <w:rPr>
          <w:b w:val="0"/>
        </w:rPr>
        <w:t xml:space="preserve"> </w:t>
      </w:r>
      <w:r w:rsidRPr="004D053D">
        <w:rPr>
          <w:b w:val="0"/>
        </w:rPr>
        <w:t>:</w:t>
      </w:r>
    </w:p>
    <w:p w:rsidR="001B11BA">
      <w:pPr>
        <w:pStyle w:val="BodyText2"/>
        <w:jc w:val="left"/>
      </w:pPr>
    </w:p>
    <w:p w:rsidR="0024103D" w:rsidRPr="004D053D">
      <w:pPr>
        <w:pStyle w:val="BodyText2"/>
        <w:jc w:val="left"/>
      </w:pPr>
    </w:p>
    <w:p w:rsidR="00233A93" w:rsidP="00227BF3">
      <w:pPr>
        <w:pStyle w:val="BodyText2"/>
        <w:numPr>
          <w:ilvl w:val="0"/>
          <w:numId w:val="1"/>
        </w:numPr>
      </w:pPr>
      <w:r>
        <w:t>Výboru Národnej rady Slovenskej republiky pre financie</w:t>
      </w:r>
      <w:r w:rsidR="00452CA8">
        <w:t xml:space="preserve"> a</w:t>
      </w:r>
      <w:r w:rsidR="002C3917">
        <w:t> </w:t>
      </w:r>
      <w:r>
        <w:t>rozpočet</w:t>
      </w:r>
      <w:r w:rsidR="002C3917">
        <w:t>,</w:t>
      </w:r>
      <w:r>
        <w:t xml:space="preserve"> </w:t>
      </w:r>
    </w:p>
    <w:p w:rsidR="00A46744" w:rsidP="000F719E">
      <w:pPr>
        <w:pStyle w:val="BodyText2"/>
        <w:numPr>
          <w:ilvl w:val="0"/>
          <w:numId w:val="1"/>
        </w:numPr>
      </w:pPr>
      <w:r w:rsidR="00233A93">
        <w:t>Ústavnoprávnemu výboru Národnej rady Slovenskej republiky</w:t>
      </w:r>
      <w:r w:rsidR="000102B1">
        <w:t>,</w:t>
      </w:r>
    </w:p>
    <w:p w:rsidR="000102B1" w:rsidRPr="000F719E" w:rsidP="000F719E">
      <w:pPr>
        <w:pStyle w:val="BodyText2"/>
        <w:numPr>
          <w:ilvl w:val="0"/>
          <w:numId w:val="1"/>
        </w:numPr>
      </w:pPr>
      <w:r>
        <w:t>Zahraničnému výboru Národnej rady S</w:t>
      </w:r>
      <w:r>
        <w:t>lovenskej republiky.</w:t>
      </w:r>
    </w:p>
    <w:p w:rsidR="00FE1C8D" w:rsidP="00DE62F6">
      <w:pPr>
        <w:tabs>
          <w:tab w:val="left" w:pos="-1985"/>
          <w:tab w:val="left" w:pos="709"/>
        </w:tabs>
        <w:jc w:val="both"/>
        <w:rPr>
          <w:bCs/>
        </w:rPr>
      </w:pPr>
    </w:p>
    <w:p w:rsidR="000F719E" w:rsidP="00DE62F6">
      <w:pPr>
        <w:tabs>
          <w:tab w:val="left" w:pos="-1985"/>
          <w:tab w:val="left" w:pos="709"/>
        </w:tabs>
        <w:jc w:val="both"/>
        <w:rPr>
          <w:bCs/>
        </w:rPr>
      </w:pPr>
    </w:p>
    <w:p w:rsidR="000F719E" w:rsidP="00DE62F6">
      <w:pPr>
        <w:tabs>
          <w:tab w:val="left" w:pos="-1985"/>
          <w:tab w:val="left" w:pos="709"/>
        </w:tabs>
        <w:jc w:val="both"/>
        <w:rPr>
          <w:bCs/>
        </w:rPr>
      </w:pPr>
    </w:p>
    <w:p w:rsidR="00DE62F6" w:rsidRPr="00AB15C9" w:rsidP="00DE62F6">
      <w:pPr>
        <w:tabs>
          <w:tab w:val="left" w:pos="-1985"/>
          <w:tab w:val="left" w:pos="709"/>
        </w:tabs>
        <w:jc w:val="both"/>
        <w:rPr>
          <w:bCs/>
        </w:rPr>
      </w:pPr>
      <w:r w:rsidRPr="00AB15C9">
        <w:rPr>
          <w:bCs/>
        </w:rPr>
        <w:t>Určila zároveň Výbor Národnej rady Slovenskej republiky pre financie a rozpo</w:t>
      </w:r>
      <w:r w:rsidR="00AB15C9">
        <w:rPr>
          <w:bCs/>
        </w:rPr>
        <w:t>čet ako gestorský výbor a lehotu</w:t>
      </w:r>
      <w:r w:rsidRPr="00AB15C9">
        <w:rPr>
          <w:bCs/>
        </w:rPr>
        <w:t xml:space="preserve"> na prerokovanie predmetného </w:t>
      </w:r>
      <w:r w:rsidR="00FE1C8D">
        <w:rPr>
          <w:bCs/>
        </w:rPr>
        <w:t xml:space="preserve">vládneho </w:t>
      </w:r>
      <w:r w:rsidRPr="00AB15C9">
        <w:rPr>
          <w:bCs/>
        </w:rPr>
        <w:t>návrhu zákona v druhom čítaní vo výboroch.</w:t>
      </w:r>
    </w:p>
    <w:p w:rsidR="00A46744" w:rsidP="004F7FF6">
      <w:pPr>
        <w:pStyle w:val="BodyText2"/>
        <w:ind w:left="705"/>
      </w:pPr>
    </w:p>
    <w:p w:rsidR="00AB15C9" w:rsidP="004F7FF6">
      <w:pPr>
        <w:pStyle w:val="BodyText2"/>
        <w:ind w:left="705"/>
      </w:pPr>
    </w:p>
    <w:p w:rsidR="00233A93">
      <w:pPr>
        <w:pStyle w:val="BodyText2"/>
        <w:jc w:val="center"/>
        <w:rPr>
          <w:b/>
        </w:rPr>
      </w:pPr>
      <w:r>
        <w:rPr>
          <w:b/>
        </w:rPr>
        <w:t>II.</w:t>
      </w:r>
    </w:p>
    <w:p w:rsidR="00A46744">
      <w:pPr>
        <w:pStyle w:val="BodyText2"/>
        <w:jc w:val="center"/>
        <w:rPr>
          <w:b/>
        </w:rPr>
      </w:pPr>
    </w:p>
    <w:p w:rsidR="00A46744" w:rsidRPr="00A46744" w:rsidP="00A46744">
      <w:pPr>
        <w:tabs>
          <w:tab w:val="left" w:pos="-1985"/>
          <w:tab w:val="left" w:pos="709"/>
          <w:tab w:val="left" w:pos="1077"/>
        </w:tabs>
        <w:jc w:val="both"/>
      </w:pPr>
      <w:r w:rsidRPr="00A46744">
        <w:t xml:space="preserve">Poslanci Národnej rady Slovenskej republiky, ktorí nie sú členmi výborov, ktorým bol návrh zákona pridelený, </w:t>
      </w:r>
      <w:r w:rsidRPr="00A46744">
        <w:rPr>
          <w:bCs/>
        </w:rPr>
        <w:t>neoznámili v určenej lehote</w:t>
      </w:r>
      <w:r w:rsidRPr="00A46744">
        <w:t xml:space="preserve"> gestorskému výboru </w:t>
      </w:r>
      <w:r w:rsidRPr="00A46744">
        <w:rPr>
          <w:bCs/>
        </w:rPr>
        <w:t>žiadne stanovisko</w:t>
      </w:r>
      <w:r w:rsidRPr="00A46744">
        <w:t xml:space="preserve"> k predmetnému  </w:t>
      </w:r>
      <w:r w:rsidR="000F719E">
        <w:t xml:space="preserve">vládnemu </w:t>
      </w:r>
      <w:r w:rsidRPr="00A46744">
        <w:t>návrhu zákona (§ 75 ods. 2 zákona o rokovacom poriadku Národnej rady Slovenskej republiky).</w:t>
      </w:r>
    </w:p>
    <w:p w:rsidR="00A46744" w:rsidP="00324934">
      <w:pPr>
        <w:jc w:val="both"/>
      </w:pPr>
    </w:p>
    <w:p w:rsidR="00AB15C9" w:rsidP="00324934">
      <w:pPr>
        <w:jc w:val="both"/>
      </w:pPr>
    </w:p>
    <w:p w:rsidR="00FE1C8D" w:rsidP="00324934">
      <w:pPr>
        <w:jc w:val="both"/>
      </w:pPr>
    </w:p>
    <w:p w:rsidR="000F719E" w:rsidP="00324934">
      <w:pPr>
        <w:jc w:val="both"/>
      </w:pPr>
    </w:p>
    <w:p w:rsidR="000F719E" w:rsidP="00324934">
      <w:pPr>
        <w:jc w:val="both"/>
      </w:pPr>
    </w:p>
    <w:p w:rsidR="000F719E" w:rsidP="00324934">
      <w:pPr>
        <w:jc w:val="both"/>
      </w:pPr>
    </w:p>
    <w:p w:rsidR="00233A93">
      <w:pPr>
        <w:pStyle w:val="BodyText2"/>
        <w:ind w:firstLine="3"/>
        <w:jc w:val="center"/>
        <w:rPr>
          <w:b/>
        </w:rPr>
      </w:pPr>
      <w:r>
        <w:rPr>
          <w:b/>
        </w:rPr>
        <w:t>III.</w:t>
      </w:r>
    </w:p>
    <w:p w:rsidR="00501B42">
      <w:pPr>
        <w:pStyle w:val="BodyText2"/>
        <w:ind w:left="705"/>
        <w:jc w:val="center"/>
        <w:rPr>
          <w:b/>
        </w:rPr>
      </w:pPr>
    </w:p>
    <w:p w:rsidR="00233A93">
      <w:pPr>
        <w:pStyle w:val="BodyText2"/>
        <w:ind w:firstLine="720"/>
      </w:pPr>
      <w:r>
        <w:t xml:space="preserve">K predmetnému </w:t>
      </w:r>
      <w:r w:rsidR="00FE1C8D">
        <w:t xml:space="preserve">vládnemu </w:t>
      </w:r>
      <w:r>
        <w:t>návrhu zákona zaujali výbory Národnej rady Slovenskej republiky t</w:t>
      </w:r>
      <w:r w:rsidR="00222206">
        <w:t>oto stanovisko</w:t>
      </w:r>
      <w:r>
        <w:t>:</w:t>
      </w:r>
    </w:p>
    <w:p w:rsidR="00E24C65">
      <w:pPr>
        <w:pStyle w:val="BodyText2"/>
        <w:ind w:firstLine="720"/>
      </w:pPr>
    </w:p>
    <w:p w:rsidR="007A6C10" w:rsidP="00A87F9E">
      <w:pPr>
        <w:pStyle w:val="BodyText2"/>
        <w:numPr>
          <w:ilvl w:val="0"/>
          <w:numId w:val="38"/>
        </w:numPr>
        <w:ind w:left="720"/>
        <w:rPr>
          <w:b/>
          <w:bCs/>
        </w:rPr>
      </w:pPr>
      <w:r w:rsidR="00301D8C">
        <w:t xml:space="preserve">Odporúčanie pre Národnú radu Slovenskej republiky návrh </w:t>
      </w:r>
      <w:r w:rsidRPr="00BF4D55" w:rsidR="00301D8C">
        <w:rPr>
          <w:b/>
          <w:bCs/>
        </w:rPr>
        <w:t xml:space="preserve">schváliť </w:t>
      </w:r>
      <w:r w:rsidR="000F719E">
        <w:rPr>
          <w:b/>
          <w:bCs/>
        </w:rPr>
        <w:t xml:space="preserve">s pozmeňujúcimi a doplňujúcimi návrhmi </w:t>
      </w:r>
    </w:p>
    <w:p w:rsidR="00BF4D55" w:rsidRPr="00BF4D55" w:rsidP="00BF4D55">
      <w:pPr>
        <w:pStyle w:val="BodyText2"/>
        <w:ind w:left="720"/>
        <w:rPr>
          <w:b/>
          <w:bCs/>
        </w:rPr>
      </w:pPr>
    </w:p>
    <w:p w:rsidR="00FE1C8D" w:rsidP="00FE1C8D">
      <w:pPr>
        <w:pStyle w:val="BodyText2"/>
        <w:numPr>
          <w:ilvl w:val="0"/>
          <w:numId w:val="1"/>
        </w:numPr>
      </w:pPr>
      <w:r w:rsidRPr="00AB15C9" w:rsidR="004D053D">
        <w:rPr>
          <w:b/>
        </w:rPr>
        <w:t>Výbor</w:t>
      </w:r>
      <w:r w:rsidR="004D053D">
        <w:t xml:space="preserve"> Národnej rady Slovenskej repu</w:t>
      </w:r>
      <w:r w:rsidR="004D053D">
        <w:t xml:space="preserve">bliky </w:t>
      </w:r>
      <w:r w:rsidRPr="00AB15C9" w:rsidR="004D053D">
        <w:rPr>
          <w:b/>
        </w:rPr>
        <w:t>pre financie a rozpočet</w:t>
      </w:r>
      <w:r w:rsidR="005806D6">
        <w:t xml:space="preserve"> (uzn. č. </w:t>
      </w:r>
      <w:r w:rsidR="0095738A">
        <w:t>466</w:t>
      </w:r>
      <w:r w:rsidRPr="00FE1C8D">
        <w:t xml:space="preserve"> </w:t>
      </w:r>
      <w:r>
        <w:t xml:space="preserve">zo dňa </w:t>
      </w:r>
      <w:r w:rsidR="000F719E">
        <w:t xml:space="preserve">5. </w:t>
      </w:r>
      <w:r w:rsidR="000102B1">
        <w:t>septembra</w:t>
      </w:r>
      <w:r>
        <w:t xml:space="preserve"> 2019)</w:t>
      </w:r>
    </w:p>
    <w:p w:rsidR="0041678D" w:rsidP="000102B1">
      <w:pPr>
        <w:pStyle w:val="ListParagraph"/>
      </w:pPr>
    </w:p>
    <w:p w:rsidR="000102B1" w:rsidP="0041678D">
      <w:pPr>
        <w:pStyle w:val="ListParagraph"/>
        <w:numPr>
          <w:ilvl w:val="0"/>
          <w:numId w:val="38"/>
        </w:numPr>
        <w:ind w:hanging="1014"/>
      </w:pPr>
      <w:r w:rsidR="0041678D">
        <w:t>O</w:t>
      </w:r>
      <w:r w:rsidRPr="0041678D" w:rsidR="0041678D">
        <w:rPr>
          <w:rFonts w:ascii="Times New Roman" w:hAnsi="Times New Roman"/>
          <w:sz w:val="24"/>
          <w:szCs w:val="24"/>
        </w:rPr>
        <w:t xml:space="preserve">dporúčanie pre Národnú radu Slovenskej republiky návrh </w:t>
      </w:r>
      <w:r w:rsidRPr="0041678D" w:rsidR="0041678D">
        <w:rPr>
          <w:rFonts w:ascii="Times New Roman" w:hAnsi="Times New Roman"/>
          <w:b/>
          <w:bCs/>
          <w:sz w:val="24"/>
          <w:szCs w:val="24"/>
        </w:rPr>
        <w:t>schváliť</w:t>
      </w:r>
    </w:p>
    <w:p w:rsidR="000102B1" w:rsidP="000102B1">
      <w:pPr>
        <w:pStyle w:val="BodyText2"/>
        <w:numPr>
          <w:ilvl w:val="0"/>
          <w:numId w:val="1"/>
        </w:numPr>
      </w:pPr>
      <w:r w:rsidRPr="00FB2958">
        <w:rPr>
          <w:b/>
        </w:rPr>
        <w:t>Zahraničný výbor</w:t>
      </w:r>
      <w:r>
        <w:t xml:space="preserve"> Národnej rady Slovenskej republiky (uzn. č. </w:t>
      </w:r>
      <w:r w:rsidR="0041678D">
        <w:t>149</w:t>
      </w:r>
      <w:r>
        <w:t xml:space="preserve"> zo dňa </w:t>
      </w:r>
      <w:r w:rsidR="0041678D">
        <w:t>3</w:t>
      </w:r>
      <w:r>
        <w:t>. septembra 2019)</w:t>
      </w:r>
    </w:p>
    <w:p w:rsidR="000734C1" w:rsidP="000734C1">
      <w:pPr>
        <w:pStyle w:val="BodyText2"/>
        <w:ind w:left="1065"/>
      </w:pPr>
    </w:p>
    <w:p w:rsidR="00B800D3" w:rsidRPr="00B800D3" w:rsidP="00B800D3">
      <w:pPr>
        <w:pStyle w:val="BodyText2"/>
        <w:numPr>
          <w:ilvl w:val="0"/>
          <w:numId w:val="1"/>
        </w:numPr>
      </w:pPr>
      <w:r w:rsidRPr="00B800D3">
        <w:rPr>
          <w:b/>
        </w:rPr>
        <w:t>Ústavnoprávny výbor</w:t>
      </w:r>
      <w:r w:rsidRPr="00B800D3">
        <w:t xml:space="preserve"> Národnej rady Slovenskej republiky (uzn. č. 678 zo dňa 9. septembra 2019)</w:t>
      </w:r>
    </w:p>
    <w:p w:rsidR="007A6C10" w:rsidP="007A6C10">
      <w:pPr>
        <w:pStyle w:val="BodyText2"/>
        <w:ind w:left="1065"/>
      </w:pPr>
    </w:p>
    <w:p w:rsidR="00233A93">
      <w:pPr>
        <w:pStyle w:val="BodyText2"/>
        <w:jc w:val="center"/>
        <w:rPr>
          <w:b/>
        </w:rPr>
      </w:pPr>
      <w:r>
        <w:rPr>
          <w:b/>
        </w:rPr>
        <w:t>IV.</w:t>
      </w:r>
    </w:p>
    <w:p w:rsidR="00233A93">
      <w:pPr>
        <w:pStyle w:val="BodyText2"/>
        <w:ind w:left="1065"/>
        <w:jc w:val="center"/>
        <w:rPr>
          <w:b/>
        </w:rPr>
      </w:pPr>
    </w:p>
    <w:p w:rsidR="00233A93" w:rsidRPr="00650AF6" w:rsidP="00FA3091">
      <w:pPr>
        <w:pStyle w:val="BodyText2"/>
        <w:ind w:firstLine="708"/>
      </w:pPr>
      <w:r w:rsidRPr="00AC16EF" w:rsidR="00EB7C0C">
        <w:t>Z uzn</w:t>
      </w:r>
      <w:r w:rsidR="00E37D6A">
        <w:t>esen</w:t>
      </w:r>
      <w:r w:rsidR="00B800D3">
        <w:t>ia</w:t>
      </w:r>
      <w:r w:rsidRPr="00AC16EF">
        <w:t xml:space="preserve"> výbor</w:t>
      </w:r>
      <w:r w:rsidR="00B800D3">
        <w:t>u</w:t>
      </w:r>
      <w:r>
        <w:t xml:space="preserve"> Národnej ra</w:t>
      </w:r>
      <w:r w:rsidR="008E1580">
        <w:t>dy Slovenskej republ</w:t>
      </w:r>
      <w:r w:rsidR="0085078D">
        <w:t xml:space="preserve">iky </w:t>
      </w:r>
      <w:r w:rsidR="00B800D3">
        <w:t>uvedeného</w:t>
      </w:r>
      <w:r w:rsidRPr="00AC16EF">
        <w:t xml:space="preserve"> pod bodom</w:t>
      </w:r>
      <w:r w:rsidR="00F2536F">
        <w:t xml:space="preserve"> III. tejto správy </w:t>
      </w:r>
      <w:r w:rsidR="000F719E">
        <w:t>vyplývajú</w:t>
      </w:r>
      <w:r w:rsidR="00BF4D55">
        <w:t xml:space="preserve"> </w:t>
      </w:r>
      <w:r w:rsidRPr="00650AF6" w:rsidR="00115AB5">
        <w:t>p</w:t>
      </w:r>
      <w:r w:rsidRPr="00650AF6" w:rsidR="00D3131A">
        <w:t>ozmeňujúc</w:t>
      </w:r>
      <w:r w:rsidR="00BF4D55">
        <w:t>e</w:t>
      </w:r>
      <w:r w:rsidRPr="00650AF6" w:rsidR="00D3131A">
        <w:t xml:space="preserve"> </w:t>
      </w:r>
      <w:r w:rsidRPr="00650AF6" w:rsidR="003D7154">
        <w:t>a doplňujúc</w:t>
      </w:r>
      <w:r w:rsidR="00BF4D55">
        <w:t>e</w:t>
      </w:r>
      <w:r w:rsidRPr="00650AF6" w:rsidR="003D7154">
        <w:t xml:space="preserve"> </w:t>
      </w:r>
      <w:r w:rsidRPr="00650AF6" w:rsidR="00D3131A">
        <w:t>návrh</w:t>
      </w:r>
      <w:r w:rsidR="00BF4D55">
        <w:t>y</w:t>
      </w:r>
      <w:r w:rsidRPr="00650AF6" w:rsidR="005B6CCD">
        <w:t xml:space="preserve">: </w:t>
      </w:r>
    </w:p>
    <w:p w:rsidR="005B6CCD" w:rsidP="002C3917">
      <w:pPr>
        <w:pStyle w:val="BodyText2"/>
        <w:ind w:firstLine="708"/>
      </w:pPr>
    </w:p>
    <w:p w:rsidR="003D4FFC" w:rsidRPr="00D3196B" w:rsidP="003D4FFC">
      <w:pPr>
        <w:numPr>
          <w:ilvl w:val="0"/>
          <w:numId w:val="40"/>
        </w:numPr>
        <w:ind w:left="426" w:hanging="426"/>
        <w:jc w:val="both"/>
      </w:pPr>
      <w:r w:rsidRPr="003D4FFC">
        <w:rPr>
          <w:b/>
        </w:rPr>
        <w:t>V čl. I sa za bod 2</w:t>
      </w:r>
      <w:r w:rsidRPr="00D3196B">
        <w:t xml:space="preserve"> vkladá nový bod 3, ktorý zni</w:t>
      </w:r>
      <w:r w:rsidRPr="00D3196B">
        <w:t>e:</w:t>
      </w:r>
    </w:p>
    <w:p w:rsidR="003D4FFC" w:rsidRPr="00D3196B" w:rsidP="003D4FFC">
      <w:pPr>
        <w:ind w:left="426"/>
        <w:jc w:val="both"/>
      </w:pPr>
      <w:r w:rsidRPr="00D3196B">
        <w:t>„3. V § 17 ods. 2 sa za slovo „pohľadávky“ vkladajú slová „a záväzky“ a na konci sa bodka nahrádza čiarkou a pripájajú sa tieto slová: „alebo ak to vyplýva z medzinárodnej zmluvy, ktorou je Slovenská republika viazaná.“.“.</w:t>
      </w:r>
    </w:p>
    <w:p w:rsidR="003D4FFC" w:rsidRPr="00D3196B" w:rsidP="003D4FFC">
      <w:pPr>
        <w:ind w:firstLine="426"/>
        <w:jc w:val="both"/>
      </w:pPr>
      <w:r w:rsidRPr="00D3196B">
        <w:t xml:space="preserve">  </w:t>
      </w:r>
    </w:p>
    <w:p w:rsidR="003D4FFC" w:rsidRPr="00D3196B" w:rsidP="003D4FFC">
      <w:pPr>
        <w:ind w:firstLine="426"/>
        <w:jc w:val="both"/>
      </w:pPr>
      <w:r>
        <w:t>N</w:t>
      </w:r>
      <w:r w:rsidRPr="00D3196B">
        <w:t>asledujúce body sa primerane prečíslujú.</w:t>
      </w:r>
    </w:p>
    <w:p w:rsidR="003D4FFC" w:rsidRPr="00D3196B" w:rsidP="003D4FFC">
      <w:pPr>
        <w:ind w:left="426"/>
        <w:jc w:val="both"/>
      </w:pPr>
      <w:r w:rsidRPr="00D3196B">
        <w:t xml:space="preserve"> </w:t>
      </w:r>
    </w:p>
    <w:p w:rsidR="003D4FFC" w:rsidRPr="00D3196B" w:rsidP="003D4FFC">
      <w:pPr>
        <w:ind w:left="3402"/>
        <w:jc w:val="both"/>
      </w:pPr>
      <w:r w:rsidRPr="00D3196B">
        <w:t>V súvislosti so schválením modelovej zmluvy o konsolidácii ekonomických vzťahov uznesením vlády SR č. 581/2018 zo dňa 12. decembra 2018 je potrebné doplniť ustanovenie § 17 ods. 2 zákona o Eximbanke tak, aby zohľadňovalo prípadné práva a povinnosti vyplývajúce pre SR zo zmlúv o konsolidácii ekonomických vzťahov. Týmito zmluvami druhý zmluvný štát pristúpi k uznaniu pohľadávky SR, ktorá ju môže v budúcnosti nadobudnúť v dôsledku uplatnenia citovaného ustanovenia § 17 ods. 2 zákona. Navrh</w:t>
      </w:r>
      <w:r w:rsidRPr="00D3196B">
        <w:rPr>
          <w:color w:val="000000"/>
        </w:rPr>
        <w:t>ovaná úprava tak umožní vláde využiť rýchly a flexibilný postup pri prijímaní prevenčných opatrení v prospech Eximbanky nielen ak by mohlo dôjsť k ohrozeniu vykonávania činností a úloh Eximbanky, ale aj ak to bude vyplývať z medzinárodnej zmluvy uzavretej medzi Slovenskou republiku a krajinou vývozu (štátom, kde má zahraničný odberateľ sídlo). Zároveň sa ustanovenie § 17 ods. 2 dopĺňa tak, aby Ministerstvo financií SR mohlo prevziať nielen pohľadávku vzniknutú z poistenia vývozného úveru, to znamená expozíciu z poistenia v čase až keď vznikla regresná pohľadávka z poistného plnenia, ale aj záväzok z poistenia vývozného úveru, to znamená expozíciu z poistenia už v čase, keď ešte nedošlo k poistnému plneniu.</w:t>
      </w:r>
      <w:r w:rsidRPr="00D3196B">
        <w:tab/>
        <w:tab/>
        <w:tab/>
        <w:tab/>
      </w:r>
    </w:p>
    <w:p w:rsidR="003D4FFC" w:rsidP="003D4FFC">
      <w:pPr>
        <w:jc w:val="both"/>
      </w:pPr>
    </w:p>
    <w:p w:rsidR="0024103D" w:rsidP="003D4FFC">
      <w:pPr>
        <w:jc w:val="both"/>
      </w:pPr>
    </w:p>
    <w:p w:rsidR="003D4FFC" w:rsidRPr="003D4FFC" w:rsidP="003D4FFC">
      <w:pPr>
        <w:ind w:left="3402"/>
        <w:jc w:val="both"/>
        <w:rPr>
          <w:b/>
        </w:rPr>
      </w:pPr>
      <w:r w:rsidRPr="00AB15C9">
        <w:rPr>
          <w:b/>
        </w:rPr>
        <w:t>Výbor</w:t>
      </w:r>
      <w:r>
        <w:t xml:space="preserve"> </w:t>
      </w:r>
      <w:r w:rsidRPr="003D4FFC">
        <w:rPr>
          <w:b/>
        </w:rPr>
        <w:t>NR SR pre financie a rozpočet</w:t>
      </w:r>
    </w:p>
    <w:p w:rsidR="003D4FFC" w:rsidRPr="003D4FFC" w:rsidP="003D4FFC">
      <w:pPr>
        <w:ind w:left="3402"/>
        <w:jc w:val="both"/>
        <w:rPr>
          <w:b/>
        </w:rPr>
      </w:pPr>
      <w:r w:rsidRPr="003D4FFC">
        <w:rPr>
          <w:b/>
        </w:rPr>
        <w:t xml:space="preserve">Gestorský výbor odporúča schváliť. </w:t>
      </w:r>
    </w:p>
    <w:p w:rsidR="003D4FFC" w:rsidRPr="00D3196B" w:rsidP="003D4FFC">
      <w:pPr>
        <w:jc w:val="both"/>
      </w:pPr>
    </w:p>
    <w:p w:rsidR="003D4FFC" w:rsidRPr="00D3196B" w:rsidP="003D4FFC">
      <w:pPr>
        <w:numPr>
          <w:ilvl w:val="0"/>
          <w:numId w:val="40"/>
        </w:numPr>
        <w:ind w:left="426" w:hanging="426"/>
        <w:jc w:val="both"/>
      </w:pPr>
      <w:r w:rsidRPr="003D4FFC">
        <w:rPr>
          <w:b/>
        </w:rPr>
        <w:t>Za čl. II sa vkladá nový čl. III</w:t>
      </w:r>
      <w:r w:rsidRPr="00D3196B">
        <w:t>, ktorý znie:</w:t>
      </w:r>
    </w:p>
    <w:p w:rsidR="003D4FFC" w:rsidRPr="00D3196B" w:rsidP="003D4FFC">
      <w:pPr>
        <w:pStyle w:val="ListParagraph"/>
        <w:spacing w:after="0" w:line="240" w:lineRule="auto"/>
        <w:ind w:left="0"/>
        <w:jc w:val="center"/>
        <w:rPr>
          <w:rFonts w:ascii="Times New Roman" w:hAnsi="Times New Roman"/>
          <w:sz w:val="24"/>
          <w:szCs w:val="24"/>
        </w:rPr>
      </w:pPr>
    </w:p>
    <w:p w:rsidR="003D4FFC" w:rsidRPr="00D3196B" w:rsidP="003D4FFC">
      <w:pPr>
        <w:pStyle w:val="ListParagraph"/>
        <w:spacing w:after="0" w:line="240" w:lineRule="auto"/>
        <w:ind w:left="0"/>
        <w:jc w:val="center"/>
        <w:rPr>
          <w:rFonts w:ascii="Times New Roman" w:hAnsi="Times New Roman"/>
          <w:sz w:val="24"/>
          <w:szCs w:val="24"/>
        </w:rPr>
      </w:pPr>
      <w:r w:rsidRPr="00D3196B">
        <w:rPr>
          <w:rFonts w:ascii="Times New Roman" w:hAnsi="Times New Roman"/>
          <w:sz w:val="24"/>
          <w:szCs w:val="24"/>
        </w:rPr>
        <w:t>„Čl. III</w:t>
      </w:r>
    </w:p>
    <w:p w:rsidR="003D4FFC" w:rsidRPr="00D3196B" w:rsidP="003D4FFC">
      <w:pPr>
        <w:ind w:firstLine="426"/>
        <w:jc w:val="both"/>
      </w:pPr>
      <w:r w:rsidRPr="00D3196B">
        <w:rPr>
          <w:rFonts w:eastAsia="Calibri"/>
        </w:rPr>
        <w:t>Zákon č. 381/2001 Z. z. o povinnom zmluvnom poistení zodpovednosti za škodu spôsobenú prevádzkou motorového vozidla a o zmene a doplnení niektorých zákonov v znení zákona č. 95/2002 Z. z., zákona č. 99/2003 Z. z., zákona č. 430/2003 Z. z., zákona</w:t>
        <w:br/>
        <w:t>č. 595/2003 Z. z., zákona č. 186/2004 Z. z., zákona č. 645/2004 Z. z., zákona č. 747/2004</w:t>
        <w:br/>
        <w:t>Z. z., zákona č. 91/2005 Z. z., zákona č. 188/2006 Z. z., zákona č. 110/2007 Z. z., zákona</w:t>
        <w:br/>
        <w:t>č. 8/2009 Z. z., zákona č. 144/2010 Z. z., zákona č. 520/2011 Z. z., zákona č. 180/2013 Z. z., zákona č. 39/2015 Z. z. a zákona č. 373/2018 Z. z. sa mení takto</w:t>
      </w:r>
      <w:r w:rsidRPr="00D3196B">
        <w:t>:</w:t>
      </w:r>
    </w:p>
    <w:p w:rsidR="003D4FFC" w:rsidRPr="00D3196B" w:rsidP="003D4FFC">
      <w:pPr>
        <w:pStyle w:val="ListParagraph"/>
        <w:spacing w:after="0" w:line="240" w:lineRule="auto"/>
        <w:ind w:left="0"/>
        <w:jc w:val="both"/>
        <w:rPr>
          <w:rFonts w:ascii="Times New Roman" w:hAnsi="Times New Roman"/>
          <w:sz w:val="24"/>
          <w:szCs w:val="24"/>
        </w:rPr>
      </w:pPr>
    </w:p>
    <w:p w:rsidR="003D4FFC" w:rsidRPr="00D3196B" w:rsidP="003D4FFC">
      <w:pPr>
        <w:numPr>
          <w:ilvl w:val="0"/>
          <w:numId w:val="41"/>
        </w:numPr>
        <w:ind w:left="426" w:hanging="426"/>
        <w:jc w:val="both"/>
      </w:pPr>
      <w:r w:rsidRPr="00D3196B">
        <w:t>V § 9 ods. 5 sa vypúšťajú slová „potvrdenie o poistení zodpovednosti a“.</w:t>
      </w:r>
    </w:p>
    <w:p w:rsidR="003D4FFC" w:rsidRPr="00D3196B" w:rsidP="003D4FFC">
      <w:pPr>
        <w:ind w:left="426"/>
        <w:jc w:val="both"/>
      </w:pPr>
    </w:p>
    <w:p w:rsidR="003D4FFC" w:rsidRPr="00D3196B" w:rsidP="003D4FFC">
      <w:pPr>
        <w:numPr>
          <w:ilvl w:val="0"/>
          <w:numId w:val="41"/>
        </w:numPr>
        <w:ind w:left="426" w:hanging="426"/>
        <w:jc w:val="both"/>
      </w:pPr>
      <w:r w:rsidRPr="00D3196B">
        <w:t>V § 11 odsek 1 znie:</w:t>
      </w:r>
    </w:p>
    <w:p w:rsidR="003D4FFC" w:rsidRPr="00D3196B" w:rsidP="003D4FFC">
      <w:pPr>
        <w:ind w:left="426"/>
        <w:jc w:val="both"/>
      </w:pPr>
      <w:r w:rsidRPr="00D3196B">
        <w:t>„(1) Poisťovateľ je povinný po uzavretí poistnej zmluvy vydať poistníkovi bez zbytočného odkladu zelenú kartu.“.</w:t>
      </w:r>
    </w:p>
    <w:p w:rsidR="003D4FFC" w:rsidRPr="00D3196B" w:rsidP="003D4FFC">
      <w:pPr>
        <w:jc w:val="both"/>
      </w:pPr>
    </w:p>
    <w:p w:rsidR="003D4FFC" w:rsidRPr="00D3196B" w:rsidP="003D4FFC">
      <w:pPr>
        <w:numPr>
          <w:ilvl w:val="0"/>
          <w:numId w:val="41"/>
        </w:numPr>
        <w:ind w:left="426" w:hanging="426"/>
        <w:jc w:val="both"/>
      </w:pPr>
      <w:r w:rsidRPr="00D3196B">
        <w:t>V § 17 sa slová „potvrdením o poistení zodpovednosti“ nahrádzajú slovami „zelenou kartou“.</w:t>
      </w:r>
    </w:p>
    <w:p w:rsidR="003D4FFC" w:rsidRPr="00D3196B" w:rsidP="003D4FFC">
      <w:pPr>
        <w:jc w:val="both"/>
      </w:pPr>
    </w:p>
    <w:p w:rsidR="003D4FFC" w:rsidRPr="00D3196B" w:rsidP="003D4FFC">
      <w:pPr>
        <w:numPr>
          <w:ilvl w:val="0"/>
          <w:numId w:val="41"/>
        </w:numPr>
        <w:ind w:left="426" w:hanging="426"/>
        <w:jc w:val="both"/>
      </w:pPr>
      <w:r w:rsidRPr="00D3196B">
        <w:t>V § 18 ods. 1 sa slová „potvrdenie o poistení zodpoved</w:t>
      </w:r>
      <w:r w:rsidRPr="00D3196B">
        <w:t xml:space="preserve">nosti, ktoré“ nahrádzajú slovami „zelenú kartu, ktorú“.“. </w:t>
      </w:r>
    </w:p>
    <w:p w:rsidR="003D4FFC" w:rsidRPr="00D3196B" w:rsidP="003D4FFC">
      <w:pPr>
        <w:pStyle w:val="ListParagraph"/>
        <w:spacing w:after="0" w:line="240" w:lineRule="auto"/>
        <w:rPr>
          <w:rFonts w:ascii="Times New Roman" w:hAnsi="Times New Roman"/>
          <w:sz w:val="24"/>
          <w:szCs w:val="24"/>
        </w:rPr>
      </w:pPr>
    </w:p>
    <w:p w:rsidR="003D4FFC" w:rsidRPr="00D3196B" w:rsidP="003D4FFC">
      <w:pPr>
        <w:ind w:left="426"/>
        <w:jc w:val="both"/>
      </w:pPr>
      <w:r w:rsidRPr="00D3196B">
        <w:t>Doterajšie články sa primerane prečíslujú.</w:t>
      </w:r>
    </w:p>
    <w:p w:rsidR="003D4FFC" w:rsidRPr="00D3196B" w:rsidP="003D4FFC">
      <w:pPr>
        <w:jc w:val="both"/>
      </w:pPr>
    </w:p>
    <w:p w:rsidR="003D4FFC" w:rsidRPr="00D3196B" w:rsidP="003D4FFC">
      <w:pPr>
        <w:ind w:left="3402"/>
        <w:jc w:val="both"/>
        <w:rPr>
          <w:rFonts w:eastAsia="Calibri"/>
        </w:rPr>
      </w:pPr>
      <w:r w:rsidRPr="00D3196B">
        <w:t xml:space="preserve">Vzhľadom na skutočnosť, že cieľom predloženého vládneho návrhu zákona je vytvorenie legislatívnych predpokladov pre zefektívnenie fungovania špecializovaných finančných subjektov, navrhuje sa do návrhu zákona vložiť nový článok III, ktorého predmetom bude vytvorenie legislatívnych predpokladov pre zefektívnenie vykonávania špecificky regulovaného poistenia, ktorým je povinné zmluvné poistenie, a to prostredníctvom novelizácie zákona o povinnom zmluvnom poistení zodpovednosti za škodu spôsobenú prevádzkou motorového vozidla. Navrhovanou právnou úpravou sa ruší poisťovateľom povinnosť vydávať potvrdenie o poistení zodpovednosti – tzv. „bielu kartu“. </w:t>
      </w:r>
      <w:r w:rsidRPr="00D3196B">
        <w:rPr>
          <w:rFonts w:eastAsia="Calibri"/>
        </w:rPr>
        <w:t xml:space="preserve">Vydávanie potvrdenia o poistení zodpovednosti je dodatočným administratívnym </w:t>
      </w:r>
      <w:r w:rsidRPr="00D3196B">
        <w:rPr>
          <w:rFonts w:eastAsia="Calibri"/>
        </w:rPr>
        <w:t>nákladom pre poisťovateľov, keďže toto potvrdenie je dokladom používaným len v rámci SR. Poisťovatelia zároveň vydávajú tzv. „zelenú kartu“, ktorá je medzinárodnou kartou automobilového poistenia slúžiacou ako doklad o uzavretí poistenia pri prevádzke vozidla na území iného členského štátu. Z dôvodu, že sa jedná o doklad o uzavretí toho istého poistenia, navrhuje sa, aby poisťovatelia vydávali len zelené karty, ktoré zároveň budú slúžiť na preukazovanie poistenia zodpovednosti. Doplňujúci návrh reaguje na úlohu zrušiť povinnosť vydávať potvrdenie o poistení zodpovednosti, vyplývajúcu z bodu B.27 uznesenia vlády SR č. 51 zo 6. februára 2019 k návrhu opatrení na zlepšenie podnikateľského prostredia.</w:t>
      </w:r>
    </w:p>
    <w:p w:rsidR="003D4FFC" w:rsidP="003D4FFC">
      <w:pPr>
        <w:jc w:val="both"/>
      </w:pPr>
    </w:p>
    <w:p w:rsidR="003D4FFC" w:rsidP="003D4FFC">
      <w:pPr>
        <w:jc w:val="both"/>
      </w:pPr>
    </w:p>
    <w:p w:rsidR="003D4FFC" w:rsidP="003D4FFC">
      <w:pPr>
        <w:jc w:val="both"/>
      </w:pPr>
    </w:p>
    <w:p w:rsidR="003D4FFC" w:rsidP="003D4FFC">
      <w:pPr>
        <w:jc w:val="both"/>
      </w:pPr>
    </w:p>
    <w:p w:rsidR="003D4FFC" w:rsidRPr="003D4FFC" w:rsidP="003D4FFC">
      <w:pPr>
        <w:ind w:left="3402"/>
        <w:jc w:val="both"/>
        <w:rPr>
          <w:b/>
        </w:rPr>
      </w:pPr>
      <w:r w:rsidRPr="00AB15C9">
        <w:rPr>
          <w:b/>
        </w:rPr>
        <w:t>Výbor</w:t>
      </w:r>
      <w:r>
        <w:t xml:space="preserve"> </w:t>
      </w:r>
      <w:r w:rsidRPr="003D4FFC">
        <w:rPr>
          <w:b/>
        </w:rPr>
        <w:t>NR SR pre financie a rozpočet</w:t>
      </w:r>
    </w:p>
    <w:p w:rsidR="003D4FFC" w:rsidP="003D4FFC">
      <w:pPr>
        <w:ind w:left="2694" w:firstLine="708"/>
        <w:jc w:val="both"/>
      </w:pPr>
      <w:r w:rsidRPr="003D4FFC">
        <w:rPr>
          <w:b/>
        </w:rPr>
        <w:t>Gestorský výbor odporúča schváliť.</w:t>
      </w:r>
    </w:p>
    <w:p w:rsidR="003D4FFC" w:rsidP="003D4FFC">
      <w:pPr>
        <w:jc w:val="both"/>
      </w:pPr>
    </w:p>
    <w:p w:rsidR="003D4FFC" w:rsidRPr="00D3196B" w:rsidP="003D4FFC">
      <w:pPr>
        <w:jc w:val="both"/>
      </w:pPr>
    </w:p>
    <w:p w:rsidR="003D4FFC" w:rsidRPr="00D3196B" w:rsidP="003D4FFC">
      <w:pPr>
        <w:numPr>
          <w:ilvl w:val="0"/>
          <w:numId w:val="40"/>
        </w:numPr>
        <w:ind w:left="426" w:hanging="426"/>
        <w:jc w:val="both"/>
      </w:pPr>
      <w:r w:rsidRPr="003D4FFC">
        <w:rPr>
          <w:b/>
        </w:rPr>
        <w:t>Za čl. III sa vkladá nový čl. IV</w:t>
      </w:r>
      <w:r w:rsidRPr="00D3196B">
        <w:t>, ktorý znie:</w:t>
      </w:r>
    </w:p>
    <w:p w:rsidR="003D4FFC" w:rsidRPr="00D3196B" w:rsidP="003D4FFC">
      <w:pPr>
        <w:ind w:left="426"/>
        <w:jc w:val="both"/>
      </w:pPr>
    </w:p>
    <w:p w:rsidR="003D4FFC" w:rsidRPr="00D3196B" w:rsidP="003D4FFC">
      <w:pPr>
        <w:pStyle w:val="NoSpacing"/>
        <w:jc w:val="center"/>
        <w:rPr>
          <w:rFonts w:ascii="Times New Roman" w:hAnsi="Times New Roman"/>
          <w:sz w:val="24"/>
          <w:szCs w:val="24"/>
        </w:rPr>
      </w:pPr>
      <w:r w:rsidRPr="00D3196B">
        <w:rPr>
          <w:rFonts w:ascii="Times New Roman" w:hAnsi="Times New Roman"/>
          <w:sz w:val="24"/>
          <w:szCs w:val="24"/>
          <w:lang w:eastAsia="sk-SK"/>
        </w:rPr>
        <w:t>„</w:t>
      </w:r>
      <w:r w:rsidRPr="00D3196B">
        <w:rPr>
          <w:rFonts w:ascii="Times New Roman" w:hAnsi="Times New Roman"/>
          <w:sz w:val="24"/>
          <w:szCs w:val="24"/>
        </w:rPr>
        <w:t>Čl. IV</w:t>
      </w:r>
    </w:p>
    <w:p w:rsidR="003D4FFC" w:rsidRPr="00D3196B" w:rsidP="003D4FFC">
      <w:pPr>
        <w:pStyle w:val="NoSpacing"/>
        <w:rPr>
          <w:rFonts w:ascii="Times New Roman" w:hAnsi="Times New Roman"/>
          <w:sz w:val="24"/>
          <w:szCs w:val="24"/>
        </w:rPr>
      </w:pPr>
    </w:p>
    <w:p w:rsidR="003D4FFC" w:rsidRPr="00D3196B" w:rsidP="003D4FFC">
      <w:pPr>
        <w:pStyle w:val="NoSpacing"/>
        <w:ind w:firstLine="426"/>
        <w:rPr>
          <w:rFonts w:ascii="Times New Roman" w:hAnsi="Times New Roman"/>
          <w:sz w:val="24"/>
          <w:szCs w:val="24"/>
        </w:rPr>
      </w:pPr>
      <w:r w:rsidRPr="00D3196B">
        <w:rPr>
          <w:rFonts w:ascii="Times New Roman" w:hAnsi="Times New Roman"/>
          <w:sz w:val="24"/>
          <w:szCs w:val="24"/>
        </w:rPr>
        <w:t>Zákon č. 39/2015 Z. z. o poisťovníctve a o zmene a doplnení niektorých zákonov v znení zákona č. 359/2015 Z. z., zákona č. 437/2015 Z. z., zákona č. 125/2016 Z. z., zákona</w:t>
        <w:br/>
        <w:t>č. 292/2016 Z. z., zákona č. 339/2016 Z. z., zákona č. 282/2017 Z. z., zákona č. 18/2018 Z. z., zákona č. 109/2018 Z. z., zákona č. 177/2018 Z. z., zákona č. 213/2018 Z. z., zákona</w:t>
        <w:br/>
        <w:t>č. 214/2018 Z. z., zákona č. 156/2019 Z. z. a zákona č. 221/2019 Z. z. sa mení a dopĺňa takto:</w:t>
      </w:r>
    </w:p>
    <w:p w:rsidR="003D4FFC" w:rsidRPr="00D3196B" w:rsidP="003D4FFC">
      <w:pPr>
        <w:pStyle w:val="NoSpacing"/>
        <w:rPr>
          <w:rFonts w:ascii="Times New Roman" w:hAnsi="Times New Roman"/>
          <w:sz w:val="24"/>
          <w:szCs w:val="24"/>
        </w:rPr>
      </w:pPr>
    </w:p>
    <w:p w:rsidR="003D4FFC" w:rsidRPr="00D3196B" w:rsidP="003D4FFC">
      <w:pPr>
        <w:pStyle w:val="NoSpacing"/>
        <w:numPr>
          <w:ilvl w:val="0"/>
          <w:numId w:val="42"/>
        </w:numPr>
        <w:ind w:left="426" w:hanging="426"/>
        <w:rPr>
          <w:rFonts w:ascii="Times New Roman" w:hAnsi="Times New Roman"/>
          <w:sz w:val="24"/>
          <w:szCs w:val="24"/>
        </w:rPr>
      </w:pPr>
      <w:r w:rsidRPr="00D3196B">
        <w:rPr>
          <w:rFonts w:ascii="Times New Roman" w:hAnsi="Times New Roman"/>
          <w:sz w:val="24"/>
          <w:szCs w:val="24"/>
        </w:rPr>
        <w:t>V § 7 ods. 3 sa vypúšťa písmeno e).</w:t>
      </w:r>
    </w:p>
    <w:p w:rsidR="003D4FFC" w:rsidRPr="00D3196B" w:rsidP="003D4FFC">
      <w:pPr>
        <w:pStyle w:val="NoSpacing"/>
        <w:rPr>
          <w:rFonts w:ascii="Times New Roman" w:hAnsi="Times New Roman"/>
          <w:sz w:val="24"/>
          <w:szCs w:val="24"/>
        </w:rPr>
      </w:pPr>
    </w:p>
    <w:p w:rsidR="003D4FFC" w:rsidRPr="00D3196B" w:rsidP="003D4FFC">
      <w:pPr>
        <w:pStyle w:val="NoSpacing"/>
        <w:ind w:left="426"/>
        <w:rPr>
          <w:rFonts w:ascii="Times New Roman" w:hAnsi="Times New Roman"/>
          <w:sz w:val="24"/>
          <w:szCs w:val="24"/>
        </w:rPr>
      </w:pPr>
      <w:r w:rsidRPr="00D3196B">
        <w:rPr>
          <w:rFonts w:ascii="Times New Roman" w:hAnsi="Times New Roman"/>
          <w:sz w:val="24"/>
          <w:szCs w:val="24"/>
        </w:rPr>
        <w:t>Doterajšie písmená f) až h) sa označujú ako písmená e) až g).</w:t>
      </w:r>
    </w:p>
    <w:p w:rsidR="003D4FFC" w:rsidRPr="00D3196B" w:rsidP="003D4FFC">
      <w:pPr>
        <w:pStyle w:val="NoSpacing"/>
        <w:rPr>
          <w:rFonts w:ascii="Times New Roman" w:hAnsi="Times New Roman"/>
          <w:sz w:val="24"/>
          <w:szCs w:val="24"/>
        </w:rPr>
      </w:pPr>
    </w:p>
    <w:p w:rsidR="003D4FFC" w:rsidRPr="00D3196B" w:rsidP="003D4FFC">
      <w:pPr>
        <w:pStyle w:val="NoSpacing"/>
        <w:numPr>
          <w:ilvl w:val="0"/>
          <w:numId w:val="42"/>
        </w:numPr>
        <w:ind w:left="426" w:hanging="426"/>
        <w:rPr>
          <w:rFonts w:ascii="Times New Roman" w:hAnsi="Times New Roman"/>
          <w:sz w:val="24"/>
          <w:szCs w:val="24"/>
        </w:rPr>
      </w:pPr>
      <w:r w:rsidRPr="00D3196B">
        <w:rPr>
          <w:rFonts w:ascii="Times New Roman" w:hAnsi="Times New Roman"/>
          <w:sz w:val="24"/>
          <w:szCs w:val="24"/>
        </w:rPr>
        <w:t>V § 8 ods. 4 sa na konci bodka nahrádza čiarkou a pripájajú sa tieto slová: „alebo ak je s týmto iným ako členským štátom uzavretá medzinárodná dohoda, ktorou je Slovenská republika viazaná.</w:t>
      </w:r>
      <w:r w:rsidRPr="00D3196B">
        <w:rPr>
          <w:rFonts w:ascii="Times New Roman" w:hAnsi="Times New Roman"/>
          <w:sz w:val="24"/>
          <w:szCs w:val="24"/>
          <w:vertAlign w:val="superscript"/>
        </w:rPr>
        <w:t>20aa</w:t>
      </w:r>
      <w:r w:rsidRPr="00D3196B">
        <w:rPr>
          <w:rFonts w:ascii="Times New Roman" w:hAnsi="Times New Roman"/>
          <w:sz w:val="24"/>
          <w:szCs w:val="24"/>
        </w:rPr>
        <w:t>)“.</w:t>
      </w:r>
    </w:p>
    <w:p w:rsidR="003D4FFC" w:rsidRPr="00D3196B" w:rsidP="003D4FFC">
      <w:pPr>
        <w:pStyle w:val="NoSpacing"/>
        <w:rPr>
          <w:rFonts w:ascii="Times New Roman" w:hAnsi="Times New Roman"/>
          <w:sz w:val="24"/>
          <w:szCs w:val="24"/>
        </w:rPr>
      </w:pPr>
      <w:r w:rsidRPr="00D3196B">
        <w:rPr>
          <w:rFonts w:ascii="Times New Roman" w:hAnsi="Times New Roman"/>
          <w:sz w:val="24"/>
          <w:szCs w:val="24"/>
        </w:rPr>
        <w:t xml:space="preserve"> </w:t>
      </w:r>
    </w:p>
    <w:p w:rsidR="003D4FFC" w:rsidRPr="00D3196B" w:rsidP="003D4FFC">
      <w:pPr>
        <w:pStyle w:val="NoSpacing"/>
        <w:ind w:left="426"/>
        <w:rPr>
          <w:rFonts w:ascii="Times New Roman" w:hAnsi="Times New Roman"/>
          <w:sz w:val="24"/>
          <w:szCs w:val="24"/>
        </w:rPr>
      </w:pPr>
      <w:r w:rsidRPr="00D3196B">
        <w:rPr>
          <w:rFonts w:ascii="Times New Roman" w:hAnsi="Times New Roman"/>
          <w:sz w:val="24"/>
          <w:szCs w:val="24"/>
        </w:rPr>
        <w:t>Poznámka pod čiarou k odkazu 20aa znie:</w:t>
      </w:r>
    </w:p>
    <w:p w:rsidR="003D4FFC" w:rsidRPr="00D3196B" w:rsidP="003D4FFC">
      <w:pPr>
        <w:pStyle w:val="NoSpacing"/>
        <w:ind w:left="426"/>
        <w:rPr>
          <w:rFonts w:ascii="Times New Roman" w:hAnsi="Times New Roman"/>
          <w:sz w:val="24"/>
          <w:szCs w:val="24"/>
        </w:rPr>
      </w:pPr>
      <w:r w:rsidRPr="00D3196B">
        <w:rPr>
          <w:rFonts w:ascii="Times New Roman" w:hAnsi="Times New Roman"/>
          <w:sz w:val="24"/>
          <w:szCs w:val="24"/>
        </w:rPr>
        <w:t>„</w:t>
      </w:r>
      <w:r w:rsidRPr="00D3196B">
        <w:rPr>
          <w:rFonts w:ascii="Times New Roman" w:hAnsi="Times New Roman"/>
          <w:sz w:val="24"/>
          <w:szCs w:val="24"/>
          <w:vertAlign w:val="superscript"/>
        </w:rPr>
        <w:t>20aa</w:t>
      </w:r>
      <w:r w:rsidRPr="00D3196B">
        <w:rPr>
          <w:rFonts w:ascii="Times New Roman" w:hAnsi="Times New Roman"/>
          <w:sz w:val="24"/>
          <w:szCs w:val="24"/>
        </w:rPr>
        <w:t xml:space="preserve">) Dvojstranná dohoda medzi Európskou úniou a Spojenými štátmi americkými o prudenciálnych opatreniach v oblasti poistenia a zaistenia (Ú. v. EÚ L 258, 6.10.2017).“. </w:t>
      </w:r>
    </w:p>
    <w:p w:rsidR="003D4FFC" w:rsidRPr="00D3196B" w:rsidP="003D4FFC">
      <w:pPr>
        <w:pStyle w:val="NoSpacing"/>
        <w:rPr>
          <w:rFonts w:ascii="Times New Roman" w:hAnsi="Times New Roman"/>
          <w:sz w:val="24"/>
          <w:szCs w:val="24"/>
        </w:rPr>
      </w:pPr>
    </w:p>
    <w:p w:rsidR="003D4FFC" w:rsidRPr="00D3196B" w:rsidP="003D4FFC">
      <w:pPr>
        <w:pStyle w:val="NoSpacing"/>
        <w:numPr>
          <w:ilvl w:val="0"/>
          <w:numId w:val="42"/>
        </w:numPr>
        <w:ind w:left="426" w:hanging="426"/>
        <w:rPr>
          <w:rFonts w:ascii="Times New Roman" w:hAnsi="Times New Roman"/>
          <w:sz w:val="24"/>
          <w:szCs w:val="24"/>
        </w:rPr>
      </w:pPr>
      <w:r w:rsidRPr="00D3196B">
        <w:rPr>
          <w:rFonts w:ascii="Times New Roman" w:hAnsi="Times New Roman"/>
          <w:sz w:val="24"/>
          <w:szCs w:val="24"/>
        </w:rPr>
        <w:t>V § 9 ods. 3 sa vypúšťa písmeno e).</w:t>
      </w:r>
    </w:p>
    <w:p w:rsidR="003D4FFC" w:rsidRPr="00D3196B" w:rsidP="003D4FFC">
      <w:pPr>
        <w:pStyle w:val="NoSpacing"/>
        <w:rPr>
          <w:rFonts w:ascii="Times New Roman" w:hAnsi="Times New Roman"/>
          <w:sz w:val="24"/>
          <w:szCs w:val="24"/>
        </w:rPr>
      </w:pPr>
    </w:p>
    <w:p w:rsidR="003D4FFC" w:rsidRPr="00D3196B" w:rsidP="003D4FFC">
      <w:pPr>
        <w:pStyle w:val="NoSpacing"/>
        <w:ind w:left="426"/>
        <w:rPr>
          <w:rFonts w:ascii="Times New Roman" w:hAnsi="Times New Roman"/>
          <w:sz w:val="24"/>
          <w:szCs w:val="24"/>
        </w:rPr>
      </w:pPr>
      <w:r w:rsidRPr="00D3196B">
        <w:rPr>
          <w:rFonts w:ascii="Times New Roman" w:hAnsi="Times New Roman"/>
          <w:sz w:val="24"/>
          <w:szCs w:val="24"/>
        </w:rPr>
        <w:t>Doterajšie písmená f) až h) sa označujú ako písmená e) až g).“.</w:t>
      </w:r>
    </w:p>
    <w:p w:rsidR="003D4FFC" w:rsidRPr="00D3196B" w:rsidP="003D4FFC">
      <w:pPr>
        <w:pStyle w:val="NoSpacing"/>
        <w:ind w:left="426"/>
        <w:rPr>
          <w:rFonts w:ascii="Times New Roman" w:hAnsi="Times New Roman"/>
          <w:sz w:val="24"/>
          <w:szCs w:val="24"/>
        </w:rPr>
      </w:pPr>
    </w:p>
    <w:p w:rsidR="003D4FFC" w:rsidRPr="00D3196B" w:rsidP="003D4FFC">
      <w:pPr>
        <w:pStyle w:val="NoSpacing"/>
        <w:ind w:left="426"/>
        <w:rPr>
          <w:rFonts w:ascii="Times New Roman" w:hAnsi="Times New Roman"/>
          <w:sz w:val="24"/>
          <w:szCs w:val="24"/>
        </w:rPr>
      </w:pPr>
      <w:r w:rsidRPr="00D3196B">
        <w:rPr>
          <w:rFonts w:ascii="Times New Roman" w:hAnsi="Times New Roman"/>
          <w:sz w:val="24"/>
          <w:szCs w:val="24"/>
        </w:rPr>
        <w:t xml:space="preserve">Doterajšie články sa primerane prečíslujú. </w:t>
      </w:r>
    </w:p>
    <w:p w:rsidR="003D4FFC" w:rsidRPr="00D3196B" w:rsidP="003D4FFC">
      <w:pPr>
        <w:ind w:left="2835"/>
        <w:jc w:val="both"/>
        <w:rPr>
          <w:u w:val="single"/>
        </w:rPr>
      </w:pPr>
    </w:p>
    <w:p w:rsidR="003D4FFC" w:rsidRPr="00D3196B" w:rsidP="003D4FFC">
      <w:pPr>
        <w:pStyle w:val="NoSpacing"/>
        <w:ind w:left="3544"/>
        <w:rPr>
          <w:rFonts w:ascii="Times New Roman" w:hAnsi="Times New Roman"/>
          <w:sz w:val="24"/>
          <w:szCs w:val="24"/>
        </w:rPr>
      </w:pPr>
      <w:r w:rsidRPr="00D3196B">
        <w:rPr>
          <w:rFonts w:ascii="Times New Roman" w:hAnsi="Times New Roman"/>
          <w:sz w:val="24"/>
          <w:szCs w:val="24"/>
        </w:rPr>
        <w:t>Prostredníctvom vloženia nového čl. IV do vládneho návrhu zákona, ktorého predmetom je novelizácia zákona o poisťovníctve, sa navrhuje zefektívniť udeľovanie povolenia na vykonávanie poisťovacej činnosti a zaisťovacej činnosti. Na základe analýzy „goldplatingu“ bolo identifikované, že predkladanie zoznamu blízkych osôb akcionárov s kvalifikovanou účasťou pri žiadosti o udelenie povolenia na vykonávanie poisťovacej činnosti a pri žiadosti o udelenie povolenia na vykonávanie zaisťovacej činnosti je nad rámec znenia smernice, pretože predkladanie takéhoto zoznamu nie je explicitne požadované smernicou Európskeho parlamentu a Rady 2009/138/ES. Zároveň vypracovávanie a predkladanie formulára je pre zakladateľa poisťovne resp. zaisťovne zbytočnou administratívnou záťažou. Na základe uvedeného sa preto navrhuje v § 7 ods. 3 a v § 9 ods. 3 zákona o poisťovníctve vypustiť písmeno e), ktoré túto nadbytočnú požiadavku obsahuje. Súvisiacu novelizáciu zákona o poisťovníctve sa navrhuje využiť aj na úpravu zefektívnenia povoľovania vykonávania zaisťovacej činnosti na území Slovenskej republiky pre zaisťovne so sídlom v Spojených štátoch amerických (§ 8 ods. 4 zákona o poisťovníctve). Táto právna úprava vyplýva z potreby transponovania dvojstrannej dohody medzi Európskou úniou a Spojenými štátmi americkými o prudenciálnych opatreniach v oblasti poistenia a zaistenia do právneho poriadku SR. Jednou z oblastí obsiahnutých v dohode je vykonávanie zaisťovacej činnosti, kde sa upravuje odstránenie požiadaviek na miestnu prítomnosť a požiadaviek na kolaterály (zloženie finančnej zábezpeky) pre zaisťovne, ktoré sú regulované a dohliadané jednou zo zmluvných strán. Na základe uvedeného sa tak zaisťovniam so sídlom v Spojených štátoch amerických povoľuje vykonávanie zaisťovacej činnosti na území SR bez potreby založenia pobočky.</w:t>
      </w:r>
    </w:p>
    <w:p w:rsidR="003D4FFC" w:rsidP="003D4FFC">
      <w:pPr>
        <w:ind w:left="3402"/>
        <w:jc w:val="both"/>
        <w:rPr>
          <w:b/>
        </w:rPr>
      </w:pPr>
    </w:p>
    <w:p w:rsidR="003D4FFC" w:rsidRPr="003D4FFC" w:rsidP="003D4FFC">
      <w:pPr>
        <w:ind w:left="3402"/>
        <w:jc w:val="both"/>
        <w:rPr>
          <w:b/>
        </w:rPr>
      </w:pPr>
      <w:r w:rsidRPr="00AB15C9">
        <w:rPr>
          <w:b/>
        </w:rPr>
        <w:t>Výbor</w:t>
      </w:r>
      <w:r>
        <w:t xml:space="preserve"> </w:t>
      </w:r>
      <w:r w:rsidRPr="003D4FFC">
        <w:rPr>
          <w:b/>
        </w:rPr>
        <w:t>NR SR pre financie a rozpočet</w:t>
      </w:r>
    </w:p>
    <w:p w:rsidR="003D4FFC" w:rsidRPr="00D3196B" w:rsidP="003D4FFC">
      <w:pPr>
        <w:ind w:left="2694" w:firstLine="708"/>
        <w:jc w:val="both"/>
      </w:pPr>
      <w:r w:rsidRPr="003D4FFC">
        <w:rPr>
          <w:b/>
        </w:rPr>
        <w:t>Gestorský výbor odporúča schváliť.</w:t>
      </w:r>
    </w:p>
    <w:p w:rsidR="003D4FFC" w:rsidP="003D4FFC">
      <w:pPr>
        <w:jc w:val="both"/>
      </w:pPr>
    </w:p>
    <w:p w:rsidR="0024103D" w:rsidRPr="00D3196B" w:rsidP="003D4FFC">
      <w:pPr>
        <w:jc w:val="both"/>
      </w:pPr>
    </w:p>
    <w:p w:rsidR="003D4FFC" w:rsidRPr="00D3196B" w:rsidP="003D4FFC">
      <w:pPr>
        <w:numPr>
          <w:ilvl w:val="0"/>
          <w:numId w:val="40"/>
        </w:numPr>
        <w:ind w:left="426" w:hanging="426"/>
        <w:jc w:val="both"/>
      </w:pPr>
      <w:r w:rsidRPr="003D4FFC">
        <w:rPr>
          <w:b/>
        </w:rPr>
        <w:t>V čl. IV  23. bod § 12</w:t>
      </w:r>
      <w:r w:rsidRPr="00D3196B">
        <w:t xml:space="preserve"> ods. 1 </w:t>
      </w:r>
      <w:r>
        <w:t xml:space="preserve">sa </w:t>
      </w:r>
      <w:r w:rsidRPr="00D3196B">
        <w:t>za prvú vetu vkladá nová druhá veta, ktorá znie: „Do istiny zvýhodneného vývozného úveru môže Eximbanka zahrnúť poistné za úverové riziko.“.</w:t>
      </w:r>
    </w:p>
    <w:p w:rsidR="003D4FFC" w:rsidRPr="00D3196B" w:rsidP="003D4FFC">
      <w:pPr>
        <w:ind w:left="426"/>
        <w:jc w:val="both"/>
      </w:pPr>
    </w:p>
    <w:p w:rsidR="003D4FFC" w:rsidRPr="00D3196B" w:rsidP="003D4FFC">
      <w:pPr>
        <w:ind w:left="3544" w:hanging="4"/>
        <w:jc w:val="both"/>
      </w:pPr>
      <w:r w:rsidRPr="00D3196B">
        <w:t>Navrhuje sa doplniť ustanovenie § 12 ods. 1 vládneho návrhu novely zákona o rozvojovej spolupráci tak, aby bolo jednoznačné a nespochybniteľné, že keď zvýhodnený vývozný úver poskytuje Eximbanka, môže si do istiny zvýhodneného vývozného úveru zahrnúť poistné za úverové riziko, pričom nariadenie Európskeho parlamentu a Rady (EÚ) č. 1233/2011 zo 16. novembra 2011 o uplatňovaní určitých usmernení v oblasti štátom podporovaných vývozných úverov, ktoré upravuje aj poskytovanie vývozných úverov v rámci viazanej obchodnej pomoci, umožňuje, aby poistné za úverové riziko bolo platené aj samostatne, to znamená  mimo úveru. Doplňujúca právna úprava je preto navrhnutá tak, aby pri aplikácii zákona v praxi mohli byť využité obe alternatívy.</w:t>
      </w:r>
    </w:p>
    <w:p w:rsidR="003D4FFC" w:rsidRPr="00D3196B" w:rsidP="003D4FFC"/>
    <w:p w:rsidR="003D4FFC" w:rsidRPr="003D4FFC" w:rsidP="003D4FFC">
      <w:pPr>
        <w:ind w:left="3544"/>
        <w:jc w:val="both"/>
        <w:rPr>
          <w:b/>
        </w:rPr>
      </w:pPr>
      <w:r w:rsidRPr="00AB15C9">
        <w:rPr>
          <w:b/>
        </w:rPr>
        <w:t>Výbor</w:t>
      </w:r>
      <w:r>
        <w:t xml:space="preserve"> </w:t>
      </w:r>
      <w:r w:rsidRPr="003D4FFC">
        <w:rPr>
          <w:b/>
        </w:rPr>
        <w:t>NR SR pre financie a rozpočet</w:t>
      </w:r>
    </w:p>
    <w:p w:rsidR="003D4FFC" w:rsidP="003D4FFC">
      <w:pPr>
        <w:ind w:left="2694" w:firstLine="850"/>
        <w:jc w:val="both"/>
        <w:rPr>
          <w:bCs/>
        </w:rPr>
      </w:pPr>
      <w:r w:rsidRPr="003D4FFC">
        <w:rPr>
          <w:b/>
        </w:rPr>
        <w:t>Gestorský výbor odporúča schváliť.</w:t>
      </w:r>
    </w:p>
    <w:p w:rsidR="000F719E" w:rsidP="002C3917">
      <w:pPr>
        <w:pStyle w:val="BodyText2"/>
        <w:ind w:firstLine="708"/>
      </w:pPr>
    </w:p>
    <w:p w:rsidR="000F719E" w:rsidP="002C3917">
      <w:pPr>
        <w:pStyle w:val="BodyText2"/>
        <w:ind w:firstLine="708"/>
      </w:pPr>
    </w:p>
    <w:p w:rsidR="000F719E" w:rsidRPr="00D45722" w:rsidP="000F719E">
      <w:pPr>
        <w:pStyle w:val="BodyText2"/>
        <w:ind w:firstLine="708"/>
      </w:pPr>
      <w:r w:rsidRPr="00D45722">
        <w:t>Gestorský výbor odporúča o návrhoch výboru Národnej rady Slovenskej republiky, ktoré sú uvedené v spoločnej správe hlasovať takto :</w:t>
      </w:r>
    </w:p>
    <w:p w:rsidR="000F719E" w:rsidRPr="006D412C" w:rsidP="000F719E">
      <w:pPr>
        <w:pStyle w:val="BodyText2"/>
        <w:rPr>
          <w:color w:val="FF0000"/>
        </w:rPr>
      </w:pPr>
    </w:p>
    <w:p w:rsidR="000F719E" w:rsidRPr="00B649FD" w:rsidP="000F719E">
      <w:pPr>
        <w:pStyle w:val="BodyText2"/>
        <w:ind w:firstLine="708"/>
        <w:rPr>
          <w:b/>
        </w:rPr>
      </w:pPr>
      <w:r w:rsidRPr="00B649FD">
        <w:t>O bodoch spoločnej správy č.</w:t>
      </w:r>
      <w:r w:rsidRPr="00410F7B" w:rsidR="00410F7B">
        <w:t xml:space="preserve"> </w:t>
      </w:r>
      <w:r w:rsidRPr="0024103D" w:rsidR="00410F7B">
        <w:rPr>
          <w:b/>
        </w:rPr>
        <w:t>1 až 4</w:t>
      </w:r>
      <w:r w:rsidR="00410F7B">
        <w:t xml:space="preserve"> </w:t>
      </w:r>
      <w:r w:rsidRPr="00B649FD">
        <w:t xml:space="preserve">hlasovať spoločne s návrhom gestorského výboru </w:t>
      </w:r>
      <w:r w:rsidRPr="00B649FD">
        <w:rPr>
          <w:b/>
        </w:rPr>
        <w:t>schváliť.</w:t>
      </w:r>
    </w:p>
    <w:p w:rsidR="00401AA0" w:rsidRPr="00401AA0" w:rsidP="002C3917">
      <w:pPr>
        <w:pStyle w:val="BodyText2"/>
        <w:ind w:firstLine="708"/>
      </w:pPr>
    </w:p>
    <w:p w:rsidR="00233A93">
      <w:pPr>
        <w:pStyle w:val="BodyText2"/>
        <w:spacing w:after="120"/>
        <w:jc w:val="center"/>
        <w:rPr>
          <w:b/>
        </w:rPr>
      </w:pPr>
      <w:r>
        <w:rPr>
          <w:b/>
        </w:rPr>
        <w:t>V.</w:t>
      </w:r>
    </w:p>
    <w:p w:rsidR="00A46744" w:rsidRPr="005B6CCD" w:rsidP="00F57B00">
      <w:pPr>
        <w:keepNext/>
        <w:shd w:val="clear" w:color="auto" w:fill="FFFFFF"/>
        <w:ind w:firstLine="708"/>
        <w:jc w:val="both"/>
        <w:outlineLvl w:val="1"/>
        <w:rPr>
          <w:b/>
        </w:rPr>
      </w:pPr>
      <w:r w:rsidRPr="00A46744">
        <w:rPr>
          <w:bCs/>
        </w:rPr>
        <w:t>Gestorský výbor</w:t>
      </w:r>
      <w:r w:rsidRPr="00A46744">
        <w:t xml:space="preserve"> na základe stanovísk výborov </w:t>
      </w:r>
      <w:r w:rsidRPr="000F719E">
        <w:t xml:space="preserve">k </w:t>
      </w:r>
      <w:r w:rsidRPr="000102B1" w:rsidR="000102B1">
        <w:t>vládnemu návrhu zákona, ktorým sa mení a dopĺňa zákon č. 80/1997 Z. z. o Exportno-importnej banke Slovenskej republiky v znení neskorších predpisov a ktorým sa menia a dopĺňajú niektoré zákony (tlač 1514)</w:t>
      </w:r>
      <w:r w:rsidR="000102B1">
        <w:rPr>
          <w:b/>
        </w:rPr>
        <w:t xml:space="preserve"> </w:t>
      </w:r>
      <w:r w:rsidRPr="00A46744">
        <w:t xml:space="preserve">odporúča Národnej rade Slovenskej republiky predmetný </w:t>
      </w:r>
      <w:r w:rsidR="00FE1C8D">
        <w:t xml:space="preserve">vládny </w:t>
      </w:r>
      <w:r w:rsidRPr="00A46744">
        <w:t xml:space="preserve">návrh zákona </w:t>
      </w:r>
      <w:r w:rsidRPr="00A46744">
        <w:rPr>
          <w:b/>
        </w:rPr>
        <w:t>schváliť</w:t>
      </w:r>
      <w:r w:rsidR="000F719E">
        <w:rPr>
          <w:b/>
          <w:bCs/>
        </w:rPr>
        <w:t xml:space="preserve"> s pozmeňujúcimi a doplňujúcimi návrhmi. </w:t>
      </w:r>
    </w:p>
    <w:p w:rsidR="00BF4D55" w:rsidP="00A46744">
      <w:pPr>
        <w:keepNext/>
        <w:shd w:val="clear" w:color="auto" w:fill="FFFFFF"/>
        <w:ind w:firstLine="708"/>
        <w:jc w:val="both"/>
        <w:outlineLvl w:val="1"/>
        <w:rPr>
          <w:bCs/>
        </w:rPr>
      </w:pPr>
    </w:p>
    <w:p w:rsidR="00A46744" w:rsidRPr="00A46744" w:rsidP="00A46744">
      <w:pPr>
        <w:keepNext/>
        <w:shd w:val="clear" w:color="auto" w:fill="FFFFFF"/>
        <w:ind w:firstLine="708"/>
        <w:jc w:val="both"/>
        <w:outlineLvl w:val="1"/>
      </w:pPr>
      <w:r w:rsidRPr="00A46744">
        <w:rPr>
          <w:bCs/>
        </w:rPr>
        <w:t>Spoločná správa</w:t>
      </w:r>
      <w:r w:rsidRPr="00A46744">
        <w:t xml:space="preserve"> výborov Národnej rady Slovenskej republiky o prerokovaní </w:t>
      </w:r>
      <w:r w:rsidRPr="000102B1" w:rsidR="000102B1">
        <w:t>vládn</w:t>
      </w:r>
      <w:r w:rsidR="000102B1">
        <w:t>eho</w:t>
      </w:r>
      <w:r w:rsidRPr="000102B1" w:rsidR="000102B1">
        <w:t xml:space="preserve"> návrhu zákona, ktorým sa mení a dopĺňa zákon č. 80/1997 Z. z. o Exportno-importnej banke Slovenskej republiky v znení neskorších predpisov a ktorým sa menia a dopĺňajú niektoré zákony (tlač 1514</w:t>
      </w:r>
      <w:r w:rsidR="000102B1">
        <w:t>a</w:t>
      </w:r>
      <w:r w:rsidRPr="000102B1" w:rsidR="000102B1">
        <w:t>)</w:t>
      </w:r>
      <w:r w:rsidR="000102B1">
        <w:rPr>
          <w:b/>
        </w:rPr>
        <w:t xml:space="preserve"> </w:t>
      </w:r>
      <w:r w:rsidRPr="00A46744">
        <w:rPr>
          <w:bCs/>
        </w:rPr>
        <w:t>bola schválená uznesením gestorského výboru</w:t>
      </w:r>
      <w:r w:rsidRPr="00A46744">
        <w:rPr>
          <w:b/>
          <w:bCs/>
        </w:rPr>
        <w:t xml:space="preserve"> č.  </w:t>
      </w:r>
      <w:r w:rsidR="006D5D7D">
        <w:rPr>
          <w:b/>
          <w:bCs/>
        </w:rPr>
        <w:t>474</w:t>
      </w:r>
      <w:r w:rsidRPr="00A46744">
        <w:rPr>
          <w:b/>
          <w:bCs/>
          <w:color w:val="FF0000"/>
        </w:rPr>
        <w:t xml:space="preserve"> </w:t>
      </w:r>
      <w:r w:rsidRPr="00A46744">
        <w:rPr>
          <w:b/>
          <w:bCs/>
        </w:rPr>
        <w:t>z </w:t>
      </w:r>
      <w:r w:rsidR="00FE1C8D">
        <w:rPr>
          <w:b/>
          <w:bCs/>
        </w:rPr>
        <w:t>1</w:t>
      </w:r>
      <w:r w:rsidR="000F719E">
        <w:rPr>
          <w:b/>
          <w:bCs/>
        </w:rPr>
        <w:t>0</w:t>
      </w:r>
      <w:r w:rsidR="004D053D">
        <w:rPr>
          <w:b/>
          <w:bCs/>
        </w:rPr>
        <w:t xml:space="preserve">. </w:t>
      </w:r>
      <w:r w:rsidR="000F719E">
        <w:rPr>
          <w:b/>
          <w:bCs/>
        </w:rPr>
        <w:t xml:space="preserve">septembra </w:t>
      </w:r>
      <w:r w:rsidRPr="00A46744">
        <w:rPr>
          <w:b/>
          <w:bCs/>
        </w:rPr>
        <w:t>201</w:t>
      </w:r>
      <w:r w:rsidR="004D053D">
        <w:rPr>
          <w:b/>
          <w:bCs/>
        </w:rPr>
        <w:t>9</w:t>
      </w:r>
      <w:r w:rsidRPr="00A46744">
        <w:rPr>
          <w:bCs/>
        </w:rPr>
        <w:t xml:space="preserve">. </w:t>
      </w:r>
    </w:p>
    <w:p w:rsidR="0018486F" w:rsidP="00A46744">
      <w:pPr>
        <w:ind w:firstLine="708"/>
        <w:jc w:val="both"/>
        <w:rPr>
          <w:bCs/>
        </w:rPr>
      </w:pPr>
    </w:p>
    <w:p w:rsidR="00FB2958" w:rsidP="00400253">
      <w:pPr>
        <w:jc w:val="both"/>
        <w:rPr>
          <w:bCs/>
        </w:rPr>
      </w:pPr>
    </w:p>
    <w:p w:rsidR="00FB2958" w:rsidP="00A46744">
      <w:pPr>
        <w:ind w:firstLine="708"/>
        <w:jc w:val="both"/>
        <w:rPr>
          <w:bCs/>
        </w:rPr>
      </w:pPr>
    </w:p>
    <w:p w:rsidR="0024103D" w:rsidP="00A46744">
      <w:pPr>
        <w:ind w:firstLine="708"/>
        <w:jc w:val="both"/>
        <w:rPr>
          <w:bCs/>
        </w:rPr>
      </w:pPr>
    </w:p>
    <w:p w:rsidR="0024103D" w:rsidP="00A46744">
      <w:pPr>
        <w:ind w:firstLine="708"/>
        <w:jc w:val="both"/>
        <w:rPr>
          <w:bCs/>
        </w:rPr>
      </w:pPr>
    </w:p>
    <w:p w:rsidR="00A46744" w:rsidRPr="00A46744" w:rsidP="00A46744">
      <w:pPr>
        <w:ind w:firstLine="708"/>
        <w:jc w:val="both"/>
      </w:pPr>
      <w:r w:rsidR="0018486F">
        <w:rPr>
          <w:bCs/>
        </w:rPr>
        <w:t>T</w:t>
      </w:r>
      <w:r w:rsidRPr="00A46744">
        <w:rPr>
          <w:bCs/>
        </w:rPr>
        <w:t xml:space="preserve">ýmto uznesením výbor zároveň poveril spoločného spravodajcu </w:t>
      </w:r>
      <w:r w:rsidR="000102B1">
        <w:rPr>
          <w:b/>
          <w:bCs/>
        </w:rPr>
        <w:t>Igora Federiča</w:t>
      </w:r>
      <w:r w:rsidRPr="00A46744">
        <w:rPr>
          <w:b/>
          <w:bCs/>
        </w:rPr>
        <w:t>,</w:t>
      </w:r>
      <w:r w:rsidRPr="00A46744">
        <w:rPr>
          <w:bCs/>
        </w:rPr>
        <w:t xml:space="preserve"> aby na schôdzi Národnej rady Slovenskej republiky pri rokovaní o predmetnom </w:t>
      </w:r>
      <w:r w:rsidR="00B77BFB">
        <w:rPr>
          <w:bCs/>
        </w:rPr>
        <w:t xml:space="preserve">vládnom </w:t>
      </w:r>
      <w:r w:rsidRPr="00A46744">
        <w:rPr>
          <w:bCs/>
        </w:rPr>
        <w:t>návrhu zákona predkladal návrhy v zmysle príslušných ustanovení zákona č. 350/1996 Z. z. o rokovacom poriadku Národnej rady Slovenskej republiky v znení neskorších predpisov.</w:t>
      </w:r>
      <w:r w:rsidRPr="00A46744">
        <w:tab/>
        <w:tab/>
        <w:tab/>
        <w:tab/>
        <w:tab/>
      </w:r>
    </w:p>
    <w:p w:rsidR="0018486F" w:rsidP="0020341D">
      <w:pPr>
        <w:pStyle w:val="BodyText2"/>
        <w:jc w:val="center"/>
      </w:pPr>
    </w:p>
    <w:p w:rsidR="00233A93" w:rsidP="0020341D">
      <w:pPr>
        <w:pStyle w:val="BodyText2"/>
        <w:jc w:val="center"/>
      </w:pPr>
      <w:r>
        <w:t xml:space="preserve">Bratislava </w:t>
      </w:r>
      <w:r w:rsidR="000F719E">
        <w:t>10. september</w:t>
      </w:r>
      <w:r w:rsidR="00385F60">
        <w:t xml:space="preserve"> </w:t>
      </w:r>
      <w:r w:rsidR="00C23D38">
        <w:t>201</w:t>
      </w:r>
      <w:r w:rsidR="004D053D">
        <w:t>9</w:t>
      </w:r>
    </w:p>
    <w:p w:rsidR="00B94345">
      <w:pPr>
        <w:pStyle w:val="BodyText2"/>
      </w:pPr>
    </w:p>
    <w:p w:rsidR="003D4FFC">
      <w:pPr>
        <w:pStyle w:val="BodyText2"/>
      </w:pPr>
    </w:p>
    <w:p w:rsidR="003D4FFC">
      <w:pPr>
        <w:pStyle w:val="BodyText2"/>
      </w:pPr>
    </w:p>
    <w:p w:rsidR="0024103D">
      <w:pPr>
        <w:pStyle w:val="BodyText2"/>
      </w:pPr>
    </w:p>
    <w:p w:rsidR="0024103D">
      <w:pPr>
        <w:pStyle w:val="BodyText2"/>
      </w:pPr>
    </w:p>
    <w:p w:rsidR="0024103D">
      <w:pPr>
        <w:pStyle w:val="BodyText2"/>
      </w:pPr>
    </w:p>
    <w:p w:rsidR="00BF4D55">
      <w:pPr>
        <w:pStyle w:val="BodyText2"/>
      </w:pPr>
    </w:p>
    <w:p w:rsidR="00D73410" w:rsidP="00D73410">
      <w:pPr>
        <w:pStyle w:val="BodyText2"/>
        <w:jc w:val="center"/>
        <w:rPr>
          <w:b/>
          <w:bCs/>
        </w:rPr>
      </w:pPr>
      <w:r w:rsidR="00FE1C8D">
        <w:rPr>
          <w:b/>
          <w:bCs/>
        </w:rPr>
        <w:t>Róbert Puci</w:t>
      </w:r>
      <w:r w:rsidR="004D053D">
        <w:rPr>
          <w:b/>
          <w:bCs/>
        </w:rPr>
        <w:t>, v.r.</w:t>
      </w:r>
    </w:p>
    <w:p w:rsidR="00233A93">
      <w:pPr>
        <w:pStyle w:val="BodyText2"/>
        <w:jc w:val="center"/>
        <w:rPr>
          <w:b/>
          <w:bCs/>
        </w:rPr>
      </w:pPr>
      <w:r>
        <w:rPr>
          <w:b/>
          <w:bCs/>
        </w:rPr>
        <w:t xml:space="preserve">predseda </w:t>
      </w:r>
    </w:p>
    <w:p w:rsidR="00233A93">
      <w:pPr>
        <w:ind w:left="1416" w:firstLine="708"/>
      </w:pPr>
      <w:r w:rsidR="00AE614A">
        <w:rPr>
          <w:b/>
          <w:bCs/>
        </w:rPr>
        <w:t xml:space="preserve">      </w:t>
      </w:r>
      <w:r w:rsidR="007F1816">
        <w:rPr>
          <w:b/>
          <w:bCs/>
        </w:rPr>
        <w:t xml:space="preserve">     </w:t>
      </w:r>
      <w:r w:rsidR="00AE614A">
        <w:rPr>
          <w:b/>
          <w:bCs/>
        </w:rPr>
        <w:t xml:space="preserve"> </w:t>
      </w:r>
      <w:r w:rsidR="00401761">
        <w:rPr>
          <w:b/>
          <w:bCs/>
        </w:rPr>
        <w:t xml:space="preserve">Výboru NR SR pre financie a </w:t>
      </w:r>
      <w:r>
        <w:rPr>
          <w:b/>
          <w:bCs/>
        </w:rPr>
        <w:t xml:space="preserve">rozpočet </w:t>
      </w:r>
    </w:p>
    <w:sectPr w:rsidSect="009D4C8E">
      <w:footerReference w:type="even" r:id="rId4"/>
      <w:footerReference w:type="default" r:id="rId5"/>
      <w:pgSz w:w="11906" w:h="16838"/>
      <w:pgMar w:top="719" w:right="849" w:bottom="540" w:left="1260" w:header="708" w:footer="403"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32B5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D5D7D">
      <w:rPr>
        <w:rStyle w:val="PageNumber"/>
        <w:noProof/>
      </w:rPr>
      <w:t>6</w:t>
    </w:r>
    <w:r>
      <w:rPr>
        <w:rStyle w:val="PageNumber"/>
      </w:rPr>
      <w:fldChar w:fldCharType="end"/>
    </w:r>
  </w:p>
  <w:p w:rsidR="00832B56">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0CEE"/>
    <w:multiLevelType w:val="hybridMultilevel"/>
    <w:tmpl w:val="60120412"/>
    <w:lvl w:ilvl="0">
      <w:start w:val="1"/>
      <w:numFmt w:val="lowerLetter"/>
      <w:lvlText w:val="%1)"/>
      <w:lvlJc w:val="left"/>
      <w:pPr>
        <w:ind w:left="1287" w:hanging="360"/>
      </w:p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1">
    <w:nsid w:val="02A1075E"/>
    <w:multiLevelType w:val="hybridMultilevel"/>
    <w:tmpl w:val="EF3EB678"/>
    <w:lvl w:ilvl="0">
      <w:start w:val="1"/>
      <w:numFmt w:val="decimal"/>
      <w:lvlText w:val="(%1)"/>
      <w:lvlJc w:val="left"/>
      <w:pPr>
        <w:ind w:left="750" w:hanging="39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nsid w:val="07905AB3"/>
    <w:multiLevelType w:val="hybridMultilevel"/>
    <w:tmpl w:val="0BA2A5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A441617"/>
    <w:multiLevelType w:val="hybridMultilevel"/>
    <w:tmpl w:val="F336F238"/>
    <w:lvl w:ilvl="0">
      <w:start w:val="1"/>
      <w:numFmt w:val="decimal"/>
      <w:lvlText w:val="%1."/>
      <w:lvlJc w:val="left"/>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A4D7045"/>
    <w:multiLevelType w:val="singleLevel"/>
    <w:tmpl w:val="BE00993C"/>
    <w:lvl w:ilvl="0">
      <w:start w:val="1"/>
      <w:numFmt w:val="bullet"/>
      <w:lvlText w:val="-"/>
      <w:lvlJc w:val="left"/>
      <w:pPr>
        <w:tabs>
          <w:tab w:val="num" w:pos="1065"/>
        </w:tabs>
        <w:ind w:left="1065" w:hanging="360"/>
      </w:pPr>
    </w:lvl>
  </w:abstractNum>
  <w:abstractNum w:abstractNumId="5">
    <w:nsid w:val="0C891CA3"/>
    <w:multiLevelType w:val="hybridMultilevel"/>
    <w:tmpl w:val="5D6EBCC2"/>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7B259E"/>
    <w:multiLevelType w:val="hybridMultilevel"/>
    <w:tmpl w:val="96721C7E"/>
    <w:lvl w:ilvl="0">
      <w:start w:val="1"/>
      <w:numFmt w:val="lowerLetter"/>
      <w:lvlText w:val="%1)"/>
      <w:lvlJc w:val="left"/>
      <w:pPr>
        <w:ind w:left="72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141A5529"/>
    <w:multiLevelType w:val="hybridMultilevel"/>
    <w:tmpl w:val="EBE2FBCE"/>
    <w:lvl w:ilvl="0">
      <w:start w:val="11"/>
      <w:numFmt w:val="decimal"/>
      <w:lvlText w:val="%1."/>
      <w:lvlJc w:val="left"/>
      <w:pPr>
        <w:tabs>
          <w:tab w:val="num" w:pos="720"/>
        </w:tabs>
        <w:ind w:left="720" w:hanging="360"/>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68467D5"/>
    <w:multiLevelType w:val="hybridMultilevel"/>
    <w:tmpl w:val="5EC6610E"/>
    <w:lvl w:ilvl="0">
      <w:start w:val="1"/>
      <w:numFmt w:val="decimal"/>
      <w:lvlText w:val="(%1)"/>
      <w:lvlJc w:val="left"/>
      <w:pPr>
        <w:ind w:left="750" w:hanging="39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7204E7C"/>
    <w:multiLevelType w:val="hybridMultilevel"/>
    <w:tmpl w:val="7EB21220"/>
    <w:lvl w:ilvl="0">
      <w:start w:val="1"/>
      <w:numFmt w:val="lowerLetter"/>
      <w:lvlText w:val="%1)"/>
      <w:lvlJc w:val="left"/>
      <w:pPr>
        <w:ind w:left="1068" w:hanging="360"/>
      </w:pPr>
      <w:rPr>
        <w:rFonts w:cs="Times New Roman"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7386897"/>
    <w:multiLevelType w:val="hybridMultilevel"/>
    <w:tmpl w:val="655C062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rPr>
    </w:lvl>
    <w:lvl w:ilvl="2">
      <w:start w:val="1"/>
      <w:numFmt w:val="lowerRoman"/>
      <w:lvlText w:val="%3."/>
      <w:lvlJc w:val="right"/>
      <w:pPr>
        <w:ind w:left="2160" w:hanging="180"/>
      </w:pPr>
      <w:rPr>
        <w:rFonts w:ascii="Times New Roman" w:hAnsi="Times New Roman" w:cs="Times New Roman"/>
      </w:rPr>
    </w:lvl>
    <w:lvl w:ilvl="3">
      <w:start w:val="1"/>
      <w:numFmt w:val="decimal"/>
      <w:lvlText w:val="%4."/>
      <w:lvlJc w:val="left"/>
      <w:pPr>
        <w:ind w:left="2880" w:hanging="360"/>
      </w:pPr>
      <w:rPr>
        <w:rFonts w:ascii="Times New Roman" w:hAnsi="Times New Roman" w:cs="Times New Roman"/>
      </w:rPr>
    </w:lvl>
    <w:lvl w:ilvl="4">
      <w:start w:val="1"/>
      <w:numFmt w:val="lowerLetter"/>
      <w:lvlText w:val="%5."/>
      <w:lvlJc w:val="left"/>
      <w:pPr>
        <w:ind w:left="3600" w:hanging="360"/>
      </w:pPr>
      <w:rPr>
        <w:rFonts w:ascii="Times New Roman" w:hAnsi="Times New Roman" w:cs="Times New Roman"/>
      </w:rPr>
    </w:lvl>
    <w:lvl w:ilvl="5">
      <w:start w:val="1"/>
      <w:numFmt w:val="lowerRoman"/>
      <w:lvlText w:val="%6."/>
      <w:lvlJc w:val="right"/>
      <w:pPr>
        <w:ind w:left="4320" w:hanging="180"/>
      </w:pPr>
      <w:rPr>
        <w:rFonts w:ascii="Times New Roman" w:hAnsi="Times New Roman" w:cs="Times New Roman"/>
      </w:rPr>
    </w:lvl>
    <w:lvl w:ilvl="6">
      <w:start w:val="1"/>
      <w:numFmt w:val="decimal"/>
      <w:lvlText w:val="%7."/>
      <w:lvlJc w:val="left"/>
      <w:pPr>
        <w:ind w:left="5040" w:hanging="360"/>
      </w:pPr>
      <w:rPr>
        <w:rFonts w:ascii="Times New Roman" w:hAnsi="Times New Roman" w:cs="Times New Roman"/>
      </w:rPr>
    </w:lvl>
    <w:lvl w:ilvl="7">
      <w:start w:val="1"/>
      <w:numFmt w:val="lowerLetter"/>
      <w:lvlText w:val="%8."/>
      <w:lvlJc w:val="left"/>
      <w:pPr>
        <w:ind w:left="5760" w:hanging="360"/>
      </w:pPr>
      <w:rPr>
        <w:rFonts w:ascii="Times New Roman" w:hAnsi="Times New Roman" w:cs="Times New Roman"/>
      </w:rPr>
    </w:lvl>
    <w:lvl w:ilvl="8">
      <w:start w:val="1"/>
      <w:numFmt w:val="lowerRoman"/>
      <w:lvlText w:val="%9."/>
      <w:lvlJc w:val="right"/>
      <w:pPr>
        <w:ind w:left="6480" w:hanging="180"/>
      </w:pPr>
      <w:rPr>
        <w:rFonts w:ascii="Times New Roman" w:hAnsi="Times New Roman" w:cs="Times New Roman"/>
      </w:rPr>
    </w:lvl>
  </w:abstractNum>
  <w:abstractNum w:abstractNumId="11">
    <w:nsid w:val="18CA20DF"/>
    <w:multiLevelType w:val="hybridMultilevel"/>
    <w:tmpl w:val="3AD0A59C"/>
    <w:lvl w:ilvl="0">
      <w:start w:val="1"/>
      <w:numFmt w:val="decimal"/>
      <w:lvlText w:val="%1."/>
      <w:lvlJc w:val="left"/>
      <w:pPr>
        <w:ind w:left="1069" w:hanging="360"/>
      </w:pPr>
      <w:rPr>
        <w:rFonts w:cs="Times New Roman" w:hint="default"/>
        <w:u w:val="none"/>
      </w:rPr>
    </w:lvl>
    <w:lvl w:ilvl="1" w:tentative="1">
      <w:start w:val="1"/>
      <w:numFmt w:val="lowerLetter"/>
      <w:lvlText w:val="%2."/>
      <w:lvlJc w:val="left"/>
      <w:pPr>
        <w:ind w:left="1789" w:hanging="360"/>
      </w:pPr>
      <w:rPr>
        <w:rFonts w:cs="Times New Roman"/>
      </w:rPr>
    </w:lvl>
    <w:lvl w:ilvl="2" w:tentative="1">
      <w:start w:val="1"/>
      <w:numFmt w:val="lowerRoman"/>
      <w:lvlText w:val="%3."/>
      <w:lvlJc w:val="right"/>
      <w:pPr>
        <w:ind w:left="2509" w:hanging="180"/>
      </w:pPr>
      <w:rPr>
        <w:rFonts w:cs="Times New Roman"/>
      </w:rPr>
    </w:lvl>
    <w:lvl w:ilvl="3" w:tentative="1">
      <w:start w:val="1"/>
      <w:numFmt w:val="decimal"/>
      <w:lvlText w:val="%4."/>
      <w:lvlJc w:val="left"/>
      <w:pPr>
        <w:ind w:left="3229" w:hanging="360"/>
      </w:pPr>
      <w:rPr>
        <w:rFonts w:cs="Times New Roman"/>
      </w:rPr>
    </w:lvl>
    <w:lvl w:ilvl="4" w:tentative="1">
      <w:start w:val="1"/>
      <w:numFmt w:val="lowerLetter"/>
      <w:lvlText w:val="%5."/>
      <w:lvlJc w:val="left"/>
      <w:pPr>
        <w:ind w:left="3949" w:hanging="360"/>
      </w:pPr>
      <w:rPr>
        <w:rFonts w:cs="Times New Roman"/>
      </w:rPr>
    </w:lvl>
    <w:lvl w:ilvl="5" w:tentative="1">
      <w:start w:val="1"/>
      <w:numFmt w:val="lowerRoman"/>
      <w:lvlText w:val="%6."/>
      <w:lvlJc w:val="right"/>
      <w:pPr>
        <w:ind w:left="4669" w:hanging="180"/>
      </w:pPr>
      <w:rPr>
        <w:rFonts w:cs="Times New Roman"/>
      </w:rPr>
    </w:lvl>
    <w:lvl w:ilvl="6" w:tentative="1">
      <w:start w:val="1"/>
      <w:numFmt w:val="decimal"/>
      <w:lvlText w:val="%7."/>
      <w:lvlJc w:val="left"/>
      <w:pPr>
        <w:ind w:left="5389" w:hanging="360"/>
      </w:pPr>
      <w:rPr>
        <w:rFonts w:cs="Times New Roman"/>
      </w:rPr>
    </w:lvl>
    <w:lvl w:ilvl="7" w:tentative="1">
      <w:start w:val="1"/>
      <w:numFmt w:val="lowerLetter"/>
      <w:lvlText w:val="%8."/>
      <w:lvlJc w:val="left"/>
      <w:pPr>
        <w:ind w:left="6109" w:hanging="360"/>
      </w:pPr>
      <w:rPr>
        <w:rFonts w:cs="Times New Roman"/>
      </w:rPr>
    </w:lvl>
    <w:lvl w:ilvl="8" w:tentative="1">
      <w:start w:val="1"/>
      <w:numFmt w:val="lowerRoman"/>
      <w:lvlText w:val="%9."/>
      <w:lvlJc w:val="right"/>
      <w:pPr>
        <w:ind w:left="6829" w:hanging="180"/>
      </w:pPr>
      <w:rPr>
        <w:rFonts w:cs="Times New Roman"/>
      </w:rPr>
    </w:lvl>
  </w:abstractNum>
  <w:abstractNum w:abstractNumId="12">
    <w:nsid w:val="1C437306"/>
    <w:multiLevelType w:val="hybridMultilevel"/>
    <w:tmpl w:val="377AA49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3">
    <w:nsid w:val="1D5914E1"/>
    <w:multiLevelType w:val="hybridMultilevel"/>
    <w:tmpl w:val="80E2BB98"/>
    <w:lvl w:ilvl="0">
      <w:start w:val="13"/>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24FC21DC"/>
    <w:multiLevelType w:val="hybridMultilevel"/>
    <w:tmpl w:val="55E80800"/>
    <w:lvl w:ilvl="0">
      <w:start w:val="1"/>
      <w:numFmt w:val="lowerLetter"/>
      <w:lvlText w:val="%1)"/>
      <w:lvlJc w:val="left"/>
      <w:pPr>
        <w:ind w:left="1428" w:hanging="360"/>
      </w:pPr>
      <w:rPr>
        <w:rFonts w:cs="Times New Roman"/>
      </w:rPr>
    </w:lvl>
    <w:lvl w:ilvl="1" w:tentative="1">
      <w:start w:val="1"/>
      <w:numFmt w:val="lowerLetter"/>
      <w:lvlText w:val="%2."/>
      <w:lvlJc w:val="left"/>
      <w:pPr>
        <w:ind w:left="2148" w:hanging="360"/>
      </w:pPr>
      <w:rPr>
        <w:rFonts w:cs="Times New Roman"/>
      </w:rPr>
    </w:lvl>
    <w:lvl w:ilvl="2" w:tentative="1">
      <w:start w:val="1"/>
      <w:numFmt w:val="lowerRoman"/>
      <w:lvlText w:val="%3."/>
      <w:lvlJc w:val="right"/>
      <w:pPr>
        <w:ind w:left="2868" w:hanging="180"/>
      </w:pPr>
      <w:rPr>
        <w:rFonts w:cs="Times New Roman"/>
      </w:rPr>
    </w:lvl>
    <w:lvl w:ilvl="3" w:tentative="1">
      <w:start w:val="1"/>
      <w:numFmt w:val="decimal"/>
      <w:lvlText w:val="%4."/>
      <w:lvlJc w:val="left"/>
      <w:pPr>
        <w:ind w:left="3588" w:hanging="360"/>
      </w:pPr>
      <w:rPr>
        <w:rFonts w:cs="Times New Roman"/>
      </w:rPr>
    </w:lvl>
    <w:lvl w:ilvl="4" w:tentative="1">
      <w:start w:val="1"/>
      <w:numFmt w:val="lowerLetter"/>
      <w:lvlText w:val="%5."/>
      <w:lvlJc w:val="left"/>
      <w:pPr>
        <w:ind w:left="4308" w:hanging="360"/>
      </w:pPr>
      <w:rPr>
        <w:rFonts w:cs="Times New Roman"/>
      </w:rPr>
    </w:lvl>
    <w:lvl w:ilvl="5" w:tentative="1">
      <w:start w:val="1"/>
      <w:numFmt w:val="lowerRoman"/>
      <w:lvlText w:val="%6."/>
      <w:lvlJc w:val="right"/>
      <w:pPr>
        <w:ind w:left="5028" w:hanging="180"/>
      </w:pPr>
      <w:rPr>
        <w:rFonts w:cs="Times New Roman"/>
      </w:rPr>
    </w:lvl>
    <w:lvl w:ilvl="6" w:tentative="1">
      <w:start w:val="1"/>
      <w:numFmt w:val="decimal"/>
      <w:lvlText w:val="%7."/>
      <w:lvlJc w:val="left"/>
      <w:pPr>
        <w:ind w:left="5748" w:hanging="360"/>
      </w:pPr>
      <w:rPr>
        <w:rFonts w:cs="Times New Roman"/>
      </w:rPr>
    </w:lvl>
    <w:lvl w:ilvl="7" w:tentative="1">
      <w:start w:val="1"/>
      <w:numFmt w:val="lowerLetter"/>
      <w:lvlText w:val="%8."/>
      <w:lvlJc w:val="left"/>
      <w:pPr>
        <w:ind w:left="6468" w:hanging="360"/>
      </w:pPr>
      <w:rPr>
        <w:rFonts w:cs="Times New Roman"/>
      </w:rPr>
    </w:lvl>
    <w:lvl w:ilvl="8" w:tentative="1">
      <w:start w:val="1"/>
      <w:numFmt w:val="lowerRoman"/>
      <w:lvlText w:val="%9."/>
      <w:lvlJc w:val="right"/>
      <w:pPr>
        <w:ind w:left="7188" w:hanging="180"/>
      </w:pPr>
      <w:rPr>
        <w:rFonts w:cs="Times New Roman"/>
      </w:rPr>
    </w:lvl>
  </w:abstractNum>
  <w:abstractNum w:abstractNumId="15">
    <w:nsid w:val="2621053F"/>
    <w:multiLevelType w:val="hybridMultilevel"/>
    <w:tmpl w:val="97CACE06"/>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267A4B31"/>
    <w:multiLevelType w:val="hybridMultilevel"/>
    <w:tmpl w:val="F19807E2"/>
    <w:lvl w:ilvl="0">
      <w:start w:val="1"/>
      <w:numFmt w:val="lowerLetter"/>
      <w:lvlText w:val="%1)"/>
      <w:lvlJc w:val="left"/>
      <w:pPr>
        <w:ind w:left="1070" w:hanging="360"/>
      </w:pPr>
      <w:rPr>
        <w:rFonts w:cs="Times New Roman" w:hint="default"/>
        <w:sz w:val="24"/>
      </w:rPr>
    </w:lvl>
    <w:lvl w:ilvl="1" w:tentative="1">
      <w:start w:val="1"/>
      <w:numFmt w:val="lowerLetter"/>
      <w:lvlText w:val="%2."/>
      <w:lvlJc w:val="left"/>
      <w:pPr>
        <w:ind w:left="1790" w:hanging="360"/>
      </w:pPr>
      <w:rPr>
        <w:rFonts w:cs="Times New Roman"/>
      </w:rPr>
    </w:lvl>
    <w:lvl w:ilvl="2" w:tentative="1">
      <w:start w:val="1"/>
      <w:numFmt w:val="lowerRoman"/>
      <w:lvlText w:val="%3."/>
      <w:lvlJc w:val="right"/>
      <w:pPr>
        <w:ind w:left="2510" w:hanging="180"/>
      </w:pPr>
      <w:rPr>
        <w:rFonts w:cs="Times New Roman"/>
      </w:rPr>
    </w:lvl>
    <w:lvl w:ilvl="3" w:tentative="1">
      <w:start w:val="1"/>
      <w:numFmt w:val="decimal"/>
      <w:lvlText w:val="%4."/>
      <w:lvlJc w:val="left"/>
      <w:pPr>
        <w:ind w:left="3230" w:hanging="360"/>
      </w:pPr>
      <w:rPr>
        <w:rFonts w:cs="Times New Roman"/>
      </w:rPr>
    </w:lvl>
    <w:lvl w:ilvl="4" w:tentative="1">
      <w:start w:val="1"/>
      <w:numFmt w:val="lowerLetter"/>
      <w:lvlText w:val="%5."/>
      <w:lvlJc w:val="left"/>
      <w:pPr>
        <w:ind w:left="3950" w:hanging="360"/>
      </w:pPr>
      <w:rPr>
        <w:rFonts w:cs="Times New Roman"/>
      </w:rPr>
    </w:lvl>
    <w:lvl w:ilvl="5" w:tentative="1">
      <w:start w:val="1"/>
      <w:numFmt w:val="lowerRoman"/>
      <w:lvlText w:val="%6."/>
      <w:lvlJc w:val="right"/>
      <w:pPr>
        <w:ind w:left="4670" w:hanging="180"/>
      </w:pPr>
      <w:rPr>
        <w:rFonts w:cs="Times New Roman"/>
      </w:rPr>
    </w:lvl>
    <w:lvl w:ilvl="6" w:tentative="1">
      <w:start w:val="1"/>
      <w:numFmt w:val="decimal"/>
      <w:lvlText w:val="%7."/>
      <w:lvlJc w:val="left"/>
      <w:pPr>
        <w:ind w:left="5390" w:hanging="360"/>
      </w:pPr>
      <w:rPr>
        <w:rFonts w:cs="Times New Roman"/>
      </w:rPr>
    </w:lvl>
    <w:lvl w:ilvl="7" w:tentative="1">
      <w:start w:val="1"/>
      <w:numFmt w:val="lowerLetter"/>
      <w:lvlText w:val="%8."/>
      <w:lvlJc w:val="left"/>
      <w:pPr>
        <w:ind w:left="6110" w:hanging="360"/>
      </w:pPr>
      <w:rPr>
        <w:rFonts w:cs="Times New Roman"/>
      </w:rPr>
    </w:lvl>
    <w:lvl w:ilvl="8" w:tentative="1">
      <w:start w:val="1"/>
      <w:numFmt w:val="lowerRoman"/>
      <w:lvlText w:val="%9."/>
      <w:lvlJc w:val="right"/>
      <w:pPr>
        <w:ind w:left="6830" w:hanging="180"/>
      </w:pPr>
      <w:rPr>
        <w:rFonts w:cs="Times New Roman"/>
      </w:rPr>
    </w:lvl>
  </w:abstractNum>
  <w:abstractNum w:abstractNumId="17">
    <w:nsid w:val="2B9B05E6"/>
    <w:multiLevelType w:val="hybridMultilevel"/>
    <w:tmpl w:val="8D42C37A"/>
    <w:lvl w:ilvl="0">
      <w:start w:val="1"/>
      <w:numFmt w:val="decimal"/>
      <w:lvlText w:val="%1."/>
      <w:lvlJc w:val="left"/>
      <w:pPr>
        <w:ind w:left="1146" w:hanging="360"/>
      </w:pPr>
      <w:rPr>
        <w:b/>
      </w:r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18">
    <w:nsid w:val="31501189"/>
    <w:multiLevelType w:val="hybridMultilevel"/>
    <w:tmpl w:val="CC5C8CB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32F5240E"/>
    <w:multiLevelType w:val="hybridMultilevel"/>
    <w:tmpl w:val="5A828046"/>
    <w:lvl w:ilvl="0">
      <w:start w:val="1"/>
      <w:numFmt w:val="decimal"/>
      <w:lvlText w:val="%1."/>
      <w:lvlJc w:val="left"/>
      <w:pPr>
        <w:ind w:left="720" w:hanging="360"/>
      </w:pPr>
      <w:rPr>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9F70901"/>
    <w:multiLevelType w:val="hybridMultilevel"/>
    <w:tmpl w:val="E0CEF6CC"/>
    <w:lvl w:ilvl="0">
      <w:start w:val="1"/>
      <w:numFmt w:val="decimal"/>
      <w:lvlText w:val="%1."/>
      <w:lvlJc w:val="left"/>
      <w:pPr>
        <w:ind w:left="360" w:hanging="360"/>
      </w:pPr>
      <w:rPr>
        <w:rFonts w:cs="Times New Roman"/>
        <w:b/>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1">
    <w:nsid w:val="3A0F19B3"/>
    <w:multiLevelType w:val="hybridMultilevel"/>
    <w:tmpl w:val="02C235AC"/>
    <w:lvl w:ilvl="0">
      <w:start w:val="1"/>
      <w:numFmt w:val="decimal"/>
      <w:lvlText w:val="%1."/>
      <w:lvlJc w:val="left"/>
      <w:pPr>
        <w:ind w:left="720" w:hanging="360"/>
      </w:pPr>
      <w:rPr>
        <w:rFonts w:hint="default"/>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B7960AD"/>
    <w:multiLevelType w:val="singleLevel"/>
    <w:tmpl w:val="DA2A2E60"/>
    <w:lvl w:ilvl="0">
      <w:start w:val="1"/>
      <w:numFmt w:val="upperLetter"/>
      <w:pStyle w:val="Heading8"/>
      <w:lvlText w:val="%1."/>
      <w:lvlJc w:val="left"/>
      <w:pPr>
        <w:tabs>
          <w:tab w:val="num" w:pos="2490"/>
        </w:tabs>
        <w:ind w:left="2490" w:hanging="360"/>
      </w:pPr>
    </w:lvl>
  </w:abstractNum>
  <w:abstractNum w:abstractNumId="23">
    <w:nsid w:val="3F224F23"/>
    <w:multiLevelType w:val="hybridMultilevel"/>
    <w:tmpl w:val="698C7902"/>
    <w:lvl w:ilvl="0">
      <w:start w:val="1"/>
      <w:numFmt w:val="lowerLetter"/>
      <w:lvlText w:val="%1)"/>
      <w:lvlJc w:val="left"/>
      <w:pPr>
        <w:ind w:left="502" w:hanging="360"/>
      </w:pPr>
      <w:rPr>
        <w:rFonts w:cs="Times New Roman"/>
      </w:rPr>
    </w:lvl>
    <w:lvl w:ilvl="1" w:tentative="1">
      <w:start w:val="1"/>
      <w:numFmt w:val="lowerLetter"/>
      <w:lvlText w:val="%2."/>
      <w:lvlJc w:val="left"/>
      <w:pPr>
        <w:ind w:left="1222" w:hanging="360"/>
      </w:pPr>
      <w:rPr>
        <w:rFonts w:cs="Times New Roman"/>
      </w:rPr>
    </w:lvl>
    <w:lvl w:ilvl="2" w:tentative="1">
      <w:start w:val="1"/>
      <w:numFmt w:val="lowerRoman"/>
      <w:lvlText w:val="%3."/>
      <w:lvlJc w:val="right"/>
      <w:pPr>
        <w:ind w:left="1942" w:hanging="180"/>
      </w:pPr>
      <w:rPr>
        <w:rFonts w:cs="Times New Roman"/>
      </w:rPr>
    </w:lvl>
    <w:lvl w:ilvl="3" w:tentative="1">
      <w:start w:val="1"/>
      <w:numFmt w:val="decimal"/>
      <w:lvlText w:val="%4."/>
      <w:lvlJc w:val="left"/>
      <w:pPr>
        <w:ind w:left="2662" w:hanging="360"/>
      </w:pPr>
      <w:rPr>
        <w:rFonts w:cs="Times New Roman"/>
      </w:rPr>
    </w:lvl>
    <w:lvl w:ilvl="4" w:tentative="1">
      <w:start w:val="1"/>
      <w:numFmt w:val="lowerLetter"/>
      <w:lvlText w:val="%5."/>
      <w:lvlJc w:val="left"/>
      <w:pPr>
        <w:ind w:left="3382" w:hanging="360"/>
      </w:pPr>
      <w:rPr>
        <w:rFonts w:cs="Times New Roman"/>
      </w:rPr>
    </w:lvl>
    <w:lvl w:ilvl="5" w:tentative="1">
      <w:start w:val="1"/>
      <w:numFmt w:val="lowerRoman"/>
      <w:lvlText w:val="%6."/>
      <w:lvlJc w:val="right"/>
      <w:pPr>
        <w:ind w:left="4102" w:hanging="180"/>
      </w:pPr>
      <w:rPr>
        <w:rFonts w:cs="Times New Roman"/>
      </w:rPr>
    </w:lvl>
    <w:lvl w:ilvl="6" w:tentative="1">
      <w:start w:val="1"/>
      <w:numFmt w:val="decimal"/>
      <w:lvlText w:val="%7."/>
      <w:lvlJc w:val="left"/>
      <w:pPr>
        <w:ind w:left="4822" w:hanging="360"/>
      </w:pPr>
      <w:rPr>
        <w:rFonts w:cs="Times New Roman"/>
      </w:rPr>
    </w:lvl>
    <w:lvl w:ilvl="7" w:tentative="1">
      <w:start w:val="1"/>
      <w:numFmt w:val="lowerLetter"/>
      <w:lvlText w:val="%8."/>
      <w:lvlJc w:val="left"/>
      <w:pPr>
        <w:ind w:left="5542" w:hanging="360"/>
      </w:pPr>
      <w:rPr>
        <w:rFonts w:cs="Times New Roman"/>
      </w:rPr>
    </w:lvl>
    <w:lvl w:ilvl="8" w:tentative="1">
      <w:start w:val="1"/>
      <w:numFmt w:val="lowerRoman"/>
      <w:lvlText w:val="%9."/>
      <w:lvlJc w:val="right"/>
      <w:pPr>
        <w:ind w:left="6262" w:hanging="180"/>
      </w:pPr>
      <w:rPr>
        <w:rFonts w:cs="Times New Roman"/>
      </w:rPr>
    </w:lvl>
  </w:abstractNum>
  <w:abstractNum w:abstractNumId="24">
    <w:nsid w:val="412E4770"/>
    <w:multiLevelType w:val="hybridMultilevel"/>
    <w:tmpl w:val="B3C653E4"/>
    <w:lvl w:ilvl="0">
      <w:start w:val="1"/>
      <w:numFmt w:val="decimal"/>
      <w:lvlText w:val="%1."/>
      <w:lvlJc w:val="left"/>
      <w:pPr>
        <w:ind w:left="1440" w:hanging="360"/>
      </w:pPr>
      <w:rPr>
        <w:rFonts w:ascii="Times New Roman" w:hAnsi="Times New Roman" w:cs="Times New Roman" w:hint="default"/>
        <w:b/>
        <w:sz w:val="24"/>
        <w:szCs w:val="24"/>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41A2283D"/>
    <w:multiLevelType w:val="hybridMultilevel"/>
    <w:tmpl w:val="B070614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3637B0D"/>
    <w:multiLevelType w:val="hybridMultilevel"/>
    <w:tmpl w:val="FF065298"/>
    <w:lvl w:ilvl="0">
      <w:start w:val="1"/>
      <w:numFmt w:val="decimal"/>
      <w:lvlText w:val="%1."/>
      <w:lvlJc w:val="left"/>
      <w:pPr>
        <w:ind w:left="108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95D497A"/>
    <w:multiLevelType w:val="hybridMultilevel"/>
    <w:tmpl w:val="C270CDB0"/>
    <w:lvl w:ilvl="0">
      <w:start w:val="1"/>
      <w:numFmt w:val="decimal"/>
      <w:lvlText w:val="%1."/>
      <w:lvlJc w:val="left"/>
      <w:pPr>
        <w:ind w:left="644" w:hanging="360"/>
      </w:pPr>
      <w:rPr>
        <w:rFonts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abstractNum w:abstractNumId="28">
    <w:nsid w:val="514471DB"/>
    <w:multiLevelType w:val="hybridMultilevel"/>
    <w:tmpl w:val="5E08F75E"/>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9">
    <w:nsid w:val="536645CC"/>
    <w:multiLevelType w:val="hybridMultilevel"/>
    <w:tmpl w:val="B7E0B1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77B5AB6"/>
    <w:multiLevelType w:val="hybridMultilevel"/>
    <w:tmpl w:val="1E8A1222"/>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590D08C4"/>
    <w:multiLevelType w:val="hybridMultilevel"/>
    <w:tmpl w:val="3796CC8C"/>
    <w:lvl w:ilvl="0">
      <w:start w:val="1"/>
      <w:numFmt w:val="decimal"/>
      <w:lvlText w:val="%1."/>
      <w:lvlJc w:val="left"/>
      <w:pPr>
        <w:ind w:left="360" w:hanging="360"/>
      </w:pPr>
    </w:lvl>
    <w:lvl w:ilvl="1" w:tentative="1">
      <w:start w:val="1"/>
      <w:numFmt w:val="lowerLetter"/>
      <w:lvlText w:val="%2."/>
      <w:lvlJc w:val="left"/>
      <w:pPr>
        <w:ind w:left="1466" w:hanging="360"/>
      </w:pPr>
    </w:lvl>
    <w:lvl w:ilvl="2" w:tentative="1">
      <w:start w:val="1"/>
      <w:numFmt w:val="lowerRoman"/>
      <w:lvlText w:val="%3."/>
      <w:lvlJc w:val="right"/>
      <w:pPr>
        <w:ind w:left="2186" w:hanging="180"/>
      </w:pPr>
    </w:lvl>
    <w:lvl w:ilvl="3" w:tentative="1">
      <w:start w:val="1"/>
      <w:numFmt w:val="decimal"/>
      <w:lvlText w:val="%4."/>
      <w:lvlJc w:val="left"/>
      <w:pPr>
        <w:ind w:left="2906" w:hanging="360"/>
      </w:pPr>
    </w:lvl>
    <w:lvl w:ilvl="4" w:tentative="1">
      <w:start w:val="1"/>
      <w:numFmt w:val="lowerLetter"/>
      <w:lvlText w:val="%5."/>
      <w:lvlJc w:val="left"/>
      <w:pPr>
        <w:ind w:left="3626" w:hanging="360"/>
      </w:pPr>
    </w:lvl>
    <w:lvl w:ilvl="5" w:tentative="1">
      <w:start w:val="1"/>
      <w:numFmt w:val="lowerRoman"/>
      <w:lvlText w:val="%6."/>
      <w:lvlJc w:val="right"/>
      <w:pPr>
        <w:ind w:left="4346" w:hanging="180"/>
      </w:pPr>
    </w:lvl>
    <w:lvl w:ilvl="6" w:tentative="1">
      <w:start w:val="1"/>
      <w:numFmt w:val="decimal"/>
      <w:lvlText w:val="%7."/>
      <w:lvlJc w:val="left"/>
      <w:pPr>
        <w:ind w:left="5066" w:hanging="360"/>
      </w:pPr>
    </w:lvl>
    <w:lvl w:ilvl="7" w:tentative="1">
      <w:start w:val="1"/>
      <w:numFmt w:val="lowerLetter"/>
      <w:lvlText w:val="%8."/>
      <w:lvlJc w:val="left"/>
      <w:pPr>
        <w:ind w:left="5786" w:hanging="360"/>
      </w:pPr>
    </w:lvl>
    <w:lvl w:ilvl="8" w:tentative="1">
      <w:start w:val="1"/>
      <w:numFmt w:val="lowerRoman"/>
      <w:lvlText w:val="%9."/>
      <w:lvlJc w:val="right"/>
      <w:pPr>
        <w:ind w:left="6506" w:hanging="180"/>
      </w:pPr>
    </w:lvl>
  </w:abstractNum>
  <w:abstractNum w:abstractNumId="32">
    <w:nsid w:val="5916622E"/>
    <w:multiLevelType w:val="hybridMultilevel"/>
    <w:tmpl w:val="F718D9F6"/>
    <w:lvl w:ilvl="0">
      <w:start w:val="2"/>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3">
    <w:nsid w:val="5FFF1468"/>
    <w:multiLevelType w:val="hybridMultilevel"/>
    <w:tmpl w:val="1734AC24"/>
    <w:lvl w:ilvl="0">
      <w:start w:val="1"/>
      <w:numFmt w:val="lowerLetter"/>
      <w:lvlText w:val="%1)"/>
      <w:lvlJc w:val="left"/>
      <w:pPr>
        <w:ind w:left="786" w:hanging="360"/>
      </w:pPr>
      <w:rPr>
        <w:rFonts w:cs="Times New Roman" w:hint="default"/>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34">
    <w:nsid w:val="613B56BB"/>
    <w:multiLevelType w:val="hybridMultilevel"/>
    <w:tmpl w:val="9BAED474"/>
    <w:lvl w:ilvl="0">
      <w:start w:val="1"/>
      <w:numFmt w:val="lowerLetter"/>
      <w:lvlText w:val="%1)"/>
      <w:lvlJc w:val="left"/>
      <w:pPr>
        <w:ind w:left="1428" w:hanging="360"/>
      </w:pPr>
      <w:rPr>
        <w:rFonts w:cs="Times New Roman" w:hint="default"/>
      </w:rPr>
    </w:lvl>
    <w:lvl w:ilvl="1">
      <w:start w:val="0"/>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5">
    <w:nsid w:val="632D0216"/>
    <w:multiLevelType w:val="hybridMultilevel"/>
    <w:tmpl w:val="F4029C74"/>
    <w:lvl w:ilvl="0">
      <w:start w:val="1"/>
      <w:numFmt w:val="decimal"/>
      <w:lvlText w:val="%1."/>
      <w:lvlJc w:val="left"/>
      <w:pPr>
        <w:tabs>
          <w:tab w:val="num" w:pos="1080"/>
        </w:tabs>
        <w:ind w:left="1080" w:hanging="360"/>
      </w:pPr>
      <w:rPr>
        <w:rFonts w:hint="default"/>
        <w:b w:val="0"/>
      </w:rPr>
    </w:lvl>
    <w:lvl w:ilvl="1">
      <w:start w:val="1"/>
      <w:numFmt w:val="lowerLetter"/>
      <w:lvlText w:val="%2."/>
      <w:lvlJc w:val="left"/>
      <w:pPr>
        <w:tabs>
          <w:tab w:val="num" w:pos="1800"/>
        </w:tabs>
        <w:ind w:left="1800" w:hanging="360"/>
      </w:pPr>
    </w:lvl>
    <w:lvl w:ilvl="2">
      <w:start w:val="5"/>
      <w:numFmt w:val="upperRoman"/>
      <w:lvlText w:val="%3."/>
      <w:lvlJc w:val="left"/>
      <w:pPr>
        <w:tabs>
          <w:tab w:val="num" w:pos="3060"/>
        </w:tabs>
        <w:ind w:left="3060" w:hanging="720"/>
      </w:pPr>
      <w:rPr>
        <w:rFonts w:hint="default"/>
      </w:rPr>
    </w:lvl>
    <w:lvl w:ilvl="3">
      <w:start w:val="23"/>
      <w:numFmt w:val="upperLetter"/>
      <w:lvlText w:val="%4."/>
      <w:lvlJc w:val="left"/>
      <w:pPr>
        <w:tabs>
          <w:tab w:val="num" w:pos="3240"/>
        </w:tabs>
        <w:ind w:left="3240" w:hanging="360"/>
      </w:pPr>
      <w:rPr>
        <w:rFonts w:hint="default"/>
        <w:b/>
      </w:r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6">
    <w:nsid w:val="641302EA"/>
    <w:multiLevelType w:val="hybridMultilevel"/>
    <w:tmpl w:val="5BE4A0E0"/>
    <w:lvl w:ilvl="0">
      <w:start w:val="1"/>
      <w:numFmt w:val="decimal"/>
      <w:lvlText w:val="%1."/>
      <w:lvlJc w:val="left"/>
      <w:pPr>
        <w:ind w:left="720" w:hanging="360"/>
      </w:pPr>
    </w:lvl>
    <w:lvl w:ilvl="1">
      <w:start w:val="1"/>
      <w:numFmt w:val="lowerLetter"/>
      <w:lvlText w:val="%2)"/>
      <w:lvlJc w:val="left"/>
      <w:pPr>
        <w:ind w:left="1440" w:hanging="360"/>
      </w:pPr>
      <w:rPr>
        <w:rFonts w:ascii="Times New Roman" w:eastAsia="Calibri"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6576EB3"/>
    <w:multiLevelType w:val="hybridMultilevel"/>
    <w:tmpl w:val="E2B264CE"/>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694414EF"/>
    <w:multiLevelType w:val="hybridMultilevel"/>
    <w:tmpl w:val="A4B8DB04"/>
    <w:lvl w:ilvl="0">
      <w:start w:val="1"/>
      <w:numFmt w:val="decimal"/>
      <w:lvlText w:val="%1."/>
      <w:lvlJc w:val="left"/>
      <w:pPr>
        <w:ind w:left="360" w:hanging="360"/>
      </w:pPr>
      <w:rPr>
        <w:rFonts w:cs="Times New Roman"/>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39">
    <w:nsid w:val="694E1FEA"/>
    <w:multiLevelType w:val="hybridMultilevel"/>
    <w:tmpl w:val="09F09ACC"/>
    <w:lvl w:ilvl="0">
      <w:start w:val="1"/>
      <w:numFmt w:val="decimal"/>
      <w:lvlText w:val="%1."/>
      <w:lvlJc w:val="left"/>
      <w:pPr>
        <w:ind w:left="720" w:hanging="360"/>
      </w:pPr>
      <w:rPr>
        <w:b/>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ECE2043"/>
    <w:multiLevelType w:val="hybridMultilevel"/>
    <w:tmpl w:val="096AA0A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1">
    <w:nsid w:val="791734C7"/>
    <w:multiLevelType w:val="hybridMultilevel"/>
    <w:tmpl w:val="FDD461EE"/>
    <w:lvl w:ilvl="0">
      <w:start w:val="1"/>
      <w:numFmt w:val="decimal"/>
      <w:lvlText w:val="%1."/>
      <w:lvlJc w:val="left"/>
      <w:pPr>
        <w:tabs>
          <w:tab w:val="num" w:pos="360"/>
        </w:tabs>
        <w:ind w:left="360" w:hanging="360"/>
      </w:pPr>
      <w:rPr>
        <w:rFonts w:cs="Times New Roman" w:hint="default"/>
        <w:b w:val="0"/>
        <w:sz w:val="22"/>
        <w:szCs w:val="22"/>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4"/>
    <w:lvlOverride w:ilvl="0"/>
  </w:num>
  <w:num w:numId="2">
    <w:abstractNumId w:val="22"/>
    <w:lvlOverride w:ilvl="0">
      <w:startOverride w:val="1"/>
    </w:lvlOverride>
  </w:num>
  <w:num w:numId="3">
    <w:abstractNumId w:val="35"/>
  </w:num>
  <w:num w:numId="4">
    <w:abstractNumId w:val="32"/>
  </w:num>
  <w:num w:numId="5">
    <w:abstractNumId w:val="18"/>
  </w:num>
  <w:num w:numId="6">
    <w:abstractNumId w:val="7"/>
  </w:num>
  <w:num w:numId="7">
    <w:abstractNumId w:val="28"/>
  </w:num>
  <w:num w:numId="8">
    <w:abstractNumId w:val="40"/>
  </w:num>
  <w:num w:numId="9">
    <w:abstractNumId w:val="20"/>
  </w:num>
  <w:num w:numId="10">
    <w:abstractNumId w:val="41"/>
  </w:num>
  <w:num w:numId="11">
    <w:abstractNumId w:val="1"/>
  </w:num>
  <w:num w:numId="12">
    <w:abstractNumId w:val="23"/>
  </w:num>
  <w:num w:numId="13">
    <w:abstractNumId w:val="6"/>
  </w:num>
  <w:num w:numId="14">
    <w:abstractNumId w:val="14"/>
  </w:num>
  <w:num w:numId="15">
    <w:abstractNumId w:val="16"/>
  </w:num>
  <w:num w:numId="16">
    <w:abstractNumId w:val="34"/>
  </w:num>
  <w:num w:numId="17">
    <w:abstractNumId w:val="9"/>
  </w:num>
  <w:num w:numId="18">
    <w:abstractNumId w:val="8"/>
  </w:num>
  <w:num w:numId="19">
    <w:abstractNumId w:val="0"/>
  </w:num>
  <w:num w:numId="20">
    <w:abstractNumId w:val="33"/>
  </w:num>
  <w:num w:numId="21">
    <w:abstractNumId w:val="27"/>
  </w:num>
  <w:num w:numId="22">
    <w:abstractNumId w:val="15"/>
  </w:num>
  <w:num w:numId="23">
    <w:abstractNumId w:val="13"/>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11"/>
  </w:num>
  <w:num w:numId="30">
    <w:abstractNumId w:val="17"/>
  </w:num>
  <w:num w:numId="31">
    <w:abstractNumId w:val="31"/>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0"/>
  </w:num>
  <w:num w:numId="36">
    <w:abstractNumId w:val="29"/>
  </w:num>
  <w:num w:numId="37">
    <w:abstractNumId w:val="21"/>
  </w:num>
  <w:num w:numId="38">
    <w:abstractNumId w:val="24"/>
  </w:num>
  <w:num w:numId="39">
    <w:abstractNumId w:val="39"/>
  </w:num>
  <w:num w:numId="40">
    <w:abstractNumId w:val="5"/>
  </w:num>
  <w:num w:numId="41">
    <w:abstractNumId w:val="2"/>
  </w:num>
  <w:num w:numId="4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efaultTabStop w:val="708"/>
  <w:hyphenationZone w:val="425"/>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5B1"/>
    <w:rPr>
      <w:sz w:val="24"/>
      <w:szCs w:val="24"/>
      <w:lang w:val="sk-SK" w:eastAsia="sk-SK" w:bidi="ar-SA"/>
    </w:rPr>
  </w:style>
  <w:style w:type="paragraph" w:styleId="Heading1">
    <w:name w:val="heading 1"/>
    <w:basedOn w:val="Normal"/>
    <w:next w:val="Normal"/>
    <w:qFormat/>
    <w:pPr>
      <w:keepNext/>
      <w:jc w:val="center"/>
      <w:outlineLvl w:val="0"/>
    </w:pPr>
    <w:rPr>
      <w:rFonts w:eastAsia="Arial Unicode MS"/>
      <w:b/>
      <w:sz w:val="28"/>
    </w:rPr>
  </w:style>
  <w:style w:type="paragraph" w:styleId="Heading2">
    <w:name w:val="heading 2"/>
    <w:basedOn w:val="Normal"/>
    <w:next w:val="Normal"/>
    <w:qFormat/>
    <w:pPr>
      <w:keepNext/>
      <w:ind w:left="2832" w:firstLine="708"/>
      <w:jc w:val="both"/>
      <w:outlineLvl w:val="1"/>
    </w:pPr>
    <w:rPr>
      <w:b/>
      <w:bCs/>
    </w:rPr>
  </w:style>
  <w:style w:type="paragraph" w:styleId="Heading3">
    <w:name w:val="heading 3"/>
    <w:basedOn w:val="Normal"/>
    <w:next w:val="Normal"/>
    <w:qFormat/>
    <w:pPr>
      <w:keepNext/>
      <w:overflowPunct w:val="0"/>
      <w:autoSpaceDE w:val="0"/>
      <w:autoSpaceDN w:val="0"/>
      <w:ind w:left="360" w:hanging="360"/>
      <w:jc w:val="both"/>
      <w:outlineLvl w:val="2"/>
    </w:pPr>
    <w:rPr>
      <w:sz w:val="28"/>
    </w:rPr>
  </w:style>
  <w:style w:type="paragraph" w:styleId="Heading4">
    <w:name w:val="heading 4"/>
    <w:basedOn w:val="Normal"/>
    <w:next w:val="Normal"/>
    <w:qFormat/>
    <w:pPr>
      <w:keepNext/>
      <w:ind w:left="2832" w:firstLine="708"/>
      <w:outlineLvl w:val="3"/>
    </w:pPr>
    <w:rPr>
      <w:b/>
      <w:bCs/>
    </w:rPr>
  </w:style>
  <w:style w:type="paragraph" w:styleId="Heading5">
    <w:name w:val="heading 5"/>
    <w:basedOn w:val="Normal"/>
    <w:next w:val="Normal"/>
    <w:qFormat/>
    <w:rsid w:val="00885A23"/>
    <w:pPr>
      <w:keepNext/>
      <w:jc w:val="both"/>
      <w:outlineLvl w:val="4"/>
    </w:pPr>
    <w:rPr>
      <w:rFonts w:eastAsia="Arial Unicode MS"/>
      <w:b/>
      <w:bCs/>
    </w:rPr>
  </w:style>
  <w:style w:type="paragraph" w:styleId="Heading6">
    <w:name w:val="heading 6"/>
    <w:basedOn w:val="Normal"/>
    <w:next w:val="Normal"/>
    <w:qFormat/>
    <w:rsid w:val="004F359E"/>
    <w:pPr>
      <w:spacing w:before="240" w:after="60"/>
      <w:outlineLvl w:val="5"/>
    </w:pPr>
    <w:rPr>
      <w:b/>
      <w:bCs/>
      <w:sz w:val="22"/>
      <w:szCs w:val="22"/>
    </w:rPr>
  </w:style>
  <w:style w:type="paragraph" w:styleId="Heading7">
    <w:name w:val="heading 7"/>
    <w:basedOn w:val="Normal"/>
    <w:next w:val="Normal"/>
    <w:qFormat/>
    <w:rsid w:val="00885A23"/>
    <w:pPr>
      <w:keepNext/>
      <w:widowControl w:val="0"/>
      <w:ind w:left="1416"/>
      <w:jc w:val="both"/>
      <w:outlineLvl w:val="6"/>
    </w:pPr>
    <w:rPr>
      <w:b/>
      <w:szCs w:val="20"/>
      <w:lang w:val="cs-CZ"/>
    </w:rPr>
  </w:style>
  <w:style w:type="paragraph" w:styleId="Heading8">
    <w:name w:val="heading 8"/>
    <w:basedOn w:val="Normal"/>
    <w:next w:val="Normal"/>
    <w:qFormat/>
    <w:pPr>
      <w:keepNext/>
      <w:numPr>
        <w:ilvl w:val="0"/>
        <w:numId w:val="2"/>
      </w:numPr>
      <w:jc w:val="both"/>
      <w:outlineLvl w:val="7"/>
    </w:pPr>
    <w:rPr>
      <w:b/>
      <w:szCs w:val="20"/>
      <w:lang w:val="cs-CZ"/>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NzovChar"/>
    <w:qFormat/>
    <w:pPr>
      <w:jc w:val="center"/>
    </w:pPr>
    <w:rPr>
      <w:b/>
      <w:sz w:val="32"/>
      <w:szCs w:val="20"/>
    </w:rPr>
  </w:style>
  <w:style w:type="paragraph" w:styleId="Subtitle">
    <w:name w:val="Subtitle"/>
    <w:basedOn w:val="Normal"/>
    <w:qFormat/>
    <w:pPr>
      <w:jc w:val="center"/>
    </w:pPr>
    <w:rPr>
      <w:b/>
      <w:sz w:val="28"/>
      <w:szCs w:val="20"/>
    </w:rPr>
  </w:style>
  <w:style w:type="paragraph" w:styleId="BodyText">
    <w:name w:val="Body Text"/>
    <w:basedOn w:val="Normal"/>
    <w:pPr>
      <w:jc w:val="both"/>
    </w:pPr>
    <w:rPr>
      <w:b/>
      <w:bCs/>
    </w:rPr>
  </w:style>
  <w:style w:type="paragraph" w:styleId="BodyText2">
    <w:name w:val="Body Text 2"/>
    <w:basedOn w:val="Normal"/>
    <w:link w:val="Zkladntext2Char"/>
    <w:pPr>
      <w:jc w:val="both"/>
    </w:pPr>
    <w:rPr>
      <w:szCs w:val="20"/>
    </w:rPr>
  </w:style>
  <w:style w:type="paragraph" w:styleId="BodyText3">
    <w:name w:val="Body Text 3"/>
    <w:basedOn w:val="Normal"/>
    <w:pPr>
      <w:jc w:val="both"/>
    </w:pPr>
    <w:rPr>
      <w:szCs w:val="20"/>
      <w:lang w:val="cs-CZ"/>
    </w:rPr>
  </w:style>
  <w:style w:type="paragraph" w:styleId="BodyTextIndent2">
    <w:name w:val="Body Text Indent 2"/>
    <w:basedOn w:val="Normal"/>
    <w:pPr>
      <w:ind w:left="4245"/>
    </w:pPr>
    <w:rPr>
      <w:bCs/>
    </w:rPr>
  </w:style>
  <w:style w:type="paragraph" w:styleId="BodyTextIndent">
    <w:name w:val="Body Text Indent"/>
    <w:basedOn w:val="Normal"/>
    <w:pPr>
      <w:ind w:left="5040"/>
      <w:jc w:val="both"/>
    </w:pPr>
    <w:rPr>
      <w:b/>
      <w:bCs/>
      <w:lang w:val="en-US" w:eastAsia="en-US"/>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BodyTextIndent3">
    <w:name w:val="Body Text Indent 3"/>
    <w:basedOn w:val="Normal"/>
    <w:pPr>
      <w:ind w:left="1065"/>
      <w:jc w:val="both"/>
    </w:pPr>
    <w:rPr>
      <w:szCs w:val="20"/>
      <w:lang w:val="cs-CZ"/>
    </w:rPr>
  </w:style>
  <w:style w:type="character" w:styleId="Strong">
    <w:name w:val="Strong"/>
    <w:qFormat/>
    <w:rPr>
      <w:b/>
      <w:bCs/>
    </w:rPr>
  </w:style>
  <w:style w:type="paragraph" w:customStyle="1" w:styleId="Zkladntext">
    <w:name w:val="Základní text"/>
    <w:rsid w:val="00843C04"/>
    <w:pPr>
      <w:autoSpaceDE w:val="0"/>
      <w:autoSpaceDN w:val="0"/>
    </w:pPr>
    <w:rPr>
      <w:color w:val="000000"/>
      <w:sz w:val="24"/>
      <w:szCs w:val="24"/>
      <w:lang w:val="sk-SK" w:eastAsia="cs-CZ" w:bidi="ar-SA"/>
    </w:rPr>
  </w:style>
  <w:style w:type="paragraph" w:customStyle="1" w:styleId="Popisparagrafu">
    <w:name w:val="Popis paragrafu"/>
    <w:basedOn w:val="Normal"/>
    <w:next w:val="Normal"/>
    <w:rsid w:val="00843C04"/>
    <w:pPr>
      <w:spacing w:before="240"/>
      <w:jc w:val="center"/>
      <w:outlineLvl w:val="5"/>
    </w:pPr>
    <w:rPr>
      <w:lang w:val="cs-CZ"/>
    </w:rPr>
  </w:style>
  <w:style w:type="paragraph" w:styleId="CommentText">
    <w:name w:val="annotation text"/>
    <w:basedOn w:val="Normal"/>
    <w:semiHidden/>
    <w:rsid w:val="00090F05"/>
    <w:rPr>
      <w:sz w:val="20"/>
      <w:szCs w:val="20"/>
      <w:lang w:eastAsia="cs-CZ"/>
    </w:rPr>
  </w:style>
  <w:style w:type="paragraph" w:styleId="BalloonText">
    <w:name w:val="Balloon Text"/>
    <w:basedOn w:val="Normal"/>
    <w:semiHidden/>
    <w:rsid w:val="0096626D"/>
    <w:rPr>
      <w:rFonts w:ascii="Tahoma" w:hAnsi="Tahoma" w:cs="Tahoma"/>
      <w:sz w:val="16"/>
      <w:szCs w:val="16"/>
    </w:rPr>
  </w:style>
  <w:style w:type="character" w:styleId="Emphasis">
    <w:name w:val="Emphasis"/>
    <w:qFormat/>
    <w:rsid w:val="008413C8"/>
    <w:rPr>
      <w:i/>
      <w:iCs/>
    </w:rPr>
  </w:style>
  <w:style w:type="character" w:customStyle="1" w:styleId="ZkladntextChar">
    <w:name w:val="Základní text Char"/>
    <w:link w:val="Zkladntext1"/>
    <w:rsid w:val="008413C8"/>
    <w:rPr>
      <w:snapToGrid w:val="0"/>
      <w:color w:val="000000"/>
      <w:sz w:val="24"/>
      <w:szCs w:val="24"/>
      <w:lang w:val="sk-SK" w:eastAsia="sk-SK"/>
    </w:rPr>
  </w:style>
  <w:style w:type="paragraph" w:customStyle="1" w:styleId="Zkladntext1">
    <w:name w:val="Základní text1"/>
    <w:link w:val="ZkladntextChar"/>
    <w:rsid w:val="00077B17"/>
    <w:rPr>
      <w:snapToGrid w:val="0"/>
      <w:color w:val="000000"/>
      <w:sz w:val="24"/>
      <w:szCs w:val="24"/>
      <w:lang w:val="sk-SK" w:eastAsia="sk-SK" w:bidi="ar-SA"/>
    </w:rPr>
  </w:style>
  <w:style w:type="paragraph" w:customStyle="1" w:styleId="Normlnywebov8">
    <w:name w:val="Normálny (webový)8"/>
    <w:basedOn w:val="Normal"/>
    <w:rsid w:val="008413C8"/>
    <w:pPr>
      <w:spacing w:before="75" w:after="75"/>
      <w:ind w:left="225" w:right="225"/>
      <w:jc w:val="both"/>
    </w:pPr>
    <w:rPr>
      <w:rFonts w:ascii="Arial Narrow" w:hAnsi="Arial Narrow" w:cs="Arial Narrow"/>
      <w:sz w:val="22"/>
      <w:szCs w:val="22"/>
    </w:rPr>
  </w:style>
  <w:style w:type="paragraph" w:styleId="BlockText">
    <w:name w:val="Block Text"/>
    <w:basedOn w:val="Normal"/>
    <w:rsid w:val="00077B17"/>
    <w:pPr>
      <w:ind w:left="708" w:right="-108"/>
    </w:pPr>
    <w:rPr>
      <w:bCs/>
    </w:rPr>
  </w:style>
  <w:style w:type="paragraph" w:styleId="List">
    <w:name w:val="List"/>
    <w:basedOn w:val="Normal"/>
    <w:rsid w:val="004F359E"/>
    <w:pPr>
      <w:ind w:left="283" w:hanging="283"/>
    </w:pPr>
  </w:style>
  <w:style w:type="paragraph" w:styleId="List2">
    <w:name w:val="List 2"/>
    <w:basedOn w:val="Normal"/>
    <w:rsid w:val="004F359E"/>
    <w:pPr>
      <w:ind w:left="566" w:hanging="283"/>
    </w:pPr>
  </w:style>
  <w:style w:type="character" w:customStyle="1" w:styleId="PlaceholderText">
    <w:name w:val="Placeholder Text"/>
    <w:semiHidden/>
    <w:rsid w:val="00364541"/>
    <w:rPr>
      <w:color w:val="808080"/>
    </w:rPr>
  </w:style>
  <w:style w:type="paragraph" w:styleId="FootnoteText">
    <w:name w:val="footnote text"/>
    <w:basedOn w:val="Normal"/>
    <w:semiHidden/>
    <w:rsid w:val="00885A23"/>
    <w:pPr>
      <w:jc w:val="both"/>
    </w:pPr>
    <w:rPr>
      <w:sz w:val="20"/>
      <w:szCs w:val="20"/>
      <w:lang w:eastAsia="cs-CZ"/>
    </w:rPr>
  </w:style>
  <w:style w:type="paragraph" w:styleId="Header">
    <w:name w:val="header"/>
    <w:basedOn w:val="Normal"/>
    <w:rsid w:val="00885A23"/>
    <w:pPr>
      <w:tabs>
        <w:tab w:val="center" w:pos="4536"/>
        <w:tab w:val="right" w:pos="9072"/>
      </w:tabs>
    </w:pPr>
    <w:rPr>
      <w:lang w:val="en-US" w:eastAsia="en-US"/>
    </w:rPr>
  </w:style>
  <w:style w:type="paragraph" w:customStyle="1" w:styleId="NormalCentered">
    <w:name w:val="Normal Centered"/>
    <w:basedOn w:val="Normal"/>
    <w:rsid w:val="00885A23"/>
    <w:pPr>
      <w:spacing w:before="120" w:after="120"/>
      <w:jc w:val="center"/>
    </w:pPr>
    <w:rPr>
      <w:lang w:eastAsia="en-GB"/>
    </w:rPr>
  </w:style>
  <w:style w:type="paragraph" w:customStyle="1" w:styleId="CharCharCharChar">
    <w:name w:val="Char Char Char Char"/>
    <w:basedOn w:val="Normal"/>
    <w:rsid w:val="00885A23"/>
    <w:pPr>
      <w:spacing w:after="160" w:line="240" w:lineRule="exact"/>
    </w:pPr>
    <w:rPr>
      <w:rFonts w:ascii="Tahoma" w:hAnsi="Tahoma" w:cs="Tahoma"/>
      <w:sz w:val="20"/>
      <w:szCs w:val="20"/>
      <w:lang w:val="en-US" w:eastAsia="en-US"/>
    </w:rPr>
  </w:style>
  <w:style w:type="paragraph" w:customStyle="1" w:styleId="CharChar1CharCharCharCharCharCharChar">
    <w:name w:val=" Char Char1 Char Char Char Char Char Char Char"/>
    <w:basedOn w:val="Normal"/>
    <w:rsid w:val="00885A23"/>
    <w:pPr>
      <w:spacing w:after="160" w:line="240" w:lineRule="exact"/>
    </w:pPr>
    <w:rPr>
      <w:rFonts w:ascii="Tahoma" w:hAnsi="Tahoma"/>
      <w:sz w:val="20"/>
      <w:szCs w:val="20"/>
      <w:lang w:eastAsia="en-US"/>
    </w:rPr>
  </w:style>
  <w:style w:type="paragraph" w:customStyle="1" w:styleId="CharCharCharCharCharCharChar">
    <w:name w:val="Char Char Char Char Char Char Char"/>
    <w:basedOn w:val="Normal"/>
    <w:rsid w:val="00885A23"/>
    <w:pPr>
      <w:spacing w:after="160" w:line="240" w:lineRule="exact"/>
    </w:pPr>
    <w:rPr>
      <w:rFonts w:ascii="Tahoma" w:hAnsi="Tahoma" w:cs="Tahoma"/>
      <w:sz w:val="20"/>
      <w:szCs w:val="20"/>
      <w:lang w:val="en-US" w:eastAsia="en-US"/>
    </w:rPr>
  </w:style>
  <w:style w:type="paragraph" w:customStyle="1" w:styleId="prlohy">
    <w:name w:val="prílohy"/>
    <w:basedOn w:val="Normal"/>
    <w:rsid w:val="00885A23"/>
    <w:pPr>
      <w:overflowPunct w:val="0"/>
      <w:autoSpaceDE w:val="0"/>
      <w:autoSpaceDN w:val="0"/>
      <w:adjustRightInd w:val="0"/>
      <w:spacing w:before="480"/>
      <w:textAlignment w:val="baseline"/>
    </w:pPr>
    <w:rPr>
      <w:szCs w:val="20"/>
      <w:lang w:eastAsia="en-US"/>
    </w:rPr>
  </w:style>
  <w:style w:type="paragraph" w:customStyle="1" w:styleId="Odstavecseseznamem">
    <w:name w:val="Odstavec se seznamem"/>
    <w:basedOn w:val="Normal"/>
    <w:qFormat/>
    <w:rsid w:val="00301D8C"/>
    <w:pPr>
      <w:spacing w:line="276" w:lineRule="auto"/>
      <w:ind w:left="720"/>
      <w:contextualSpacing/>
    </w:pPr>
    <w:rPr>
      <w:rFonts w:ascii="Calibri" w:eastAsia="Calibri" w:hAnsi="Calibri"/>
      <w:sz w:val="22"/>
      <w:szCs w:val="22"/>
      <w:lang w:eastAsia="en-US"/>
    </w:rPr>
  </w:style>
  <w:style w:type="paragraph" w:styleId="NoSpacing">
    <w:name w:val="No Spacing"/>
    <w:uiPriority w:val="1"/>
    <w:qFormat/>
    <w:rsid w:val="00826CE5"/>
    <w:pPr>
      <w:jc w:val="both"/>
    </w:pPr>
    <w:rPr>
      <w:rFonts w:ascii="Calibri" w:eastAsia="Calibri" w:hAnsi="Calibri"/>
      <w:sz w:val="22"/>
      <w:szCs w:val="22"/>
      <w:lang w:val="sk-SK" w:eastAsia="en-US" w:bidi="ar-SA"/>
    </w:rPr>
  </w:style>
  <w:style w:type="paragraph" w:styleId="ListParagraph">
    <w:name w:val="List Paragraph"/>
    <w:basedOn w:val="Normal"/>
    <w:qFormat/>
    <w:rsid w:val="00826CE5"/>
    <w:pPr>
      <w:spacing w:after="200" w:line="276" w:lineRule="auto"/>
      <w:ind w:left="720"/>
      <w:contextualSpacing/>
    </w:pPr>
    <w:rPr>
      <w:rFonts w:ascii="Calibri" w:eastAsia="Calibri" w:hAnsi="Calibri"/>
      <w:sz w:val="22"/>
      <w:szCs w:val="22"/>
      <w:lang w:eastAsia="en-US"/>
    </w:rPr>
  </w:style>
  <w:style w:type="paragraph" w:customStyle="1" w:styleId="Textodstavce">
    <w:name w:val="Text odstavce"/>
    <w:basedOn w:val="Normal"/>
    <w:rsid w:val="00826CE5"/>
    <w:pPr>
      <w:tabs>
        <w:tab w:val="num" w:pos="782"/>
        <w:tab w:val="left" w:pos="851"/>
      </w:tabs>
      <w:spacing w:before="120" w:after="120"/>
      <w:ind w:firstLine="425"/>
      <w:jc w:val="both"/>
      <w:outlineLvl w:val="6"/>
    </w:pPr>
    <w:rPr>
      <w:szCs w:val="20"/>
      <w:lang w:val="cs-CZ" w:eastAsia="cs-CZ"/>
    </w:rPr>
  </w:style>
  <w:style w:type="character" w:styleId="PlaceholderText0">
    <w:name w:val="Placeholder Text"/>
    <w:uiPriority w:val="99"/>
    <w:semiHidden/>
    <w:rsid w:val="00826CE5"/>
    <w:rPr>
      <w:rFonts w:ascii="Times New Roman" w:hAnsi="Times New Roman" w:cs="Times New Roman" w:hint="default"/>
      <w:color w:val="808080"/>
    </w:rPr>
  </w:style>
  <w:style w:type="character" w:customStyle="1" w:styleId="Administrator">
    <w:name w:val="Administrator"/>
    <w:semiHidden/>
    <w:rsid w:val="002C0384"/>
    <w:rPr>
      <w:rFonts w:ascii="Times New Roman" w:hAnsi="Times New Roman" w:cs="Times New Roman"/>
      <w:b w:val="0"/>
      <w:bCs w:val="0"/>
      <w:i w:val="0"/>
      <w:iCs w:val="0"/>
      <w:strike w:val="0"/>
      <w:color w:val="auto"/>
      <w:sz w:val="24"/>
      <w:szCs w:val="24"/>
      <w:u w:val="none"/>
    </w:rPr>
  </w:style>
  <w:style w:type="character" w:customStyle="1" w:styleId="NzovChar">
    <w:name w:val="Názov Char"/>
    <w:link w:val="Title"/>
    <w:rsid w:val="005D15B1"/>
    <w:rPr>
      <w:b/>
      <w:sz w:val="32"/>
      <w:lang w:val="sk-SK" w:eastAsia="sk-SK" w:bidi="ar-SA"/>
    </w:rPr>
  </w:style>
  <w:style w:type="character" w:customStyle="1" w:styleId="skypepnhmark">
    <w:name w:val="skype_pnh_mark"/>
    <w:rsid w:val="00FF4E6F"/>
    <w:rPr>
      <w:vanish/>
      <w:specVanish w:val="0"/>
    </w:rPr>
  </w:style>
  <w:style w:type="character" w:customStyle="1" w:styleId="skypepnhprintcontainer">
    <w:name w:val="skype_pnh_print_container"/>
    <w:basedOn w:val="DefaultParagraphFont"/>
    <w:rsid w:val="00FF4E6F"/>
  </w:style>
  <w:style w:type="paragraph" w:customStyle="1" w:styleId="tl">
    <w:name w:val="Štýl"/>
    <w:rsid w:val="00FF4E6F"/>
    <w:pPr>
      <w:widowControl w:val="0"/>
      <w:autoSpaceDE w:val="0"/>
      <w:autoSpaceDN w:val="0"/>
      <w:adjustRightInd w:val="0"/>
    </w:pPr>
    <w:rPr>
      <w:rFonts w:ascii="Arial" w:hAnsi="Arial" w:cs="Arial"/>
      <w:sz w:val="24"/>
      <w:szCs w:val="24"/>
      <w:lang w:val="sk-SK" w:eastAsia="sk-SK" w:bidi="ar-SA"/>
    </w:rPr>
  </w:style>
  <w:style w:type="paragraph" w:customStyle="1" w:styleId="ListParagraph0">
    <w:name w:val="List Paragraph"/>
    <w:basedOn w:val="Normal"/>
    <w:rsid w:val="008E39AD"/>
    <w:pPr>
      <w:ind w:left="720"/>
      <w:contextualSpacing/>
    </w:pPr>
    <w:rPr>
      <w:rFonts w:eastAsia="Calibri"/>
    </w:rPr>
  </w:style>
  <w:style w:type="character" w:customStyle="1" w:styleId="ppp-input-value">
    <w:name w:val="ppp-input-value"/>
    <w:basedOn w:val="DefaultParagraphFont"/>
    <w:rsid w:val="00F53C66"/>
  </w:style>
  <w:style w:type="paragraph" w:customStyle="1" w:styleId="TxBrp1">
    <w:name w:val="TxBr_p1"/>
    <w:basedOn w:val="Normal"/>
    <w:rsid w:val="00363905"/>
    <w:pPr>
      <w:widowControl w:val="0"/>
      <w:tabs>
        <w:tab w:val="left" w:pos="1020"/>
      </w:tabs>
      <w:autoSpaceDE w:val="0"/>
      <w:autoSpaceDN w:val="0"/>
      <w:adjustRightInd w:val="0"/>
      <w:spacing w:line="240" w:lineRule="atLeast"/>
      <w:ind w:left="346"/>
      <w:jc w:val="both"/>
    </w:pPr>
    <w:rPr>
      <w:sz w:val="20"/>
      <w:lang w:val="en-US"/>
    </w:rPr>
  </w:style>
  <w:style w:type="character" w:customStyle="1" w:styleId="Zkladntext2Char">
    <w:name w:val="Základný text 2 Char"/>
    <w:link w:val="BodyText2"/>
    <w:rsid w:val="00D35084"/>
    <w:rPr>
      <w:sz w:val="24"/>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numbering" Target="numbering.xm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emplate>Normal.dotm</Template>
  <TotalTime>2551</TotalTime>
  <Pages>6</Pages>
  <Words>1862</Words>
  <Characters>10620</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
    </vt:vector>
  </TitlesOfParts>
  <Company>Kancelária NR SR</Company>
  <LinksUpToDate>false</LinksUpToDate>
  <CharactersWithSpaces>12458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Spokojný používateľ aplikácie Microsoft Office</dc:creator>
  <cp:lastModifiedBy>Šulková, Petra</cp:lastModifiedBy>
  <cp:revision>862</cp:revision>
  <cp:lastPrinted>2016-11-23T12:14:00Z</cp:lastPrinted>
  <dcterms:created xsi:type="dcterms:W3CDTF">2002-11-04T13:16:00Z</dcterms:created>
  <dcterms:modified xsi:type="dcterms:W3CDTF">2019-09-10T09:28:00Z</dcterms:modified>
</cp:coreProperties>
</file>