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450C55">
      <w:pPr>
        <w:pStyle w:val="Heading4"/>
        <w:widowControl w:val="0"/>
        <w:rPr>
          <w:rFonts w:ascii="AT*Zurich Calligraphic" w:hAnsi="AT*Zurich Calligraphic"/>
        </w:rPr>
      </w:pPr>
    </w:p>
    <w:p w:rsidR="00EC5F3F">
      <w:pPr>
        <w:pStyle w:val="Heading4"/>
        <w:widowControl w:val="0"/>
        <w:rPr>
          <w:rFonts w:ascii="AT*Zurich Calligraphic" w:hAnsi="AT*Zurich Calligraphic"/>
        </w:rPr>
      </w:pPr>
      <w:r>
        <w:rPr>
          <w:rFonts w:ascii="AT*Zurich Calligraphic" w:hAnsi="AT*Zurich Calligraphic"/>
        </w:rPr>
        <w:t>Výbor Národnej rady Slovenskej republiky</w:t>
      </w:r>
    </w:p>
    <w:p w:rsidR="00EC5F3F">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F7162F">
      <w:pPr>
        <w:ind w:left="4248"/>
        <w:jc w:val="right"/>
        <w:rPr>
          <w:sz w:val="28"/>
        </w:rPr>
      </w:pPr>
    </w:p>
    <w:p w:rsidR="00F92F1D">
      <w:pPr>
        <w:ind w:left="4248"/>
        <w:jc w:val="right"/>
        <w:rPr>
          <w:sz w:val="28"/>
        </w:rPr>
      </w:pPr>
      <w:r w:rsidR="00EC5F3F">
        <w:rPr>
          <w:sz w:val="28"/>
        </w:rPr>
        <w:t xml:space="preserve">                                     </w:t>
      </w:r>
    </w:p>
    <w:p w:rsidR="00EC5F3F" w:rsidRPr="00D14EA4">
      <w:pPr>
        <w:ind w:left="4248"/>
        <w:jc w:val="right"/>
      </w:pPr>
      <w:r>
        <w:rPr>
          <w:sz w:val="28"/>
        </w:rPr>
        <w:t xml:space="preserve"> </w:t>
      </w:r>
      <w:r w:rsidR="00B1546F">
        <w:t>7</w:t>
      </w:r>
      <w:r w:rsidR="00652CCE">
        <w:t>3</w:t>
      </w:r>
      <w:r w:rsidRPr="00D14EA4" w:rsidR="00985280">
        <w:t>.</w:t>
      </w:r>
      <w:r w:rsidRPr="00D14EA4">
        <w:t xml:space="preserve"> schôdza</w:t>
      </w:r>
    </w:p>
    <w:p w:rsidR="00E20A99" w:rsidRPr="00500C97" w:rsidP="00500C97">
      <w:pPr>
        <w:ind w:left="3540" w:firstLine="708"/>
        <w:jc w:val="right"/>
      </w:pPr>
      <w:r w:rsidR="002B6101">
        <w:rPr>
          <w:b/>
        </w:rPr>
        <w:t xml:space="preserve">        </w:t>
      </w:r>
      <w:r w:rsidR="001852E1">
        <w:rPr>
          <w:b/>
        </w:rPr>
        <w:t xml:space="preserve">         </w:t>
      </w:r>
      <w:r w:rsidR="00CF7721">
        <w:rPr>
          <w:b/>
        </w:rPr>
        <w:tab/>
        <w:tab/>
        <w:tab/>
        <w:tab/>
      </w:r>
      <w:r w:rsidR="00692ECD">
        <w:t>1284</w:t>
      </w:r>
      <w:r w:rsidRPr="00053FB9" w:rsidR="003371B9">
        <w:t>/</w:t>
      </w:r>
      <w:r w:rsidR="00053FB9">
        <w:t>201</w:t>
      </w:r>
      <w:r w:rsidR="00B1546F">
        <w:t>9</w:t>
      </w:r>
    </w:p>
    <w:p w:rsidR="0004001B" w:rsidP="00067F0B">
      <w:pPr>
        <w:ind w:left="3540" w:firstLine="708"/>
        <w:rPr>
          <w:b/>
        </w:rPr>
      </w:pPr>
    </w:p>
    <w:p w:rsidR="00652CCE" w:rsidP="00652CCE">
      <w:pPr>
        <w:ind w:left="3540" w:firstLine="708"/>
        <w:rPr>
          <w:b/>
        </w:rPr>
      </w:pPr>
      <w:r w:rsidR="00050225">
        <w:rPr>
          <w:b/>
        </w:rPr>
        <w:t xml:space="preserve">       </w:t>
      </w:r>
      <w:r w:rsidR="00E27E58">
        <w:rPr>
          <w:b/>
        </w:rPr>
        <w:t xml:space="preserve"> </w:t>
      </w:r>
      <w:r w:rsidR="002D072D">
        <w:rPr>
          <w:b/>
        </w:rPr>
        <w:t xml:space="preserve">  </w:t>
      </w:r>
    </w:p>
    <w:p w:rsidR="00B1546F" w:rsidP="00652CCE">
      <w:pPr>
        <w:ind w:left="3540" w:firstLine="708"/>
        <w:rPr>
          <w:b/>
        </w:rPr>
      </w:pPr>
    </w:p>
    <w:p w:rsidR="006B13AF" w:rsidP="00652CCE">
      <w:pPr>
        <w:ind w:left="3540" w:firstLine="708"/>
        <w:rPr>
          <w:b/>
        </w:rPr>
      </w:pPr>
      <w:r w:rsidR="00D3196B">
        <w:rPr>
          <w:b/>
        </w:rPr>
        <w:t xml:space="preserve">        466</w:t>
      </w:r>
    </w:p>
    <w:p w:rsidR="00EC5F3F" w:rsidP="00067F0B">
      <w:pPr>
        <w:ind w:left="3540" w:firstLine="708"/>
        <w:rPr>
          <w:b/>
        </w:rPr>
      </w:pPr>
      <w:r>
        <w:rPr>
          <w:b/>
        </w:rPr>
        <w:t>U z n e s e n i e</w:t>
      </w:r>
    </w:p>
    <w:p w:rsidR="00EC5F3F">
      <w:pPr>
        <w:ind w:right="-567"/>
        <w:jc w:val="center"/>
        <w:rPr>
          <w:b/>
        </w:rPr>
      </w:pPr>
      <w:r>
        <w:rPr>
          <w:b/>
        </w:rPr>
        <w:t>Výboru Národnej rady Slovenskej republiky</w:t>
      </w:r>
    </w:p>
    <w:p w:rsidR="00EC5F3F">
      <w:pPr>
        <w:ind w:right="-567"/>
        <w:jc w:val="center"/>
        <w:rPr>
          <w:b/>
        </w:rPr>
      </w:pPr>
      <w:r>
        <w:rPr>
          <w:b/>
        </w:rPr>
        <w:t>pre fin</w:t>
      </w:r>
      <w:r>
        <w:rPr>
          <w:b/>
        </w:rPr>
        <w:t>ancie</w:t>
      </w:r>
      <w:r w:rsidR="003371B9">
        <w:rPr>
          <w:b/>
        </w:rPr>
        <w:t xml:space="preserve"> a</w:t>
      </w:r>
      <w:r>
        <w:rPr>
          <w:b/>
        </w:rPr>
        <w:t xml:space="preserve"> rozpočet </w:t>
      </w:r>
    </w:p>
    <w:p w:rsidR="00EC5F3F">
      <w:pPr>
        <w:ind w:right="-567"/>
        <w:jc w:val="center"/>
        <w:rPr>
          <w:b/>
        </w:rPr>
      </w:pPr>
    </w:p>
    <w:p w:rsidR="008458BA" w:rsidP="008458BA">
      <w:pPr>
        <w:ind w:right="-567"/>
        <w:jc w:val="center"/>
        <w:rPr>
          <w:b/>
        </w:rPr>
      </w:pPr>
      <w:r w:rsidR="00BD37D8">
        <w:rPr>
          <w:b/>
        </w:rPr>
        <w:t>z</w:t>
      </w:r>
      <w:r w:rsidR="00B1546F">
        <w:rPr>
          <w:b/>
        </w:rPr>
        <w:t xml:space="preserve"> 5</w:t>
      </w:r>
      <w:r w:rsidR="00C72FBD">
        <w:rPr>
          <w:b/>
        </w:rPr>
        <w:t xml:space="preserve">. </w:t>
      </w:r>
      <w:r w:rsidR="00652CCE">
        <w:rPr>
          <w:b/>
        </w:rPr>
        <w:t>septembra</w:t>
      </w:r>
      <w:r w:rsidR="00830899">
        <w:rPr>
          <w:b/>
        </w:rPr>
        <w:t xml:space="preserve"> 201</w:t>
      </w:r>
      <w:r w:rsidR="00B1546F">
        <w:rPr>
          <w:b/>
        </w:rPr>
        <w:t>9</w:t>
      </w:r>
    </w:p>
    <w:p w:rsidR="00576DE1" w:rsidP="00576DE1">
      <w:pPr>
        <w:pStyle w:val="BodyText"/>
        <w:spacing w:after="0"/>
        <w:jc w:val="both"/>
        <w:rPr>
          <w:b/>
        </w:rPr>
      </w:pPr>
    </w:p>
    <w:p w:rsidR="00EC5F3F" w:rsidRPr="005D2E69" w:rsidP="00EB1137">
      <w:pPr>
        <w:jc w:val="both"/>
      </w:pPr>
      <w:r w:rsidRPr="005D2E69">
        <w:t>Výbor Národnej rady Sl</w:t>
      </w:r>
      <w:r w:rsidRPr="005D2E69" w:rsidR="003371B9">
        <w:t>ovenskej republiky pre financie a</w:t>
      </w:r>
      <w:r w:rsidRPr="005D2E69">
        <w:t xml:space="preserve"> rozpočet </w:t>
      </w:r>
      <w:r w:rsidRPr="005D2E69" w:rsidR="00F966EF">
        <w:t>prerokoval</w:t>
      </w:r>
      <w:r w:rsidRPr="006B13AF" w:rsidR="006B13AF">
        <w:rPr>
          <w:color w:val="000000"/>
        </w:rPr>
        <w:t xml:space="preserve"> </w:t>
      </w:r>
      <w:r w:rsidR="00692ECD">
        <w:rPr>
          <w:color w:val="000000"/>
        </w:rPr>
        <w:t>v</w:t>
      </w:r>
      <w:r w:rsidRPr="00120A26" w:rsidR="00692ECD">
        <w:rPr>
          <w:color w:val="000000"/>
        </w:rPr>
        <w:t xml:space="preserve">ládny návrh zákona, ktorým sa mení a dopĺňa zákon č. 80/1997 Z. z. </w:t>
      </w:r>
      <w:r w:rsidRPr="00120A26" w:rsidR="00692ECD">
        <w:rPr>
          <w:b/>
          <w:color w:val="000000"/>
        </w:rPr>
        <w:t>o Exportno-importnej banke</w:t>
      </w:r>
      <w:r w:rsidRPr="00120A26" w:rsidR="00692ECD">
        <w:rPr>
          <w:color w:val="000000"/>
        </w:rPr>
        <w:t xml:space="preserve"> Slovenskej republiky v znení neskorších predpisov a ktorým sa menia a dopĺňajú niektoré zákony </w:t>
      </w:r>
      <w:r w:rsidRPr="00120A26" w:rsidR="00692ECD">
        <w:rPr>
          <w:b/>
          <w:color w:val="000000"/>
        </w:rPr>
        <w:t>(tlač 1514)</w:t>
      </w:r>
      <w:r w:rsidR="00692ECD">
        <w:rPr>
          <w:b/>
          <w:color w:val="000000"/>
        </w:rPr>
        <w:t xml:space="preserve"> </w:t>
      </w:r>
      <w:r w:rsidRPr="00777CFA" w:rsidR="00450C55">
        <w:rPr>
          <w:b/>
        </w:rPr>
        <w:t>a</w:t>
      </w:r>
      <w:r w:rsidRPr="005D2E69" w:rsidR="00ED3C5E">
        <w:t xml:space="preserve"> </w:t>
      </w:r>
      <w:r w:rsidRPr="005D2E69" w:rsidR="008458BA">
        <w:t xml:space="preserve"> </w:t>
      </w:r>
      <w:r w:rsidR="00B1546F">
        <w:t xml:space="preserve"> </w:t>
      </w:r>
      <w:r w:rsidR="00692ECD">
        <w:t xml:space="preserve"> </w:t>
      </w:r>
    </w:p>
    <w:p w:rsidR="00302EB6" w:rsidP="00BD7172"/>
    <w:p w:rsidR="00AC2960" w:rsidP="00BD7172"/>
    <w:p w:rsidR="00EC5F3F" w:rsidP="00067F0B">
      <w:pPr>
        <w:numPr>
          <w:ilvl w:val="0"/>
          <w:numId w:val="1"/>
        </w:numPr>
        <w:jc w:val="both"/>
        <w:rPr>
          <w:b/>
        </w:rPr>
      </w:pPr>
      <w:r w:rsidR="00777CFA">
        <w:rPr>
          <w:b/>
        </w:rPr>
        <w:t>s</w:t>
      </w:r>
      <w:r>
        <w:rPr>
          <w:b/>
        </w:rPr>
        <w:t>úhlasí</w:t>
      </w:r>
    </w:p>
    <w:p w:rsidR="00F92F1D" w:rsidP="00F92F1D">
      <w:pPr>
        <w:pStyle w:val="BodyText"/>
        <w:spacing w:after="0"/>
        <w:ind w:firstLine="360"/>
        <w:jc w:val="both"/>
      </w:pPr>
    </w:p>
    <w:p w:rsidR="00824DAD" w:rsidP="00EB1137">
      <w:pPr>
        <w:pStyle w:val="BodyText"/>
        <w:spacing w:after="0"/>
        <w:ind w:firstLine="360"/>
        <w:jc w:val="both"/>
        <w:rPr>
          <w:color w:val="000000"/>
        </w:rPr>
      </w:pPr>
      <w:r w:rsidR="00321A20">
        <w:t>s</w:t>
      </w:r>
      <w:r w:rsidRPr="00A73ECD" w:rsidR="00B614DE">
        <w:t> </w:t>
      </w:r>
      <w:r w:rsidR="00652CCE">
        <w:t xml:space="preserve"> </w:t>
      </w:r>
      <w:r w:rsidR="00692ECD">
        <w:rPr>
          <w:color w:val="000000"/>
        </w:rPr>
        <w:t>v</w:t>
      </w:r>
      <w:r w:rsidRPr="00120A26" w:rsidR="00692ECD">
        <w:rPr>
          <w:color w:val="000000"/>
        </w:rPr>
        <w:t>ládny</w:t>
      </w:r>
      <w:r w:rsidR="00692ECD">
        <w:rPr>
          <w:color w:val="000000"/>
        </w:rPr>
        <w:t>m</w:t>
      </w:r>
      <w:r w:rsidRPr="00120A26" w:rsidR="00692ECD">
        <w:rPr>
          <w:color w:val="000000"/>
        </w:rPr>
        <w:t xml:space="preserve"> návrh</w:t>
      </w:r>
      <w:r w:rsidR="00692ECD">
        <w:rPr>
          <w:color w:val="000000"/>
        </w:rPr>
        <w:t>om</w:t>
      </w:r>
      <w:r w:rsidRPr="00120A26" w:rsidR="00692ECD">
        <w:rPr>
          <w:color w:val="000000"/>
        </w:rPr>
        <w:t xml:space="preserve"> zákona, ktorým sa mení a dopĺňa zákon č. 80/1997 Z. z. </w:t>
      </w:r>
      <w:r w:rsidRPr="00120A26" w:rsidR="00692ECD">
        <w:rPr>
          <w:b/>
          <w:color w:val="000000"/>
        </w:rPr>
        <w:t>o Exportno-importnej banke</w:t>
      </w:r>
      <w:r w:rsidRPr="00120A26" w:rsidR="00692ECD">
        <w:rPr>
          <w:color w:val="000000"/>
        </w:rPr>
        <w:t xml:space="preserve"> Slovenskej republiky v znení neskorších predpisov a ktorým sa menia a dopĺňa</w:t>
      </w:r>
      <w:r w:rsidRPr="00120A26" w:rsidR="00692ECD">
        <w:rPr>
          <w:color w:val="000000"/>
        </w:rPr>
        <w:t xml:space="preserve">jú niektoré zákony </w:t>
      </w:r>
      <w:r w:rsidRPr="00120A26" w:rsidR="00692ECD">
        <w:rPr>
          <w:b/>
          <w:color w:val="000000"/>
        </w:rPr>
        <w:t>(tlač 1514)</w:t>
      </w:r>
    </w:p>
    <w:p w:rsidR="008F04DB" w:rsidP="00E20A99">
      <w:pPr>
        <w:pStyle w:val="BodyText"/>
        <w:spacing w:after="0"/>
        <w:ind w:left="1416" w:firstLine="708"/>
        <w:jc w:val="both"/>
        <w:rPr>
          <w:color w:val="000000"/>
        </w:rPr>
      </w:pPr>
    </w:p>
    <w:p w:rsidR="00EB1137" w:rsidP="00E20A99">
      <w:pPr>
        <w:pStyle w:val="BodyText"/>
        <w:spacing w:after="0"/>
        <w:ind w:left="1416" w:firstLine="708"/>
        <w:jc w:val="both"/>
        <w:rPr>
          <w:color w:val="000000"/>
        </w:rPr>
      </w:pPr>
    </w:p>
    <w:p w:rsidR="00EB1137" w:rsidRPr="00370DA7" w:rsidP="00E20A99">
      <w:pPr>
        <w:pStyle w:val="BodyText"/>
        <w:spacing w:after="0"/>
        <w:ind w:left="1416" w:firstLine="708"/>
        <w:jc w:val="both"/>
        <w:rPr>
          <w:color w:val="000000"/>
        </w:rPr>
      </w:pPr>
    </w:p>
    <w:p w:rsidR="00F92F1D" w:rsidP="00F92F1D">
      <w:pPr>
        <w:pStyle w:val="Heading7"/>
        <w:widowControl/>
        <w:numPr>
          <w:ilvl w:val="0"/>
          <w:numId w:val="1"/>
        </w:numPr>
        <w:rPr>
          <w:bCs/>
          <w:lang w:val="sk-SK"/>
        </w:rPr>
      </w:pPr>
      <w:r w:rsidRPr="00067F0B" w:rsidR="00EC5F3F">
        <w:rPr>
          <w:lang w:val="sk-SK"/>
        </w:rPr>
        <w:t>odporúča</w:t>
      </w:r>
      <w:r w:rsidRPr="00067F0B" w:rsidR="00EC5F3F">
        <w:rPr>
          <w:bCs/>
          <w:lang w:val="sk-SK"/>
        </w:rPr>
        <w:t xml:space="preserve"> </w:t>
      </w:r>
    </w:p>
    <w:p w:rsidR="00EC5F3F" w:rsidRPr="00F92F1D" w:rsidP="00F92F1D">
      <w:pPr>
        <w:pStyle w:val="Heading7"/>
        <w:widowControl/>
        <w:ind w:left="360"/>
        <w:rPr>
          <w:bCs/>
          <w:lang w:val="sk-SK"/>
        </w:rPr>
      </w:pPr>
      <w:r w:rsidRPr="00F92F1D">
        <w:rPr>
          <w:lang w:val="sk-SK"/>
        </w:rPr>
        <w:t>Národnej rade Slovenskej republiky</w:t>
      </w:r>
    </w:p>
    <w:p w:rsidR="00777CFA" w:rsidP="005B36AB">
      <w:pPr>
        <w:pStyle w:val="Heading1"/>
        <w:ind w:left="1416" w:firstLine="708"/>
        <w:jc w:val="both"/>
      </w:pPr>
    </w:p>
    <w:p w:rsidR="00BC169A" w:rsidRPr="00E20A99" w:rsidP="00BC169A">
      <w:pPr>
        <w:pStyle w:val="Heading1"/>
        <w:ind w:left="0" w:firstLine="567"/>
        <w:jc w:val="both"/>
      </w:pPr>
      <w:r w:rsidRPr="00692ECD" w:rsidR="00692ECD">
        <w:rPr>
          <w:b w:val="0"/>
          <w:color w:val="000000"/>
        </w:rPr>
        <w:t xml:space="preserve">vládny návrh zákona, ktorým sa mení a dopĺňa zákon č. 80/1997 Z. z. </w:t>
      </w:r>
      <w:r w:rsidRPr="00692ECD" w:rsidR="00692ECD">
        <w:rPr>
          <w:color w:val="000000"/>
        </w:rPr>
        <w:t>o Exportno-importnej banke Slovenskej republiky</w:t>
      </w:r>
      <w:r w:rsidRPr="00692ECD" w:rsidR="00692ECD">
        <w:rPr>
          <w:b w:val="0"/>
          <w:color w:val="000000"/>
        </w:rPr>
        <w:t xml:space="preserve"> v znení neskorších predpisov a ktorým sa menia a dopĺňajú niektoré zákony (tlač 1514)</w:t>
      </w:r>
      <w:r w:rsidR="00692ECD">
        <w:t xml:space="preserve"> </w:t>
      </w:r>
      <w:r>
        <w:t>schváliť s pozmeňujúc</w:t>
      </w:r>
      <w:r w:rsidR="00BD5870">
        <w:t>im</w:t>
      </w:r>
      <w:r w:rsidR="00B1546F">
        <w:t>i</w:t>
      </w:r>
      <w:r w:rsidR="00BD5870">
        <w:t xml:space="preserve"> a doplňujúcim</w:t>
      </w:r>
      <w:r w:rsidR="00B1546F">
        <w:t>i návrh</w:t>
      </w:r>
      <w:r w:rsidR="00BD5870">
        <w:t>m</w:t>
      </w:r>
      <w:r w:rsidR="00B1546F">
        <w:t>i</w:t>
      </w:r>
      <w:r>
        <w:t xml:space="preserve"> tak, </w:t>
      </w:r>
      <w:r w:rsidRPr="00E20A99">
        <w:t xml:space="preserve">ako </w:t>
      </w:r>
      <w:r w:rsidR="00B1546F">
        <w:t>sú</w:t>
      </w:r>
      <w:r w:rsidR="00BD5870">
        <w:t xml:space="preserve"> uveden</w:t>
      </w:r>
      <w:r w:rsidR="00B1546F">
        <w:t>é</w:t>
      </w:r>
      <w:r>
        <w:t xml:space="preserve"> </w:t>
      </w:r>
      <w:r w:rsidRPr="00E20A99">
        <w:t>v prílohe tohto uznesenia</w:t>
      </w:r>
      <w:r>
        <w:t>;</w:t>
      </w:r>
    </w:p>
    <w:p w:rsidR="00EC5F3F" w:rsidRPr="00E20A99" w:rsidP="00F92F1D">
      <w:pPr>
        <w:pStyle w:val="Heading1"/>
        <w:ind w:left="0" w:firstLine="360"/>
        <w:jc w:val="both"/>
      </w:pPr>
    </w:p>
    <w:p w:rsidR="00E13467" w:rsidP="000139BA">
      <w:pPr>
        <w:ind w:left="1416"/>
        <w:jc w:val="both"/>
        <w:rPr>
          <w:b/>
        </w:rPr>
      </w:pPr>
    </w:p>
    <w:p w:rsidR="00AC2960" w:rsidP="000139BA">
      <w:pPr>
        <w:ind w:left="1416"/>
        <w:jc w:val="both"/>
        <w:rPr>
          <w:b/>
        </w:rPr>
      </w:pPr>
    </w:p>
    <w:p w:rsidR="00067F0B" w:rsidP="00067F0B">
      <w:pPr>
        <w:pStyle w:val="Heading5"/>
        <w:numPr>
          <w:ilvl w:val="0"/>
          <w:numId w:val="1"/>
        </w:numPr>
      </w:pPr>
      <w:r w:rsidR="00EC5F3F">
        <w:t>ukladá</w:t>
      </w:r>
    </w:p>
    <w:p w:rsidR="00EC5F3F" w:rsidP="00F92F1D">
      <w:pPr>
        <w:pStyle w:val="Heading5"/>
        <w:ind w:firstLine="360"/>
      </w:pPr>
      <w:r>
        <w:t>predsedovi výboru</w:t>
      </w:r>
    </w:p>
    <w:p w:rsidR="00777CFA" w:rsidP="00117627">
      <w:r w:rsidR="00BD7172">
        <w:t xml:space="preserve"> </w:t>
      </w:r>
      <w:r w:rsidR="00E20A99">
        <w:t xml:space="preserve"> </w:t>
      </w:r>
      <w:r w:rsidR="00117627">
        <w:tab/>
        <w:tab/>
        <w:tab/>
      </w:r>
    </w:p>
    <w:p w:rsidR="00A7635D" w:rsidP="00A7635D">
      <w:pPr>
        <w:ind w:firstLine="567"/>
        <w:jc w:val="both"/>
      </w:pPr>
      <w:r w:rsidRPr="00B1559A">
        <w:t>informovať predsedu Národnej</w:t>
      </w:r>
      <w:r>
        <w:t xml:space="preserve"> </w:t>
      </w:r>
      <w:r w:rsidRPr="00B1559A">
        <w:t>rady Slovenskej republiky o výsledku prerokovania uvedeného</w:t>
      </w:r>
      <w:r>
        <w:t xml:space="preserve"> </w:t>
      </w:r>
      <w:r w:rsidR="006B13AF">
        <w:t xml:space="preserve">vládneho </w:t>
      </w:r>
      <w:r w:rsidRPr="00B1559A">
        <w:t>náv</w:t>
      </w:r>
      <w:r w:rsidRPr="00B1559A">
        <w:t>rhu vo výbore</w:t>
      </w:r>
      <w:r>
        <w:t>.</w:t>
      </w:r>
    </w:p>
    <w:p w:rsidR="005919F9" w:rsidRPr="00841EA3" w:rsidP="004612FB">
      <w:pPr>
        <w:pStyle w:val="BodyTextIndent3"/>
        <w:ind w:left="1416" w:firstLine="708"/>
        <w:rPr>
          <w:lang w:val="sk-SK"/>
        </w:rPr>
      </w:pPr>
    </w:p>
    <w:p w:rsidR="0052115B" w:rsidP="00C739C2">
      <w:r w:rsidR="00E20A99">
        <w:t xml:space="preserve">                                                              </w:t>
      </w:r>
    </w:p>
    <w:p w:rsidR="0052115B">
      <w:pPr>
        <w:ind w:left="5664" w:firstLine="708"/>
        <w:rPr>
          <w:b/>
          <w:bCs w:val="0"/>
        </w:rPr>
      </w:pPr>
    </w:p>
    <w:p w:rsidR="001B749C">
      <w:pPr>
        <w:ind w:left="5664" w:firstLine="708"/>
        <w:rPr>
          <w:b/>
          <w:bCs w:val="0"/>
        </w:rPr>
      </w:pPr>
    </w:p>
    <w:p w:rsidR="00D96ABB" w:rsidP="00D96ABB">
      <w:pPr>
        <w:ind w:left="5664" w:firstLine="708"/>
        <w:rPr>
          <w:b/>
        </w:rPr>
      </w:pPr>
      <w:r>
        <w:rPr>
          <w:b/>
          <w:bCs w:val="0"/>
        </w:rPr>
        <w:t xml:space="preserve">       </w:t>
      </w:r>
      <w:r w:rsidR="00B1546F">
        <w:rPr>
          <w:b/>
          <w:bCs w:val="0"/>
        </w:rPr>
        <w:t xml:space="preserve">    </w:t>
      </w:r>
      <w:r>
        <w:rPr>
          <w:b/>
          <w:bCs w:val="0"/>
        </w:rPr>
        <w:t xml:space="preserve"> </w:t>
      </w:r>
      <w:r w:rsidR="00B1546F">
        <w:rPr>
          <w:b/>
          <w:bCs w:val="0"/>
        </w:rPr>
        <w:t>Róbert Puci</w:t>
      </w:r>
      <w:r>
        <w:rPr>
          <w:b/>
          <w:bCs w:val="0"/>
        </w:rPr>
        <w:t xml:space="preserve"> </w:t>
      </w:r>
    </w:p>
    <w:p w:rsidR="00D96ABB" w:rsidP="00D96ABB">
      <w:pPr>
        <w:ind w:left="5664" w:firstLine="708"/>
      </w:pPr>
      <w:r>
        <w:t xml:space="preserve">           predseda výboru</w:t>
      </w:r>
    </w:p>
    <w:p w:rsidR="00D96ABB" w:rsidP="00D96ABB">
      <w:pPr>
        <w:jc w:val="both"/>
        <w:rPr>
          <w:b/>
          <w:bCs w:val="0"/>
        </w:rPr>
      </w:pPr>
      <w:r>
        <w:rPr>
          <w:b/>
        </w:rPr>
        <w:t xml:space="preserve">  </w:t>
      </w:r>
      <w:r w:rsidR="00B1546F">
        <w:rPr>
          <w:b/>
          <w:bCs w:val="0"/>
        </w:rPr>
        <w:t>Igor Federič</w:t>
      </w:r>
    </w:p>
    <w:p w:rsidR="00D96ABB" w:rsidP="00D96ABB">
      <w:pPr>
        <w:jc w:val="both"/>
        <w:rPr>
          <w:b/>
          <w:bCs w:val="0"/>
        </w:rPr>
      </w:pPr>
      <w:r>
        <w:rPr>
          <w:b/>
          <w:bCs w:val="0"/>
        </w:rPr>
        <w:t xml:space="preserve"> Peter Štarchoň</w:t>
      </w:r>
    </w:p>
    <w:p w:rsidR="00D96ABB" w:rsidP="00D96ABB">
      <w:pPr>
        <w:jc w:val="both"/>
        <w:rPr>
          <w:bCs w:val="0"/>
        </w:rPr>
      </w:pPr>
      <w:r>
        <w:rPr>
          <w:bCs w:val="0"/>
        </w:rPr>
        <w:t>overovateľ výboru</w:t>
      </w:r>
    </w:p>
    <w:p w:rsidR="00BC169A" w:rsidP="00D96ABB">
      <w:pPr>
        <w:jc w:val="both"/>
        <w:rPr>
          <w:bCs w:val="0"/>
        </w:rPr>
      </w:pPr>
    </w:p>
    <w:p w:rsidR="00BC169A" w:rsidP="00D96ABB">
      <w:pPr>
        <w:jc w:val="both"/>
        <w:rPr>
          <w:bCs w:val="0"/>
        </w:rPr>
      </w:pPr>
    </w:p>
    <w:p w:rsidR="00BC169A" w:rsidP="00D96ABB">
      <w:pPr>
        <w:jc w:val="both"/>
        <w:rPr>
          <w:bCs w:val="0"/>
        </w:rPr>
      </w:pPr>
    </w:p>
    <w:p w:rsidR="00BC169A" w:rsidP="00BC169A"/>
    <w:p w:rsidR="00BC169A" w:rsidP="00BC169A">
      <w:pPr>
        <w:pStyle w:val="Heading4"/>
        <w:widowControl w:val="0"/>
        <w:rPr>
          <w:rFonts w:ascii="AT*Zurich Calligraphic" w:hAnsi="AT*Zurich Calligraphic"/>
        </w:rPr>
      </w:pPr>
      <w:r>
        <w:rPr>
          <w:rFonts w:ascii="AT*Zurich Calligraphic" w:hAnsi="AT*Zurich Calligraphic"/>
        </w:rPr>
        <w:t>Výbor Národnej rady  Slovenskej republiky</w:t>
      </w:r>
    </w:p>
    <w:p w:rsidR="00BC169A" w:rsidP="00BC169A">
      <w:pPr>
        <w:rPr>
          <w:rFonts w:ascii="AT*Zurich Calligraphic" w:hAnsi="AT*Zurich Calligraphic"/>
          <w:b/>
        </w:rPr>
      </w:pPr>
      <w:r>
        <w:rPr>
          <w:rFonts w:ascii="AT*Zurich Calligraphic" w:hAnsi="AT*Zurich Calligraphic"/>
          <w:b/>
        </w:rPr>
        <w:t xml:space="preserve">            pre financie a rozpočet </w:t>
      </w:r>
    </w:p>
    <w:p w:rsidR="00BC169A" w:rsidP="00BC169A">
      <w:pPr>
        <w:jc w:val="right"/>
        <w:rPr>
          <w:sz w:val="28"/>
        </w:rPr>
      </w:pPr>
      <w:r>
        <w:rPr>
          <w:sz w:val="28"/>
        </w:rPr>
        <w:t xml:space="preserve">                 </w:t>
      </w:r>
    </w:p>
    <w:p w:rsidR="00BC169A" w:rsidP="00BC169A">
      <w:pPr>
        <w:jc w:val="right"/>
        <w:rPr>
          <w:b/>
        </w:rPr>
      </w:pPr>
      <w:r>
        <w:t xml:space="preserve">Príloha k uzn. </w:t>
      </w:r>
      <w:r w:rsidRPr="006C72E6">
        <w:rPr>
          <w:b/>
        </w:rPr>
        <w:t>č.</w:t>
      </w:r>
      <w:r>
        <w:rPr>
          <w:b/>
        </w:rPr>
        <w:t xml:space="preserve"> </w:t>
      </w:r>
      <w:r w:rsidR="00D3196B">
        <w:rPr>
          <w:b/>
        </w:rPr>
        <w:t>466</w:t>
      </w:r>
    </w:p>
    <w:p w:rsidR="00BC169A" w:rsidRPr="003371B9" w:rsidP="00BC169A">
      <w:pPr>
        <w:jc w:val="right"/>
      </w:pPr>
      <w:r w:rsidR="00B1546F">
        <w:rPr>
          <w:bCs w:val="0"/>
        </w:rPr>
        <w:t>7</w:t>
      </w:r>
      <w:r>
        <w:rPr>
          <w:bCs w:val="0"/>
        </w:rPr>
        <w:t>3</w:t>
      </w:r>
      <w:r w:rsidRPr="003371B9">
        <w:rPr>
          <w:bCs w:val="0"/>
        </w:rPr>
        <w:t xml:space="preserve">. </w:t>
      </w:r>
      <w:r w:rsidRPr="003371B9">
        <w:t>schôdza</w:t>
      </w:r>
    </w:p>
    <w:p w:rsidR="00BC169A" w:rsidP="00BC169A">
      <w:pPr>
        <w:jc w:val="center"/>
        <w:rPr>
          <w:b/>
        </w:rPr>
      </w:pPr>
    </w:p>
    <w:p w:rsidR="00BC169A" w:rsidP="00BC169A">
      <w:pPr>
        <w:jc w:val="center"/>
        <w:rPr>
          <w:b/>
        </w:rPr>
      </w:pPr>
    </w:p>
    <w:p w:rsidR="00BC169A" w:rsidRPr="00067F0B" w:rsidP="00BC169A">
      <w:pPr>
        <w:jc w:val="center"/>
        <w:rPr>
          <w:b/>
          <w:bCs w:val="0"/>
        </w:rPr>
      </w:pPr>
      <w:r w:rsidRPr="00067F0B">
        <w:rPr>
          <w:b/>
          <w:bCs w:val="0"/>
        </w:rPr>
        <w:t>Pozmeňujúc</w:t>
      </w:r>
      <w:r w:rsidR="00B1546F">
        <w:rPr>
          <w:b/>
          <w:bCs w:val="0"/>
        </w:rPr>
        <w:t>e</w:t>
      </w:r>
      <w:r w:rsidRPr="00067F0B">
        <w:rPr>
          <w:b/>
          <w:bCs w:val="0"/>
        </w:rPr>
        <w:t xml:space="preserve"> </w:t>
      </w:r>
      <w:r>
        <w:rPr>
          <w:b/>
          <w:bCs w:val="0"/>
        </w:rPr>
        <w:t>a doplňujúc</w:t>
      </w:r>
      <w:r w:rsidR="00B1546F">
        <w:rPr>
          <w:b/>
          <w:bCs w:val="0"/>
        </w:rPr>
        <w:t>e</w:t>
      </w:r>
      <w:r w:rsidR="00BD5870">
        <w:rPr>
          <w:b/>
          <w:bCs w:val="0"/>
        </w:rPr>
        <w:t xml:space="preserve"> návrh</w:t>
      </w:r>
      <w:r w:rsidR="00B1546F">
        <w:rPr>
          <w:b/>
          <w:bCs w:val="0"/>
        </w:rPr>
        <w:t>y</w:t>
      </w:r>
    </w:p>
    <w:p w:rsidR="00692ECD" w:rsidRPr="00692ECD" w:rsidP="00EB1137">
      <w:pPr>
        <w:pStyle w:val="Heading1"/>
        <w:ind w:left="360"/>
        <w:jc w:val="center"/>
        <w:rPr>
          <w:color w:val="000000"/>
        </w:rPr>
      </w:pPr>
      <w:r w:rsidR="00BC169A">
        <w:t>k </w:t>
      </w:r>
      <w:r w:rsidRPr="005458EF" w:rsidR="00BC169A">
        <w:t xml:space="preserve"> </w:t>
      </w:r>
      <w:r>
        <w:rPr>
          <w:color w:val="000000"/>
        </w:rPr>
        <w:t>vládnemu</w:t>
      </w:r>
      <w:r w:rsidRPr="00120A26">
        <w:rPr>
          <w:color w:val="000000"/>
        </w:rPr>
        <w:t xml:space="preserve"> návrh</w:t>
      </w:r>
      <w:r>
        <w:rPr>
          <w:color w:val="000000"/>
        </w:rPr>
        <w:t>u</w:t>
      </w:r>
      <w:r w:rsidRPr="00120A26">
        <w:rPr>
          <w:color w:val="000000"/>
        </w:rPr>
        <w:t xml:space="preserve"> zákona, ktorým sa mení a dopĺňa zákon č. 80/1997 Z. z. </w:t>
      </w:r>
      <w:r w:rsidRPr="00692ECD">
        <w:rPr>
          <w:color w:val="000000"/>
        </w:rPr>
        <w:t>o Exportno-importnej banke Slovenskej republiky v znení neskorších predpisov a ktorým sa menia a dopĺňajú niektoré zákony (tlač 1514)</w:t>
      </w:r>
    </w:p>
    <w:p w:rsidR="001B749C" w:rsidP="00EB1137">
      <w:pPr>
        <w:pStyle w:val="Heading1"/>
        <w:ind w:left="360"/>
        <w:jc w:val="center"/>
        <w:rPr>
          <w:b w:val="0"/>
          <w:bCs w:val="0"/>
        </w:rPr>
      </w:pPr>
      <w:r w:rsidR="00BC169A">
        <w:rPr>
          <w:b w:val="0"/>
          <w:bCs w:val="0"/>
        </w:rPr>
        <w:t>–––––––––––––––––––––––––––––––––––––––––––––––</w:t>
      </w:r>
      <w:r w:rsidR="00EB1137">
        <w:rPr>
          <w:b w:val="0"/>
          <w:bCs w:val="0"/>
        </w:rPr>
        <w:t xml:space="preserve">–––––––––––––––––––––––––––– </w:t>
      </w:r>
    </w:p>
    <w:p w:rsidR="00386DA2" w:rsidRPr="00386DA2" w:rsidP="00F57B53"/>
    <w:p w:rsidR="00D3196B" w:rsidRPr="00D3196B" w:rsidP="00F57B53">
      <w:pPr>
        <w:numPr>
          <w:ilvl w:val="0"/>
          <w:numId w:val="48"/>
        </w:numPr>
        <w:ind w:left="426" w:hanging="426"/>
        <w:jc w:val="both"/>
      </w:pPr>
      <w:r w:rsidRPr="00D3196B">
        <w:t>V čl. I sa za bod 2 vkladá nový bod 3, ktorý znie:</w:t>
      </w:r>
    </w:p>
    <w:p w:rsidR="00D3196B" w:rsidRPr="00D3196B" w:rsidP="00D3196B">
      <w:pPr>
        <w:ind w:left="426"/>
        <w:jc w:val="both"/>
      </w:pPr>
      <w:r w:rsidRPr="00D3196B">
        <w:t>„3. V § 17 ods. 2 sa za slovo „pohľadávky“ vkladajú slová „a záväzky“ a na konci sa bodka nahrádza čiarkou a pripájajú sa tieto slová: „alebo ak to vyplýva z medzinárodnej zmluvy, ktorou je Slovenská republika viazaná.“.“.</w:t>
      </w:r>
    </w:p>
    <w:p w:rsidR="00D3196B" w:rsidRPr="00D3196B" w:rsidP="00D3196B">
      <w:pPr>
        <w:ind w:firstLine="426"/>
        <w:jc w:val="both"/>
      </w:pPr>
      <w:r w:rsidRPr="00D3196B">
        <w:t xml:space="preserve">  </w:t>
      </w:r>
    </w:p>
    <w:p w:rsidR="00D3196B" w:rsidRPr="00D3196B" w:rsidP="00D3196B">
      <w:pPr>
        <w:ind w:firstLine="426"/>
        <w:jc w:val="both"/>
      </w:pPr>
      <w:r w:rsidR="00386DA2">
        <w:t>N</w:t>
      </w:r>
      <w:r w:rsidRPr="00D3196B">
        <w:t>asledujúce body sa primerane prečíslujú.</w:t>
      </w:r>
    </w:p>
    <w:p w:rsidR="00D3196B" w:rsidRPr="00D3196B" w:rsidP="00D3196B">
      <w:pPr>
        <w:ind w:left="426"/>
        <w:jc w:val="both"/>
      </w:pPr>
      <w:r w:rsidRPr="00D3196B">
        <w:t xml:space="preserve"> </w:t>
      </w:r>
    </w:p>
    <w:p w:rsidR="00D3196B" w:rsidRPr="00D3196B" w:rsidP="00D3196B">
      <w:pPr>
        <w:ind w:left="3402"/>
        <w:jc w:val="both"/>
      </w:pPr>
      <w:r w:rsidRPr="00D3196B">
        <w:t>V súvislosti so schválením modelovej zmluvy o konsolidácii ekonomických vzťahov uznesením vlády SR č. 581/2018 zo dňa 12. decembra 2018 je potrebné doplniť ustanovenie § 17 ods. 2 zákona o Eximbanke tak, aby zohľadňovalo prípadné práva a povinnosti vyplývajúce pre SR zo zmlúv o konsolidácii ekonomických vzťahov. Týmito zmluvami druhý zmluvný štát pristúpi k uznaniu pohľadávky SR, ktorá ju môže v budúcnosti nadobudnúť v dôsledku uplatnenia citovaného ustanovenia § 17 ods. 2 zákona. Navrh</w:t>
      </w:r>
      <w:r w:rsidRPr="00D3196B">
        <w:rPr>
          <w:color w:val="000000"/>
        </w:rPr>
        <w:t>ovaná úprava tak umožní vláde využiť rýchly a flexibilný postup pri prijímaní prevenčných opatrení v prospech Eximbanky nielen ak by mohlo dôjsť k ohrozeniu vykonávania činností a úloh Eximbanky, ale aj ak to bude vyplývať z medzinárodnej zmluvy uzavretej medzi Slovenskou republiku a krajinou vývozu (štátom, kde má zahraničný odberateľ sídlo). Zároveň sa ustanovenie § 17 ods. 2 dopĺňa tak, aby Ministerstvo financií SR mohlo prevziať nielen pohľadávku vzniknutú z poistenia vývozného úveru, to znamená expozíciu z poistenia v čase až keď vznikla regresná pohľadávka z poistného plnenia, ale aj záväzok z poistenia vývozného úveru, to znamená expozíciu z poistenia už v čase, keď ešte nedošlo k poistnému plneniu.</w:t>
      </w:r>
      <w:r w:rsidRPr="00D3196B">
        <w:tab/>
        <w:tab/>
        <w:tab/>
        <w:tab/>
      </w:r>
    </w:p>
    <w:p w:rsidR="00D3196B" w:rsidRPr="00D3196B" w:rsidP="00D3196B">
      <w:pPr>
        <w:jc w:val="both"/>
      </w:pPr>
    </w:p>
    <w:p w:rsidR="00D3196B" w:rsidRPr="00D3196B" w:rsidP="00F57B53">
      <w:pPr>
        <w:numPr>
          <w:ilvl w:val="0"/>
          <w:numId w:val="48"/>
        </w:numPr>
        <w:ind w:left="426" w:hanging="426"/>
        <w:jc w:val="both"/>
      </w:pPr>
      <w:r w:rsidRPr="00D3196B">
        <w:t>Za čl. II sa vkladá nový čl. III, ktorý znie:</w:t>
      </w:r>
    </w:p>
    <w:p w:rsidR="00D3196B" w:rsidRPr="00D3196B" w:rsidP="00D3196B">
      <w:pPr>
        <w:pStyle w:val="ListParagraph"/>
        <w:spacing w:after="0" w:line="240" w:lineRule="auto"/>
        <w:ind w:left="0"/>
        <w:jc w:val="center"/>
        <w:rPr>
          <w:rFonts w:ascii="Times New Roman" w:hAnsi="Times New Roman"/>
          <w:sz w:val="24"/>
          <w:szCs w:val="24"/>
        </w:rPr>
      </w:pPr>
    </w:p>
    <w:p w:rsidR="00D3196B" w:rsidRPr="00D3196B" w:rsidP="00D3196B">
      <w:pPr>
        <w:pStyle w:val="ListParagraph"/>
        <w:spacing w:after="0" w:line="240" w:lineRule="auto"/>
        <w:ind w:left="0"/>
        <w:jc w:val="center"/>
        <w:rPr>
          <w:rFonts w:ascii="Times New Roman" w:hAnsi="Times New Roman"/>
          <w:sz w:val="24"/>
          <w:szCs w:val="24"/>
        </w:rPr>
      </w:pPr>
      <w:r w:rsidRPr="00D3196B">
        <w:rPr>
          <w:rFonts w:ascii="Times New Roman" w:hAnsi="Times New Roman"/>
          <w:sz w:val="24"/>
          <w:szCs w:val="24"/>
        </w:rPr>
        <w:t>„Čl. III</w:t>
      </w:r>
    </w:p>
    <w:p w:rsidR="00D3196B" w:rsidRPr="00D3196B" w:rsidP="00D3196B">
      <w:pPr>
        <w:ind w:firstLine="426"/>
        <w:jc w:val="both"/>
      </w:pPr>
      <w:r w:rsidRPr="00D3196B">
        <w:rPr>
          <w:rFonts w:eastAsia="Calibri"/>
        </w:rPr>
        <w:t>Zákon č. 381/2001 Z. z. o povinnom zmluvnom poistení zodpovednosti za škodu spôsobenú prevádzkou motorového vozidla a o zmene a doplnení niektorých zákonov v znení zákona č. 95/2002 Z. z., zákona č. 99/2003 Z. z., zákona č. 430/2003 Z. z., zákona</w:t>
        <w:br/>
        <w:t>č. 595/2003 Z. z., zákona č. 186/2004 Z. z., zákona č. 645/2004 Z. z., zákona č. 747/2004</w:t>
        <w:br/>
        <w:t>Z. z., zákona č. 91/2005 Z. z., zákona č. 188/2006 Z. z., zákona č. 110/2007 Z. z., zákona</w:t>
        <w:br/>
        <w:t>č. 8/2009 Z. z., zákona č. 144/2010 Z. z., zákona č. 520/2011 Z. z., zákona č. 180/2013 Z. z., zákona č. 39/2015 Z. z. a zákona č. 373/2018 Z. z. sa mení takto</w:t>
      </w:r>
      <w:r w:rsidRPr="00D3196B">
        <w:t>:</w:t>
      </w:r>
    </w:p>
    <w:p w:rsidR="00D3196B" w:rsidRPr="00D3196B" w:rsidP="00D3196B">
      <w:pPr>
        <w:pStyle w:val="ListParagraph"/>
        <w:spacing w:after="0" w:line="240" w:lineRule="auto"/>
        <w:ind w:left="0"/>
        <w:jc w:val="both"/>
        <w:rPr>
          <w:rFonts w:ascii="Times New Roman" w:hAnsi="Times New Roman"/>
          <w:sz w:val="24"/>
          <w:szCs w:val="24"/>
        </w:rPr>
      </w:pPr>
    </w:p>
    <w:p w:rsidR="00D3196B" w:rsidRPr="00D3196B" w:rsidP="00D3196B">
      <w:pPr>
        <w:numPr>
          <w:ilvl w:val="0"/>
          <w:numId w:val="49"/>
        </w:numPr>
        <w:ind w:left="426" w:hanging="426"/>
        <w:jc w:val="both"/>
      </w:pPr>
      <w:r w:rsidRPr="00D3196B">
        <w:t>V § 9 ods. 5 sa vypúšťajú slová „potvrdenie o poistení zodpovednosti a“.</w:t>
      </w:r>
    </w:p>
    <w:p w:rsidR="00D3196B" w:rsidRPr="00D3196B" w:rsidP="00D3196B">
      <w:pPr>
        <w:ind w:left="426"/>
        <w:jc w:val="both"/>
      </w:pPr>
    </w:p>
    <w:p w:rsidR="00D3196B" w:rsidRPr="00D3196B" w:rsidP="00D3196B">
      <w:pPr>
        <w:numPr>
          <w:ilvl w:val="0"/>
          <w:numId w:val="49"/>
        </w:numPr>
        <w:ind w:left="426" w:hanging="426"/>
        <w:jc w:val="both"/>
      </w:pPr>
      <w:r w:rsidRPr="00D3196B">
        <w:t>V § 11 odsek 1 znie:</w:t>
      </w:r>
    </w:p>
    <w:p w:rsidR="00D3196B" w:rsidRPr="00D3196B" w:rsidP="00D3196B">
      <w:pPr>
        <w:ind w:left="426"/>
        <w:jc w:val="both"/>
      </w:pPr>
      <w:r w:rsidRPr="00D3196B">
        <w:t>„(1) Poisťovateľ je povinný po uzavretí poistnej zmluvy vydať poistníkovi bez zbytočného odkladu zelenú kartu.“.</w:t>
      </w:r>
    </w:p>
    <w:p w:rsidR="00D3196B" w:rsidRPr="00D3196B" w:rsidP="00D3196B">
      <w:pPr>
        <w:jc w:val="both"/>
      </w:pPr>
    </w:p>
    <w:p w:rsidR="00D3196B" w:rsidRPr="00D3196B" w:rsidP="00D3196B">
      <w:pPr>
        <w:numPr>
          <w:ilvl w:val="0"/>
          <w:numId w:val="49"/>
        </w:numPr>
        <w:ind w:left="426" w:hanging="426"/>
        <w:jc w:val="both"/>
      </w:pPr>
      <w:r w:rsidRPr="00D3196B">
        <w:t>V § 17 sa slová „potvrdením o poistení zodpoved</w:t>
      </w:r>
      <w:r w:rsidRPr="00D3196B">
        <w:t>nosti“ nahrádzajú slovami „zelenou kartou“.</w:t>
      </w:r>
    </w:p>
    <w:p w:rsidR="00D3196B" w:rsidRPr="00D3196B" w:rsidP="00D3196B">
      <w:pPr>
        <w:jc w:val="both"/>
      </w:pPr>
    </w:p>
    <w:p w:rsidR="00D3196B" w:rsidRPr="00D3196B" w:rsidP="00D3196B">
      <w:pPr>
        <w:numPr>
          <w:ilvl w:val="0"/>
          <w:numId w:val="49"/>
        </w:numPr>
        <w:ind w:left="426" w:hanging="426"/>
        <w:jc w:val="both"/>
      </w:pPr>
      <w:r w:rsidRPr="00D3196B">
        <w:t xml:space="preserve">V § 18 ods. 1 sa slová „potvrdenie o poistení zodpovednosti, ktoré“ nahrádzajú slovami „zelenú kartu, ktorú“.“. </w:t>
      </w:r>
    </w:p>
    <w:p w:rsidR="00D3196B" w:rsidRPr="00D3196B" w:rsidP="00D3196B">
      <w:pPr>
        <w:pStyle w:val="ListParagraph"/>
        <w:spacing w:after="0" w:line="240" w:lineRule="auto"/>
        <w:rPr>
          <w:rFonts w:ascii="Times New Roman" w:hAnsi="Times New Roman"/>
          <w:sz w:val="24"/>
          <w:szCs w:val="24"/>
        </w:rPr>
      </w:pPr>
    </w:p>
    <w:p w:rsidR="00D3196B" w:rsidRPr="00D3196B" w:rsidP="00D3196B">
      <w:pPr>
        <w:ind w:left="426"/>
        <w:jc w:val="both"/>
      </w:pPr>
      <w:r w:rsidRPr="00D3196B">
        <w:t>Doterajšie články sa primerane prečíslujú.</w:t>
      </w:r>
    </w:p>
    <w:p w:rsidR="00D3196B" w:rsidRPr="00D3196B" w:rsidP="00D3196B">
      <w:pPr>
        <w:jc w:val="both"/>
      </w:pPr>
    </w:p>
    <w:p w:rsidR="00D3196B" w:rsidRPr="00D3196B" w:rsidP="00D3196B">
      <w:pPr>
        <w:ind w:left="3402"/>
        <w:jc w:val="both"/>
        <w:rPr>
          <w:rFonts w:eastAsia="Calibri"/>
        </w:rPr>
      </w:pPr>
      <w:r w:rsidRPr="00D3196B">
        <w:t>Vzhľadom na skutočnosť, že cieľom predloženého vládneho návrhu zákona je vytvorenie legislatívnych predpokladov pre zefektívnenie fungovania špecializovaných finančných subjektov, navrhuje sa do návrhu zákona vložiť nový článok III, ktorého predmetom bude vytvorenie legislatívnych predpokladov pre zefektívnenie vykonávania špecificky regulovaného poistenia, ktorým je povinné zmluvné poistenie, a to prostredníctvom novelizácie zákona o povinnom zmluvnom poistení zodpovednos</w:t>
      </w:r>
      <w:r w:rsidRPr="00D3196B">
        <w:t xml:space="preserve">ti za škodu spôsobenú prevádzkou motorového vozidla. Navrhovanou právnou úpravou sa ruší poisťovateľom povinnosť vydávať potvrdenie o poistení zodpovednosti – tzv. „bielu kartu“. </w:t>
      </w:r>
      <w:r w:rsidRPr="00D3196B">
        <w:rPr>
          <w:rFonts w:eastAsia="Calibri"/>
        </w:rPr>
        <w:t>Vydávanie potvrdenia o poistení zodpovednosti je dodatočným administratívnym nákladom pre poisťovateľov, keďže toto potvrdenie je dokladom používaným len v rámci SR. Poisťovatelia zároveň vydávajú tzv. „zelenú kartu“, ktorá je medzinárodnou kartou automobilového poistenia slúžiacou ako doklad o uzavretí poistenia pri prevádzke vozidla na území iného členského štátu. Z dôvodu, že sa jedná o doklad o uzavretí toho istého poistenia, navrhuje sa, aby poisťovatelia vydávali len zelené karty, ktoré zároveň budú slúžiť na preukazovanie poistenia zodpovednosti. Doplňujúci návrh reaguje na úlohu zrušiť povinnosť vydávať potvrdenie o poistení zodpovednosti, vyplývajúcu z bodu B.27 uznesenia vlády SR č. 51 zo 6. februára 2019 k návrhu opatrení na zlepšenie podnikateľského prostredia.</w:t>
      </w:r>
    </w:p>
    <w:p w:rsidR="00D3196B" w:rsidRPr="00D3196B" w:rsidP="00D3196B">
      <w:pPr>
        <w:jc w:val="both"/>
      </w:pPr>
    </w:p>
    <w:p w:rsidR="00D3196B" w:rsidRPr="00D3196B" w:rsidP="00F57B53">
      <w:pPr>
        <w:numPr>
          <w:ilvl w:val="0"/>
          <w:numId w:val="48"/>
        </w:numPr>
        <w:ind w:left="426" w:hanging="426"/>
        <w:jc w:val="both"/>
      </w:pPr>
      <w:r w:rsidRPr="00D3196B">
        <w:t>Za čl. III sa vkladá nový čl. IV, ktorý znie:</w:t>
      </w:r>
    </w:p>
    <w:p w:rsidR="00D3196B" w:rsidRPr="00D3196B" w:rsidP="00D3196B">
      <w:pPr>
        <w:ind w:left="426"/>
        <w:jc w:val="both"/>
      </w:pPr>
    </w:p>
    <w:p w:rsidR="00D3196B" w:rsidRPr="00D3196B" w:rsidP="00D3196B">
      <w:pPr>
        <w:pStyle w:val="NoSpacing"/>
        <w:jc w:val="center"/>
        <w:rPr>
          <w:rFonts w:ascii="Times New Roman" w:hAnsi="Times New Roman"/>
          <w:sz w:val="24"/>
          <w:szCs w:val="24"/>
        </w:rPr>
      </w:pPr>
      <w:r w:rsidRPr="00D3196B">
        <w:rPr>
          <w:rFonts w:ascii="Times New Roman" w:hAnsi="Times New Roman"/>
          <w:sz w:val="24"/>
          <w:szCs w:val="24"/>
          <w:lang w:eastAsia="sk-SK"/>
        </w:rPr>
        <w:t>„</w:t>
      </w:r>
      <w:r w:rsidRPr="00D3196B">
        <w:rPr>
          <w:rFonts w:ascii="Times New Roman" w:hAnsi="Times New Roman"/>
          <w:sz w:val="24"/>
          <w:szCs w:val="24"/>
        </w:rPr>
        <w:t>Čl. IV</w:t>
      </w:r>
    </w:p>
    <w:p w:rsidR="00D3196B" w:rsidRPr="00D3196B" w:rsidP="00D3196B">
      <w:pPr>
        <w:pStyle w:val="NoSpacing"/>
        <w:jc w:val="both"/>
        <w:rPr>
          <w:rFonts w:ascii="Times New Roman" w:hAnsi="Times New Roman"/>
          <w:sz w:val="24"/>
          <w:szCs w:val="24"/>
        </w:rPr>
      </w:pPr>
    </w:p>
    <w:p w:rsidR="00D3196B" w:rsidRPr="00D3196B" w:rsidP="00D3196B">
      <w:pPr>
        <w:pStyle w:val="NoSpacing"/>
        <w:ind w:firstLine="426"/>
        <w:jc w:val="both"/>
        <w:rPr>
          <w:rFonts w:ascii="Times New Roman" w:hAnsi="Times New Roman"/>
          <w:sz w:val="24"/>
          <w:szCs w:val="24"/>
        </w:rPr>
      </w:pPr>
      <w:r w:rsidRPr="00D3196B">
        <w:rPr>
          <w:rFonts w:ascii="Times New Roman" w:hAnsi="Times New Roman"/>
          <w:sz w:val="24"/>
          <w:szCs w:val="24"/>
        </w:rPr>
        <w:t>Zákon č. 39/2015 Z. z. o poisťovníctve a o zmene a doplnení niektorých zákonov v znení zákona č. 359/2015 Z. z., zákona č. 437/2015 Z. z., zákona č. 125/2016 Z. z., zákona</w:t>
        <w:br/>
        <w:t>č. 292/2016 Z. z., zákona č. 339/2016 Z. z., zákona č. 282/2017 Z. z., zákona č. 18/2018 Z. z., zákona č. 109/2018 Z. z., zákona č. 177/2018 Z. z., zákona č. 213/2018 Z. z., zákona</w:t>
        <w:br/>
        <w:t>č. 214/2018 Z. z., zákona č. 156/2019 Z. z. a zákona č. 221/2019 Z. z. sa mení a dopĺňa takto:</w:t>
      </w:r>
    </w:p>
    <w:p w:rsidR="00D3196B" w:rsidRPr="00D3196B" w:rsidP="00D3196B">
      <w:pPr>
        <w:pStyle w:val="NoSpacing"/>
        <w:jc w:val="both"/>
        <w:rPr>
          <w:rFonts w:ascii="Times New Roman" w:hAnsi="Times New Roman"/>
          <w:sz w:val="24"/>
          <w:szCs w:val="24"/>
        </w:rPr>
      </w:pPr>
    </w:p>
    <w:p w:rsidR="00D3196B" w:rsidRPr="00D3196B" w:rsidP="00D3196B">
      <w:pPr>
        <w:pStyle w:val="NoSpacing"/>
        <w:numPr>
          <w:ilvl w:val="0"/>
          <w:numId w:val="50"/>
        </w:numPr>
        <w:ind w:left="426" w:hanging="426"/>
        <w:jc w:val="both"/>
        <w:rPr>
          <w:rFonts w:ascii="Times New Roman" w:hAnsi="Times New Roman"/>
          <w:sz w:val="24"/>
          <w:szCs w:val="24"/>
        </w:rPr>
      </w:pPr>
      <w:r w:rsidRPr="00D3196B">
        <w:rPr>
          <w:rFonts w:ascii="Times New Roman" w:hAnsi="Times New Roman"/>
          <w:sz w:val="24"/>
          <w:szCs w:val="24"/>
        </w:rPr>
        <w:t>V § 7 ods. 3 sa vypúšťa písmeno e).</w:t>
      </w:r>
    </w:p>
    <w:p w:rsidR="00D3196B" w:rsidRPr="00D3196B" w:rsidP="00D3196B">
      <w:pPr>
        <w:pStyle w:val="NoSpacing"/>
        <w:jc w:val="both"/>
        <w:rPr>
          <w:rFonts w:ascii="Times New Roman" w:hAnsi="Times New Roman"/>
          <w:sz w:val="24"/>
          <w:szCs w:val="24"/>
        </w:rPr>
      </w:pPr>
    </w:p>
    <w:p w:rsidR="00D3196B" w:rsidRPr="00D3196B" w:rsidP="00D3196B">
      <w:pPr>
        <w:pStyle w:val="NoSpacing"/>
        <w:ind w:left="426"/>
        <w:jc w:val="both"/>
        <w:rPr>
          <w:rFonts w:ascii="Times New Roman" w:hAnsi="Times New Roman"/>
          <w:sz w:val="24"/>
          <w:szCs w:val="24"/>
        </w:rPr>
      </w:pPr>
      <w:r w:rsidRPr="00D3196B">
        <w:rPr>
          <w:rFonts w:ascii="Times New Roman" w:hAnsi="Times New Roman"/>
          <w:sz w:val="24"/>
          <w:szCs w:val="24"/>
        </w:rPr>
        <w:t>Doterajšie písmená f) až h) sa označujú ako písmená e) až g).</w:t>
      </w:r>
    </w:p>
    <w:p w:rsidR="00D3196B" w:rsidRPr="00D3196B" w:rsidP="00D3196B">
      <w:pPr>
        <w:pStyle w:val="NoSpacing"/>
        <w:jc w:val="both"/>
        <w:rPr>
          <w:rFonts w:ascii="Times New Roman" w:hAnsi="Times New Roman"/>
          <w:sz w:val="24"/>
          <w:szCs w:val="24"/>
        </w:rPr>
      </w:pPr>
    </w:p>
    <w:p w:rsidR="00D3196B" w:rsidRPr="00D3196B" w:rsidP="00D3196B">
      <w:pPr>
        <w:pStyle w:val="NoSpacing"/>
        <w:numPr>
          <w:ilvl w:val="0"/>
          <w:numId w:val="50"/>
        </w:numPr>
        <w:ind w:left="426" w:hanging="426"/>
        <w:jc w:val="both"/>
        <w:rPr>
          <w:rFonts w:ascii="Times New Roman" w:hAnsi="Times New Roman"/>
          <w:sz w:val="24"/>
          <w:szCs w:val="24"/>
        </w:rPr>
      </w:pPr>
      <w:r w:rsidRPr="00D3196B">
        <w:rPr>
          <w:rFonts w:ascii="Times New Roman" w:hAnsi="Times New Roman"/>
          <w:sz w:val="24"/>
          <w:szCs w:val="24"/>
        </w:rPr>
        <w:t>V § 8 ods. 4 sa na konci bodka nahrádza čiarkou a pripájajú sa tieto slová: „alebo ak je s týmto iným ako členským štátom uzavretá medzinárodná dohoda, ktorou je Slovenská republika viazaná.</w:t>
      </w:r>
      <w:r w:rsidRPr="00D3196B">
        <w:rPr>
          <w:rFonts w:ascii="Times New Roman" w:hAnsi="Times New Roman"/>
          <w:sz w:val="24"/>
          <w:szCs w:val="24"/>
          <w:vertAlign w:val="superscript"/>
        </w:rPr>
        <w:t>20aa</w:t>
      </w:r>
      <w:r w:rsidRPr="00D3196B">
        <w:rPr>
          <w:rFonts w:ascii="Times New Roman" w:hAnsi="Times New Roman"/>
          <w:sz w:val="24"/>
          <w:szCs w:val="24"/>
        </w:rPr>
        <w:t>)“.</w:t>
      </w:r>
    </w:p>
    <w:p w:rsidR="00D3196B" w:rsidRPr="00D3196B" w:rsidP="00D3196B">
      <w:pPr>
        <w:pStyle w:val="NoSpacing"/>
        <w:jc w:val="both"/>
        <w:rPr>
          <w:rFonts w:ascii="Times New Roman" w:hAnsi="Times New Roman"/>
          <w:sz w:val="24"/>
          <w:szCs w:val="24"/>
        </w:rPr>
      </w:pPr>
      <w:r w:rsidRPr="00D3196B">
        <w:rPr>
          <w:rFonts w:ascii="Times New Roman" w:hAnsi="Times New Roman"/>
          <w:sz w:val="24"/>
          <w:szCs w:val="24"/>
        </w:rPr>
        <w:t xml:space="preserve"> </w:t>
      </w:r>
    </w:p>
    <w:p w:rsidR="00D3196B" w:rsidRPr="00D3196B" w:rsidP="00D3196B">
      <w:pPr>
        <w:pStyle w:val="NoSpacing"/>
        <w:ind w:left="426"/>
        <w:jc w:val="both"/>
        <w:rPr>
          <w:rFonts w:ascii="Times New Roman" w:hAnsi="Times New Roman"/>
          <w:sz w:val="24"/>
          <w:szCs w:val="24"/>
        </w:rPr>
      </w:pPr>
      <w:r w:rsidRPr="00D3196B">
        <w:rPr>
          <w:rFonts w:ascii="Times New Roman" w:hAnsi="Times New Roman"/>
          <w:sz w:val="24"/>
          <w:szCs w:val="24"/>
        </w:rPr>
        <w:t>Poznámka pod čiarou k odkazu 20aa znie:</w:t>
      </w:r>
    </w:p>
    <w:p w:rsidR="00D3196B" w:rsidRPr="00D3196B" w:rsidP="00D3196B">
      <w:pPr>
        <w:pStyle w:val="NoSpacing"/>
        <w:ind w:left="426"/>
        <w:jc w:val="both"/>
        <w:rPr>
          <w:rFonts w:ascii="Times New Roman" w:hAnsi="Times New Roman"/>
          <w:sz w:val="24"/>
          <w:szCs w:val="24"/>
        </w:rPr>
      </w:pPr>
      <w:r w:rsidRPr="00D3196B">
        <w:rPr>
          <w:rFonts w:ascii="Times New Roman" w:hAnsi="Times New Roman"/>
          <w:sz w:val="24"/>
          <w:szCs w:val="24"/>
        </w:rPr>
        <w:t>„</w:t>
      </w:r>
      <w:r w:rsidRPr="00D3196B">
        <w:rPr>
          <w:rFonts w:ascii="Times New Roman" w:hAnsi="Times New Roman"/>
          <w:sz w:val="24"/>
          <w:szCs w:val="24"/>
          <w:vertAlign w:val="superscript"/>
        </w:rPr>
        <w:t>20aa</w:t>
      </w:r>
      <w:r w:rsidRPr="00D3196B">
        <w:rPr>
          <w:rFonts w:ascii="Times New Roman" w:hAnsi="Times New Roman"/>
          <w:sz w:val="24"/>
          <w:szCs w:val="24"/>
        </w:rPr>
        <w:t xml:space="preserve">) Dvojstranná dohoda medzi Európskou úniou a Spojenými štátmi americkými o prudenciálnych opatreniach v oblasti poistenia a zaistenia (Ú. v. EÚ L 258, 6.10.2017).“. </w:t>
      </w:r>
    </w:p>
    <w:p w:rsidR="00D3196B" w:rsidRPr="00D3196B" w:rsidP="00D3196B">
      <w:pPr>
        <w:pStyle w:val="NoSpacing"/>
        <w:jc w:val="both"/>
        <w:rPr>
          <w:rFonts w:ascii="Times New Roman" w:hAnsi="Times New Roman"/>
          <w:sz w:val="24"/>
          <w:szCs w:val="24"/>
        </w:rPr>
      </w:pPr>
    </w:p>
    <w:p w:rsidR="00D3196B" w:rsidRPr="00D3196B" w:rsidP="00D3196B">
      <w:pPr>
        <w:pStyle w:val="NoSpacing"/>
        <w:numPr>
          <w:ilvl w:val="0"/>
          <w:numId w:val="50"/>
        </w:numPr>
        <w:ind w:left="426" w:hanging="426"/>
        <w:jc w:val="both"/>
        <w:rPr>
          <w:rFonts w:ascii="Times New Roman" w:hAnsi="Times New Roman"/>
          <w:sz w:val="24"/>
          <w:szCs w:val="24"/>
        </w:rPr>
      </w:pPr>
      <w:r w:rsidRPr="00D3196B">
        <w:rPr>
          <w:rFonts w:ascii="Times New Roman" w:hAnsi="Times New Roman"/>
          <w:sz w:val="24"/>
          <w:szCs w:val="24"/>
        </w:rPr>
        <w:t>V § 9 ods. 3 sa vypúšťa písmeno e).</w:t>
      </w:r>
    </w:p>
    <w:p w:rsidR="00D3196B" w:rsidRPr="00D3196B" w:rsidP="00D3196B">
      <w:pPr>
        <w:pStyle w:val="NoSpacing"/>
        <w:jc w:val="both"/>
        <w:rPr>
          <w:rFonts w:ascii="Times New Roman" w:hAnsi="Times New Roman"/>
          <w:sz w:val="24"/>
          <w:szCs w:val="24"/>
        </w:rPr>
      </w:pPr>
    </w:p>
    <w:p w:rsidR="00D3196B" w:rsidRPr="00D3196B" w:rsidP="00D3196B">
      <w:pPr>
        <w:pStyle w:val="NoSpacing"/>
        <w:ind w:left="426"/>
        <w:jc w:val="both"/>
        <w:rPr>
          <w:rFonts w:ascii="Times New Roman" w:hAnsi="Times New Roman"/>
          <w:sz w:val="24"/>
          <w:szCs w:val="24"/>
        </w:rPr>
      </w:pPr>
      <w:r w:rsidRPr="00D3196B">
        <w:rPr>
          <w:rFonts w:ascii="Times New Roman" w:hAnsi="Times New Roman"/>
          <w:sz w:val="24"/>
          <w:szCs w:val="24"/>
        </w:rPr>
        <w:t>Doterajšie písmená f) až h) sa označujú ako písmená e) až g).“.</w:t>
      </w:r>
    </w:p>
    <w:p w:rsidR="00D3196B" w:rsidRPr="00D3196B" w:rsidP="00D3196B">
      <w:pPr>
        <w:pStyle w:val="NoSpacing"/>
        <w:ind w:left="426"/>
        <w:jc w:val="both"/>
        <w:rPr>
          <w:rFonts w:ascii="Times New Roman" w:hAnsi="Times New Roman"/>
          <w:sz w:val="24"/>
          <w:szCs w:val="24"/>
        </w:rPr>
      </w:pPr>
    </w:p>
    <w:p w:rsidR="00D3196B" w:rsidRPr="00D3196B" w:rsidP="00D3196B">
      <w:pPr>
        <w:pStyle w:val="NoSpacing"/>
        <w:ind w:left="426"/>
        <w:jc w:val="both"/>
        <w:rPr>
          <w:rFonts w:ascii="Times New Roman" w:hAnsi="Times New Roman"/>
          <w:sz w:val="24"/>
          <w:szCs w:val="24"/>
        </w:rPr>
      </w:pPr>
      <w:r w:rsidRPr="00D3196B">
        <w:rPr>
          <w:rFonts w:ascii="Times New Roman" w:hAnsi="Times New Roman"/>
          <w:sz w:val="24"/>
          <w:szCs w:val="24"/>
        </w:rPr>
        <w:t xml:space="preserve">Doterajšie články sa primerane prečíslujú. </w:t>
      </w:r>
    </w:p>
    <w:p w:rsidR="00D3196B" w:rsidRPr="00D3196B" w:rsidP="00D3196B">
      <w:pPr>
        <w:ind w:left="2835"/>
        <w:jc w:val="both"/>
        <w:rPr>
          <w:u w:val="single"/>
        </w:rPr>
      </w:pPr>
    </w:p>
    <w:p w:rsidR="00D3196B" w:rsidRPr="00D3196B" w:rsidP="00D3196B">
      <w:pPr>
        <w:pStyle w:val="NoSpacing"/>
        <w:ind w:left="3544"/>
        <w:jc w:val="both"/>
        <w:rPr>
          <w:rFonts w:ascii="Times New Roman" w:hAnsi="Times New Roman"/>
          <w:sz w:val="24"/>
          <w:szCs w:val="24"/>
        </w:rPr>
      </w:pPr>
      <w:r w:rsidRPr="00D3196B">
        <w:rPr>
          <w:rFonts w:ascii="Times New Roman" w:hAnsi="Times New Roman"/>
          <w:sz w:val="24"/>
          <w:szCs w:val="24"/>
        </w:rPr>
        <w:t>Prostredníctvom vloženia nového čl. IV do vládneho návrhu zákona, ktorého predmetom je novelizácia zákona o poisťovníctve, sa navrhuje zefektívniť udeľovanie povolenia na vykonávanie poisťovacej činnosti a zaisťovacej činnosti. Na základe analýzy „goldplatingu“ bolo identifikované, že predkladanie zoznamu blízkych osôb akcionárov s kvalifikovanou účasťou pri žiadosti o udelenie povolenia na vykonávanie poisťovacej činnosti a pri žiadosti o udelenie povolenia na vykonávanie zaisťovacej činnosti je nad rámec znenia smernice, pretože predkladanie takéhoto zoznamu nie je explicitne požadované smernicou Európskeho parlamentu a Rady 2009/138/ES. Zároveň vypracovávanie a predkladanie formulára je pre zakladateľa poisťovne resp. zaisťovne zbytočnou administratívnou záťažou. Na základe uvedeného sa preto navrhuje v § 7 ods. 3 a v § 9 ods. 3 zákona o poisťovníctve vypustiť písmeno e), ktoré túto nadbytočnú požiadavku obsahuje. Súvisiacu novelizáciu zákona o poisťovníctve sa navrhuje využiť aj na úpravu zefektívnenia povoľovania vykonávania zaisťovacej činnosti na území Slovenskej republiky pre zaisťovne so sídlom v Spojených štátoch amerických (§ 8 ods. 4 zákona o poisťovníctve). Táto právna úprava vyplýva z potreby transponovania dvojstrannej dohody medzi Európskou úniou a Spojenými štátmi americkými o prudenciálnych opatreniach v oblasti poistenia a zaistenia do právneho poriadku SR. Jednou z oblastí obsiahnutých v dohode je vykonávanie zaisťovacej činnosti, kde sa upravuje odstránenie požiadaviek na miestnu prítomnosť a požiadaviek na kolaterály (zloženie finančnej zábezpeky) pre zaisťovne, ktoré sú regulované a dohliadané jednou zo zmluvných strán. Na základe uvedeného sa tak zaisťovniam so sídlom v Spojených štátoch amerických povoľuje vykonávanie zaisťovacej činnosti na území SR bez potreby založenia pobočky.</w:t>
      </w:r>
    </w:p>
    <w:p w:rsidR="00D3196B" w:rsidRPr="00D3196B" w:rsidP="00D3196B">
      <w:pPr>
        <w:jc w:val="both"/>
      </w:pPr>
    </w:p>
    <w:p w:rsidR="00D3196B" w:rsidRPr="00D3196B" w:rsidP="00D3196B">
      <w:pPr>
        <w:jc w:val="both"/>
      </w:pPr>
    </w:p>
    <w:p w:rsidR="00D3196B" w:rsidRPr="00D3196B" w:rsidP="00F57B53">
      <w:pPr>
        <w:numPr>
          <w:ilvl w:val="0"/>
          <w:numId w:val="48"/>
        </w:numPr>
        <w:ind w:left="426" w:hanging="426"/>
        <w:jc w:val="both"/>
      </w:pPr>
      <w:r w:rsidRPr="00D3196B">
        <w:t xml:space="preserve">V čl. IV  </w:t>
      </w:r>
      <w:r w:rsidR="00386DA2">
        <w:t xml:space="preserve">23. </w:t>
      </w:r>
      <w:r w:rsidRPr="00D3196B">
        <w:t xml:space="preserve">bod § 12 ods. 1 </w:t>
      </w:r>
      <w:r w:rsidR="00386DA2">
        <w:t xml:space="preserve">sa </w:t>
      </w:r>
      <w:r w:rsidRPr="00D3196B">
        <w:t>za prvú vetu vkladá nová druhá veta, ktorá znie: „Do istiny zvýhodneného vývozného úveru môže Eximbanka zahrnúť poistné za úverové riziko.“.</w:t>
      </w:r>
    </w:p>
    <w:p w:rsidR="00D3196B" w:rsidRPr="00D3196B" w:rsidP="00D3196B">
      <w:pPr>
        <w:ind w:left="426"/>
        <w:jc w:val="both"/>
      </w:pPr>
    </w:p>
    <w:p w:rsidR="00D3196B" w:rsidRPr="00D3196B" w:rsidP="00D3196B">
      <w:pPr>
        <w:ind w:left="3544" w:hanging="4"/>
        <w:jc w:val="both"/>
      </w:pPr>
      <w:r w:rsidRPr="00D3196B">
        <w:t>Navrhuje sa doplniť ustanovenie § 12 ods. 1 vládneho návrhu novely zákona o rozvojovej spolupráci tak, aby bolo jednoznačné a nespochybniteľné, že keď zvýhodnený vývozný úver poskytuje Eximbanka, môže si do istiny zvýhodneného vývozného úveru zahrnúť poistné za úverové riziko, pričom nariadenie Európskeho parlamentu a Rady (EÚ) č. 1233/2011 zo 16. novembra 2011 o uplatňovaní určitých usmernení v oblasti štátom podporovaných vývozných úverov, ktoré upravuje aj poskytovanie vývozných úverov v rámci viazanej obchodnej pomoci, umožňuje, aby poistné za úverové riziko bolo platené aj samostatne, to znamená  mimo úveru. Doplňujúca právna úprava je preto navrhnutá tak, aby pri aplikácii zákona v praxi mohli byť využité obe alternatívy.</w:t>
      </w:r>
    </w:p>
    <w:p w:rsidR="00EB1137" w:rsidRPr="00D3196B" w:rsidP="00D3196B"/>
    <w:p w:rsidR="001B749C" w:rsidRPr="00D3196B" w:rsidP="00D3196B">
      <w:pPr>
        <w:jc w:val="both"/>
        <w:rPr>
          <w:bCs w:val="0"/>
        </w:rPr>
      </w:pPr>
    </w:p>
    <w:p w:rsidR="001B749C" w:rsidP="00D96ABB">
      <w:pPr>
        <w:jc w:val="both"/>
        <w:rPr>
          <w:bCs w:val="0"/>
        </w:rPr>
      </w:pPr>
    </w:p>
    <w:sectPr w:rsidSect="004D397F">
      <w:footerReference w:type="even" r:id="rId5"/>
      <w:footerReference w:type="default" r:id="rId6"/>
      <w:pgSz w:w="11906" w:h="16838"/>
      <w:pgMar w:top="539" w:right="1106" w:bottom="426"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14BB3"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4700">
      <w:rPr>
        <w:rStyle w:val="PageNumber"/>
        <w:noProof/>
      </w:rPr>
      <w:t>2</w:t>
    </w:r>
    <w:r>
      <w:rPr>
        <w:rStyle w:val="PageNumber"/>
      </w:rPr>
      <w:fldChar w:fldCharType="end"/>
    </w:r>
  </w:p>
  <w:p w:rsidR="00D14BB3"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904"/>
    <w:multiLevelType w:val="hybridMultilevel"/>
    <w:tmpl w:val="70D4FDD2"/>
    <w:lvl w:ilvl="0">
      <w:start w:val="1"/>
      <w:numFmt w:val="decimal"/>
      <w:lvlText w:val="%1."/>
      <w:lvlJc w:val="left"/>
      <w:pPr>
        <w:ind w:left="36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5C2CA5"/>
    <w:multiLevelType w:val="hybridMultilevel"/>
    <w:tmpl w:val="4F724662"/>
    <w:lvl w:ilvl="0">
      <w:start w:val="1"/>
      <w:numFmt w:val="decimal"/>
      <w:lvlText w:val="%1."/>
      <w:lvlJc w:val="left"/>
      <w:pPr>
        <w:tabs>
          <w:tab w:val="num" w:pos="901"/>
        </w:tabs>
        <w:ind w:left="901" w:hanging="360"/>
      </w:pPr>
    </w:lvl>
    <w:lvl w:ilvl="1" w:tentative="1">
      <w:start w:val="1"/>
      <w:numFmt w:val="lowerLetter"/>
      <w:lvlText w:val="%2."/>
      <w:lvlJc w:val="left"/>
      <w:pPr>
        <w:tabs>
          <w:tab w:val="num" w:pos="1621"/>
        </w:tabs>
        <w:ind w:left="1621" w:hanging="360"/>
      </w:pPr>
    </w:lvl>
    <w:lvl w:ilvl="2" w:tentative="1">
      <w:start w:val="1"/>
      <w:numFmt w:val="lowerRoman"/>
      <w:lvlText w:val="%3."/>
      <w:lvlJc w:val="right"/>
      <w:pPr>
        <w:tabs>
          <w:tab w:val="num" w:pos="2341"/>
        </w:tabs>
        <w:ind w:left="2341" w:hanging="180"/>
      </w:pPr>
    </w:lvl>
    <w:lvl w:ilvl="3" w:tentative="1">
      <w:start w:val="1"/>
      <w:numFmt w:val="decimal"/>
      <w:lvlText w:val="%4."/>
      <w:lvlJc w:val="left"/>
      <w:pPr>
        <w:tabs>
          <w:tab w:val="num" w:pos="3061"/>
        </w:tabs>
        <w:ind w:left="3061" w:hanging="360"/>
      </w:pPr>
    </w:lvl>
    <w:lvl w:ilvl="4" w:tentative="1">
      <w:start w:val="1"/>
      <w:numFmt w:val="lowerLetter"/>
      <w:lvlText w:val="%5."/>
      <w:lvlJc w:val="left"/>
      <w:pPr>
        <w:tabs>
          <w:tab w:val="num" w:pos="3781"/>
        </w:tabs>
        <w:ind w:left="3781" w:hanging="360"/>
      </w:pPr>
    </w:lvl>
    <w:lvl w:ilvl="5" w:tentative="1">
      <w:start w:val="1"/>
      <w:numFmt w:val="lowerRoman"/>
      <w:lvlText w:val="%6."/>
      <w:lvlJc w:val="right"/>
      <w:pPr>
        <w:tabs>
          <w:tab w:val="num" w:pos="4501"/>
        </w:tabs>
        <w:ind w:left="4501" w:hanging="180"/>
      </w:pPr>
    </w:lvl>
    <w:lvl w:ilvl="6" w:tentative="1">
      <w:start w:val="1"/>
      <w:numFmt w:val="decimal"/>
      <w:lvlText w:val="%7."/>
      <w:lvlJc w:val="left"/>
      <w:pPr>
        <w:tabs>
          <w:tab w:val="num" w:pos="5221"/>
        </w:tabs>
        <w:ind w:left="5221" w:hanging="360"/>
      </w:pPr>
    </w:lvl>
    <w:lvl w:ilvl="7" w:tentative="1">
      <w:start w:val="1"/>
      <w:numFmt w:val="lowerLetter"/>
      <w:lvlText w:val="%8."/>
      <w:lvlJc w:val="left"/>
      <w:pPr>
        <w:tabs>
          <w:tab w:val="num" w:pos="5941"/>
        </w:tabs>
        <w:ind w:left="5941" w:hanging="360"/>
      </w:pPr>
    </w:lvl>
    <w:lvl w:ilvl="8" w:tentative="1">
      <w:start w:val="1"/>
      <w:numFmt w:val="lowerRoman"/>
      <w:lvlText w:val="%9."/>
      <w:lvlJc w:val="right"/>
      <w:pPr>
        <w:tabs>
          <w:tab w:val="num" w:pos="6661"/>
        </w:tabs>
        <w:ind w:left="6661" w:hanging="180"/>
      </w:pPr>
    </w:lvl>
  </w:abstractNum>
  <w:abstractNum w:abstractNumId="2">
    <w:nsid w:val="07905AB3"/>
    <w:multiLevelType w:val="hybridMultilevel"/>
    <w:tmpl w:val="0BA2A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891CA3"/>
    <w:multiLevelType w:val="hybridMultilevel"/>
    <w:tmpl w:val="0B3408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CF40AB"/>
    <w:multiLevelType w:val="hybridMultilevel"/>
    <w:tmpl w:val="D97877CC"/>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03C761A"/>
    <w:multiLevelType w:val="hybridMultilevel"/>
    <w:tmpl w:val="175443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605616"/>
    <w:multiLevelType w:val="hybridMultilevel"/>
    <w:tmpl w:val="2324A4CE"/>
    <w:lvl w:ilvl="0">
      <w:start w:val="1"/>
      <w:numFmt w:val="decimal"/>
      <w:lvlText w:val="%1."/>
      <w:lvlJc w:val="left"/>
      <w:pPr>
        <w:tabs>
          <w:tab w:val="num" w:pos="578"/>
        </w:tabs>
        <w:ind w:left="578" w:hanging="360"/>
      </w:pPr>
      <w:rPr>
        <w:b/>
      </w:rPr>
    </w:lvl>
    <w:lvl w:ilvl="1" w:tentative="1">
      <w:start w:val="1"/>
      <w:numFmt w:val="lowerLetter"/>
      <w:lvlText w:val="%2."/>
      <w:lvlJc w:val="left"/>
      <w:pPr>
        <w:tabs>
          <w:tab w:val="num" w:pos="1298"/>
        </w:tabs>
        <w:ind w:left="1298" w:hanging="360"/>
      </w:pPr>
    </w:lvl>
    <w:lvl w:ilvl="2" w:tentative="1">
      <w:start w:val="1"/>
      <w:numFmt w:val="lowerRoman"/>
      <w:lvlText w:val="%3."/>
      <w:lvlJc w:val="right"/>
      <w:pPr>
        <w:tabs>
          <w:tab w:val="num" w:pos="2018"/>
        </w:tabs>
        <w:ind w:left="2018" w:hanging="180"/>
      </w:pPr>
    </w:lvl>
    <w:lvl w:ilvl="3" w:tentative="1">
      <w:start w:val="1"/>
      <w:numFmt w:val="decimal"/>
      <w:lvlText w:val="%4."/>
      <w:lvlJc w:val="left"/>
      <w:pPr>
        <w:tabs>
          <w:tab w:val="num" w:pos="2738"/>
        </w:tabs>
        <w:ind w:left="2738" w:hanging="360"/>
      </w:pPr>
    </w:lvl>
    <w:lvl w:ilvl="4" w:tentative="1">
      <w:start w:val="1"/>
      <w:numFmt w:val="lowerLetter"/>
      <w:lvlText w:val="%5."/>
      <w:lvlJc w:val="left"/>
      <w:pPr>
        <w:tabs>
          <w:tab w:val="num" w:pos="3458"/>
        </w:tabs>
        <w:ind w:left="3458" w:hanging="360"/>
      </w:pPr>
    </w:lvl>
    <w:lvl w:ilvl="5" w:tentative="1">
      <w:start w:val="1"/>
      <w:numFmt w:val="lowerRoman"/>
      <w:lvlText w:val="%6."/>
      <w:lvlJc w:val="right"/>
      <w:pPr>
        <w:tabs>
          <w:tab w:val="num" w:pos="4178"/>
        </w:tabs>
        <w:ind w:left="4178" w:hanging="180"/>
      </w:pPr>
    </w:lvl>
    <w:lvl w:ilvl="6" w:tentative="1">
      <w:start w:val="1"/>
      <w:numFmt w:val="decimal"/>
      <w:lvlText w:val="%7."/>
      <w:lvlJc w:val="left"/>
      <w:pPr>
        <w:tabs>
          <w:tab w:val="num" w:pos="4898"/>
        </w:tabs>
        <w:ind w:left="4898" w:hanging="360"/>
      </w:pPr>
    </w:lvl>
    <w:lvl w:ilvl="7" w:tentative="1">
      <w:start w:val="1"/>
      <w:numFmt w:val="lowerLetter"/>
      <w:lvlText w:val="%8."/>
      <w:lvlJc w:val="left"/>
      <w:pPr>
        <w:tabs>
          <w:tab w:val="num" w:pos="5618"/>
        </w:tabs>
        <w:ind w:left="5618" w:hanging="360"/>
      </w:pPr>
    </w:lvl>
    <w:lvl w:ilvl="8" w:tentative="1">
      <w:start w:val="1"/>
      <w:numFmt w:val="lowerRoman"/>
      <w:lvlText w:val="%9."/>
      <w:lvlJc w:val="right"/>
      <w:pPr>
        <w:tabs>
          <w:tab w:val="num" w:pos="6338"/>
        </w:tabs>
        <w:ind w:left="6338" w:hanging="180"/>
      </w:pPr>
    </w:lvl>
  </w:abstractNum>
  <w:abstractNum w:abstractNumId="7">
    <w:nsid w:val="14D0302C"/>
    <w:multiLevelType w:val="hybridMultilevel"/>
    <w:tmpl w:val="0DA4BFAE"/>
    <w:lvl w:ilvl="0">
      <w:start w:val="1"/>
      <w:numFmt w:val="decimal"/>
      <w:lvlText w:val="%1."/>
      <w:lvlJc w:val="left"/>
      <w:pPr>
        <w:tabs>
          <w:tab w:val="num" w:pos="720"/>
        </w:tabs>
        <w:ind w:left="72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8B57DB7"/>
    <w:multiLevelType w:val="hybridMultilevel"/>
    <w:tmpl w:val="73B685D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19120CC3"/>
    <w:multiLevelType w:val="hybridMultilevel"/>
    <w:tmpl w:val="06289B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211376"/>
    <w:multiLevelType w:val="hybridMultilevel"/>
    <w:tmpl w:val="B908D9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B75142B"/>
    <w:multiLevelType w:val="hybridMultilevel"/>
    <w:tmpl w:val="615EBEE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00D40E4"/>
    <w:multiLevelType w:val="hybridMultilevel"/>
    <w:tmpl w:val="1BDAF7EE"/>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3576973"/>
    <w:multiLevelType w:val="hybridMultilevel"/>
    <w:tmpl w:val="0F58E2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4440F99"/>
    <w:multiLevelType w:val="hybridMultilevel"/>
    <w:tmpl w:val="C4161004"/>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5711CD7"/>
    <w:multiLevelType w:val="hybridMultilevel"/>
    <w:tmpl w:val="A0684100"/>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5EE436A"/>
    <w:multiLevelType w:val="hybridMultilevel"/>
    <w:tmpl w:val="69F661D4"/>
    <w:lvl w:ilvl="0">
      <w:start w:val="1"/>
      <w:numFmt w:val="upperLetter"/>
      <w:lvlText w:val="%1."/>
      <w:lvlJc w:val="left"/>
      <w:pPr>
        <w:tabs>
          <w:tab w:val="num" w:pos="360"/>
        </w:tabs>
        <w:ind w:left="360" w:hanging="360"/>
      </w:pPr>
    </w:lvl>
    <w:lvl w:ilvl="1">
      <w:start w:val="1"/>
      <w:numFmt w:val="decimal"/>
      <w:lvlText w:val="%2."/>
      <w:lvlJc w:val="left"/>
      <w:pPr>
        <w:tabs>
          <w:tab w:val="num" w:pos="-690"/>
        </w:tabs>
        <w:ind w:left="-690" w:hanging="360"/>
      </w:pPr>
    </w:lvl>
    <w:lvl w:ilvl="2">
      <w:start w:val="1"/>
      <w:numFmt w:val="decimal"/>
      <w:lvlText w:val="%3."/>
      <w:lvlJc w:val="left"/>
      <w:pPr>
        <w:tabs>
          <w:tab w:val="num" w:pos="30"/>
        </w:tabs>
        <w:ind w:left="30" w:hanging="360"/>
      </w:pPr>
    </w:lvl>
    <w:lvl w:ilvl="3">
      <w:start w:val="1"/>
      <w:numFmt w:val="decimal"/>
      <w:lvlText w:val="%4."/>
      <w:lvlJc w:val="left"/>
      <w:pPr>
        <w:tabs>
          <w:tab w:val="num" w:pos="750"/>
        </w:tabs>
        <w:ind w:left="750" w:hanging="360"/>
      </w:pPr>
    </w:lvl>
    <w:lvl w:ilvl="4">
      <w:start w:val="1"/>
      <w:numFmt w:val="decimal"/>
      <w:lvlText w:val="%5."/>
      <w:lvlJc w:val="left"/>
      <w:pPr>
        <w:tabs>
          <w:tab w:val="num" w:pos="1470"/>
        </w:tabs>
        <w:ind w:left="147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910"/>
        </w:tabs>
        <w:ind w:left="2910" w:hanging="360"/>
      </w:pPr>
    </w:lvl>
    <w:lvl w:ilvl="7">
      <w:start w:val="1"/>
      <w:numFmt w:val="decimal"/>
      <w:lvlText w:val="%8."/>
      <w:lvlJc w:val="left"/>
      <w:pPr>
        <w:tabs>
          <w:tab w:val="num" w:pos="3630"/>
        </w:tabs>
        <w:ind w:left="3630" w:hanging="360"/>
      </w:pPr>
    </w:lvl>
    <w:lvl w:ilvl="8">
      <w:start w:val="1"/>
      <w:numFmt w:val="decimal"/>
      <w:lvlText w:val="%9."/>
      <w:lvlJc w:val="left"/>
      <w:pPr>
        <w:tabs>
          <w:tab w:val="num" w:pos="4350"/>
        </w:tabs>
        <w:ind w:left="4350" w:hanging="360"/>
      </w:pPr>
    </w:lvl>
  </w:abstractNum>
  <w:abstractNum w:abstractNumId="17">
    <w:nsid w:val="28B019FA"/>
    <w:multiLevelType w:val="hybridMultilevel"/>
    <w:tmpl w:val="CCAC74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C156E4"/>
    <w:multiLevelType w:val="hybridMultilevel"/>
    <w:tmpl w:val="28EE86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D91230"/>
    <w:multiLevelType w:val="hybridMultilevel"/>
    <w:tmpl w:val="738656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9F70901"/>
    <w:multiLevelType w:val="hybridMultilevel"/>
    <w:tmpl w:val="E0CEF6CC"/>
    <w:lvl w:ilvl="0">
      <w:start w:val="1"/>
      <w:numFmt w:val="decimal"/>
      <w:lvlText w:val="%1."/>
      <w:lvlJc w:val="left"/>
      <w:pPr>
        <w:ind w:left="360" w:hanging="360"/>
      </w:pPr>
      <w:rPr>
        <w:rFonts w:cs="Times New Roman"/>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1">
    <w:nsid w:val="3D1A5120"/>
    <w:multiLevelType w:val="hybridMultilevel"/>
    <w:tmpl w:val="87BA6B12"/>
    <w:lvl w:ilvl="0">
      <w:start w:val="1"/>
      <w:numFmt w:val="decimal"/>
      <w:lvlText w:val="%1."/>
      <w:lvlJc w:val="left"/>
      <w:pPr>
        <w:tabs>
          <w:tab w:val="num" w:pos="6598"/>
        </w:tabs>
        <w:ind w:left="1531" w:hanging="737"/>
      </w:pPr>
      <w:rPr>
        <w:rFonts w:hint="default"/>
        <w:b w:val="0"/>
      </w:rPr>
    </w:lvl>
    <w:lvl w:ilvl="1" w:tentative="1">
      <w:start w:val="1"/>
      <w:numFmt w:val="lowerLetter"/>
      <w:lvlText w:val="%2."/>
      <w:lvlJc w:val="left"/>
      <w:pPr>
        <w:tabs>
          <w:tab w:val="num" w:pos="7318"/>
        </w:tabs>
        <w:ind w:left="7318" w:hanging="360"/>
      </w:pPr>
    </w:lvl>
    <w:lvl w:ilvl="2" w:tentative="1">
      <w:start w:val="1"/>
      <w:numFmt w:val="lowerRoman"/>
      <w:lvlText w:val="%3."/>
      <w:lvlJc w:val="right"/>
      <w:pPr>
        <w:tabs>
          <w:tab w:val="num" w:pos="8038"/>
        </w:tabs>
        <w:ind w:left="8038" w:hanging="180"/>
      </w:pPr>
    </w:lvl>
    <w:lvl w:ilvl="3" w:tentative="1">
      <w:start w:val="1"/>
      <w:numFmt w:val="decimal"/>
      <w:lvlText w:val="%4."/>
      <w:lvlJc w:val="left"/>
      <w:pPr>
        <w:tabs>
          <w:tab w:val="num" w:pos="8758"/>
        </w:tabs>
        <w:ind w:left="8758" w:hanging="360"/>
      </w:pPr>
    </w:lvl>
    <w:lvl w:ilvl="4" w:tentative="1">
      <w:start w:val="1"/>
      <w:numFmt w:val="lowerLetter"/>
      <w:lvlText w:val="%5."/>
      <w:lvlJc w:val="left"/>
      <w:pPr>
        <w:tabs>
          <w:tab w:val="num" w:pos="9478"/>
        </w:tabs>
        <w:ind w:left="9478" w:hanging="360"/>
      </w:pPr>
    </w:lvl>
    <w:lvl w:ilvl="5" w:tentative="1">
      <w:start w:val="1"/>
      <w:numFmt w:val="lowerRoman"/>
      <w:lvlText w:val="%6."/>
      <w:lvlJc w:val="right"/>
      <w:pPr>
        <w:tabs>
          <w:tab w:val="num" w:pos="10198"/>
        </w:tabs>
        <w:ind w:left="10198" w:hanging="180"/>
      </w:pPr>
    </w:lvl>
    <w:lvl w:ilvl="6" w:tentative="1">
      <w:start w:val="1"/>
      <w:numFmt w:val="decimal"/>
      <w:lvlText w:val="%7."/>
      <w:lvlJc w:val="left"/>
      <w:pPr>
        <w:tabs>
          <w:tab w:val="num" w:pos="10918"/>
        </w:tabs>
        <w:ind w:left="10918" w:hanging="360"/>
      </w:pPr>
    </w:lvl>
    <w:lvl w:ilvl="7" w:tentative="1">
      <w:start w:val="1"/>
      <w:numFmt w:val="lowerLetter"/>
      <w:lvlText w:val="%8."/>
      <w:lvlJc w:val="left"/>
      <w:pPr>
        <w:tabs>
          <w:tab w:val="num" w:pos="11638"/>
        </w:tabs>
        <w:ind w:left="11638" w:hanging="360"/>
      </w:pPr>
    </w:lvl>
    <w:lvl w:ilvl="8" w:tentative="1">
      <w:start w:val="1"/>
      <w:numFmt w:val="lowerRoman"/>
      <w:lvlText w:val="%9."/>
      <w:lvlJc w:val="right"/>
      <w:pPr>
        <w:tabs>
          <w:tab w:val="num" w:pos="12358"/>
        </w:tabs>
        <w:ind w:left="12358" w:hanging="180"/>
      </w:pPr>
    </w:lvl>
  </w:abstractNum>
  <w:abstractNum w:abstractNumId="22">
    <w:nsid w:val="3ED94F03"/>
    <w:multiLevelType w:val="hybridMultilevel"/>
    <w:tmpl w:val="BFEEA1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1A2283D"/>
    <w:multiLevelType w:val="hybridMultilevel"/>
    <w:tmpl w:val="B07061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AB056F"/>
    <w:multiLevelType w:val="hybridMultilevel"/>
    <w:tmpl w:val="FB5EC890"/>
    <w:lvl w:ilvl="0">
      <w:start w:val="1"/>
      <w:numFmt w:val="decimal"/>
      <w:lvlText w:val="%1."/>
      <w:lvlJc w:val="left"/>
      <w:pPr>
        <w:ind w:left="720" w:hanging="360"/>
      </w:pPr>
      <w:rPr>
        <w:rFonts w:cs="Arial"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A0F5534"/>
    <w:multiLevelType w:val="hybridMultilevel"/>
    <w:tmpl w:val="B4188C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C7C0216"/>
    <w:multiLevelType w:val="hybridMultilevel"/>
    <w:tmpl w:val="740E9D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6997125"/>
    <w:multiLevelType w:val="hybridMultilevel"/>
    <w:tmpl w:val="DB2014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B0F1C8D"/>
    <w:multiLevelType w:val="hybridMultilevel"/>
    <w:tmpl w:val="3814A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9363AC"/>
    <w:multiLevelType w:val="hybridMultilevel"/>
    <w:tmpl w:val="2CDE8C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nsid w:val="5B9D68EE"/>
    <w:multiLevelType w:val="hybridMultilevel"/>
    <w:tmpl w:val="ED92BBD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C7713A6"/>
    <w:multiLevelType w:val="hybridMultilevel"/>
    <w:tmpl w:val="A43C2CB2"/>
    <w:lvl w:ilvl="0">
      <w:start w:val="1"/>
      <w:numFmt w:val="decimal"/>
      <w:lvlText w:val="%1."/>
      <w:lvlJc w:val="left"/>
      <w:pPr>
        <w:ind w:left="36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8811BC"/>
    <w:multiLevelType w:val="hybridMultilevel"/>
    <w:tmpl w:val="F62479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F7A1703"/>
    <w:multiLevelType w:val="hybridMultilevel"/>
    <w:tmpl w:val="5F1E7E0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4">
    <w:nsid w:val="627A224D"/>
    <w:multiLevelType w:val="hybridMultilevel"/>
    <w:tmpl w:val="B39E32A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4234EC3"/>
    <w:multiLevelType w:val="hybridMultilevel"/>
    <w:tmpl w:val="A1D294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nsid w:val="694E1FEA"/>
    <w:multiLevelType w:val="hybridMultilevel"/>
    <w:tmpl w:val="09F09ACC"/>
    <w:lvl w:ilvl="0">
      <w:start w:val="1"/>
      <w:numFmt w:val="decimal"/>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9C87000"/>
    <w:multiLevelType w:val="hybridMultilevel"/>
    <w:tmpl w:val="02908A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A325C22"/>
    <w:multiLevelType w:val="hybridMultilevel"/>
    <w:tmpl w:val="00369918"/>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AB856F7"/>
    <w:multiLevelType w:val="hybridMultilevel"/>
    <w:tmpl w:val="F530B9A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C1D7011"/>
    <w:multiLevelType w:val="hybridMultilevel"/>
    <w:tmpl w:val="DFDEEA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84B2C6F"/>
    <w:multiLevelType w:val="hybridMultilevel"/>
    <w:tmpl w:val="CB703D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9FA4B42"/>
    <w:multiLevelType w:val="hybridMultilevel"/>
    <w:tmpl w:val="FD5ECA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AF00D57"/>
    <w:multiLevelType w:val="hybridMultilevel"/>
    <w:tmpl w:val="3CC813EC"/>
    <w:lvl w:ilvl="0">
      <w:start w:val="1"/>
      <w:numFmt w:val="lowerLetter"/>
      <w:lvlText w:val="%1)"/>
      <w:lvlJc w:val="left"/>
      <w:pPr>
        <w:tabs>
          <w:tab w:val="num" w:pos="363"/>
        </w:tabs>
        <w:ind w:left="363" w:hanging="227"/>
      </w:pPr>
      <w:rPr>
        <w:rFonts w:ascii="Arial Narrow" w:hAnsi="Arial Narrow"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70"/>
        </w:tabs>
        <w:ind w:left="227" w:firstLine="113"/>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B7502A0"/>
    <w:multiLevelType w:val="hybridMultilevel"/>
    <w:tmpl w:val="E8AA571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CBA33DD"/>
    <w:multiLevelType w:val="hybridMultilevel"/>
    <w:tmpl w:val="8BCC9B2E"/>
    <w:lvl w:ilvl="0">
      <w:start w:val="1"/>
      <w:numFmt w:val="decimal"/>
      <w:lvlText w:val="%1."/>
      <w:lvlJc w:val="left"/>
      <w:pPr>
        <w:tabs>
          <w:tab w:val="num" w:pos="567"/>
        </w:tabs>
        <w:ind w:left="567" w:hanging="340"/>
      </w:pPr>
      <w:rPr>
        <w:rFonts w:hint="default"/>
        <w:b w:val="0"/>
      </w:rPr>
    </w:lvl>
    <w:lvl w:ilvl="1">
      <w:start w:val="1"/>
      <w:numFmt w:val="decimal"/>
      <w:lvlText w:val="%2."/>
      <w:lvlJc w:val="left"/>
      <w:pPr>
        <w:tabs>
          <w:tab w:val="num" w:pos="2160"/>
        </w:tabs>
        <w:ind w:left="2160" w:hanging="360"/>
      </w:pPr>
      <w:rPr>
        <w:rFonts w:hint="default"/>
        <w:b w:val="0"/>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7">
    <w:nsid w:val="7D0211D3"/>
    <w:multiLevelType w:val="hybridMultilevel"/>
    <w:tmpl w:val="13E6D1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7E4D23E1"/>
    <w:multiLevelType w:val="hybridMultilevel"/>
    <w:tmpl w:val="CA803CB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8"/>
  </w:num>
  <w:num w:numId="5">
    <w:abstractNumId w:val="37"/>
  </w:num>
  <w:num w:numId="6">
    <w:abstractNumId w:val="10"/>
  </w:num>
  <w:num w:numId="7">
    <w:abstractNumId w:val="22"/>
  </w:num>
  <w:num w:numId="8">
    <w:abstractNumId w:val="42"/>
  </w:num>
  <w:num w:numId="9">
    <w:abstractNumId w:val="43"/>
  </w:num>
  <w:num w:numId="10">
    <w:abstractNumId w:val="4"/>
  </w:num>
  <w:num w:numId="11">
    <w:abstractNumId w:val="27"/>
  </w:num>
  <w:num w:numId="12">
    <w:abstractNumId w:val="12"/>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45"/>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2"/>
  </w:num>
  <w:num w:numId="19">
    <w:abstractNumId w:val="14"/>
  </w:num>
  <w:num w:numId="20">
    <w:abstractNumId w:val="35"/>
  </w:num>
  <w:num w:numId="21">
    <w:abstractNumId w:val="11"/>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num>
  <w:num w:numId="24">
    <w:abstractNumId w:val="30"/>
  </w:num>
  <w:num w:numId="25">
    <w:abstractNumId w:val="46"/>
  </w:num>
  <w:num w:numId="26">
    <w:abstractNumId w:val="29"/>
  </w:num>
  <w:num w:numId="27">
    <w:abstractNumId w:val="26"/>
  </w:num>
  <w:num w:numId="28">
    <w:abstractNumId w:val="13"/>
  </w:num>
  <w:num w:numId="29">
    <w:abstractNumId w:val="6"/>
  </w:num>
  <w:num w:numId="30">
    <w:abstractNumId w:val="41"/>
  </w:num>
  <w:num w:numId="31">
    <w:abstractNumId w:val="20"/>
  </w:num>
  <w:num w:numId="32">
    <w:abstractNumId w:val="28"/>
  </w:num>
  <w:num w:numId="33">
    <w:abstractNumId w:val="21"/>
  </w:num>
  <w:num w:numId="34">
    <w:abstractNumId w:val="17"/>
  </w:num>
  <w:num w:numId="35">
    <w:abstractNumId w:val="24"/>
  </w:num>
  <w:num w:numId="36">
    <w:abstractNumId w:val="9"/>
  </w:num>
  <w:num w:numId="37">
    <w:abstractNumId w:val="25"/>
  </w:num>
  <w:num w:numId="38">
    <w:abstractNumId w:val="0"/>
  </w:num>
  <w:num w:numId="39">
    <w:abstractNumId w:val="33"/>
  </w:num>
  <w:num w:numId="40">
    <w:abstractNumId w:val="31"/>
  </w:num>
  <w:num w:numId="41">
    <w:abstractNumId w:val="40"/>
  </w:num>
  <w:num w:numId="42">
    <w:abstractNumId w:val="38"/>
  </w:num>
  <w:num w:numId="43">
    <w:abstractNumId w:val="5"/>
  </w:num>
  <w:num w:numId="44">
    <w:abstractNumId w:val="48"/>
  </w:num>
  <w:num w:numId="45">
    <w:abstractNumId w:val="15"/>
  </w:num>
  <w:num w:numId="46">
    <w:abstractNumId w:val="18"/>
  </w:num>
  <w:num w:numId="47">
    <w:abstractNumId w:val="36"/>
  </w:num>
  <w:num w:numId="48">
    <w:abstractNumId w:val="3"/>
  </w:num>
  <w:num w:numId="49">
    <w:abstractNumId w:val="2"/>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Cs/>
      <w:sz w:val="24"/>
      <w:szCs w:val="24"/>
      <w:lang w:val="sk-SK" w:eastAsia="sk-SK" w:bidi="ar-SA"/>
    </w:rPr>
  </w:style>
  <w:style w:type="paragraph" w:styleId="Heading1">
    <w:name w:val="heading 1"/>
    <w:basedOn w:val="Normal"/>
    <w:next w:val="Normal"/>
    <w:link w:val="Nadpis1Char"/>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link w:val="Nadpis4Char"/>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link w:val="Zarkazkladnhotextu3Char"/>
    <w:pPr>
      <w:ind w:left="1065"/>
      <w:jc w:val="both"/>
    </w:pPr>
    <w:rPr>
      <w:bCs w:val="0"/>
      <w:szCs w:val="20"/>
      <w:lang w:val="cs-CZ"/>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uiPriority w:val="99"/>
    <w:qFormat/>
    <w:rsid w:val="00092341"/>
    <w:rPr>
      <w:i/>
      <w:iCs/>
    </w:rPr>
  </w:style>
  <w:style w:type="paragraph" w:styleId="ListParagraph">
    <w:name w:val="List Paragraph"/>
    <w:basedOn w:val="Normal"/>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0">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 w:type="character" w:customStyle="1" w:styleId="Textzstupnhosymbolu1">
    <w:name w:val="Text zástupného symbolu1"/>
    <w:uiPriority w:val="99"/>
    <w:semiHidden/>
    <w:rsid w:val="00380A1C"/>
    <w:rPr>
      <w:rFonts w:ascii="Times New Roman" w:hAnsi="Times New Roman" w:cs="Times New Roman"/>
      <w:color w:val="808080"/>
    </w:rPr>
  </w:style>
  <w:style w:type="character" w:customStyle="1" w:styleId="Zarkazkladnhotextu3Char">
    <w:name w:val="Zarážka základného textu 3 Char"/>
    <w:link w:val="BodyTextIndent3"/>
    <w:rsid w:val="005919F9"/>
    <w:rPr>
      <w:sz w:val="24"/>
      <w:lang w:val="cs-CZ"/>
    </w:rPr>
  </w:style>
  <w:style w:type="paragraph" w:customStyle="1" w:styleId="Farebnzoznamzvraznenie11">
    <w:name w:val="Farebný zoznam – zvýraznenie 11"/>
    <w:basedOn w:val="Normal"/>
    <w:uiPriority w:val="34"/>
    <w:qFormat/>
    <w:rsid w:val="002B337A"/>
    <w:pPr>
      <w:spacing w:after="200" w:line="276" w:lineRule="auto"/>
      <w:ind w:left="720"/>
      <w:contextualSpacing/>
    </w:pPr>
    <w:rPr>
      <w:rFonts w:ascii="Calibri" w:hAnsi="Calibri"/>
      <w:bCs w:val="0"/>
      <w:sz w:val="22"/>
      <w:szCs w:val="22"/>
      <w:lang w:eastAsia="en-US"/>
    </w:rPr>
  </w:style>
  <w:style w:type="character" w:customStyle="1" w:styleId="Nadpis1Char">
    <w:name w:val="Nadpis 1 Char"/>
    <w:link w:val="Heading1"/>
    <w:rsid w:val="00BC169A"/>
    <w:rPr>
      <w:rFonts w:eastAsia="Arial Unicode MS"/>
      <w:b/>
      <w:bCs/>
      <w:sz w:val="24"/>
      <w:szCs w:val="24"/>
    </w:rPr>
  </w:style>
  <w:style w:type="character" w:customStyle="1" w:styleId="Nadpis4Char">
    <w:name w:val="Nadpis 4 Char"/>
    <w:link w:val="Heading4"/>
    <w:rsid w:val="00BC169A"/>
    <w:rPr>
      <w:rFonts w:eastAsia="Arial Unicode MS"/>
      <w:b/>
      <w:sz w:val="24"/>
    </w:rPr>
  </w:style>
  <w:style w:type="paragraph" w:styleId="NoSpacing">
    <w:name w:val="No Spacing"/>
    <w:uiPriority w:val="1"/>
    <w:qFormat/>
    <w:rsid w:val="00D3196B"/>
    <w:rPr>
      <w:rFonts w:ascii="Calibri" w:hAnsi="Calibri"/>
      <w:sz w:val="22"/>
      <w:szCs w:val="22"/>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88F54-F8C4-463D-8FF7-705664310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1479</Words>
  <Characters>8436</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Ďurinová, Petra</cp:lastModifiedBy>
  <cp:revision>4</cp:revision>
  <cp:lastPrinted>2016-10-04T11:58:00Z</cp:lastPrinted>
  <dcterms:created xsi:type="dcterms:W3CDTF">2019-09-09T06:09:00Z</dcterms:created>
  <dcterms:modified xsi:type="dcterms:W3CDTF">2019-09-09T10:14:00Z</dcterms:modified>
</cp:coreProperties>
</file>