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B1546F">
        <w:t>7</w:t>
      </w:r>
      <w:r w:rsidR="00652CCE">
        <w:t>3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B13AF">
        <w:t>1287</w:t>
      </w:r>
      <w:r w:rsidRPr="00053FB9" w:rsidR="003371B9">
        <w:t>/</w:t>
      </w:r>
      <w:r w:rsidR="00053FB9">
        <w:t>201</w:t>
      </w:r>
      <w:r w:rsidR="00B1546F">
        <w:t>9</w:t>
      </w:r>
    </w:p>
    <w:p w:rsidR="0004001B" w:rsidP="00067F0B">
      <w:pPr>
        <w:ind w:left="3540" w:firstLine="708"/>
        <w:rPr>
          <w:b/>
        </w:rPr>
      </w:pPr>
    </w:p>
    <w:p w:rsidR="00652CCE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</w:p>
    <w:p w:rsidR="00B1546F" w:rsidP="00652CCE">
      <w:pPr>
        <w:ind w:left="3540" w:firstLine="708"/>
        <w:rPr>
          <w:b/>
        </w:rPr>
      </w:pPr>
    </w:p>
    <w:p w:rsidR="006B13AF" w:rsidP="00652CCE">
      <w:pPr>
        <w:ind w:left="3540" w:firstLine="708"/>
        <w:rPr>
          <w:b/>
        </w:rPr>
      </w:pPr>
      <w:r w:rsidR="00F35549">
        <w:rPr>
          <w:b/>
        </w:rPr>
        <w:t xml:space="preserve">         464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B1546F">
        <w:rPr>
          <w:b/>
        </w:rPr>
        <w:t xml:space="preserve"> 5</w:t>
      </w:r>
      <w:r w:rsidR="00C72FBD">
        <w:rPr>
          <w:b/>
        </w:rPr>
        <w:t xml:space="preserve">. </w:t>
      </w:r>
      <w:r w:rsidR="00652CCE">
        <w:rPr>
          <w:b/>
        </w:rPr>
        <w:t>septembra</w:t>
      </w:r>
      <w:r w:rsidR="00830899">
        <w:rPr>
          <w:b/>
        </w:rPr>
        <w:t xml:space="preserve"> 201</w:t>
      </w:r>
      <w:r w:rsidR="00B1546F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EB1137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6B13AF" w:rsidR="006B13AF">
        <w:rPr>
          <w:color w:val="000000"/>
        </w:rPr>
        <w:t xml:space="preserve"> </w:t>
      </w:r>
      <w:r w:rsidR="006B13AF">
        <w:rPr>
          <w:color w:val="000000"/>
        </w:rPr>
        <w:t>v</w:t>
      </w:r>
      <w:r w:rsidRPr="00120A26" w:rsidR="006B13AF">
        <w:rPr>
          <w:color w:val="000000"/>
        </w:rPr>
        <w:t xml:space="preserve">ládny návrh zákona, ktorým sa mení a dopĺňa zákon č. 442/2012 Z. z. </w:t>
      </w:r>
      <w:r w:rsidRPr="00120A26" w:rsidR="006B13AF">
        <w:rPr>
          <w:b/>
          <w:color w:val="000000"/>
        </w:rPr>
        <w:t>o medzinárodnej pomoci a spolupráci pri správe daní</w:t>
      </w:r>
      <w:r w:rsidRPr="00120A26" w:rsidR="006B13AF">
        <w:rPr>
          <w:color w:val="000000"/>
        </w:rPr>
        <w:t xml:space="preserve"> v znení neskorších</w:t>
      </w:r>
      <w:r w:rsidRPr="00120A26" w:rsidR="006B13AF">
        <w:rPr>
          <w:color w:val="000000"/>
        </w:rPr>
        <w:t xml:space="preserve"> predpisov a ktorým sa menia a dopĺňajú niektoré zákony </w:t>
      </w:r>
      <w:r w:rsidRPr="00120A26" w:rsidR="006B13AF">
        <w:rPr>
          <w:b/>
          <w:color w:val="000000"/>
        </w:rPr>
        <w:t>(tlač 1512)</w:t>
      </w:r>
      <w:r w:rsidR="006B13AF">
        <w:rPr>
          <w:b/>
          <w:color w:val="00000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  <w:r w:rsidR="00B1546F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EB1137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6B13AF">
        <w:rPr>
          <w:color w:val="000000"/>
        </w:rPr>
        <w:t>v</w:t>
      </w:r>
      <w:r w:rsidRPr="00120A26" w:rsidR="006B13AF">
        <w:rPr>
          <w:color w:val="000000"/>
        </w:rPr>
        <w:t>ládny</w:t>
      </w:r>
      <w:r w:rsidR="006B13AF">
        <w:rPr>
          <w:color w:val="000000"/>
        </w:rPr>
        <w:t>m</w:t>
      </w:r>
      <w:r w:rsidRPr="00120A26" w:rsidR="006B13AF">
        <w:rPr>
          <w:color w:val="000000"/>
        </w:rPr>
        <w:t xml:space="preserve"> návrh</w:t>
      </w:r>
      <w:r w:rsidR="006B13AF">
        <w:rPr>
          <w:color w:val="000000"/>
        </w:rPr>
        <w:t>om</w:t>
      </w:r>
      <w:r w:rsidRPr="00120A26" w:rsidR="006B13AF">
        <w:rPr>
          <w:color w:val="000000"/>
        </w:rPr>
        <w:t xml:space="preserve"> zákona, ktorým sa mení a dopĺňa zákon č. 442/2012 Z. z. </w:t>
      </w:r>
      <w:r w:rsidRPr="00120A26" w:rsidR="006B13AF">
        <w:rPr>
          <w:b/>
          <w:color w:val="000000"/>
        </w:rPr>
        <w:t>o medzinárodnej pomoci a spolupráci pri správe daní</w:t>
      </w:r>
      <w:r w:rsidRPr="00120A26" w:rsidR="006B13AF">
        <w:rPr>
          <w:color w:val="000000"/>
        </w:rPr>
        <w:t xml:space="preserve"> v znení neskorších predpisov a ktorým sa menia a dopĺňajú niektoré zákony </w:t>
      </w:r>
      <w:r w:rsidRPr="00120A26" w:rsidR="006B13AF">
        <w:rPr>
          <w:b/>
          <w:color w:val="000000"/>
        </w:rPr>
        <w:t>(tlač 1512)</w:t>
      </w:r>
    </w:p>
    <w:p w:rsidR="008F04DB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EB113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EB1137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BC169A" w:rsidRPr="00E20A99" w:rsidP="00BC169A">
      <w:pPr>
        <w:pStyle w:val="Heading1"/>
        <w:ind w:left="0" w:firstLine="567"/>
        <w:jc w:val="both"/>
      </w:pPr>
      <w:r w:rsidRPr="006B13AF" w:rsidR="006B13AF">
        <w:rPr>
          <w:b w:val="0"/>
          <w:color w:val="000000"/>
        </w:rPr>
        <w:t xml:space="preserve">vládny návrh zákona, ktorým sa mení a dopĺňa zákon č. 442/2012 Z. z. </w:t>
      </w:r>
      <w:r w:rsidRPr="006B13AF" w:rsidR="006B13AF">
        <w:rPr>
          <w:color w:val="000000"/>
        </w:rPr>
        <w:t>o medzinárodnej pomoci a spolupráci pri správe daní</w:t>
      </w:r>
      <w:r w:rsidRPr="006B13AF" w:rsidR="006B13AF">
        <w:rPr>
          <w:b w:val="0"/>
          <w:color w:val="000000"/>
        </w:rPr>
        <w:t xml:space="preserve"> v znení neskorších predpisov a ktorým sa menia a dopĺňajú niektoré zákony</w:t>
      </w:r>
      <w:r w:rsidRPr="00120A26" w:rsidR="006B13AF">
        <w:rPr>
          <w:color w:val="000000"/>
        </w:rPr>
        <w:t xml:space="preserve"> </w:t>
      </w:r>
      <w:r w:rsidRPr="006B13AF" w:rsidR="006B13AF">
        <w:rPr>
          <w:color w:val="000000"/>
        </w:rPr>
        <w:t>(tlač 1512)</w:t>
      </w:r>
      <w:r w:rsidR="006B13AF">
        <w:rPr>
          <w:b w:val="0"/>
          <w:color w:val="000000"/>
        </w:rPr>
        <w:t xml:space="preserve"> </w:t>
      </w:r>
      <w:r>
        <w:t>schváliť s pozmeňujúc</w:t>
      </w:r>
      <w:r w:rsidR="00BD5870">
        <w:t>im</w:t>
      </w:r>
      <w:r w:rsidR="00B1546F">
        <w:t>i</w:t>
      </w:r>
      <w:r w:rsidR="00BD5870">
        <w:t xml:space="preserve"> a doplňujúcim</w:t>
      </w:r>
      <w:r w:rsidR="00B1546F">
        <w:t>i návrh</w:t>
      </w:r>
      <w:r w:rsidR="00BD5870">
        <w:t>m</w:t>
      </w:r>
      <w:r w:rsidR="00B1546F">
        <w:t>i</w:t>
      </w:r>
      <w:r>
        <w:t xml:space="preserve"> tak, </w:t>
      </w:r>
      <w:r w:rsidRPr="00E20A99">
        <w:t xml:space="preserve">ako </w:t>
      </w:r>
      <w:r w:rsidR="00B1546F">
        <w:t>sú</w:t>
      </w:r>
      <w:r w:rsidR="00BD5870">
        <w:t xml:space="preserve"> uveden</w:t>
      </w:r>
      <w:r w:rsidR="00B1546F">
        <w:t>é</w:t>
      </w:r>
      <w:r>
        <w:t xml:space="preserve"> </w:t>
      </w:r>
      <w:r w:rsidRPr="00E20A99">
        <w:t>v prílohe tohto uznesenia</w:t>
      </w:r>
      <w:r>
        <w:t>;</w:t>
      </w:r>
    </w:p>
    <w:p w:rsidR="00EC5F3F" w:rsidRPr="00E20A99" w:rsidP="00F92F1D">
      <w:pPr>
        <w:pStyle w:val="Heading1"/>
        <w:ind w:left="0" w:firstLine="360"/>
        <w:jc w:val="both"/>
      </w:pPr>
    </w:p>
    <w:p w:rsidR="00E13467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A7635D" w:rsidP="00A7635D">
      <w:pPr>
        <w:ind w:firstLine="567"/>
        <w:jc w:val="both"/>
      </w:pPr>
      <w:r w:rsidRPr="00B1559A">
        <w:t>informovať predsedu Národnej</w:t>
      </w:r>
      <w:r>
        <w:t xml:space="preserve"> </w:t>
      </w:r>
      <w:r w:rsidRPr="00B1559A">
        <w:t>rady Slovenskej republiky o výsledku prerokovania uvedené</w:t>
      </w:r>
      <w:r w:rsidRPr="00B1559A">
        <w:t>ho</w:t>
      </w:r>
      <w:r>
        <w:t xml:space="preserve"> </w:t>
      </w:r>
      <w:r w:rsidR="006B13AF">
        <w:t xml:space="preserve">vládneho </w:t>
      </w:r>
      <w:r w:rsidRPr="00B1559A">
        <w:t>návrhu vo výbore</w:t>
      </w:r>
      <w: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52115B">
      <w:pPr>
        <w:ind w:left="5664" w:firstLine="708"/>
        <w:rPr>
          <w:b/>
          <w:bCs w:val="0"/>
        </w:rPr>
      </w:pPr>
    </w:p>
    <w:p w:rsidR="001B749C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</w:t>
      </w:r>
      <w:r w:rsidR="00B1546F">
        <w:rPr>
          <w:b/>
          <w:bCs w:val="0"/>
        </w:rPr>
        <w:t xml:space="preserve">    </w:t>
      </w:r>
      <w:r>
        <w:rPr>
          <w:b/>
          <w:bCs w:val="0"/>
        </w:rPr>
        <w:t xml:space="preserve"> </w:t>
      </w:r>
      <w:r w:rsidR="00B1546F">
        <w:rPr>
          <w:b/>
          <w:bCs w:val="0"/>
        </w:rPr>
        <w:t>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B1546F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BC169A" w:rsidP="00D96ABB">
      <w:pPr>
        <w:jc w:val="both"/>
        <w:rPr>
          <w:bCs w:val="0"/>
        </w:rPr>
      </w:pPr>
    </w:p>
    <w:p w:rsidR="00BC169A" w:rsidP="00D96ABB">
      <w:pPr>
        <w:jc w:val="both"/>
        <w:rPr>
          <w:bCs w:val="0"/>
        </w:rPr>
      </w:pPr>
    </w:p>
    <w:p w:rsidR="00BC169A" w:rsidP="00D96ABB">
      <w:pPr>
        <w:jc w:val="both"/>
        <w:rPr>
          <w:bCs w:val="0"/>
        </w:rPr>
      </w:pPr>
    </w:p>
    <w:p w:rsidR="00BC169A" w:rsidP="00BC169A"/>
    <w:p w:rsidR="00BC169A" w:rsidP="00BC169A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BC169A" w:rsidP="00BC169A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BC169A" w:rsidP="00BC169A">
      <w:pPr>
        <w:jc w:val="right"/>
        <w:rPr>
          <w:sz w:val="28"/>
        </w:rPr>
      </w:pPr>
      <w:r>
        <w:rPr>
          <w:sz w:val="28"/>
        </w:rPr>
        <w:t xml:space="preserve">                          </w:t>
      </w:r>
    </w:p>
    <w:p w:rsidR="00BC169A" w:rsidP="00BC169A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>
        <w:rPr>
          <w:b/>
        </w:rPr>
        <w:t xml:space="preserve"> </w:t>
      </w:r>
      <w:r w:rsidR="00F35549">
        <w:rPr>
          <w:b/>
        </w:rPr>
        <w:t>464</w:t>
      </w:r>
    </w:p>
    <w:p w:rsidR="00BC169A" w:rsidRPr="003371B9" w:rsidP="00BC169A">
      <w:pPr>
        <w:jc w:val="right"/>
      </w:pPr>
      <w:r w:rsidR="00B1546F">
        <w:rPr>
          <w:bCs w:val="0"/>
        </w:rPr>
        <w:t>7</w:t>
      </w:r>
      <w:r>
        <w:rPr>
          <w:bCs w:val="0"/>
        </w:rPr>
        <w:t>3</w:t>
      </w:r>
      <w:r w:rsidRPr="003371B9">
        <w:rPr>
          <w:bCs w:val="0"/>
        </w:rPr>
        <w:t xml:space="preserve">. </w:t>
      </w:r>
      <w:r w:rsidRPr="003371B9">
        <w:t>schôdza</w:t>
      </w:r>
    </w:p>
    <w:p w:rsidR="00BC169A" w:rsidP="00BC169A">
      <w:pPr>
        <w:jc w:val="center"/>
        <w:rPr>
          <w:b/>
        </w:rPr>
      </w:pPr>
    </w:p>
    <w:p w:rsidR="00BC169A" w:rsidP="00BC169A">
      <w:pPr>
        <w:jc w:val="center"/>
        <w:rPr>
          <w:b/>
        </w:rPr>
      </w:pPr>
    </w:p>
    <w:p w:rsidR="00B176B3" w:rsidP="00BC169A">
      <w:pPr>
        <w:jc w:val="center"/>
        <w:rPr>
          <w:b/>
        </w:rPr>
      </w:pPr>
    </w:p>
    <w:p w:rsidR="00BC169A" w:rsidRPr="00067F0B" w:rsidP="00BC169A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B1546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>a doplňujúc</w:t>
      </w:r>
      <w:r w:rsidR="00B1546F">
        <w:rPr>
          <w:b/>
          <w:bCs w:val="0"/>
        </w:rPr>
        <w:t>e</w:t>
      </w:r>
      <w:r w:rsidR="00BD5870">
        <w:rPr>
          <w:b/>
          <w:bCs w:val="0"/>
        </w:rPr>
        <w:t xml:space="preserve"> návrh</w:t>
      </w:r>
      <w:r w:rsidR="00B1546F">
        <w:rPr>
          <w:b/>
          <w:bCs w:val="0"/>
        </w:rPr>
        <w:t>y</w:t>
      </w:r>
    </w:p>
    <w:p w:rsidR="006B13AF" w:rsidRPr="006B13AF" w:rsidP="00EB1137">
      <w:pPr>
        <w:pStyle w:val="Heading1"/>
        <w:ind w:left="360"/>
        <w:jc w:val="center"/>
        <w:rPr>
          <w:color w:val="000000"/>
        </w:rPr>
      </w:pPr>
      <w:r w:rsidR="00BC169A">
        <w:t>k </w:t>
      </w:r>
      <w:r w:rsidRPr="005458EF" w:rsidR="00BC169A">
        <w:t xml:space="preserve"> </w:t>
      </w:r>
      <w:r w:rsidRPr="006B13AF">
        <w:rPr>
          <w:color w:val="000000"/>
        </w:rPr>
        <w:t xml:space="preserve">vládnemu návrhu zákona, ktorým sa mení a dopĺňa zákon č. 442/2012 Z. z. o medzinárodnej pomoci a spolupráci pri správe daní v znení neskorších predpisov a ktorým sa menia a dopĺňajú niektoré zákony (tlač 1512) </w:t>
      </w:r>
    </w:p>
    <w:p w:rsidR="001B749C" w:rsidP="00EB1137">
      <w:pPr>
        <w:pStyle w:val="Heading1"/>
        <w:ind w:left="360"/>
        <w:jc w:val="center"/>
        <w:rPr>
          <w:b w:val="0"/>
          <w:bCs w:val="0"/>
        </w:rPr>
      </w:pPr>
      <w:r w:rsidR="00BC169A">
        <w:rPr>
          <w:b w:val="0"/>
          <w:bCs w:val="0"/>
        </w:rPr>
        <w:t>–––––––––––––––––––––––––––––––––––––––––––––––</w:t>
      </w:r>
      <w:r w:rsidR="00EB1137">
        <w:rPr>
          <w:b w:val="0"/>
          <w:bCs w:val="0"/>
        </w:rPr>
        <w:t xml:space="preserve">–––––––––––––––––––––––––––– </w:t>
      </w:r>
    </w:p>
    <w:p w:rsidR="00F35549" w:rsidRPr="005063AD" w:rsidP="00F35549">
      <w:pPr>
        <w:numPr>
          <w:ilvl w:val="0"/>
          <w:numId w:val="48"/>
        </w:numPr>
        <w:contextualSpacing/>
        <w:jc w:val="both"/>
      </w:pPr>
      <w:r w:rsidRPr="00F35549">
        <w:rPr>
          <w:b/>
        </w:rPr>
        <w:t>V čl. I 10. bod</w:t>
      </w:r>
      <w:r w:rsidRPr="005063AD">
        <w:t xml:space="preserve"> </w:t>
      </w:r>
      <w:r>
        <w:t xml:space="preserve">Prílohe č. 1a II. Kategórie charakteristických znakov Časť A ods. 4 </w:t>
      </w:r>
      <w:r w:rsidRPr="005063AD">
        <w:t>sa</w:t>
      </w:r>
      <w:r>
        <w:t xml:space="preserve"> </w:t>
      </w:r>
      <w:r w:rsidRPr="005063AD">
        <w:t>slová „</w:t>
      </w:r>
      <w:r>
        <w:t>tejto časti</w:t>
      </w:r>
      <w:r w:rsidRPr="005063AD">
        <w:t>“</w:t>
      </w:r>
      <w:r>
        <w:t xml:space="preserve"> nahrádzajú slovami „odsekov 1 až 3“</w:t>
      </w:r>
      <w:r w:rsidRPr="005063AD">
        <w:t>.</w:t>
      </w:r>
    </w:p>
    <w:p w:rsidR="00F35549" w:rsidP="00F35549">
      <w:pPr>
        <w:ind w:left="4247"/>
        <w:contextualSpacing/>
        <w:jc w:val="both"/>
      </w:pPr>
    </w:p>
    <w:p w:rsidR="00F35549" w:rsidP="00F35549">
      <w:pPr>
        <w:ind w:left="4247"/>
        <w:contextualSpacing/>
        <w:jc w:val="both"/>
      </w:pPr>
      <w:r w:rsidRPr="0081781F">
        <w:t xml:space="preserve">Ide o legislatívno-technickú úpravu, ktorou sa </w:t>
      </w:r>
      <w:r>
        <w:t>precizuje navrhované ustanovenie</w:t>
      </w:r>
      <w:r w:rsidRPr="0081781F">
        <w:t>.</w:t>
      </w:r>
    </w:p>
    <w:p w:rsidR="00F35549" w:rsidP="00F35549">
      <w:pPr>
        <w:ind w:left="4247"/>
        <w:contextualSpacing/>
        <w:jc w:val="both"/>
      </w:pPr>
    </w:p>
    <w:p w:rsidR="00F35549" w:rsidP="00F35549">
      <w:pPr>
        <w:ind w:left="4247"/>
        <w:contextualSpacing/>
        <w:jc w:val="both"/>
      </w:pPr>
    </w:p>
    <w:p w:rsidR="00F35549" w:rsidRPr="005063AD" w:rsidP="00F35549">
      <w:pPr>
        <w:numPr>
          <w:ilvl w:val="0"/>
          <w:numId w:val="48"/>
        </w:numPr>
        <w:contextualSpacing/>
        <w:jc w:val="both"/>
      </w:pPr>
      <w:r w:rsidRPr="00F35549">
        <w:rPr>
          <w:b/>
        </w:rPr>
        <w:t>V čl. I 10. bod</w:t>
      </w:r>
      <w:r w:rsidRPr="005063AD">
        <w:t xml:space="preserve"> </w:t>
      </w:r>
      <w:r>
        <w:t xml:space="preserve">Prílohe č. 1a II. Kategórie charakteristických znakov Časť B ods. 4 </w:t>
      </w:r>
      <w:r w:rsidRPr="005063AD">
        <w:t xml:space="preserve"> sa</w:t>
      </w:r>
      <w:r>
        <w:t xml:space="preserve"> </w:t>
      </w:r>
      <w:r w:rsidRPr="005063AD">
        <w:t>slová „</w:t>
      </w:r>
      <w:r>
        <w:t>tejto časti</w:t>
      </w:r>
      <w:r w:rsidRPr="005063AD">
        <w:t>“</w:t>
      </w:r>
      <w:r>
        <w:t xml:space="preserve"> nahrádzajú slovami „odsekov 1 až 3“</w:t>
      </w:r>
      <w:r w:rsidRPr="005063AD">
        <w:t>.</w:t>
      </w:r>
    </w:p>
    <w:p w:rsidR="00F35549" w:rsidP="00F35549">
      <w:pPr>
        <w:ind w:left="4247"/>
        <w:contextualSpacing/>
        <w:jc w:val="both"/>
      </w:pPr>
    </w:p>
    <w:p w:rsidR="00F35549" w:rsidP="00F35549">
      <w:pPr>
        <w:ind w:left="4247"/>
        <w:contextualSpacing/>
        <w:jc w:val="both"/>
      </w:pPr>
      <w:r w:rsidRPr="0081781F">
        <w:t xml:space="preserve">Ide o legislatívno-technickú úpravu, ktorou sa </w:t>
      </w:r>
      <w:r>
        <w:t>precizuje navrhované ustanovenie</w:t>
      </w:r>
      <w:r w:rsidRPr="0081781F">
        <w:t>.</w:t>
      </w:r>
    </w:p>
    <w:p w:rsidR="00F35549" w:rsidP="00F35549">
      <w:pPr>
        <w:ind w:left="4247"/>
        <w:contextualSpacing/>
        <w:jc w:val="both"/>
      </w:pPr>
    </w:p>
    <w:p w:rsidR="00F35549" w:rsidP="00F35549">
      <w:pPr>
        <w:ind w:left="4247"/>
        <w:contextualSpacing/>
        <w:jc w:val="both"/>
      </w:pPr>
    </w:p>
    <w:p w:rsidR="00F35549" w:rsidRPr="005063AD" w:rsidP="00F35549">
      <w:pPr>
        <w:numPr>
          <w:ilvl w:val="0"/>
          <w:numId w:val="48"/>
        </w:numPr>
        <w:contextualSpacing/>
        <w:jc w:val="both"/>
      </w:pPr>
      <w:r w:rsidRPr="00F35549">
        <w:rPr>
          <w:b/>
        </w:rPr>
        <w:t>V čl. I 10. bod</w:t>
      </w:r>
      <w:r w:rsidRPr="005063AD">
        <w:t xml:space="preserve"> </w:t>
      </w:r>
      <w:r>
        <w:t xml:space="preserve">Prílohe č. 1a II. Kategórie charakteristických znakov Časť C ods. 5 </w:t>
      </w:r>
      <w:r w:rsidRPr="005063AD">
        <w:t xml:space="preserve"> sa</w:t>
      </w:r>
      <w:r>
        <w:t xml:space="preserve"> </w:t>
      </w:r>
      <w:r w:rsidRPr="005063AD">
        <w:t>slová „</w:t>
      </w:r>
      <w:r>
        <w:t>tejto časti</w:t>
      </w:r>
      <w:r w:rsidRPr="005063AD">
        <w:t>“</w:t>
      </w:r>
      <w:r>
        <w:t xml:space="preserve"> vypúšťajú</w:t>
      </w:r>
      <w:r w:rsidRPr="005063AD">
        <w:t>.</w:t>
      </w:r>
    </w:p>
    <w:p w:rsidR="00F35549" w:rsidP="00F35549">
      <w:pPr>
        <w:ind w:left="4247"/>
        <w:contextualSpacing/>
        <w:jc w:val="both"/>
      </w:pPr>
    </w:p>
    <w:p w:rsidR="00F35549" w:rsidP="00F35549">
      <w:pPr>
        <w:ind w:left="4247"/>
        <w:contextualSpacing/>
        <w:jc w:val="both"/>
      </w:pPr>
      <w:r w:rsidRPr="0081781F">
        <w:t xml:space="preserve">Ide o legislatívno-technickú úpravu, ktorou sa </w:t>
      </w:r>
      <w:r>
        <w:t>vypúšťajú slová „tejto časti“ z dôvodu ich nadbytočnosti</w:t>
      </w:r>
      <w:r w:rsidRPr="0081781F">
        <w:t>.</w:t>
      </w:r>
    </w:p>
    <w:p w:rsidR="00F35549" w:rsidP="00F35549">
      <w:pPr>
        <w:ind w:left="4247"/>
        <w:contextualSpacing/>
        <w:jc w:val="both"/>
      </w:pPr>
    </w:p>
    <w:p w:rsidR="00F35549" w:rsidP="00F35549">
      <w:pPr>
        <w:ind w:left="4247"/>
        <w:contextualSpacing/>
        <w:jc w:val="both"/>
      </w:pPr>
    </w:p>
    <w:p w:rsidR="00F35549" w:rsidRPr="00612954" w:rsidP="00F35549">
      <w:pPr>
        <w:numPr>
          <w:ilvl w:val="0"/>
          <w:numId w:val="48"/>
        </w:numPr>
        <w:contextualSpacing/>
        <w:jc w:val="both"/>
      </w:pPr>
      <w:r w:rsidRPr="00F35549">
        <w:rPr>
          <w:rFonts w:eastAsia="Calibri"/>
          <w:b/>
        </w:rPr>
        <w:t>V čl. I 10. bod</w:t>
      </w:r>
      <w:r w:rsidRPr="00612954">
        <w:rPr>
          <w:rFonts w:eastAsia="Calibri"/>
        </w:rPr>
        <w:t xml:space="preserve"> </w:t>
      </w:r>
      <w:r>
        <w:t xml:space="preserve">Prílohe č. 1a </w:t>
      </w:r>
      <w:r w:rsidRPr="00612954">
        <w:rPr>
          <w:rFonts w:eastAsia="Calibri"/>
        </w:rPr>
        <w:t>v poznámke pod čiarou k odkazu 24 sa slovo „oznámenie“ nahrádza slovami „Oznámenie Ministerstva zahraničných vecí a európskych záležitostí Slovenskej republiky“</w:t>
      </w:r>
      <w:r>
        <w:rPr>
          <w:rFonts w:eastAsia="Calibri"/>
        </w:rPr>
        <w:t>.</w:t>
      </w:r>
    </w:p>
    <w:p w:rsidR="00F35549" w:rsidRPr="00BD6F7C" w:rsidP="00F35549">
      <w:pPr>
        <w:jc w:val="both"/>
        <w:rPr>
          <w:rFonts w:eastAsia="Calibri"/>
          <w:sz w:val="20"/>
        </w:rPr>
      </w:pPr>
      <w:r>
        <w:rPr>
          <w:rFonts w:eastAsia="Calibri"/>
        </w:rPr>
        <w:tab/>
        <w:tab/>
        <w:tab/>
        <w:tab/>
        <w:tab/>
      </w:r>
    </w:p>
    <w:p w:rsidR="00F35549" w:rsidRPr="00BB573F" w:rsidP="00F35549">
      <w:pPr>
        <w:jc w:val="both"/>
        <w:rPr>
          <w:rFonts w:eastAsia="Calibri"/>
          <w:i/>
        </w:rPr>
      </w:pPr>
      <w:r>
        <w:rPr>
          <w:rFonts w:eastAsia="Calibri"/>
        </w:rPr>
        <w:tab/>
        <w:tab/>
        <w:tab/>
        <w:tab/>
        <w:tab/>
        <w:tab/>
      </w:r>
      <w:r w:rsidRPr="0081781F">
        <w:t>Ide o legislatívno-technickú úpravu</w:t>
      </w:r>
      <w:r>
        <w:rPr>
          <w:rStyle w:val="Emphasis"/>
          <w:rFonts w:eastAsia="Calibri"/>
        </w:rPr>
        <w:t>.</w:t>
      </w:r>
    </w:p>
    <w:p w:rsidR="00EB1137" w:rsidP="00EB1137"/>
    <w:p w:rsidR="00EB1137" w:rsidRPr="00EB1137" w:rsidP="00EB1137"/>
    <w:p w:rsidR="001B749C" w:rsidP="00D96ABB">
      <w:pPr>
        <w:jc w:val="both"/>
        <w:rPr>
          <w:bCs w:val="0"/>
        </w:rPr>
      </w:pPr>
    </w:p>
    <w:p w:rsidR="001B749C" w:rsidP="00D96ABB">
      <w:pPr>
        <w:jc w:val="both"/>
        <w:rPr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5549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156E4"/>
    <w:multiLevelType w:val="hybridMultilevel"/>
    <w:tmpl w:val="28EE8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94E1FEA"/>
    <w:multiLevelType w:val="hybridMultilevel"/>
    <w:tmpl w:val="09F09AC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994B0A"/>
    <w:multiLevelType w:val="hybridMultilevel"/>
    <w:tmpl w:val="2CEA94B8"/>
    <w:lvl w:ilvl="0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4"/>
  </w:num>
  <w:num w:numId="6">
    <w:abstractNumId w:val="8"/>
  </w:num>
  <w:num w:numId="7">
    <w:abstractNumId w:val="20"/>
  </w:num>
  <w:num w:numId="8">
    <w:abstractNumId w:val="40"/>
  </w:num>
  <w:num w:numId="9">
    <w:abstractNumId w:val="41"/>
  </w:num>
  <w:num w:numId="10">
    <w:abstractNumId w:val="2"/>
  </w:num>
  <w:num w:numId="11">
    <w:abstractNumId w:val="24"/>
  </w:num>
  <w:num w:numId="12">
    <w:abstractNumId w:val="10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3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9"/>
  </w:num>
  <w:num w:numId="19">
    <w:abstractNumId w:val="12"/>
  </w:num>
  <w:num w:numId="20">
    <w:abstractNumId w:val="32"/>
  </w:num>
  <w:num w:numId="21">
    <w:abstractNumId w:val="9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7"/>
  </w:num>
  <w:num w:numId="25">
    <w:abstractNumId w:val="44"/>
  </w:num>
  <w:num w:numId="26">
    <w:abstractNumId w:val="26"/>
  </w:num>
  <w:num w:numId="27">
    <w:abstractNumId w:val="23"/>
  </w:num>
  <w:num w:numId="28">
    <w:abstractNumId w:val="11"/>
  </w:num>
  <w:num w:numId="29">
    <w:abstractNumId w:val="4"/>
  </w:num>
  <w:num w:numId="30">
    <w:abstractNumId w:val="38"/>
  </w:num>
  <w:num w:numId="31">
    <w:abstractNumId w:val="18"/>
  </w:num>
  <w:num w:numId="32">
    <w:abstractNumId w:val="25"/>
  </w:num>
  <w:num w:numId="33">
    <w:abstractNumId w:val="19"/>
  </w:num>
  <w:num w:numId="34">
    <w:abstractNumId w:val="15"/>
  </w:num>
  <w:num w:numId="35">
    <w:abstractNumId w:val="21"/>
  </w:num>
  <w:num w:numId="36">
    <w:abstractNumId w:val="7"/>
  </w:num>
  <w:num w:numId="37">
    <w:abstractNumId w:val="22"/>
  </w:num>
  <w:num w:numId="38">
    <w:abstractNumId w:val="0"/>
  </w:num>
  <w:num w:numId="39">
    <w:abstractNumId w:val="30"/>
  </w:num>
  <w:num w:numId="40">
    <w:abstractNumId w:val="28"/>
  </w:num>
  <w:num w:numId="41">
    <w:abstractNumId w:val="37"/>
  </w:num>
  <w:num w:numId="42">
    <w:abstractNumId w:val="35"/>
  </w:num>
  <w:num w:numId="43">
    <w:abstractNumId w:val="3"/>
  </w:num>
  <w:num w:numId="44">
    <w:abstractNumId w:val="46"/>
  </w:num>
  <w:num w:numId="45">
    <w:abstractNumId w:val="13"/>
  </w:num>
  <w:num w:numId="46">
    <w:abstractNumId w:val="16"/>
  </w:num>
  <w:num w:numId="47">
    <w:abstractNumId w:val="33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Nadpis1Char">
    <w:name w:val="Nadpis 1 Char"/>
    <w:link w:val="Heading1"/>
    <w:rsid w:val="00BC169A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BC169A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0CB50-E933-49D1-AB72-D960601B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57</cp:revision>
  <cp:lastPrinted>2016-10-04T11:58:00Z</cp:lastPrinted>
  <dcterms:created xsi:type="dcterms:W3CDTF">2013-06-14T07:14:00Z</dcterms:created>
  <dcterms:modified xsi:type="dcterms:W3CDTF">2019-09-05T11:17:00Z</dcterms:modified>
</cp:coreProperties>
</file>