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F7162F">
      <w:pPr>
        <w:ind w:left="4248"/>
        <w:jc w:val="right"/>
        <w:rPr>
          <w:sz w:val="28"/>
        </w:rPr>
      </w:pPr>
    </w:p>
    <w:p w:rsidR="00F92F1D">
      <w:pPr>
        <w:ind w:left="4248"/>
        <w:jc w:val="right"/>
        <w:rPr>
          <w:sz w:val="28"/>
        </w:rPr>
      </w:pPr>
      <w:r w:rsidR="00EC5F3F">
        <w:rPr>
          <w:sz w:val="28"/>
        </w:rPr>
        <w:t xml:space="preserve">                                     </w:t>
      </w:r>
    </w:p>
    <w:p w:rsidR="00EC5F3F" w:rsidRPr="00D14EA4">
      <w:pPr>
        <w:ind w:left="4248"/>
        <w:jc w:val="right"/>
      </w:pPr>
      <w:r>
        <w:rPr>
          <w:sz w:val="28"/>
        </w:rPr>
        <w:t xml:space="preserve"> </w:t>
      </w:r>
      <w:r w:rsidR="00B1546F">
        <w:t>7</w:t>
      </w:r>
      <w:r w:rsidR="00652CCE">
        <w:t>3</w:t>
      </w:r>
      <w:r w:rsidRPr="00D14EA4" w:rsidR="00985280">
        <w:t>.</w:t>
      </w:r>
      <w:r w:rsidRPr="00D14EA4">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0B207C">
        <w:t>499</w:t>
      </w:r>
      <w:r w:rsidRPr="00053FB9" w:rsidR="003371B9">
        <w:t>/</w:t>
      </w:r>
      <w:r w:rsidR="00053FB9">
        <w:t>201</w:t>
      </w:r>
      <w:r w:rsidR="00B1546F">
        <w:t>9</w:t>
      </w:r>
    </w:p>
    <w:p w:rsidR="0004001B" w:rsidP="00067F0B">
      <w:pPr>
        <w:ind w:left="3540" w:firstLine="708"/>
        <w:rPr>
          <w:b/>
        </w:rPr>
      </w:pPr>
    </w:p>
    <w:p w:rsidR="00652CCE" w:rsidP="00652CCE">
      <w:pPr>
        <w:ind w:left="3540" w:firstLine="708"/>
        <w:rPr>
          <w:b/>
        </w:rPr>
      </w:pPr>
      <w:r w:rsidR="00050225">
        <w:rPr>
          <w:b/>
        </w:rPr>
        <w:t xml:space="preserve">       </w:t>
      </w:r>
      <w:r w:rsidR="00E27E58">
        <w:rPr>
          <w:b/>
        </w:rPr>
        <w:t xml:space="preserve"> </w:t>
      </w:r>
      <w:r w:rsidR="002D072D">
        <w:rPr>
          <w:b/>
        </w:rPr>
        <w:t xml:space="preserve">  </w:t>
      </w:r>
    </w:p>
    <w:p w:rsidR="00B1546F" w:rsidP="00652CCE">
      <w:pPr>
        <w:ind w:left="3540" w:firstLine="708"/>
        <w:rPr>
          <w:b/>
        </w:rPr>
      </w:pPr>
      <w:r w:rsidR="00077938">
        <w:rPr>
          <w:b/>
        </w:rPr>
        <w:t xml:space="preserve">           460</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w:t>
      </w:r>
      <w:r>
        <w:rPr>
          <w:b/>
        </w:rPr>
        <w:t>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B1546F">
        <w:rPr>
          <w:b/>
        </w:rPr>
        <w:t xml:space="preserve"> 5</w:t>
      </w:r>
      <w:r w:rsidR="00C72FBD">
        <w:rPr>
          <w:b/>
        </w:rPr>
        <w:t xml:space="preserve">. </w:t>
      </w:r>
      <w:r w:rsidR="00652CCE">
        <w:rPr>
          <w:b/>
        </w:rPr>
        <w:t>septembra</w:t>
      </w:r>
      <w:r w:rsidR="00830899">
        <w:rPr>
          <w:b/>
        </w:rPr>
        <w:t xml:space="preserve"> 201</w:t>
      </w:r>
      <w:r w:rsidR="00B1546F">
        <w:rPr>
          <w:b/>
        </w:rPr>
        <w:t>9</w:t>
      </w:r>
    </w:p>
    <w:p w:rsidR="00576DE1" w:rsidP="00576DE1">
      <w:pPr>
        <w:pStyle w:val="BodyText"/>
        <w:spacing w:after="0"/>
        <w:jc w:val="both"/>
        <w:rPr>
          <w:b/>
        </w:rPr>
      </w:pPr>
    </w:p>
    <w:p w:rsidR="00EC5F3F" w:rsidRPr="005D2E69" w:rsidP="00EB1137">
      <w:pPr>
        <w:jc w:val="both"/>
      </w:pPr>
      <w:r w:rsidRPr="005D2E69">
        <w:t>Výbor Národnej rady Sl</w:t>
      </w:r>
      <w:r w:rsidRPr="005D2E69" w:rsidR="003371B9">
        <w:t>ovenskej republiky pre financie a</w:t>
      </w:r>
      <w:r w:rsidRPr="005D2E69">
        <w:t xml:space="preserve"> rozpočet </w:t>
      </w:r>
      <w:r w:rsidRPr="005D2E69" w:rsidR="00F966EF">
        <w:t>prerokoval</w:t>
      </w:r>
      <w:r w:rsidRPr="00652CCE" w:rsidR="00652CCE">
        <w:rPr>
          <w:bCs w:val="0"/>
        </w:rPr>
        <w:t xml:space="preserve"> </w:t>
      </w:r>
      <w:r w:rsidR="000B207C">
        <w:rPr>
          <w:bCs w:val="0"/>
        </w:rPr>
        <w:t>n</w:t>
      </w:r>
      <w:r w:rsidRPr="00120A26" w:rsidR="000B207C">
        <w:rPr>
          <w:color w:val="000000"/>
        </w:rPr>
        <w:t xml:space="preserve">ávrh poslancov Národnej rady Slovenskej republiky Magdalény KUCIAŇOVEJ, Radovana BALÁŽA, Petra PAMULU a Tibora JANČULU na vydanie zákona, ktorým sa mení a dopĺňa zákon č. 595/2003 Z. z. </w:t>
      </w:r>
      <w:r w:rsidRPr="00120A26" w:rsidR="000B207C">
        <w:rPr>
          <w:b/>
          <w:color w:val="000000"/>
        </w:rPr>
        <w:t>o dani z príjmov</w:t>
      </w:r>
      <w:r w:rsidRPr="00120A26" w:rsidR="000B207C">
        <w:rPr>
          <w:color w:val="000000"/>
        </w:rPr>
        <w:t xml:space="preserve"> v znení neskorších predpisov </w:t>
      </w:r>
      <w:r w:rsidRPr="00120A26" w:rsidR="000B207C">
        <w:rPr>
          <w:b/>
          <w:color w:val="000000"/>
        </w:rPr>
        <w:t>(tlač 1346)</w:t>
      </w:r>
      <w:r w:rsidR="000B207C">
        <w:rPr>
          <w:b/>
          <w:color w:val="000000"/>
        </w:rPr>
        <w:t xml:space="preserve"> </w:t>
      </w:r>
      <w:r w:rsidRPr="00777CFA" w:rsidR="00450C55">
        <w:rPr>
          <w:b/>
        </w:rPr>
        <w:t>a</w:t>
      </w:r>
      <w:r w:rsidRPr="005D2E69" w:rsidR="00ED3C5E">
        <w:t xml:space="preserve"> </w:t>
      </w:r>
      <w:r w:rsidRPr="005D2E69" w:rsidR="008458BA">
        <w:t xml:space="preserve"> </w:t>
      </w:r>
      <w:r w:rsidR="00B1546F">
        <w:t xml:space="preserve"> </w:t>
      </w:r>
    </w:p>
    <w:p w:rsidR="00302EB6" w:rsidP="00BD7172"/>
    <w:p w:rsidR="00AC2960" w:rsidP="00BD7172"/>
    <w:p w:rsidR="00EC5F3F" w:rsidP="00067F0B">
      <w:pPr>
        <w:numPr>
          <w:ilvl w:val="0"/>
          <w:numId w:val="1"/>
        </w:numPr>
        <w:jc w:val="both"/>
        <w:rPr>
          <w:b/>
        </w:rPr>
      </w:pPr>
      <w:r w:rsidR="00777CFA">
        <w:rPr>
          <w:b/>
        </w:rPr>
        <w:t>s</w:t>
      </w:r>
      <w:r>
        <w:rPr>
          <w:b/>
        </w:rPr>
        <w:t>úhlasí</w:t>
      </w:r>
    </w:p>
    <w:p w:rsidR="00F92F1D" w:rsidP="00F92F1D">
      <w:pPr>
        <w:pStyle w:val="BodyText"/>
        <w:spacing w:after="0"/>
        <w:ind w:firstLine="360"/>
        <w:jc w:val="both"/>
      </w:pPr>
    </w:p>
    <w:p w:rsidR="00824DAD" w:rsidP="00EB1137">
      <w:pPr>
        <w:pStyle w:val="BodyText"/>
        <w:spacing w:after="0"/>
        <w:ind w:firstLine="360"/>
        <w:jc w:val="both"/>
        <w:rPr>
          <w:color w:val="000000"/>
        </w:rPr>
      </w:pPr>
      <w:r w:rsidR="00321A20">
        <w:t>s</w:t>
      </w:r>
      <w:r w:rsidRPr="00A73ECD" w:rsidR="00B614DE">
        <w:t> </w:t>
      </w:r>
      <w:r w:rsidR="00652CCE">
        <w:t xml:space="preserve"> </w:t>
      </w:r>
      <w:r w:rsidR="000B207C">
        <w:rPr>
          <w:bCs w:val="0"/>
        </w:rPr>
        <w:t>n</w:t>
      </w:r>
      <w:r w:rsidRPr="00120A26" w:rsidR="000B207C">
        <w:rPr>
          <w:color w:val="000000"/>
        </w:rPr>
        <w:t>ávrh</w:t>
      </w:r>
      <w:r w:rsidR="000B207C">
        <w:rPr>
          <w:color w:val="000000"/>
        </w:rPr>
        <w:t>om</w:t>
      </w:r>
      <w:r w:rsidRPr="00120A26" w:rsidR="000B207C">
        <w:rPr>
          <w:color w:val="000000"/>
        </w:rPr>
        <w:t xml:space="preserve"> poslancov Národnej rady Slovenskej republiky Magdalény KUCIAŇOVEJ, Radovana BALÁŽA, Petra PAMULU a Tibora JANČULU na vydanie zákona, ktorým sa mení a dopĺňa zákon č. 595/2003 Z. z. </w:t>
      </w:r>
      <w:r w:rsidRPr="00120A26" w:rsidR="000B207C">
        <w:rPr>
          <w:b/>
          <w:color w:val="000000"/>
        </w:rPr>
        <w:t>o dani z príjmov</w:t>
      </w:r>
      <w:r w:rsidRPr="00120A26" w:rsidR="000B207C">
        <w:rPr>
          <w:color w:val="000000"/>
        </w:rPr>
        <w:t xml:space="preserve"> v znení neskorších predpisov </w:t>
      </w:r>
      <w:r w:rsidRPr="00120A26" w:rsidR="000B207C">
        <w:rPr>
          <w:b/>
          <w:color w:val="000000"/>
        </w:rPr>
        <w:t>(tlač 1346)</w:t>
      </w:r>
    </w:p>
    <w:p w:rsidR="008F04DB" w:rsidP="00E20A99">
      <w:pPr>
        <w:pStyle w:val="BodyText"/>
        <w:spacing w:after="0"/>
        <w:ind w:left="1416" w:firstLine="708"/>
        <w:jc w:val="both"/>
        <w:rPr>
          <w:color w:val="000000"/>
        </w:rPr>
      </w:pPr>
    </w:p>
    <w:p w:rsidR="00EB1137" w:rsidP="00E20A99">
      <w:pPr>
        <w:pStyle w:val="BodyText"/>
        <w:spacing w:after="0"/>
        <w:ind w:left="1416" w:firstLine="708"/>
        <w:jc w:val="both"/>
        <w:rPr>
          <w:color w:val="000000"/>
        </w:rPr>
      </w:pPr>
    </w:p>
    <w:p w:rsidR="00EB1137" w:rsidRPr="00370DA7" w:rsidP="00E20A99">
      <w:pPr>
        <w:pStyle w:val="BodyText"/>
        <w:spacing w:after="0"/>
        <w:ind w:left="1416" w:firstLine="708"/>
        <w:jc w:val="both"/>
        <w:rPr>
          <w:color w:val="000000"/>
        </w:rPr>
      </w:pPr>
    </w:p>
    <w:p w:rsidR="00F92F1D" w:rsidP="00F92F1D">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RPr="00F92F1D" w:rsidP="00F92F1D">
      <w:pPr>
        <w:pStyle w:val="Heading7"/>
        <w:widowControl/>
        <w:ind w:left="360"/>
        <w:rPr>
          <w:bCs/>
          <w:lang w:val="sk-SK"/>
        </w:rPr>
      </w:pPr>
      <w:r w:rsidRPr="00F92F1D">
        <w:rPr>
          <w:lang w:val="sk-SK"/>
        </w:rPr>
        <w:t>Národnej rade Slovenskej republiky</w:t>
      </w:r>
    </w:p>
    <w:p w:rsidR="00777CFA" w:rsidP="005B36AB">
      <w:pPr>
        <w:pStyle w:val="Heading1"/>
        <w:ind w:left="1416" w:firstLine="708"/>
        <w:jc w:val="both"/>
      </w:pPr>
    </w:p>
    <w:p w:rsidR="00BC169A" w:rsidRPr="00E20A99" w:rsidP="00BC169A">
      <w:pPr>
        <w:pStyle w:val="Heading1"/>
        <w:ind w:left="0" w:firstLine="567"/>
        <w:jc w:val="both"/>
      </w:pPr>
      <w:r w:rsidRPr="000B207C" w:rsidR="000B207C">
        <w:rPr>
          <w:b w:val="0"/>
          <w:bCs w:val="0"/>
        </w:rPr>
        <w:t>n</w:t>
      </w:r>
      <w:r w:rsidRPr="000B207C" w:rsidR="000B207C">
        <w:rPr>
          <w:b w:val="0"/>
          <w:color w:val="000000"/>
        </w:rPr>
        <w:t xml:space="preserve">ávrh poslancov Národnej rady Slovenskej republiky Magdalény KUCIAŇOVEJ, Radovana BALÁŽA, Petra PAMULU a Tibora JANČULU na vydanie zákona, ktorým sa mení a dopĺňa zákon č. 595/2003 Z. z. </w:t>
      </w:r>
      <w:r w:rsidRPr="000B207C" w:rsidR="000B207C">
        <w:rPr>
          <w:color w:val="000000"/>
        </w:rPr>
        <w:t>o dani z príjmov</w:t>
      </w:r>
      <w:r w:rsidRPr="000B207C" w:rsidR="000B207C">
        <w:rPr>
          <w:b w:val="0"/>
          <w:color w:val="000000"/>
        </w:rPr>
        <w:t xml:space="preserve"> v znení neskorších predpisov </w:t>
      </w:r>
      <w:r w:rsidRPr="00B176B3" w:rsidR="000B207C">
        <w:rPr>
          <w:color w:val="000000"/>
        </w:rPr>
        <w:t>(tlač 1346)</w:t>
      </w:r>
      <w:r w:rsidRPr="000B207C" w:rsidR="00A7635D">
        <w:rPr>
          <w:b w:val="0"/>
        </w:rPr>
        <w:t xml:space="preserve"> </w:t>
      </w:r>
      <w:r>
        <w:t>schváliť s</w:t>
      </w:r>
      <w:r w:rsidR="004374FF">
        <w:t> </w:t>
      </w:r>
      <w:r>
        <w:t>pozmeňujúc</w:t>
      </w:r>
      <w:r w:rsidR="00BD5870">
        <w:t>im</w:t>
      </w:r>
      <w:r w:rsidR="004374FF">
        <w:t xml:space="preserve"> </w:t>
      </w:r>
      <w:r w:rsidR="00BD5870">
        <w:t>a doplňujúcim</w:t>
      </w:r>
      <w:r w:rsidR="00B1546F">
        <w:t xml:space="preserve"> návrh</w:t>
      </w:r>
      <w:r w:rsidR="004374FF">
        <w:t>o</w:t>
      </w:r>
      <w:r w:rsidR="00BD5870">
        <w:t>m</w:t>
      </w:r>
      <w:r>
        <w:t xml:space="preserve"> tak, </w:t>
      </w:r>
      <w:r w:rsidRPr="00E20A99">
        <w:t xml:space="preserve">ako </w:t>
      </w:r>
      <w:r w:rsidR="004374FF">
        <w:t>je</w:t>
      </w:r>
      <w:r w:rsidR="00BD5870">
        <w:t xml:space="preserve"> uveden</w:t>
      </w:r>
      <w:r w:rsidR="004374FF">
        <w:t>ý</w:t>
      </w:r>
      <w:r>
        <w:t xml:space="preserve"> </w:t>
      </w:r>
      <w:r w:rsidRPr="00E20A99">
        <w:t>v prílohe tohto uznesenia</w:t>
      </w:r>
      <w:r>
        <w:t>;</w:t>
      </w:r>
    </w:p>
    <w:p w:rsidR="00EC5F3F" w:rsidRPr="00E20A99" w:rsidP="00F92F1D">
      <w:pPr>
        <w:pStyle w:val="Heading1"/>
        <w:ind w:left="0" w:firstLine="360"/>
        <w:jc w:val="both"/>
      </w:pPr>
    </w:p>
    <w:p w:rsidR="00E13467" w:rsidP="000139BA">
      <w:pPr>
        <w:ind w:left="1416"/>
        <w:jc w:val="both"/>
        <w:rPr>
          <w:b/>
        </w:rPr>
      </w:pPr>
    </w:p>
    <w:p w:rsidR="00AC2960" w:rsidP="000139BA">
      <w:pPr>
        <w:ind w:left="1416"/>
        <w:jc w:val="both"/>
        <w:rPr>
          <w:b/>
        </w:rPr>
      </w:pPr>
    </w:p>
    <w:p w:rsidR="00067F0B" w:rsidP="00067F0B">
      <w:pPr>
        <w:pStyle w:val="Heading5"/>
        <w:numPr>
          <w:ilvl w:val="0"/>
          <w:numId w:val="1"/>
        </w:numPr>
      </w:pPr>
      <w:r w:rsidR="00EC5F3F">
        <w:t>ukladá</w:t>
      </w:r>
    </w:p>
    <w:p w:rsidR="00EC5F3F" w:rsidP="00F92F1D">
      <w:pPr>
        <w:pStyle w:val="Heading5"/>
        <w:ind w:firstLine="360"/>
      </w:pPr>
      <w:r>
        <w:t>predsedovi výboru</w:t>
      </w:r>
    </w:p>
    <w:p w:rsidR="00777CFA" w:rsidP="00117627">
      <w:r w:rsidR="00BD7172">
        <w:t xml:space="preserve"> </w:t>
      </w:r>
      <w:r w:rsidR="00E20A99">
        <w:t xml:space="preserve"> </w:t>
      </w:r>
      <w:r w:rsidR="00117627">
        <w:tab/>
        <w:tab/>
        <w:tab/>
      </w:r>
    </w:p>
    <w:p w:rsidR="00A7635D" w:rsidP="00A7635D">
      <w:pPr>
        <w:ind w:firstLine="567"/>
        <w:jc w:val="both"/>
      </w:pPr>
      <w:r w:rsidRPr="00B1559A">
        <w:t>informovať predsedu Národnej</w:t>
      </w:r>
      <w:r>
        <w:t xml:space="preserve"> </w:t>
      </w:r>
      <w:r w:rsidRPr="00B1559A">
        <w:t>rady Slovenskej republiky o výsledku prerokovania uvedeného</w:t>
      </w:r>
      <w:r>
        <w:t xml:space="preserve"> </w:t>
      </w:r>
      <w:r w:rsidRPr="00B1559A">
        <w:t>návrhu vo výbore</w:t>
      </w:r>
      <w:r>
        <w:t>.</w:t>
      </w:r>
    </w:p>
    <w:p w:rsidR="005919F9" w:rsidRPr="00841EA3" w:rsidP="004612FB">
      <w:pPr>
        <w:pStyle w:val="BodyTextIndent3"/>
        <w:ind w:left="1416" w:firstLine="708"/>
        <w:rPr>
          <w:lang w:val="sk-SK"/>
        </w:rPr>
      </w:pPr>
    </w:p>
    <w:p w:rsidR="0052115B" w:rsidP="00C739C2">
      <w:r w:rsidR="00E20A99">
        <w:t xml:space="preserve">                                                              </w:t>
      </w:r>
    </w:p>
    <w:p w:rsidR="0052115B">
      <w:pPr>
        <w:ind w:left="5664" w:firstLine="708"/>
        <w:rPr>
          <w:b/>
          <w:bCs w:val="0"/>
        </w:rPr>
      </w:pPr>
    </w:p>
    <w:p w:rsidR="001B749C">
      <w:pPr>
        <w:ind w:left="5664" w:firstLine="708"/>
        <w:rPr>
          <w:b/>
          <w:bCs w:val="0"/>
        </w:rPr>
      </w:pPr>
    </w:p>
    <w:p w:rsidR="001B749C">
      <w:pPr>
        <w:ind w:left="5664" w:firstLine="708"/>
        <w:rPr>
          <w:b/>
          <w:bCs w:val="0"/>
        </w:rPr>
      </w:pPr>
    </w:p>
    <w:p w:rsidR="00D96ABB" w:rsidP="00D96ABB">
      <w:pPr>
        <w:ind w:left="5664" w:firstLine="708"/>
        <w:rPr>
          <w:b/>
        </w:rPr>
      </w:pPr>
      <w:r>
        <w:rPr>
          <w:b/>
          <w:bCs w:val="0"/>
        </w:rPr>
        <w:t xml:space="preserve">       </w:t>
      </w:r>
      <w:r w:rsidR="00B1546F">
        <w:rPr>
          <w:b/>
          <w:bCs w:val="0"/>
        </w:rPr>
        <w:t xml:space="preserve">    </w:t>
      </w:r>
      <w:r>
        <w:rPr>
          <w:b/>
          <w:bCs w:val="0"/>
        </w:rPr>
        <w:t xml:space="preserve"> </w:t>
      </w:r>
      <w:r w:rsidR="00B1546F">
        <w:rPr>
          <w:b/>
          <w:bCs w:val="0"/>
        </w:rPr>
        <w:t>Róbert Puci</w:t>
      </w:r>
      <w:r>
        <w:rPr>
          <w:b/>
          <w:bCs w:val="0"/>
        </w:rPr>
        <w:t xml:space="preserve"> </w:t>
      </w:r>
    </w:p>
    <w:p w:rsidR="00D96ABB" w:rsidP="00D96ABB">
      <w:pPr>
        <w:ind w:left="5664" w:firstLine="708"/>
      </w:pPr>
      <w:r>
        <w:t xml:space="preserve">           predseda výboru</w:t>
      </w:r>
    </w:p>
    <w:p w:rsidR="00D96ABB" w:rsidP="00D96ABB">
      <w:pPr>
        <w:jc w:val="both"/>
        <w:rPr>
          <w:b/>
          <w:bCs w:val="0"/>
        </w:rPr>
      </w:pPr>
      <w:r>
        <w:rPr>
          <w:b/>
        </w:rPr>
        <w:t xml:space="preserve">  </w:t>
      </w:r>
      <w:r w:rsidR="00B1546F">
        <w:rPr>
          <w:b/>
          <w:bCs w:val="0"/>
        </w:rPr>
        <w:t>Igor Federič</w:t>
      </w:r>
    </w:p>
    <w:p w:rsidR="00D96ABB" w:rsidP="00D96ABB">
      <w:pPr>
        <w:jc w:val="both"/>
        <w:rPr>
          <w:b/>
          <w:bCs w:val="0"/>
        </w:rPr>
      </w:pPr>
      <w:r>
        <w:rPr>
          <w:b/>
          <w:bCs w:val="0"/>
        </w:rPr>
        <w:t xml:space="preserve"> Peter Štarchoň</w:t>
      </w:r>
    </w:p>
    <w:p w:rsidR="00D96ABB" w:rsidP="00D96ABB">
      <w:pPr>
        <w:jc w:val="both"/>
        <w:rPr>
          <w:bCs w:val="0"/>
        </w:rPr>
      </w:pPr>
      <w:r>
        <w:rPr>
          <w:bCs w:val="0"/>
        </w:rPr>
        <w:t>overovateľ výboru</w:t>
      </w:r>
    </w:p>
    <w:p w:rsidR="00BC169A" w:rsidP="00D96ABB">
      <w:pPr>
        <w:jc w:val="both"/>
        <w:rPr>
          <w:bCs w:val="0"/>
        </w:rPr>
      </w:pPr>
    </w:p>
    <w:p w:rsidR="00BC169A" w:rsidP="00D96ABB">
      <w:pPr>
        <w:jc w:val="both"/>
        <w:rPr>
          <w:bCs w:val="0"/>
        </w:rPr>
      </w:pPr>
    </w:p>
    <w:p w:rsidR="00BC169A" w:rsidP="00D96ABB">
      <w:pPr>
        <w:jc w:val="both"/>
        <w:rPr>
          <w:bCs w:val="0"/>
        </w:rPr>
      </w:pPr>
    </w:p>
    <w:p w:rsidR="00BC169A" w:rsidP="00BC169A"/>
    <w:p w:rsidR="00BC169A" w:rsidP="00BC169A">
      <w:pPr>
        <w:pStyle w:val="Heading4"/>
        <w:widowControl w:val="0"/>
        <w:rPr>
          <w:rFonts w:ascii="AT*Zurich Calligraphic" w:hAnsi="AT*Zurich Calligraphic"/>
        </w:rPr>
      </w:pPr>
      <w:r>
        <w:rPr>
          <w:rFonts w:ascii="AT*Zurich Calligraphic" w:hAnsi="AT*Zurich Calligraphic"/>
        </w:rPr>
        <w:t>Výbor Národnej rady  Slovenskej republiky</w:t>
      </w:r>
    </w:p>
    <w:p w:rsidR="00BC169A" w:rsidP="00BC169A">
      <w:pPr>
        <w:rPr>
          <w:rFonts w:ascii="AT*Zurich Calligraphic" w:hAnsi="AT*Zurich Calligraphic"/>
          <w:b/>
        </w:rPr>
      </w:pPr>
      <w:r>
        <w:rPr>
          <w:rFonts w:ascii="AT*Zurich Calligraphic" w:hAnsi="AT*Zurich Calligraphic"/>
          <w:b/>
        </w:rPr>
        <w:t xml:space="preserve">            pre financie a rozpočet </w:t>
      </w:r>
    </w:p>
    <w:p w:rsidR="00BC169A" w:rsidP="00BC169A">
      <w:pPr>
        <w:jc w:val="right"/>
        <w:rPr>
          <w:sz w:val="28"/>
        </w:rPr>
      </w:pPr>
      <w:r>
        <w:rPr>
          <w:sz w:val="28"/>
        </w:rPr>
        <w:t xml:space="preserve">                          </w:t>
      </w:r>
    </w:p>
    <w:p w:rsidR="00BC169A" w:rsidP="00BC169A">
      <w:pPr>
        <w:jc w:val="right"/>
        <w:rPr>
          <w:b/>
        </w:rPr>
      </w:pPr>
      <w:r>
        <w:t xml:space="preserve">Príloha k uzn. </w:t>
      </w:r>
      <w:r w:rsidRPr="006C72E6">
        <w:rPr>
          <w:b/>
        </w:rPr>
        <w:t>č.</w:t>
      </w:r>
      <w:r>
        <w:rPr>
          <w:b/>
        </w:rPr>
        <w:t xml:space="preserve"> </w:t>
      </w:r>
      <w:r w:rsidR="00077938">
        <w:rPr>
          <w:b/>
        </w:rPr>
        <w:t>460</w:t>
      </w:r>
    </w:p>
    <w:p w:rsidR="00BC169A" w:rsidRPr="003371B9" w:rsidP="00BC169A">
      <w:pPr>
        <w:jc w:val="right"/>
      </w:pPr>
      <w:r w:rsidR="00B1546F">
        <w:rPr>
          <w:bCs w:val="0"/>
        </w:rPr>
        <w:t>7</w:t>
      </w:r>
      <w:r>
        <w:rPr>
          <w:bCs w:val="0"/>
        </w:rPr>
        <w:t>3</w:t>
      </w:r>
      <w:r w:rsidRPr="003371B9">
        <w:rPr>
          <w:bCs w:val="0"/>
        </w:rPr>
        <w:t xml:space="preserve">. </w:t>
      </w:r>
      <w:r w:rsidRPr="003371B9">
        <w:t>schôdza</w:t>
      </w:r>
    </w:p>
    <w:p w:rsidR="00BC169A" w:rsidP="00BC169A">
      <w:pPr>
        <w:jc w:val="center"/>
        <w:rPr>
          <w:b/>
        </w:rPr>
      </w:pPr>
    </w:p>
    <w:p w:rsidR="00BC169A" w:rsidP="00BC169A">
      <w:pPr>
        <w:jc w:val="center"/>
        <w:rPr>
          <w:b/>
        </w:rPr>
      </w:pPr>
    </w:p>
    <w:p w:rsidR="00B176B3" w:rsidP="00BC169A">
      <w:pPr>
        <w:jc w:val="center"/>
        <w:rPr>
          <w:b/>
        </w:rPr>
      </w:pPr>
    </w:p>
    <w:p w:rsidR="00BC169A" w:rsidRPr="00067F0B" w:rsidP="00BC169A">
      <w:pPr>
        <w:jc w:val="center"/>
        <w:rPr>
          <w:b/>
          <w:bCs w:val="0"/>
        </w:rPr>
      </w:pPr>
      <w:r w:rsidRPr="00067F0B">
        <w:rPr>
          <w:b/>
          <w:bCs w:val="0"/>
        </w:rPr>
        <w:t>Pozmeňujúc</w:t>
      </w:r>
      <w:r w:rsidR="004374FF">
        <w:rPr>
          <w:b/>
          <w:bCs w:val="0"/>
        </w:rPr>
        <w:t>i</w:t>
      </w:r>
      <w:r w:rsidRPr="00067F0B">
        <w:rPr>
          <w:b/>
          <w:bCs w:val="0"/>
        </w:rPr>
        <w:t xml:space="preserve"> </w:t>
      </w:r>
      <w:r>
        <w:rPr>
          <w:b/>
          <w:bCs w:val="0"/>
        </w:rPr>
        <w:t>a doplňujúc</w:t>
      </w:r>
      <w:r w:rsidR="004374FF">
        <w:rPr>
          <w:b/>
          <w:bCs w:val="0"/>
        </w:rPr>
        <w:t>i</w:t>
      </w:r>
      <w:r w:rsidR="00BD5870">
        <w:rPr>
          <w:b/>
          <w:bCs w:val="0"/>
        </w:rPr>
        <w:t xml:space="preserve"> návrh</w:t>
      </w:r>
    </w:p>
    <w:p w:rsidR="00B176B3" w:rsidRPr="00B176B3" w:rsidP="00EB1137">
      <w:pPr>
        <w:pStyle w:val="Heading1"/>
        <w:ind w:left="360"/>
        <w:jc w:val="center"/>
        <w:rPr>
          <w:color w:val="000000"/>
        </w:rPr>
      </w:pPr>
      <w:r w:rsidR="00BC169A">
        <w:t>k </w:t>
      </w:r>
      <w:r w:rsidRPr="005458EF" w:rsidR="00BC169A">
        <w:t xml:space="preserve"> </w:t>
      </w:r>
      <w:r>
        <w:rPr>
          <w:bCs w:val="0"/>
        </w:rPr>
        <w:t>n</w:t>
      </w:r>
      <w:r w:rsidRPr="00120A26">
        <w:rPr>
          <w:color w:val="000000"/>
        </w:rPr>
        <w:t>ávrh</w:t>
      </w:r>
      <w:r>
        <w:rPr>
          <w:color w:val="000000"/>
        </w:rPr>
        <w:t>u</w:t>
      </w:r>
      <w:r w:rsidRPr="00120A26">
        <w:rPr>
          <w:color w:val="000000"/>
        </w:rPr>
        <w:t xml:space="preserve"> poslancov Národnej rady Slovenskej republiky Magdalény KUCIAŇOVEJ, Radovana BALÁŽA, Petra PAMULU a Tibora JANČULU na vydanie zákona, ktorým sa mení a dopĺňa zákon č. 595/2003 Z. z. </w:t>
      </w:r>
      <w:r w:rsidRPr="00B176B3">
        <w:rPr>
          <w:color w:val="000000"/>
        </w:rPr>
        <w:t>o dani z príjmov v znení neskorších predpisov (tlač 1346)</w:t>
      </w:r>
    </w:p>
    <w:p w:rsidR="001B749C" w:rsidP="00EB1137">
      <w:pPr>
        <w:pStyle w:val="Heading1"/>
        <w:ind w:left="360"/>
        <w:jc w:val="center"/>
        <w:rPr>
          <w:b w:val="0"/>
          <w:bCs w:val="0"/>
        </w:rPr>
      </w:pPr>
      <w:r w:rsidR="00BC169A">
        <w:rPr>
          <w:b w:val="0"/>
          <w:bCs w:val="0"/>
        </w:rPr>
        <w:t>–––––––––––––––––––––––––––––––––––––––––</w:t>
      </w:r>
      <w:r w:rsidR="00BC169A">
        <w:rPr>
          <w:b w:val="0"/>
          <w:bCs w:val="0"/>
        </w:rPr>
        <w:t>––––––</w:t>
      </w:r>
      <w:r w:rsidR="00EB1137">
        <w:rPr>
          <w:b w:val="0"/>
          <w:bCs w:val="0"/>
        </w:rPr>
        <w:t xml:space="preserve">–––––––––––––––––––––––––––– </w:t>
      </w:r>
    </w:p>
    <w:p w:rsidR="00077938" w:rsidRPr="00B343C8" w:rsidP="00BE1FF9">
      <w:pPr>
        <w:pStyle w:val="NormalWeb"/>
        <w:numPr>
          <w:ilvl w:val="0"/>
          <w:numId w:val="2"/>
        </w:numPr>
        <w:spacing w:before="0" w:beforeAutospacing="0" w:after="0" w:afterAutospacing="0"/>
        <w:ind w:left="284" w:hanging="284"/>
        <w:contextualSpacing/>
        <w:jc w:val="both"/>
        <w:rPr>
          <w:b/>
          <w:u w:val="single"/>
        </w:rPr>
      </w:pPr>
      <w:r w:rsidRPr="00B343C8">
        <w:rPr>
          <w:b/>
          <w:u w:val="single"/>
        </w:rPr>
        <w:t>K čl. I, nové body</w:t>
      </w:r>
    </w:p>
    <w:p w:rsidR="00077938" w:rsidP="00077938">
      <w:pPr>
        <w:pStyle w:val="NormalWeb"/>
        <w:ind w:left="284"/>
        <w:contextualSpacing/>
        <w:jc w:val="both"/>
      </w:pPr>
      <w:r>
        <w:t>Pred doterajší bod 1 sa vkladajú nové body 1 až 3, ktoré znejú:</w:t>
      </w:r>
    </w:p>
    <w:p w:rsidR="00077938" w:rsidP="00077938">
      <w:pPr>
        <w:pStyle w:val="NormalWeb"/>
        <w:ind w:left="720"/>
        <w:contextualSpacing/>
        <w:jc w:val="both"/>
      </w:pPr>
    </w:p>
    <w:p w:rsidR="00077938" w:rsidP="00077938">
      <w:pPr>
        <w:pStyle w:val="NormalWeb"/>
        <w:contextualSpacing/>
        <w:jc w:val="both"/>
      </w:pPr>
      <w:r>
        <w:t xml:space="preserve">„1. V § 4 odsek 1 znie:  </w:t>
      </w:r>
    </w:p>
    <w:p w:rsidR="00077938" w:rsidP="00077938">
      <w:pPr>
        <w:pStyle w:val="NormalWeb"/>
        <w:ind w:left="360"/>
        <w:contextualSpacing/>
        <w:jc w:val="both"/>
      </w:pPr>
      <w:r w:rsidRPr="00782800">
        <w:t>„(1)</w:t>
      </w:r>
      <w:r w:rsidRPr="00782800">
        <w:rPr>
          <w:b/>
        </w:rPr>
        <w:t xml:space="preserve"> </w:t>
      </w:r>
      <w:r w:rsidRPr="00782800">
        <w:t>Základ</w:t>
      </w:r>
      <w:r>
        <w:t xml:space="preserve"> dane je</w:t>
      </w:r>
    </w:p>
    <w:p w:rsidR="00077938" w:rsidP="00BE1FF9">
      <w:pPr>
        <w:pStyle w:val="NormalWeb"/>
        <w:numPr>
          <w:ilvl w:val="0"/>
          <w:numId w:val="3"/>
        </w:numPr>
        <w:contextualSpacing/>
        <w:jc w:val="both"/>
      </w:pPr>
      <w:r>
        <w:t xml:space="preserve">súčet čiastkového základu dane z príjmov podľa § 5, ktorý sa zníži o nezdaniteľné časti základu dane alebo ich časť (§ </w:t>
      </w:r>
      <w:r w:rsidRPr="00782800">
        <w:t>11), a čiastkových</w:t>
      </w:r>
      <w:r>
        <w:t xml:space="preserve"> základov dane z príjmov podľa § 6 ods. 3 a 4 a § 8,</w:t>
      </w:r>
    </w:p>
    <w:p w:rsidR="00077938" w:rsidP="00BE1FF9">
      <w:pPr>
        <w:pStyle w:val="NormalWeb"/>
        <w:numPr>
          <w:ilvl w:val="0"/>
          <w:numId w:val="3"/>
        </w:numPr>
        <w:contextualSpacing/>
        <w:jc w:val="both"/>
      </w:pPr>
      <w:r>
        <w:t xml:space="preserve">čiastkový základ dane z príjmov podľa § 6 ods. </w:t>
      </w:r>
      <w:r w:rsidRPr="00782800">
        <w:t>1 a 2</w:t>
      </w:r>
      <w:r w:rsidRPr="00782800">
        <w:rPr>
          <w:b/>
        </w:rPr>
        <w:t>,</w:t>
      </w:r>
      <w:r w:rsidRPr="00782800">
        <w:t xml:space="preserve"> ktorý </w:t>
      </w:r>
      <w:r>
        <w:t>sa zníži o nezdaniteľné časti základu dane alebo ich časť (§ 11).“.</w:t>
      </w:r>
    </w:p>
    <w:p w:rsidR="00077938" w:rsidP="00077938">
      <w:pPr>
        <w:pStyle w:val="NormalWeb"/>
        <w:ind w:left="1440"/>
        <w:contextualSpacing/>
        <w:jc w:val="both"/>
      </w:pPr>
    </w:p>
    <w:p w:rsidR="00077938" w:rsidP="00077938">
      <w:pPr>
        <w:pStyle w:val="NormalWeb"/>
        <w:contextualSpacing/>
        <w:jc w:val="both"/>
      </w:pPr>
      <w:r>
        <w:t>2. § 11 sa dopĺňa odsekom 1</w:t>
      </w:r>
      <w:r>
        <w:t>5, ktorý znie:</w:t>
      </w:r>
    </w:p>
    <w:p w:rsidR="00077938" w:rsidRPr="009F77EB" w:rsidP="00077938">
      <w:pPr>
        <w:pStyle w:val="NormalWeb"/>
        <w:ind w:left="426"/>
        <w:contextualSpacing/>
        <w:jc w:val="both"/>
      </w:pPr>
      <w:r>
        <w:t>„(15)  Ak má daňovník súčet čiastkových základov dane z príjmov podľa § 5 a § 6 ods. 1  a 2, zníži si najskôr čiastkový základ dane z príjmov podľa § 5 o nezdaniteľné časti základu dane uvedené v </w:t>
      </w:r>
      <w:r w:rsidRPr="00F75757">
        <w:t xml:space="preserve">odsekoch 2, 3, 10 a 14. </w:t>
      </w:r>
      <w:r w:rsidRPr="00F75757">
        <w:rPr>
          <w:bCs/>
        </w:rPr>
        <w:t>Čiastkový základ dane z príjmov podľa § 6 ods. 1 a 2 si zníži len o nezdaniteľné časti základu dane uvedené v odsekoch 2, 3, 10 a 14</w:t>
      </w:r>
      <w:r w:rsidRPr="009F77EB">
        <w:rPr>
          <w:bCs/>
        </w:rPr>
        <w:t xml:space="preserve"> prevyšujúce čiastkový základ dane z príjmov podľa § 5</w:t>
      </w:r>
      <w:r w:rsidRPr="009F77EB">
        <w:t>.“.</w:t>
      </w:r>
    </w:p>
    <w:p w:rsidR="00077938" w:rsidP="00077938">
      <w:pPr>
        <w:pStyle w:val="NormalWeb"/>
        <w:ind w:left="426"/>
        <w:contextualSpacing/>
        <w:jc w:val="both"/>
      </w:pPr>
    </w:p>
    <w:p w:rsidR="00077938" w:rsidP="00077938">
      <w:pPr>
        <w:pStyle w:val="NormalWeb"/>
        <w:contextualSpacing/>
        <w:jc w:val="both"/>
      </w:pPr>
      <w:r>
        <w:t>3.V § 15 písmeno a) znie:</w:t>
      </w:r>
    </w:p>
    <w:p w:rsidR="00077938" w:rsidP="00077938">
      <w:pPr>
        <w:pStyle w:val="NormalWeb"/>
        <w:ind w:left="720"/>
        <w:contextualSpacing/>
        <w:jc w:val="both"/>
      </w:pPr>
      <w:r>
        <w:t>„a) fyzickú osobu</w:t>
      </w:r>
    </w:p>
    <w:p w:rsidR="00077938" w:rsidP="00077938">
      <w:pPr>
        <w:pStyle w:val="NormalWeb"/>
        <w:ind w:left="720"/>
        <w:contextualSpacing/>
        <w:jc w:val="both"/>
      </w:pPr>
      <w:r>
        <w:t>1.zo základu dane</w:t>
      </w:r>
      <w:r w:rsidRPr="00F75390">
        <w:t xml:space="preserve"> </w:t>
      </w:r>
      <w:r>
        <w:t>zisteného podľa § 4 ods.</w:t>
      </w:r>
      <w:r>
        <w:t xml:space="preserve"> 1 písm. a)</w:t>
      </w:r>
    </w:p>
    <w:p w:rsidR="00077938" w:rsidP="00077938">
      <w:pPr>
        <w:pStyle w:val="NormalWeb"/>
        <w:ind w:left="1560" w:hanging="426"/>
        <w:contextualSpacing/>
        <w:jc w:val="both"/>
      </w:pPr>
      <w:r>
        <w:t>1a. 19% z tej časti základu dane, ktorá nepresiahne 176,8-násobok sumy platného životného minima vrátane,</w:t>
      </w:r>
    </w:p>
    <w:p w:rsidR="00077938" w:rsidP="00077938">
      <w:pPr>
        <w:pStyle w:val="NormalWeb"/>
        <w:ind w:left="1560" w:hanging="426"/>
        <w:contextualSpacing/>
        <w:jc w:val="both"/>
      </w:pPr>
      <w:r>
        <w:t>1b. 25% z tej časti základu dane, ktorá presiahne 176,8-násobok platného životného minima,</w:t>
      </w:r>
    </w:p>
    <w:p w:rsidR="00077938" w:rsidRPr="00DE6BC0" w:rsidP="00BE1FF9">
      <w:pPr>
        <w:pStyle w:val="NormalWeb"/>
        <w:numPr>
          <w:ilvl w:val="0"/>
          <w:numId w:val="4"/>
        </w:numPr>
        <w:contextualSpacing/>
        <w:jc w:val="both"/>
      </w:pPr>
      <w:r w:rsidRPr="00DE6BC0">
        <w:t>15% zo základu dane zisteného podľa § 4 ods. 1 písm. b) zníženého o daňovú stratu          pre daňovníka, ktorý dosiahol za zdaňovacie obdobie príjmy (výnosy) podľa § 6 ods. 1 a 2 neprevyšujúce sumu 100 000 eur,</w:t>
      </w:r>
    </w:p>
    <w:p w:rsidR="00077938" w:rsidRPr="00DE6BC0" w:rsidP="00BE1FF9">
      <w:pPr>
        <w:pStyle w:val="NormalWeb"/>
        <w:numPr>
          <w:ilvl w:val="0"/>
          <w:numId w:val="4"/>
        </w:numPr>
        <w:contextualSpacing/>
        <w:jc w:val="both"/>
      </w:pPr>
      <w:r w:rsidRPr="00DE6BC0">
        <w:t>zo základu dane zisteného podľa § 4 ods. 1 písm. b) zníženého o daňovú stratu          pre daňovníka, ktorý dosiahol za zdaňovacie obdobie príjmy (výnosy) podľa § 6 ods. 1 a 2 prevyšujúce sumu 100 000 eur</w:t>
      </w:r>
    </w:p>
    <w:p w:rsidR="00077938" w:rsidRPr="00DE6BC0" w:rsidP="00077938">
      <w:pPr>
        <w:pStyle w:val="NormalWeb"/>
        <w:ind w:left="1080"/>
        <w:contextualSpacing/>
        <w:jc w:val="both"/>
      </w:pPr>
      <w:r w:rsidRPr="00DE6BC0">
        <w:t>3a. 19% z tej časti základu dane, ktorá nepresiahne 176,8-násobok sumy platného životného minima vrátane,</w:t>
      </w:r>
    </w:p>
    <w:p w:rsidR="00077938" w:rsidP="00077938">
      <w:pPr>
        <w:pStyle w:val="NormalWeb"/>
        <w:ind w:left="1080"/>
        <w:contextualSpacing/>
        <w:jc w:val="both"/>
      </w:pPr>
      <w:r w:rsidRPr="00DE6BC0">
        <w:t>3b. 25% z tej časti základu dane, ktorá presiahne 176,8-násobok platného životného minima,</w:t>
      </w:r>
    </w:p>
    <w:p w:rsidR="00077938" w:rsidP="00BE1FF9">
      <w:pPr>
        <w:pStyle w:val="NormalWeb"/>
        <w:numPr>
          <w:ilvl w:val="0"/>
          <w:numId w:val="4"/>
        </w:numPr>
        <w:contextualSpacing/>
        <w:jc w:val="both"/>
      </w:pPr>
      <w:r>
        <w:t>19% z osobitného základu dane zisteného podľa § 7,</w:t>
      </w:r>
    </w:p>
    <w:p w:rsidR="00077938" w:rsidP="00BE1FF9">
      <w:pPr>
        <w:pStyle w:val="NormalWeb"/>
        <w:numPr>
          <w:ilvl w:val="0"/>
          <w:numId w:val="4"/>
        </w:numPr>
        <w:contextualSpacing/>
        <w:jc w:val="both"/>
      </w:pPr>
      <w:r>
        <w:t>7% z osobitného základu dane zisteného podľa § 51e ods. 3 písm. a),</w:t>
      </w:r>
    </w:p>
    <w:p w:rsidR="00077938" w:rsidP="00BE1FF9">
      <w:pPr>
        <w:pStyle w:val="NormalWeb"/>
        <w:numPr>
          <w:ilvl w:val="0"/>
          <w:numId w:val="4"/>
        </w:numPr>
        <w:contextualSpacing/>
        <w:jc w:val="both"/>
      </w:pPr>
      <w:r>
        <w:t>35% z osobitného základu dane zisteného podľa § 51e ods. 3 písm. b</w:t>
      </w:r>
      <w:r w:rsidRPr="00782800">
        <w:t>),“</w:t>
      </w:r>
      <w:r w:rsidRPr="00DE6BC0">
        <w:t>.</w:t>
      </w:r>
      <w:r>
        <w:t>“.</w:t>
      </w:r>
    </w:p>
    <w:p w:rsidR="00077938" w:rsidP="00077938">
      <w:pPr>
        <w:pStyle w:val="NormalWeb"/>
        <w:ind w:left="1080"/>
        <w:contextualSpacing/>
        <w:jc w:val="both"/>
      </w:pPr>
    </w:p>
    <w:p w:rsidR="00077938" w:rsidP="00077938">
      <w:pPr>
        <w:pStyle w:val="NormalWeb"/>
        <w:contextualSpacing/>
        <w:jc w:val="both"/>
      </w:pPr>
      <w:r>
        <w:t>Doterajšie body 1 a 2 sa primerane prečíslujú.</w:t>
      </w:r>
    </w:p>
    <w:p w:rsidR="00077938" w:rsidRPr="00782800" w:rsidP="00077938">
      <w:pPr>
        <w:pStyle w:val="NormalWeb"/>
        <w:contextualSpacing/>
        <w:jc w:val="both"/>
      </w:pPr>
    </w:p>
    <w:p w:rsidR="00077938" w:rsidRPr="00B343C8" w:rsidP="00BE1FF9">
      <w:pPr>
        <w:pStyle w:val="NormalWeb"/>
        <w:numPr>
          <w:ilvl w:val="0"/>
          <w:numId w:val="2"/>
        </w:numPr>
        <w:contextualSpacing/>
        <w:jc w:val="both"/>
        <w:rPr>
          <w:b/>
          <w:u w:val="single"/>
        </w:rPr>
      </w:pPr>
      <w:r w:rsidRPr="00B343C8">
        <w:rPr>
          <w:b/>
          <w:u w:val="single"/>
        </w:rPr>
        <w:t>K čl. I, doterajší bod 1</w:t>
      </w:r>
    </w:p>
    <w:p w:rsidR="00077938" w:rsidRPr="00E84C51" w:rsidP="00077938">
      <w:pPr>
        <w:pStyle w:val="NormalWeb"/>
        <w:ind w:left="720"/>
        <w:contextualSpacing/>
        <w:jc w:val="both"/>
      </w:pPr>
      <w:r w:rsidRPr="00E84C51">
        <w:t>Doterajší bod 1 znie:</w:t>
      </w:r>
    </w:p>
    <w:p w:rsidR="00077938" w:rsidRPr="00E84C51" w:rsidP="00077938">
      <w:pPr>
        <w:pStyle w:val="NormalWeb"/>
        <w:ind w:left="720"/>
        <w:contextualSpacing/>
        <w:jc w:val="both"/>
      </w:pPr>
      <w:r w:rsidRPr="00E84C51">
        <w:t>„1. V § 15 písm. b) prvý bod znie:</w:t>
      </w:r>
    </w:p>
    <w:p w:rsidR="00077938" w:rsidRPr="00E84C51" w:rsidP="00077938">
      <w:pPr>
        <w:pStyle w:val="NormalWeb"/>
        <w:ind w:left="709"/>
        <w:contextualSpacing/>
        <w:jc w:val="both"/>
      </w:pPr>
      <w:r w:rsidRPr="00E84C51">
        <w:t>„1. zo základu dane zníženého o daňovú stratu</w:t>
      </w:r>
    </w:p>
    <w:p w:rsidR="00077938" w:rsidRPr="00E84C51" w:rsidP="00077938">
      <w:pPr>
        <w:pStyle w:val="NormalWeb"/>
        <w:ind w:left="1418" w:hanging="425"/>
        <w:contextualSpacing/>
        <w:jc w:val="both"/>
      </w:pPr>
      <w:r w:rsidRPr="00E84C51">
        <w:t>1a. 15 % pre daňovníka, ktorý dosiahol za zdaňovacie obdobie príjmy (výnosy) neprevyšujúce sumu 100 000 eur,</w:t>
      </w:r>
    </w:p>
    <w:p w:rsidR="00077938" w:rsidRPr="00EF57AC" w:rsidP="00077938">
      <w:pPr>
        <w:pStyle w:val="NormalWeb"/>
        <w:ind w:left="993"/>
        <w:contextualSpacing/>
        <w:jc w:val="both"/>
      </w:pPr>
      <w:r w:rsidRPr="00EF57AC">
        <w:t>1b. 21 % pre daňovníka neuvedeného v bode 1a.,“.“.</w:t>
      </w:r>
    </w:p>
    <w:p w:rsidR="00077938" w:rsidP="00077938">
      <w:pPr>
        <w:pStyle w:val="NormalWeb"/>
        <w:ind w:left="426"/>
        <w:contextualSpacing/>
        <w:jc w:val="both"/>
      </w:pPr>
    </w:p>
    <w:p w:rsidR="00077938" w:rsidRPr="00EF57AC" w:rsidP="00077938">
      <w:pPr>
        <w:pStyle w:val="NormalWeb"/>
        <w:ind w:left="426"/>
        <w:contextualSpacing/>
        <w:jc w:val="both"/>
      </w:pPr>
    </w:p>
    <w:p w:rsidR="00077938" w:rsidRPr="00B343C8" w:rsidP="00BE1FF9">
      <w:pPr>
        <w:pStyle w:val="NormalWeb"/>
        <w:numPr>
          <w:ilvl w:val="0"/>
          <w:numId w:val="2"/>
        </w:numPr>
        <w:contextualSpacing/>
        <w:jc w:val="both"/>
        <w:rPr>
          <w:b/>
          <w:u w:val="single"/>
        </w:rPr>
      </w:pPr>
      <w:r w:rsidRPr="00B343C8">
        <w:rPr>
          <w:b/>
          <w:u w:val="single"/>
        </w:rPr>
        <w:t>K čl. I, nové body</w:t>
      </w:r>
    </w:p>
    <w:p w:rsidR="00077938" w:rsidRPr="00EF57AC" w:rsidP="00077938">
      <w:pPr>
        <w:pStyle w:val="NormalWeb"/>
        <w:ind w:left="720"/>
        <w:contextualSpacing/>
        <w:jc w:val="both"/>
      </w:pPr>
      <w:r w:rsidRPr="00EF57AC">
        <w:t xml:space="preserve">Za doterajší bod 1 sa vkladajú nové body </w:t>
      </w:r>
      <w:r>
        <w:t>2</w:t>
      </w:r>
      <w:r w:rsidRPr="00EF57AC">
        <w:t xml:space="preserve"> a </w:t>
      </w:r>
      <w:r>
        <w:t>3</w:t>
      </w:r>
      <w:r w:rsidRPr="00EF57AC">
        <w:t xml:space="preserve">, ktoré znejú: </w:t>
      </w:r>
    </w:p>
    <w:p w:rsidR="00077938" w:rsidRPr="00F75757" w:rsidP="00077938">
      <w:pPr>
        <w:pStyle w:val="NormalWeb"/>
        <w:ind w:left="720"/>
        <w:contextualSpacing/>
        <w:jc w:val="both"/>
      </w:pPr>
      <w:r w:rsidRPr="00EF57AC">
        <w:t>„</w:t>
      </w:r>
      <w:r>
        <w:t>2</w:t>
      </w:r>
      <w:r w:rsidRPr="00F75757">
        <w:t>. V § 42 ods. 6 sa slová „podľa § 15 platnej v zdaňovacom období, na ktoré sú platené preddavky na daň“ nahrádzajú slovami „vo výške 19%“.</w:t>
      </w:r>
    </w:p>
    <w:p w:rsidR="00077938" w:rsidRPr="00F75757" w:rsidP="00077938">
      <w:pPr>
        <w:pStyle w:val="NormalWeb"/>
        <w:ind w:left="284"/>
        <w:contextualSpacing/>
        <w:jc w:val="both"/>
      </w:pPr>
    </w:p>
    <w:p w:rsidR="00077938" w:rsidRPr="00F75757" w:rsidP="00BE1FF9">
      <w:pPr>
        <w:pStyle w:val="NormalWeb"/>
        <w:numPr>
          <w:ilvl w:val="0"/>
          <w:numId w:val="6"/>
        </w:numPr>
        <w:contextualSpacing/>
        <w:jc w:val="both"/>
      </w:pPr>
      <w:r w:rsidRPr="00F75757">
        <w:t>V § 42 ods. 7 druhej vete sa slová „platnej v zdaňovacom období, na ktoré sú platené preddavky“ nahrádzajú slovami „vo výške 19%“.“.</w:t>
      </w:r>
    </w:p>
    <w:p w:rsidR="00077938" w:rsidRPr="00F75757" w:rsidP="00077938">
      <w:pPr>
        <w:pStyle w:val="NormalWeb"/>
        <w:ind w:left="720"/>
        <w:contextualSpacing/>
        <w:jc w:val="both"/>
      </w:pPr>
    </w:p>
    <w:p w:rsidR="00077938" w:rsidRPr="00F75757" w:rsidP="00077938">
      <w:pPr>
        <w:pStyle w:val="NormalWeb"/>
        <w:ind w:left="720"/>
        <w:contextualSpacing/>
        <w:jc w:val="both"/>
      </w:pPr>
      <w:r w:rsidRPr="00F75757">
        <w:t xml:space="preserve">Doterajší bod 2 sa primerane prečísluje. </w:t>
      </w:r>
    </w:p>
    <w:p w:rsidR="00077938" w:rsidP="00077938">
      <w:pPr>
        <w:pStyle w:val="NormalWeb"/>
        <w:ind w:left="1080"/>
        <w:contextualSpacing/>
        <w:jc w:val="both"/>
      </w:pPr>
    </w:p>
    <w:p w:rsidR="00077938" w:rsidRPr="00F75757" w:rsidP="00077938">
      <w:pPr>
        <w:pStyle w:val="NormalWeb"/>
        <w:ind w:left="1080"/>
        <w:contextualSpacing/>
        <w:jc w:val="both"/>
      </w:pPr>
    </w:p>
    <w:p w:rsidR="00077938" w:rsidRPr="00B343C8" w:rsidP="00BE1FF9">
      <w:pPr>
        <w:pStyle w:val="NormalWeb"/>
        <w:numPr>
          <w:ilvl w:val="0"/>
          <w:numId w:val="2"/>
        </w:numPr>
        <w:contextualSpacing/>
        <w:jc w:val="both"/>
        <w:rPr>
          <w:b/>
          <w:u w:val="single"/>
        </w:rPr>
      </w:pPr>
      <w:r w:rsidRPr="00B343C8">
        <w:rPr>
          <w:b/>
          <w:u w:val="single"/>
        </w:rPr>
        <w:t>K čl. I, doterajší bod 2</w:t>
      </w:r>
    </w:p>
    <w:p w:rsidR="00077938" w:rsidRPr="00F75757" w:rsidP="00077938">
      <w:pPr>
        <w:pStyle w:val="NormalWeb"/>
        <w:ind w:left="720"/>
        <w:contextualSpacing/>
        <w:jc w:val="both"/>
      </w:pPr>
      <w:r w:rsidRPr="00F75757">
        <w:t>Doterajší bod 2 znie:</w:t>
      </w:r>
    </w:p>
    <w:p w:rsidR="00077938" w:rsidRPr="00F75757" w:rsidP="00077938">
      <w:pPr>
        <w:pStyle w:val="NormalWeb"/>
        <w:ind w:left="1134" w:hanging="414"/>
        <w:contextualSpacing/>
        <w:jc w:val="both"/>
      </w:pPr>
      <w:r w:rsidRPr="00F75757">
        <w:t>„2. Za § 52zy sa vkladá § 52zz, ktorý vrátane nadpisu znie:</w:t>
      </w:r>
    </w:p>
    <w:p w:rsidR="00077938" w:rsidRPr="00F75757" w:rsidP="00077938">
      <w:pPr>
        <w:pStyle w:val="NormalWeb"/>
        <w:ind w:left="720"/>
        <w:contextualSpacing/>
        <w:jc w:val="both"/>
      </w:pPr>
    </w:p>
    <w:p w:rsidR="00077938" w:rsidRPr="00F75757" w:rsidP="00077938">
      <w:pPr>
        <w:pStyle w:val="NormalWeb"/>
        <w:spacing w:before="120" w:after="120"/>
        <w:ind w:left="720"/>
        <w:contextualSpacing/>
        <w:jc w:val="center"/>
      </w:pPr>
      <w:r w:rsidRPr="00F75757">
        <w:t>„§ 52zz</w:t>
      </w:r>
    </w:p>
    <w:p w:rsidR="00077938" w:rsidRPr="00F75757" w:rsidP="00077938">
      <w:pPr>
        <w:pStyle w:val="NormalWeb"/>
        <w:spacing w:before="120" w:after="120"/>
        <w:ind w:left="720"/>
        <w:contextualSpacing/>
        <w:jc w:val="center"/>
      </w:pPr>
      <w:r w:rsidRPr="00F75757">
        <w:t>Prechodné ustanovenie k úpravám účinným od 1. januára 2020</w:t>
      </w:r>
    </w:p>
    <w:p w:rsidR="00077938" w:rsidRPr="00F75757" w:rsidP="00077938">
      <w:pPr>
        <w:pStyle w:val="NormalWeb"/>
        <w:spacing w:before="120" w:after="120"/>
        <w:ind w:left="720"/>
        <w:contextualSpacing/>
        <w:jc w:val="both"/>
      </w:pPr>
    </w:p>
    <w:p w:rsidR="00077938" w:rsidP="00077938">
      <w:pPr>
        <w:pStyle w:val="NormalWeb"/>
        <w:spacing w:before="120" w:after="120"/>
        <w:contextualSpacing/>
        <w:jc w:val="both"/>
      </w:pPr>
      <w:r w:rsidRPr="00F75757">
        <w:t>Ustanovenia § 15 písm. b) prvého bodu a § 42 ods. 6 a 7 v znení účinnom od 1. januára 2020 sa prvýkrát uplatnia za zdaňovacie obdobie začínajúce najskôr od 1. januára 2020.“.“.</w:t>
      </w:r>
    </w:p>
    <w:p w:rsidR="00077938" w:rsidP="00077938">
      <w:pPr>
        <w:ind w:left="4395"/>
        <w:jc w:val="both"/>
      </w:pPr>
      <w:r w:rsidRPr="00DD715E">
        <w:t xml:space="preserve">Navrhovanou </w:t>
      </w:r>
      <w:r>
        <w:t xml:space="preserve">úpravou sa zavádza nová sadzba dane vo výške 15% pre fyzické osoby dosahujúce príjmy z podnikania a z inej samostatnej zárobkovej činnosti a to v prípade, ak ich príjmy (výnosy) v príslušnom zdaňovacom období neprekročia sumu 100 000 eur. </w:t>
      </w:r>
    </w:p>
    <w:p w:rsidR="00077938" w:rsidRPr="00DD715E" w:rsidP="00077938">
      <w:pPr>
        <w:ind w:left="4395"/>
        <w:jc w:val="both"/>
      </w:pPr>
      <w:r>
        <w:t xml:space="preserve">Pre zabezpečenie možnosti uplatnenia tejto </w:t>
      </w:r>
      <w:r w:rsidRPr="00DD715E">
        <w:t>nižšej sadzby dane sa mení výpočet základu dane daňovníka – fyzickej osoby uvedený v § 4 zákona a to tak, že bude samostatne vypočítavať</w:t>
      </w:r>
    </w:p>
    <w:p w:rsidR="00077938" w:rsidRPr="00DD715E" w:rsidP="00BE1FF9">
      <w:pPr>
        <w:pStyle w:val="ListParagraph"/>
        <w:numPr>
          <w:ilvl w:val="0"/>
          <w:numId w:val="5"/>
        </w:numPr>
        <w:spacing w:after="0" w:line="240" w:lineRule="auto"/>
        <w:jc w:val="both"/>
        <w:rPr>
          <w:rFonts w:ascii="Times New Roman" w:hAnsi="Times New Roman"/>
          <w:sz w:val="24"/>
          <w:szCs w:val="24"/>
        </w:rPr>
      </w:pPr>
      <w:r w:rsidRPr="00DD715E">
        <w:rPr>
          <w:rFonts w:ascii="Times New Roman" w:hAnsi="Times New Roman"/>
          <w:sz w:val="24"/>
          <w:szCs w:val="24"/>
        </w:rPr>
        <w:t>základ dane podľa § 4 ods. 1 písm. a) zákona, v ktorom vypočíta súčet základ</w:t>
      </w:r>
      <w:r>
        <w:rPr>
          <w:rFonts w:ascii="Times New Roman" w:hAnsi="Times New Roman"/>
          <w:sz w:val="24"/>
          <w:szCs w:val="24"/>
        </w:rPr>
        <w:t>ov</w:t>
      </w:r>
      <w:r w:rsidRPr="00DD715E">
        <w:rPr>
          <w:rFonts w:ascii="Times New Roman" w:hAnsi="Times New Roman"/>
          <w:sz w:val="24"/>
          <w:szCs w:val="24"/>
        </w:rPr>
        <w:t xml:space="preserve"> dane (čiastkov</w:t>
      </w:r>
      <w:r>
        <w:rPr>
          <w:rFonts w:ascii="Times New Roman" w:hAnsi="Times New Roman"/>
          <w:sz w:val="24"/>
          <w:szCs w:val="24"/>
        </w:rPr>
        <w:t>ých</w:t>
      </w:r>
      <w:r w:rsidRPr="00DD715E">
        <w:rPr>
          <w:rFonts w:ascii="Times New Roman" w:hAnsi="Times New Roman"/>
          <w:sz w:val="24"/>
          <w:szCs w:val="24"/>
        </w:rPr>
        <w:t xml:space="preserve"> základ</w:t>
      </w:r>
      <w:r>
        <w:rPr>
          <w:rFonts w:ascii="Times New Roman" w:hAnsi="Times New Roman"/>
          <w:sz w:val="24"/>
          <w:szCs w:val="24"/>
        </w:rPr>
        <w:t>ov</w:t>
      </w:r>
      <w:r w:rsidRPr="00DD715E">
        <w:rPr>
          <w:rFonts w:ascii="Times New Roman" w:hAnsi="Times New Roman"/>
          <w:sz w:val="24"/>
          <w:szCs w:val="24"/>
        </w:rPr>
        <w:t xml:space="preserve"> dane) z príjmov zo závislej činnosti,  z príjmov z prenájmu a z použitia diela a umeleckého výkonu</w:t>
      </w:r>
      <w:r>
        <w:rPr>
          <w:rFonts w:ascii="Times New Roman" w:hAnsi="Times New Roman"/>
          <w:sz w:val="24"/>
          <w:szCs w:val="24"/>
        </w:rPr>
        <w:t xml:space="preserve"> </w:t>
      </w:r>
      <w:r w:rsidRPr="00DD715E">
        <w:rPr>
          <w:rFonts w:ascii="Times New Roman" w:hAnsi="Times New Roman"/>
          <w:sz w:val="24"/>
          <w:szCs w:val="24"/>
        </w:rPr>
        <w:t>a z ostatných príjmov a</w:t>
      </w:r>
    </w:p>
    <w:p w:rsidR="00077938" w:rsidP="00BE1FF9">
      <w:pPr>
        <w:pStyle w:val="ListParagraph"/>
        <w:numPr>
          <w:ilvl w:val="0"/>
          <w:numId w:val="5"/>
        </w:numPr>
        <w:spacing w:after="0" w:line="240" w:lineRule="auto"/>
        <w:jc w:val="both"/>
        <w:rPr>
          <w:rFonts w:ascii="Times New Roman" w:hAnsi="Times New Roman"/>
          <w:sz w:val="24"/>
          <w:szCs w:val="24"/>
        </w:rPr>
      </w:pPr>
      <w:r>
        <w:rPr>
          <w:rFonts w:ascii="Times New Roman" w:hAnsi="Times New Roman"/>
          <w:sz w:val="24"/>
          <w:szCs w:val="24"/>
        </w:rPr>
        <w:t>základ dane (čiastkový základ dane) z príjmov z podnikania a z inej samostatnej zárobkovej činnosti.</w:t>
      </w:r>
    </w:p>
    <w:p w:rsidR="00077938" w:rsidP="00077938">
      <w:pPr>
        <w:ind w:left="4395"/>
        <w:jc w:val="both"/>
      </w:pPr>
      <w:r>
        <w:t>V tejto nadväznosti sa upravuje aj postup pri odpočítaní nezdaniteľných častí základu dane, kde spôsob výpočtu zostáva rovnaký, ale v prípade súbehu príjmov zo závislej činnosti s príjmami z podnikania a z inej samostatnej zárobkovej činnosti, bude ustanovený prednostný odpočet nezdaniteľných častí od základu dane (čiastkového základu dane) z príjmov zo závislej činnosti a až ak by nejaká suma nezdaniteľných častí ešte zostala neuplatnená, túto si následne odpočíta od základu dane z príjmov z podnikania a z inej samostatnej zárobkovej činnosti.</w:t>
      </w:r>
    </w:p>
    <w:p w:rsidR="00077938" w:rsidRPr="00F75757" w:rsidP="00077938">
      <w:pPr>
        <w:ind w:left="4395"/>
        <w:jc w:val="both"/>
      </w:pPr>
      <w:r w:rsidRPr="00F75757">
        <w:t xml:space="preserve">Pokiaľ bude Národnou radou SR schválená   novela zákona o dani z príjmov (ČPT 1513), vzhľadom na zmenu navrhovanú v  bode 19 v článku I, na základe ktorého sa v § 11 vypúšťajú odseky 8 a 9, sa pri spracovaní čistopisu schváleného zákona </w:t>
      </w:r>
      <w:r>
        <w:t xml:space="preserve">resp. pri korektúre zákona v Zbierke zákonov, </w:t>
      </w:r>
      <w:r w:rsidRPr="00F75757">
        <w:t xml:space="preserve">vykoná v ustanovení § 11 ods. 15 jeho prečíslovanie, ako aj prečíslovanie vnútorných odkazov na odseky 10 a 14. </w:t>
      </w:r>
    </w:p>
    <w:p w:rsidR="00077938" w:rsidP="00077938">
      <w:pPr>
        <w:ind w:left="4395"/>
        <w:jc w:val="both"/>
      </w:pPr>
      <w:r w:rsidRPr="00F75757">
        <w:t>V prípade, ak by ale daňovníkove</w:t>
      </w:r>
      <w:r>
        <w:t xml:space="preserve"> príjmy (výnosy) z podnikania alebo z inej samostatnej zárobkovej činnosti presiahli za zdaňovacie obdobie výšku 100 000 eur, jeho sadzba dane sa bude vypočítavať rovnako ako tomu je v súčasnosti a to progresívnou sadzbou dane vo výške 19% a 25% zo základu dane (čiastkového základu dane) z týchto príjmov.</w:t>
      </w:r>
    </w:p>
    <w:p w:rsidR="00077938" w:rsidP="00077938">
      <w:pPr>
        <w:ind w:left="4395"/>
        <w:jc w:val="both"/>
      </w:pPr>
      <w:r>
        <w:t>Zároveň sa upravuje aj spôsob výpočtu preddavkov na preddavkové obdobie, kde sa pri výpočte poslednej známej daňovej povinnosti, z ktorej sa počítajú preddavky, uplatní sadzba dane vo výške 19%.</w:t>
      </w:r>
    </w:p>
    <w:p w:rsidR="00077938" w:rsidP="00077938">
      <w:pPr>
        <w:ind w:left="4395"/>
        <w:jc w:val="both"/>
      </w:pPr>
      <w:r>
        <w:t>Obdobne sa navrhuje</w:t>
      </w:r>
      <w:r w:rsidRPr="003039D7">
        <w:t xml:space="preserve"> sa zaviesť zníženú sadzbu dane z príjmov právnickej osoby vo výške 15 % pre tých daňovníkov, ktorých príjmy (výnosy) za zdaňovacie obdobie neprevýšia sumu 100 000 eur.</w:t>
      </w:r>
      <w:r>
        <w:t xml:space="preserve"> Ak príjmy (výnosy) daňovníka, ktorý je právnickou osobou prevýšia sumu 100 000 eur, sadzba dane, ktorá sa uplatní na základ dane po znížení o daňovú stratu, je vo výške 21 %. Podľa prechodného ustanovenia § 52zz ods. 1 sa takáto diferenciácia sadzby dane v závislosti od výšky dosiahnutých príjmov (výnosov) za zdaňovacie obdobie, uplatní prvýkrát za zdaňovacie obdobie začínajúce najskôr od 1. januára 2020. Nakoľko daňovníkovi bude známa výška sadzby dane platná na príslušné zdaňovacie obdobie až po jeho skončení na základe výšky dosiahnutých príjmov (výnosov), je potrebné zmeniť aj výpočet poslednej známej daňovej povinnosti na účely platenia preddavkov do lehoty na podanie daňového priznania tak, že sa použije sadzba dane vo výške 19 %.</w:t>
      </w:r>
    </w:p>
    <w:p w:rsidR="00077938" w:rsidRPr="003039D7" w:rsidP="00077938">
      <w:pPr>
        <w:ind w:left="4820"/>
        <w:jc w:val="both"/>
      </w:pPr>
    </w:p>
    <w:p w:rsidR="00EB1137" w:rsidRPr="00EB1137" w:rsidP="00EB1137"/>
    <w:p w:rsidR="001B749C" w:rsidP="00D96ABB">
      <w:pPr>
        <w:jc w:val="both"/>
        <w:rPr>
          <w:bCs w:val="0"/>
        </w:rPr>
      </w:pPr>
    </w:p>
    <w:p w:rsidR="001B749C" w:rsidP="00D96ABB">
      <w:pPr>
        <w:jc w:val="both"/>
        <w:rPr>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0000000000000000000"/>
    <w:charset w:val="EE"/>
    <w:family w:val="swiss"/>
    <w:pitch w:val="variable"/>
    <w:sig w:usb0="E1002EFF" w:usb1="C000605B" w:usb2="00000029" w:usb3="00000000" w:csb0="000101FF" w:csb1="00000000"/>
  </w:font>
  <w:font w:name="Calibri">
    <w:altName w:val="Century Gothic"/>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60B6">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5627"/>
    <w:multiLevelType w:val="hybridMultilevel"/>
    <w:tmpl w:val="62C8F7E4"/>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621714"/>
    <w:multiLevelType w:val="hybridMultilevel"/>
    <w:tmpl w:val="3818447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5EE436A"/>
    <w:multiLevelType w:val="hybridMultilevel"/>
    <w:tmpl w:val="69F661D4"/>
    <w:lvl w:ilvl="0">
      <w:start w:val="1"/>
      <w:numFmt w:val="upperLetter"/>
      <w:lvlText w:val="%1."/>
      <w:lvlJc w:val="left"/>
      <w:pPr>
        <w:tabs>
          <w:tab w:val="num" w:pos="360"/>
        </w:tabs>
        <w:ind w:left="360" w:hanging="360"/>
      </w:pPr>
    </w:lvl>
    <w:lvl w:ilvl="1">
      <w:start w:val="1"/>
      <w:numFmt w:val="decimal"/>
      <w:lvlText w:val="%2."/>
      <w:lvlJc w:val="left"/>
      <w:pPr>
        <w:tabs>
          <w:tab w:val="num" w:pos="-690"/>
        </w:tabs>
        <w:ind w:left="-690" w:hanging="360"/>
      </w:pPr>
    </w:lvl>
    <w:lvl w:ilvl="2">
      <w:start w:val="1"/>
      <w:numFmt w:val="decimal"/>
      <w:lvlText w:val="%3."/>
      <w:lvlJc w:val="left"/>
      <w:pPr>
        <w:tabs>
          <w:tab w:val="num" w:pos="30"/>
        </w:tabs>
        <w:ind w:left="30" w:hanging="360"/>
      </w:pPr>
    </w:lvl>
    <w:lvl w:ilvl="3">
      <w:start w:val="1"/>
      <w:numFmt w:val="decimal"/>
      <w:lvlText w:val="%4."/>
      <w:lvlJc w:val="left"/>
      <w:pPr>
        <w:tabs>
          <w:tab w:val="num" w:pos="750"/>
        </w:tabs>
        <w:ind w:left="750" w:hanging="360"/>
      </w:pPr>
    </w:lvl>
    <w:lvl w:ilvl="4">
      <w:start w:val="1"/>
      <w:numFmt w:val="decimal"/>
      <w:lvlText w:val="%5."/>
      <w:lvlJc w:val="left"/>
      <w:pPr>
        <w:tabs>
          <w:tab w:val="num" w:pos="1470"/>
        </w:tabs>
        <w:ind w:left="147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910"/>
        </w:tabs>
        <w:ind w:left="2910" w:hanging="360"/>
      </w:pPr>
    </w:lvl>
    <w:lvl w:ilvl="7">
      <w:start w:val="1"/>
      <w:numFmt w:val="decimal"/>
      <w:lvlText w:val="%8."/>
      <w:lvlJc w:val="left"/>
      <w:pPr>
        <w:tabs>
          <w:tab w:val="num" w:pos="3630"/>
        </w:tabs>
        <w:ind w:left="3630" w:hanging="360"/>
      </w:pPr>
    </w:lvl>
    <w:lvl w:ilvl="8">
      <w:start w:val="1"/>
      <w:numFmt w:val="decimal"/>
      <w:lvlText w:val="%9."/>
      <w:lvlJc w:val="left"/>
      <w:pPr>
        <w:tabs>
          <w:tab w:val="num" w:pos="4350"/>
        </w:tabs>
        <w:ind w:left="4350" w:hanging="360"/>
      </w:pPr>
    </w:lvl>
  </w:abstractNum>
  <w:abstractNum w:abstractNumId="3">
    <w:nsid w:val="2D3638F0"/>
    <w:multiLevelType w:val="hybridMultilevel"/>
    <w:tmpl w:val="04967184"/>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948641F"/>
    <w:multiLevelType w:val="hybridMultilevel"/>
    <w:tmpl w:val="DA78B51A"/>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06F4365"/>
    <w:multiLevelType w:val="hybridMultilevel"/>
    <w:tmpl w:val="E8164F4E"/>
    <w:lvl w:ilvl="0">
      <w:start w:val="0"/>
      <w:numFmt w:val="bullet"/>
      <w:lvlText w:val="-"/>
      <w:lvlJc w:val="left"/>
      <w:pPr>
        <w:ind w:left="5180" w:hanging="360"/>
      </w:pPr>
      <w:rPr>
        <w:rFonts w:ascii="Times New Roman" w:eastAsia="Times New Roman" w:hAnsi="Times New Roman" w:cs="Times New Roman" w:hint="default"/>
      </w:rPr>
    </w:lvl>
    <w:lvl w:ilvl="1" w:tentative="1">
      <w:start w:val="1"/>
      <w:numFmt w:val="bullet"/>
      <w:lvlText w:val="o"/>
      <w:lvlJc w:val="left"/>
      <w:pPr>
        <w:ind w:left="5900" w:hanging="360"/>
      </w:pPr>
      <w:rPr>
        <w:rFonts w:ascii="Courier New" w:hAnsi="Courier New" w:cs="Courier New" w:hint="default"/>
      </w:rPr>
    </w:lvl>
    <w:lvl w:ilvl="2" w:tentative="1">
      <w:start w:val="1"/>
      <w:numFmt w:val="bullet"/>
      <w:lvlText w:val=""/>
      <w:lvlJc w:val="left"/>
      <w:pPr>
        <w:ind w:left="6620" w:hanging="360"/>
      </w:pPr>
      <w:rPr>
        <w:rFonts w:ascii="Wingdings" w:hAnsi="Wingdings" w:hint="default"/>
      </w:rPr>
    </w:lvl>
    <w:lvl w:ilvl="3" w:tentative="1">
      <w:start w:val="1"/>
      <w:numFmt w:val="bullet"/>
      <w:lvlText w:val=""/>
      <w:lvlJc w:val="left"/>
      <w:pPr>
        <w:ind w:left="7340" w:hanging="360"/>
      </w:pPr>
      <w:rPr>
        <w:rFonts w:ascii="Symbol" w:hAnsi="Symbol" w:hint="default"/>
      </w:rPr>
    </w:lvl>
    <w:lvl w:ilvl="4" w:tentative="1">
      <w:start w:val="1"/>
      <w:numFmt w:val="bullet"/>
      <w:lvlText w:val="o"/>
      <w:lvlJc w:val="left"/>
      <w:pPr>
        <w:ind w:left="8060" w:hanging="360"/>
      </w:pPr>
      <w:rPr>
        <w:rFonts w:ascii="Courier New" w:hAnsi="Courier New" w:cs="Courier New" w:hint="default"/>
      </w:rPr>
    </w:lvl>
    <w:lvl w:ilvl="5" w:tentative="1">
      <w:start w:val="1"/>
      <w:numFmt w:val="bullet"/>
      <w:lvlText w:val=""/>
      <w:lvlJc w:val="left"/>
      <w:pPr>
        <w:ind w:left="8780" w:hanging="360"/>
      </w:pPr>
      <w:rPr>
        <w:rFonts w:ascii="Wingdings" w:hAnsi="Wingdings" w:hint="default"/>
      </w:rPr>
    </w:lvl>
    <w:lvl w:ilvl="6" w:tentative="1">
      <w:start w:val="1"/>
      <w:numFmt w:val="bullet"/>
      <w:lvlText w:val=""/>
      <w:lvlJc w:val="left"/>
      <w:pPr>
        <w:ind w:left="9500" w:hanging="360"/>
      </w:pPr>
      <w:rPr>
        <w:rFonts w:ascii="Symbol" w:hAnsi="Symbol" w:hint="default"/>
      </w:rPr>
    </w:lvl>
    <w:lvl w:ilvl="7" w:tentative="1">
      <w:start w:val="1"/>
      <w:numFmt w:val="bullet"/>
      <w:lvlText w:val="o"/>
      <w:lvlJc w:val="left"/>
      <w:pPr>
        <w:ind w:left="10220" w:hanging="360"/>
      </w:pPr>
      <w:rPr>
        <w:rFonts w:ascii="Courier New" w:hAnsi="Courier New" w:cs="Courier New" w:hint="default"/>
      </w:rPr>
    </w:lvl>
    <w:lvl w:ilvl="8" w:tentative="1">
      <w:start w:val="1"/>
      <w:numFmt w:val="bullet"/>
      <w:lvlText w:val=""/>
      <w:lvlJc w:val="left"/>
      <w:pPr>
        <w:ind w:left="109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link w:val="Nadpis1Char"/>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link w:val="Nadpis4Char"/>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aliases w:val="Conclusion de partie,List Paragraph (Czech Tourism),Nad,ODRAZKY PRVA UROVEN,Odsek,Odsek zoznamu1,Odsek zoznamu2,Odstavec cíl se seznamem,Odstavec se seznamem5,Odstavec_muj,Seznam - odrážky,_Odstavec se seznamem,body"/>
    <w:basedOn w:val="Normal"/>
    <w:link w:val="OdsekzoznamuChar"/>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customStyle="1" w:styleId="Farebnzoznamzvraznenie11">
    <w:name w:val="Farebný zoznam – zvýraznenie 11"/>
    <w:basedOn w:val="Normal"/>
    <w:uiPriority w:val="34"/>
    <w:qFormat/>
    <w:rsid w:val="002B337A"/>
    <w:pPr>
      <w:spacing w:after="200" w:line="276" w:lineRule="auto"/>
      <w:ind w:left="720"/>
      <w:contextualSpacing/>
    </w:pPr>
    <w:rPr>
      <w:rFonts w:ascii="Calibri" w:hAnsi="Calibri"/>
      <w:bCs w:val="0"/>
      <w:sz w:val="22"/>
      <w:szCs w:val="22"/>
      <w:lang w:eastAsia="en-US"/>
    </w:rPr>
  </w:style>
  <w:style w:type="character" w:customStyle="1" w:styleId="Nadpis1Char">
    <w:name w:val="Nadpis 1 Char"/>
    <w:link w:val="Heading1"/>
    <w:rsid w:val="00BC169A"/>
    <w:rPr>
      <w:rFonts w:eastAsia="Arial Unicode MS"/>
      <w:b/>
      <w:bCs/>
      <w:sz w:val="24"/>
      <w:szCs w:val="24"/>
    </w:rPr>
  </w:style>
  <w:style w:type="character" w:customStyle="1" w:styleId="Nadpis4Char">
    <w:name w:val="Nadpis 4 Char"/>
    <w:link w:val="Heading4"/>
    <w:rsid w:val="00BC169A"/>
    <w:rPr>
      <w:rFonts w:eastAsia="Arial Unicode MS"/>
      <w:b/>
      <w:sz w:val="24"/>
    </w:rPr>
  </w:style>
  <w:style w:type="paragraph" w:styleId="NormalWeb">
    <w:name w:val="Normal (Web)"/>
    <w:basedOn w:val="Normal"/>
    <w:uiPriority w:val="99"/>
    <w:unhideWhenUsed/>
    <w:rsid w:val="00077938"/>
    <w:pPr>
      <w:spacing w:before="100" w:beforeAutospacing="1" w:after="100" w:afterAutospacing="1"/>
    </w:pPr>
    <w:rPr>
      <w:bCs w:val="0"/>
    </w:rPr>
  </w:style>
  <w:style w:type="character" w:customStyle="1" w:styleId="OdsekzoznamuChar">
    <w:name w:val="Odsek zoznamu Char"/>
    <w:aliases w:val="Conclusion de partie Char,Nad Char,ODRAZKY PRVA UROVEN Char,Odsek Char,Odsek zoznamu1 Char,Odsek zoznamu2 Char,Odstavec cíl se seznamem Char,Odstavec_muj Char,Seznam - odrážky Char,_Odstavec se seznamem Char,body Char"/>
    <w:link w:val="ListParagraph"/>
    <w:uiPriority w:val="34"/>
    <w:locked/>
    <w:rsid w:val="00077938"/>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AA7EA-314D-4D87-9463-1896AE6B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1248</Words>
  <Characters>7114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Šulková, Petra</cp:lastModifiedBy>
  <cp:revision>57</cp:revision>
  <cp:lastPrinted>2016-10-04T11:58:00Z</cp:lastPrinted>
  <dcterms:created xsi:type="dcterms:W3CDTF">2013-06-14T07:14:00Z</dcterms:created>
  <dcterms:modified xsi:type="dcterms:W3CDTF">2019-09-09T13:41:00Z</dcterms:modified>
</cp:coreProperties>
</file>