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1546F">
        <w:t>12</w:t>
      </w:r>
      <w:r w:rsidR="00EB1137">
        <w:t>82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1546F" w:rsidP="00652CCE">
      <w:pPr>
        <w:ind w:left="3540" w:firstLine="708"/>
        <w:rPr>
          <w:b/>
        </w:rPr>
      </w:pPr>
      <w:r w:rsidR="00075E13">
        <w:rPr>
          <w:b/>
        </w:rPr>
        <w:t xml:space="preserve">       453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EB1137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EB1137">
        <w:rPr>
          <w:bCs w:val="0"/>
        </w:rPr>
        <w:t>v</w:t>
      </w:r>
      <w:r w:rsidR="00EB1137">
        <w:t xml:space="preserve">ládny návrh zákona, ktorým sa mení a dopĺňa zákon č. 71/2013 Z. z. o </w:t>
      </w:r>
      <w:r w:rsidRPr="000D4331" w:rsidR="00EB1137">
        <w:rPr>
          <w:b/>
        </w:rPr>
        <w:t>poskytovaní dotácií v pôsobnosti Ministerstva hospodárstva Slovenskej re</w:t>
      </w:r>
      <w:r w:rsidRPr="000D4331" w:rsidR="00EB1137">
        <w:rPr>
          <w:b/>
        </w:rPr>
        <w:t>publiky</w:t>
      </w:r>
      <w:r w:rsidR="00EB1137">
        <w:t xml:space="preserve"> v znení neskorších predpisov </w:t>
      </w:r>
      <w:r w:rsidRPr="004546DC" w:rsidR="00EB1137">
        <w:rPr>
          <w:b/>
        </w:rPr>
        <w:t>(tlač 1507)</w:t>
      </w:r>
      <w:r w:rsidR="00EB1137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B113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EB1137">
        <w:rPr>
          <w:bCs w:val="0"/>
        </w:rPr>
        <w:t>v</w:t>
      </w:r>
      <w:r w:rsidR="00EB1137">
        <w:t xml:space="preserve">ládnym návrhom zákona, ktorým sa mení a dopĺňa zákon č. 71/2013 Z. z. o </w:t>
      </w:r>
      <w:r w:rsidRPr="000D4331" w:rsidR="00EB1137">
        <w:rPr>
          <w:b/>
        </w:rPr>
        <w:t>poskytovaní dotácií v pôsobnosti Ministerstva hospodárstva Slovenskej republiky</w:t>
      </w:r>
      <w:r w:rsidR="00EB1137">
        <w:t xml:space="preserve"> v znení neskorších predpisov </w:t>
      </w:r>
      <w:r w:rsidRPr="004546DC" w:rsidR="00EB1137">
        <w:rPr>
          <w:b/>
        </w:rPr>
        <w:t>(tlač 1507)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EB1137" w:rsidR="00EB1137">
        <w:rPr>
          <w:b w:val="0"/>
          <w:bCs w:val="0"/>
        </w:rPr>
        <w:t>v</w:t>
      </w:r>
      <w:r w:rsidRPr="00EB1137" w:rsidR="00EB1137">
        <w:rPr>
          <w:b w:val="0"/>
        </w:rPr>
        <w:t xml:space="preserve">ládny návrh zákona, ktorým sa mení a dopĺňa zákon č. 71/2013 Z. z. </w:t>
      </w:r>
      <w:r w:rsidRPr="00EB1137" w:rsidR="00EB1137">
        <w:t>o poskytovaní dotácií v pôsobnosti Ministerstva hospodárstva Slovenskej republiky</w:t>
      </w:r>
      <w:r w:rsidR="00EB1137">
        <w:t xml:space="preserve"> </w:t>
      </w:r>
      <w:r w:rsidRPr="00EB1137" w:rsidR="00EB1137">
        <w:rPr>
          <w:b w:val="0"/>
        </w:rPr>
        <w:t>v znení neskorších predpisov</w:t>
      </w:r>
      <w:r w:rsidR="00EB1137">
        <w:t xml:space="preserve"> </w:t>
      </w:r>
      <w:r w:rsidRPr="00EB1137" w:rsidR="00EB1137">
        <w:t>(tlač 1507)</w:t>
      </w:r>
      <w:r w:rsidR="00EB1137">
        <w:rPr>
          <w:b w:val="0"/>
        </w:rPr>
        <w:t xml:space="preserve"> </w:t>
      </w:r>
      <w:r>
        <w:t>schváliť s pozmeňujúc</w:t>
      </w:r>
      <w:r w:rsidR="00BD5870">
        <w:t>im a doplňujúcim</w:t>
      </w:r>
      <w:r w:rsidR="00B1546F">
        <w:t xml:space="preserve"> návrh</w:t>
      </w:r>
      <w:r w:rsidR="00CB4C8E">
        <w:t>o</w:t>
      </w:r>
      <w:r w:rsidR="00BD5870">
        <w:t>m</w:t>
      </w:r>
      <w:r>
        <w:t xml:space="preserve"> tak, </w:t>
      </w:r>
      <w:r w:rsidRPr="00E20A99">
        <w:t xml:space="preserve">ako </w:t>
      </w:r>
      <w:r w:rsidR="00CB4C8E">
        <w:t>je</w:t>
      </w:r>
      <w:r w:rsidR="00BD5870">
        <w:t xml:space="preserve"> uveden</w:t>
      </w:r>
      <w:r w:rsidR="00CB4C8E">
        <w:t>ý</w:t>
      </w:r>
      <w:r>
        <w:t xml:space="preserve"> </w:t>
      </w:r>
      <w:r w:rsidRPr="00E20A99">
        <w:t>v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EB1137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EB1137">
        <w:rPr>
          <w:lang w:val="sk-SK"/>
        </w:rPr>
        <w:t>hospodárske záležitosti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</w:t>
      </w:r>
      <w:r>
        <w:rPr>
          <w:lang w:val="sk-SK"/>
        </w:rPr>
        <w:t>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075E13">
        <w:rPr>
          <w:b/>
        </w:rPr>
        <w:t>453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CB4C8E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</w:t>
      </w:r>
      <w:r w:rsidR="00CB4C8E">
        <w:rPr>
          <w:b/>
          <w:bCs w:val="0"/>
        </w:rPr>
        <w:t>i</w:t>
      </w:r>
      <w:r w:rsidR="00BD5870">
        <w:rPr>
          <w:b/>
          <w:bCs w:val="0"/>
        </w:rPr>
        <w:t xml:space="preserve"> návrh</w:t>
      </w:r>
    </w:p>
    <w:p w:rsidR="00EB1137" w:rsidRPr="00EB1137" w:rsidP="00EB1137">
      <w:pPr>
        <w:pStyle w:val="Heading1"/>
        <w:ind w:left="360"/>
        <w:jc w:val="center"/>
      </w:pPr>
      <w:r w:rsidR="00BC169A">
        <w:t>k </w:t>
      </w:r>
      <w:r w:rsidRPr="005458EF" w:rsidR="00BC169A">
        <w:t xml:space="preserve"> </w:t>
      </w:r>
      <w:r w:rsidRPr="00EB1137">
        <w:rPr>
          <w:bCs w:val="0"/>
        </w:rPr>
        <w:t>v</w:t>
      </w:r>
      <w:r>
        <w:t>ládnemu</w:t>
      </w:r>
      <w:r w:rsidRPr="00EB1137">
        <w:t xml:space="preserve"> návrh</w:t>
      </w:r>
      <w:r>
        <w:t>u</w:t>
      </w:r>
      <w:r w:rsidRPr="00EB1137">
        <w:t xml:space="preserve"> zákona, ktorým sa mení a dopĺňa zákon č. 71/2013 Z. z. o poskytovaní dotácií v pôsobnosti Ministerstva hospodárstva Slovenskej republiky v znení neskorších predpisov (tlač 1507) </w:t>
      </w:r>
    </w:p>
    <w:p w:rsidR="001B749C" w:rsidP="00EB1137">
      <w:pPr>
        <w:pStyle w:val="Heading1"/>
        <w:ind w:left="360"/>
        <w:jc w:val="center"/>
        <w:rPr>
          <w:b w:val="0"/>
          <w:bCs w:val="0"/>
        </w:rPr>
      </w:pPr>
      <w:r w:rsidR="00BC169A">
        <w:rPr>
          <w:b w:val="0"/>
          <w:bCs w:val="0"/>
        </w:rPr>
        <w:t>–––––––––––––––––––––––––––––––––––––––––––––––</w:t>
      </w:r>
      <w:r w:rsidR="00EB1137">
        <w:rPr>
          <w:b w:val="0"/>
          <w:bCs w:val="0"/>
        </w:rPr>
        <w:t xml:space="preserve">–––––––––––––––––––––––––––– </w:t>
      </w:r>
    </w:p>
    <w:p w:rsidR="00EB1137" w:rsidP="00EB1137"/>
    <w:p w:rsidR="00075E13" w:rsidRPr="00075E13" w:rsidP="00075E13">
      <w:pPr>
        <w:jc w:val="both"/>
        <w:rPr>
          <w:rFonts w:eastAsia="Calibri"/>
          <w:b/>
          <w:lang w:eastAsia="en-US"/>
        </w:rPr>
      </w:pPr>
      <w:r w:rsidRPr="00075E13">
        <w:rPr>
          <w:rFonts w:eastAsia="Calibri"/>
          <w:b/>
          <w:lang w:eastAsia="en-US"/>
        </w:rPr>
        <w:t xml:space="preserve">1. V čl. I bode 3 § 8c odseky 5 a 6 znejú:   </w:t>
      </w:r>
    </w:p>
    <w:p w:rsidR="00075E13" w:rsidRPr="00075E13" w:rsidP="00075E13">
      <w:pPr>
        <w:ind w:firstLine="708"/>
        <w:jc w:val="both"/>
      </w:pPr>
      <w:r w:rsidRPr="00075E13">
        <w:rPr>
          <w:lang w:eastAsia="en-US"/>
        </w:rPr>
        <w:t>„(5) Dotáciu podľa odseku 1 možno poskytnúť na vozidlo podľa odseku 2 najviac                       vo výške</w:t>
      </w:r>
    </w:p>
    <w:p w:rsidR="00075E13" w:rsidRPr="00075E13" w:rsidP="00075E13">
      <w:pPr>
        <w:jc w:val="both"/>
        <w:rPr>
          <w:lang w:eastAsia="en-US"/>
        </w:rPr>
      </w:pPr>
      <w:r w:rsidRPr="00075E13">
        <w:rPr>
          <w:rFonts w:eastAsia="Calibri"/>
          <w:lang w:eastAsia="en-US"/>
        </w:rPr>
        <w:t>a) 10 000 eur, ak ide o vozidlá kategórie  M1 a N1,</w:t>
      </w:r>
    </w:p>
    <w:p w:rsidR="00075E13" w:rsidRPr="00075E13" w:rsidP="00075E13">
      <w:pPr>
        <w:jc w:val="both"/>
        <w:rPr>
          <w:lang w:eastAsia="en-US"/>
        </w:rPr>
      </w:pPr>
      <w:r w:rsidRPr="00075E13">
        <w:rPr>
          <w:lang w:eastAsia="en-US"/>
        </w:rPr>
        <w:t>b) 25 % z celkovej obstarávacej ceny vozidla okrem vozidiel kategórie M1 a N1,</w:t>
      </w:r>
    </w:p>
    <w:p w:rsidR="00075E13" w:rsidRPr="00075E13" w:rsidP="00075E13">
      <w:pPr>
        <w:spacing w:after="120"/>
        <w:jc w:val="both"/>
        <w:rPr>
          <w:lang w:eastAsia="en-US"/>
        </w:rPr>
      </w:pPr>
      <w:r w:rsidRPr="00075E13">
        <w:rPr>
          <w:lang w:eastAsia="en-US"/>
        </w:rPr>
        <w:t>c) 35 % z celkovej obstarávacej ceny vozidla, ak žiadateľ súčasne vyradil z evidencie vozidiel vozidlo so spaľovacím motorom staršie ako 15 rokov a táto dotácia nebola žiadateľovi už poskytnutá na iné vozidlo.</w:t>
      </w:r>
    </w:p>
    <w:p w:rsidR="00075E13" w:rsidRPr="00075E13" w:rsidP="00075E13">
      <w:pPr>
        <w:ind w:firstLine="708"/>
        <w:jc w:val="both"/>
        <w:rPr>
          <w:lang w:eastAsia="en-US"/>
        </w:rPr>
      </w:pPr>
      <w:r w:rsidRPr="00075E13">
        <w:rPr>
          <w:rFonts w:eastAsia="Calibri"/>
          <w:lang w:eastAsia="en-US"/>
        </w:rPr>
        <w:t xml:space="preserve">(6) </w:t>
      </w:r>
      <w:r w:rsidRPr="00075E13">
        <w:rPr>
          <w:lang w:eastAsia="en-US"/>
        </w:rPr>
        <w:t>Žiadateľ podľa odseku 3 je povinný prihlásiť vozidlo do evidencie vozidiel</w:t>
      </w:r>
      <w:r w:rsidRPr="00075E13">
        <w:rPr>
          <w:vertAlign w:val="superscript"/>
          <w:lang w:eastAsia="en-US"/>
        </w:rPr>
        <w:t>20d</w:t>
      </w:r>
      <w:r w:rsidRPr="00075E13">
        <w:rPr>
          <w:lang w:eastAsia="en-US"/>
        </w:rPr>
        <w:t>)                                 v Slovenskej republike</w:t>
      </w:r>
      <w:r w:rsidRPr="00075E13">
        <w:rPr>
          <w:lang w:eastAsia="en-US"/>
        </w:rPr>
        <w:t xml:space="preserve"> </w:t>
      </w:r>
      <w:r w:rsidRPr="00075E13">
        <w:rPr>
          <w:lang w:eastAsia="en-US"/>
        </w:rPr>
        <w:t xml:space="preserve">a byť vlastníkom tohto vozidla najmenej počas dvoch rokov                                  od poskytnutia dotácie.“. </w:t>
      </w:r>
    </w:p>
    <w:p w:rsidR="00075E13" w:rsidP="00075E13">
      <w:pPr>
        <w:ind w:left="3969"/>
        <w:contextualSpacing/>
        <w:jc w:val="both"/>
        <w:rPr>
          <w:rFonts w:eastAsia="Calibri"/>
          <w:lang w:eastAsia="en-US"/>
        </w:rPr>
      </w:pPr>
    </w:p>
    <w:p w:rsidR="00075E13" w:rsidRPr="00075E13" w:rsidP="00075E13">
      <w:pPr>
        <w:ind w:left="3969"/>
        <w:contextualSpacing/>
        <w:jc w:val="both"/>
        <w:rPr>
          <w:rFonts w:eastAsia="Calibri"/>
          <w:lang w:eastAsia="en-US"/>
        </w:rPr>
      </w:pPr>
      <w:r w:rsidRPr="00075E13">
        <w:rPr>
          <w:rFonts w:eastAsia="Calibri"/>
          <w:lang w:eastAsia="en-US"/>
        </w:rPr>
        <w:t xml:space="preserve">Navrhovaná úprava zabezpečí, aby intenzita výšky pomoci nedosiahla neprimeranú úroveň. Je nevyhnutné, aby sa finančné prostriedky čerpané </w:t>
      </w:r>
      <w:r w:rsidRPr="00075E13">
        <w:rPr>
          <w:rFonts w:eastAsia="Calibri"/>
          <w:lang w:eastAsia="en-US"/>
        </w:rPr>
        <w:t>zo štátneho rozpočtu prerozdelili v súlade so zásadami efektívnosti, hospodárnosti a účelnosti.</w:t>
      </w:r>
    </w:p>
    <w:p w:rsidR="00075E13" w:rsidRPr="00075E13" w:rsidP="00075E13">
      <w:pPr>
        <w:ind w:left="3969"/>
        <w:jc w:val="both"/>
        <w:rPr>
          <w:rFonts w:eastAsia="Calibri"/>
          <w:lang w:eastAsia="en-US"/>
        </w:rPr>
      </w:pPr>
      <w:r w:rsidRPr="00075E13">
        <w:rPr>
          <w:rFonts w:eastAsia="Calibri"/>
          <w:lang w:eastAsia="en-US"/>
        </w:rPr>
        <w:t xml:space="preserve">Úprava povinnosti žiadateľa vlastniť vozidlo je nevyhnutná, aby v praxi neprichádzalo k situáciám,                    že príjemca dotácie fakticky nedisponuje vozidlom,                      na ktoré mu bola udelená dotácia. Zamedzí sa tak špekulatívnemu zaobchádzaniu s dotáciami. </w:t>
      </w:r>
    </w:p>
    <w:p w:rsidR="00075E13" w:rsidRPr="00075E13" w:rsidP="00075E13">
      <w:pPr>
        <w:ind w:left="3969"/>
        <w:jc w:val="both"/>
        <w:rPr>
          <w:rFonts w:eastAsia="Calibri"/>
          <w:lang w:eastAsia="en-US"/>
        </w:rPr>
      </w:pPr>
      <w:r w:rsidRPr="00075E13">
        <w:rPr>
          <w:rFonts w:eastAsia="Calibri"/>
          <w:lang w:eastAsia="en-US"/>
        </w:rPr>
        <w:t>Doba, počas ktorej je nevyhnutné udržiavať vlastnícke právo k vozidlu reflektuje aj na novelizáciu zákona                              č. zákona č. 595/2003 Z. z. o dani z príjmov v znení neskorších predpisov, ktorou sa navrhuje zaviesť novú odpisovú skupinu 0 s dobou odpisovania 2 roky.                      Do novej odpisovej skupiny 0 budú môcť byť zaradené len osobné automobily, ktoré budú mať v osvedčení                   o evidencii časť II ako druh paliva/zdroj energie uvedené „BEV“ alebo „PHEV“ v akejkoľvek kombinácii s iným druhom paliva alebo zdroja energie.</w:t>
      </w:r>
    </w:p>
    <w:p w:rsidR="00075E13" w:rsidRPr="00075E13" w:rsidP="00075E13">
      <w:pPr>
        <w:jc w:val="both"/>
        <w:rPr>
          <w:rFonts w:eastAsia="Calibri"/>
          <w:lang w:eastAsia="en-US"/>
        </w:rPr>
      </w:pPr>
    </w:p>
    <w:p w:rsidR="00075E13" w:rsidRPr="00075E13" w:rsidP="00075E13">
      <w:pPr>
        <w:jc w:val="both"/>
        <w:rPr>
          <w:rFonts w:eastAsia="Calibri"/>
          <w:b/>
          <w:lang w:eastAsia="en-US"/>
        </w:rPr>
      </w:pPr>
      <w:r w:rsidRPr="00075E13">
        <w:rPr>
          <w:rFonts w:eastAsia="Calibri"/>
          <w:b/>
          <w:lang w:eastAsia="en-US"/>
        </w:rPr>
        <w:t>2. V čl. I bode 4 § 10 odsek 11 znie:</w:t>
      </w:r>
    </w:p>
    <w:p w:rsidR="00075E13" w:rsidRPr="00075E13" w:rsidP="00075E13">
      <w:pPr>
        <w:widowControl w:val="0"/>
        <w:ind w:left="1134" w:hanging="708"/>
        <w:contextualSpacing/>
        <w:jc w:val="both"/>
      </w:pPr>
      <w:r w:rsidRPr="00075E13">
        <w:t xml:space="preserve">„(11) Prílohou k žiadosti podľa § 2 písm. i) sú </w:t>
      </w:r>
    </w:p>
    <w:p w:rsidR="00075E13" w:rsidRPr="00075E13" w:rsidP="00075E1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sz w:val="24"/>
          <w:szCs w:val="24"/>
        </w:rPr>
        <w:t>doklady preukazujúce splnenie podmienok podľa osobitného predpisu,</w:t>
      </w:r>
      <w:r w:rsidRPr="00075E13">
        <w:rPr>
          <w:rFonts w:ascii="Times New Roman" w:hAnsi="Times New Roman"/>
          <w:sz w:val="24"/>
          <w:szCs w:val="24"/>
          <w:vertAlign w:val="superscript"/>
        </w:rPr>
        <w:t>23</w:t>
      </w:r>
      <w:r w:rsidRPr="00075E13">
        <w:rPr>
          <w:rFonts w:ascii="Times New Roman" w:hAnsi="Times New Roman"/>
          <w:sz w:val="24"/>
          <w:szCs w:val="24"/>
        </w:rPr>
        <w:t>)</w:t>
      </w:r>
    </w:p>
    <w:p w:rsidR="00075E13" w:rsidRPr="00075E13" w:rsidP="00075E1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sz w:val="24"/>
          <w:szCs w:val="24"/>
        </w:rPr>
        <w:t>čestné vyhlásenie, že žiadateľ nepožaduje alebo nečerpá finančné prostriedky na nákup z rozpočtu iného orgánu verejnej správy alebo inej osoby hospodáriacej s prostriedkami štátneho rozpočtu,</w:t>
      </w:r>
    </w:p>
    <w:p w:rsidR="00075E13" w:rsidRPr="00075E13" w:rsidP="00075E13">
      <w:pPr>
        <w:pStyle w:val="ListParagraph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sz w:val="24"/>
          <w:szCs w:val="24"/>
        </w:rPr>
        <w:t>ak ide o právnickú osobu, obec alebo vyšší územný celok a nimi zriadené organizácie, okrem príloh uvedených v písmene a) aj vyhlásenie žiadateľa o tom, že štatutárny orgán alebo člen štatutárneho orgánu alebo iná osoba oprávnená konať v jeho mene nekonala v mene právnickej osoby, ktorá zanikla a nevysporiadala finančné vzťahy so štátnym rozpočtom a nie je fyzickou osobou, ktorá nesmie vykonávať funkciu člena štatutárneho orgánu alebo člena dozorného orgánu v obchodnej spoločnosti alebo v družstve.</w:t>
      </w:r>
      <w:r w:rsidRPr="00075E13">
        <w:rPr>
          <w:rFonts w:ascii="Times New Roman" w:hAnsi="Times New Roman"/>
          <w:sz w:val="24"/>
          <w:szCs w:val="24"/>
          <w:vertAlign w:val="superscript"/>
        </w:rPr>
        <w:t>24a</w:t>
      </w:r>
      <w:r w:rsidRPr="00075E13">
        <w:rPr>
          <w:rFonts w:ascii="Times New Roman" w:hAnsi="Times New Roman"/>
          <w:sz w:val="24"/>
          <w:szCs w:val="24"/>
        </w:rPr>
        <w:t xml:space="preserve">)“. </w:t>
      </w:r>
    </w:p>
    <w:p w:rsidR="00075E13" w:rsidRPr="00075E13" w:rsidP="00075E13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851"/>
        <w:jc w:val="both"/>
        <w:rPr>
          <w:rFonts w:ascii="Times New Roman" w:hAnsi="Times New Roman"/>
          <w:sz w:val="24"/>
          <w:szCs w:val="24"/>
        </w:rPr>
      </w:pPr>
    </w:p>
    <w:p w:rsidR="00075E13" w:rsidRPr="00075E13" w:rsidP="00075E13">
      <w:pPr>
        <w:pStyle w:val="ListParagraph"/>
        <w:widowControl w:val="0"/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sz w:val="24"/>
          <w:szCs w:val="24"/>
        </w:rPr>
        <w:t>Navrhuje sa vypustiť prílohy k žiadosti, povinnosť ich predložiť bude daná až zmluvou o poskytnutí dotácie. Zmyslom vyňatia týchto príloh v rámci žiadosti sa zabezpečí, že pri procese hodnotenia žiadostí bude možné dočasne alokovať finančné prostriedky na konkrétneho žiadateľa, čo zabezpečí vyššiu transparentnosť udeľovania dotácie.</w:t>
      </w:r>
    </w:p>
    <w:p w:rsidR="00075E13" w:rsidRPr="00075E13" w:rsidP="00075E13">
      <w:pPr>
        <w:ind w:left="3969"/>
        <w:jc w:val="both"/>
        <w:rPr>
          <w:rFonts w:eastAsia="Calibri"/>
          <w:lang w:eastAsia="en-US"/>
        </w:rPr>
      </w:pPr>
    </w:p>
    <w:p w:rsidR="00075E13" w:rsidRPr="00075E13" w:rsidP="00075E13">
      <w:pPr>
        <w:jc w:val="both"/>
        <w:rPr>
          <w:rFonts w:eastAsia="Calibri"/>
          <w:lang w:eastAsia="en-US"/>
        </w:rPr>
      </w:pPr>
      <w:r w:rsidRPr="00075E13">
        <w:rPr>
          <w:rFonts w:eastAsia="Calibri"/>
          <w:b/>
          <w:lang w:eastAsia="en-US"/>
        </w:rPr>
        <w:t>3. V čl. I bode 6 § 12 ods. 6</w:t>
      </w:r>
      <w:r w:rsidRPr="00075E13">
        <w:rPr>
          <w:rFonts w:eastAsia="Calibri"/>
          <w:lang w:eastAsia="en-US"/>
        </w:rPr>
        <w:t xml:space="preserve"> sa za slovo „ministerstvo“ vkladajú slová „</w:t>
      </w:r>
      <w:r w:rsidRPr="00075E13">
        <w:rPr>
          <w:rFonts w:eastAsia="Calibri"/>
          <w:color w:val="000000"/>
          <w:lang w:eastAsia="en-US"/>
        </w:rPr>
        <w:t>alebo ním zriadená právnická osoba</w:t>
      </w:r>
      <w:r w:rsidRPr="00075E13">
        <w:rPr>
          <w:rFonts w:eastAsia="Calibri"/>
          <w:lang w:eastAsia="en-US"/>
        </w:rPr>
        <w:t>“.</w:t>
      </w:r>
    </w:p>
    <w:p w:rsidR="00075E13" w:rsidP="00075E13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lang w:eastAsia="en-US"/>
        </w:rPr>
      </w:pPr>
    </w:p>
    <w:p w:rsidR="00075E13" w:rsidRPr="00075E13" w:rsidP="00075E13">
      <w:pPr>
        <w:autoSpaceDE w:val="0"/>
        <w:autoSpaceDN w:val="0"/>
        <w:adjustRightInd w:val="0"/>
        <w:ind w:left="3969"/>
        <w:jc w:val="both"/>
        <w:rPr>
          <w:rFonts w:eastAsia="Calibri"/>
          <w:color w:val="000000"/>
          <w:u w:val="single"/>
          <w:lang w:eastAsia="en-US"/>
        </w:rPr>
      </w:pPr>
      <w:r w:rsidRPr="00075E13">
        <w:rPr>
          <w:rFonts w:eastAsia="Calibri"/>
          <w:color w:val="000000"/>
          <w:lang w:eastAsia="en-US"/>
        </w:rPr>
        <w:t xml:space="preserve">V súvislosti s právnou úpravou preukazovania bezúhonnosti, je potrebné, aby údaje  pre administráciu výpisu z registra trestov zabezpečovala aj právnická osoba zriadená Ministerstvom hospodárstva SR. </w:t>
      </w:r>
    </w:p>
    <w:p w:rsidR="00075E13" w:rsidRPr="00075E13" w:rsidP="00075E13">
      <w:pPr>
        <w:ind w:left="3969"/>
      </w:pPr>
    </w:p>
    <w:p w:rsidR="00075E13" w:rsidRPr="00075E13" w:rsidP="00075E13"/>
    <w:p w:rsidR="00075E13" w:rsidRPr="00075E13" w:rsidP="00075E13"/>
    <w:p w:rsidR="00075E13" w:rsidRPr="00075E13" w:rsidP="00075E13">
      <w:pPr>
        <w:pStyle w:val="ListParagraph"/>
        <w:spacing w:after="1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5E1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5E13">
        <w:rPr>
          <w:rFonts w:ascii="Times New Roman" w:hAnsi="Times New Roman"/>
          <w:b/>
          <w:sz w:val="24"/>
          <w:szCs w:val="24"/>
        </w:rPr>
        <w:t>V čl. II</w:t>
      </w:r>
      <w:r w:rsidRPr="00075E13">
        <w:rPr>
          <w:rFonts w:ascii="Times New Roman" w:hAnsi="Times New Roman"/>
          <w:sz w:val="24"/>
          <w:szCs w:val="24"/>
        </w:rPr>
        <w:t xml:space="preserve"> sa slová „15. októbra“ nahrádzajú slovami „1. novembra“.</w:t>
      </w:r>
    </w:p>
    <w:p w:rsidR="00075E13" w:rsidRPr="00075E13" w:rsidP="00075E13">
      <w:pPr>
        <w:ind w:left="3969"/>
        <w:jc w:val="both"/>
        <w:rPr>
          <w:rStyle w:val="PlaceholderText"/>
          <w:color w:val="000000"/>
        </w:rPr>
      </w:pPr>
      <w:r w:rsidRPr="00075E13">
        <w:rPr>
          <w:rStyle w:val="PlaceholderText"/>
          <w:color w:val="000000"/>
        </w:rPr>
        <w:t>Zmena  navrhovaného  nadobudnutia  účinnosti právneho predpisu sa navrhuje z hľadiska  prebiehajúceho legislatívneho procesu v  Národnej rade Slovenskej republiky  a  z   hľadiska   zachovania  ústavných lehôt v ďalšom štádiu legislatívneho procesu.</w:t>
      </w:r>
    </w:p>
    <w:p w:rsidR="00075E13" w:rsidRPr="00075E13" w:rsidP="00075E1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5E13" w:rsidP="00075E13"/>
    <w:p w:rsidR="00EB1137" w:rsidRPr="00EB1137" w:rsidP="00EB1137"/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E13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82984"/>
    <w:multiLevelType w:val="hybridMultilevel"/>
    <w:tmpl w:val="068C8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5B7538"/>
    <w:multiLevelType w:val="hybridMultilevel"/>
    <w:tmpl w:val="4E0804A0"/>
    <w:lvl w:ilvl="0">
      <w:start w:val="1"/>
      <w:numFmt w:val="lowerLetter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C717A"/>
    <w:multiLevelType w:val="hybridMultilevel"/>
    <w:tmpl w:val="3C32B9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1"/>
  </w:num>
  <w:num w:numId="8">
    <w:abstractNumId w:val="42"/>
  </w:num>
  <w:num w:numId="9">
    <w:abstractNumId w:val="43"/>
  </w:num>
  <w:num w:numId="10">
    <w:abstractNumId w:val="2"/>
  </w:num>
  <w:num w:numId="11">
    <w:abstractNumId w:val="25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4"/>
  </w:num>
  <w:num w:numId="21">
    <w:abstractNumId w:val="9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</w:num>
  <w:num w:numId="25">
    <w:abstractNumId w:val="46"/>
  </w:num>
  <w:num w:numId="26">
    <w:abstractNumId w:val="27"/>
  </w:num>
  <w:num w:numId="27">
    <w:abstractNumId w:val="24"/>
  </w:num>
  <w:num w:numId="28">
    <w:abstractNumId w:val="11"/>
  </w:num>
  <w:num w:numId="29">
    <w:abstractNumId w:val="4"/>
  </w:num>
  <w:num w:numId="30">
    <w:abstractNumId w:val="41"/>
  </w:num>
  <w:num w:numId="31">
    <w:abstractNumId w:val="19"/>
  </w:num>
  <w:num w:numId="32">
    <w:abstractNumId w:val="26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29"/>
  </w:num>
  <w:num w:numId="41">
    <w:abstractNumId w:val="40"/>
  </w:num>
  <w:num w:numId="42">
    <w:abstractNumId w:val="37"/>
  </w:num>
  <w:num w:numId="43">
    <w:abstractNumId w:val="3"/>
  </w:num>
  <w:num w:numId="44">
    <w:abstractNumId w:val="48"/>
  </w:num>
  <w:num w:numId="45">
    <w:abstractNumId w:val="13"/>
  </w:num>
  <w:num w:numId="46">
    <w:abstractNumId w:val="16"/>
  </w:num>
  <w:num w:numId="47">
    <w:abstractNumId w:val="35"/>
  </w:num>
  <w:num w:numId="48">
    <w:abstractNumId w:val="31"/>
  </w:num>
  <w:num w:numId="49">
    <w:abstractNumId w:val="18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  <w:style w:type="character" w:customStyle="1" w:styleId="OdsekzoznamuChar">
    <w:name w:val="Odsek zoznamu Char"/>
    <w:aliases w:val="body Char"/>
    <w:link w:val="ListParagraph"/>
    <w:uiPriority w:val="34"/>
    <w:locked/>
    <w:rsid w:val="00075E13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075E13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48CC6-05A7-4B8E-A7C1-DCB9AF8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53</cp:revision>
  <cp:lastPrinted>2016-10-04T11:58:00Z</cp:lastPrinted>
  <dcterms:created xsi:type="dcterms:W3CDTF">2013-06-14T07:14:00Z</dcterms:created>
  <dcterms:modified xsi:type="dcterms:W3CDTF">2019-09-05T11:02:00Z</dcterms:modified>
</cp:coreProperties>
</file>