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:rsidR="002A546C" w:rsidRDefault="002A546C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2A546C">
        <w:trPr>
          <w:divId w:val="401103165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A546C" w:rsidRDefault="002A546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2A546C">
        <w:trPr>
          <w:divId w:val="40110316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A546C" w:rsidRDefault="002A546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2A546C">
        <w:trPr>
          <w:divId w:val="40110316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Návrh na uzavretie Dohody o strategickom partnerstve medzi Európskou úniou a jej členskými štátmi na jednej strane a Japonskom na druhej strane</w:t>
            </w:r>
          </w:p>
        </w:tc>
      </w:tr>
      <w:tr w:rsidR="002A546C">
        <w:trPr>
          <w:divId w:val="40110316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A546C" w:rsidRDefault="002A546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2A546C">
        <w:trPr>
          <w:divId w:val="40110316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zahraničných vecí a európskych záležitostí Slovenskej republiky</w:t>
            </w:r>
          </w:p>
        </w:tc>
      </w:tr>
      <w:tr w:rsidR="002A546C">
        <w:trPr>
          <w:divId w:val="401103165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A546C" w:rsidRDefault="002A546C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2A546C">
        <w:trPr>
          <w:divId w:val="401103165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2A546C">
        <w:trPr>
          <w:divId w:val="401103165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2A546C">
        <w:trPr>
          <w:divId w:val="401103165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A546C">
        <w:trPr>
          <w:divId w:val="401103165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A546C" w:rsidRDefault="002A546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..</w:t>
            </w:r>
          </w:p>
        </w:tc>
      </w:tr>
      <w:tr w:rsidR="002A546C">
        <w:trPr>
          <w:divId w:val="401103165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A546C" w:rsidRDefault="002A546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apríl 2019</w:t>
            </w:r>
          </w:p>
        </w:tc>
      </w:tr>
      <w:tr w:rsidR="002A546C">
        <w:trPr>
          <w:divId w:val="401103165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A546C" w:rsidRDefault="002A546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máj-jún 2019</w:t>
            </w: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2A546C" w:rsidRDefault="002A546C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2A546C">
        <w:trPr>
          <w:divId w:val="2918727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A546C" w:rsidRDefault="002A546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2A546C">
        <w:trPr>
          <w:divId w:val="2918727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Absentujúca úprava formou bilaterálnej rámcovej dohody medzi EÚ a Japonskom, ktorá by aktívne a postačujúco posilňovala celkové partnerstvo medzi zmluvnými stranami, podporovaním politickej a odvetvovej spolupráce a spoločnými opatreniami týkajúcimi sa otázok spoločného záujmu vrátane regionálnych a globálnych výziev.</w:t>
            </w:r>
          </w:p>
        </w:tc>
      </w:tr>
      <w:tr w:rsidR="002A546C">
        <w:trPr>
          <w:divId w:val="2918727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A546C" w:rsidRDefault="002A546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2A546C">
        <w:trPr>
          <w:divId w:val="2918727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Dohoda vo veľkej miere posilní celkové partnerstvo medzi zmluvnými stranami, podporovaním politickej a odvetvovej spolupráce a spoločnými opatreniami týkajúcimi sa otázok spoločného záujmu vrátane regionálnych a globálnych výziev. Dohoda predstavuje právny základ na zlepšovanie dvojstrannej spolupráce, ako aj spolupráce v medzinárodných a regionálnych organizáciách a na medzinárodných a regionálnych fórach. Pomôže presadzovať spoločné hodnoty a zásady, predovšetkým demokraciu, právny štát, ľudské práva a základné slobody.</w:t>
            </w:r>
            <w:r>
              <w:rPr>
                <w:rFonts w:ascii="Times" w:hAnsi="Times" w:cs="Times"/>
                <w:sz w:val="20"/>
                <w:szCs w:val="20"/>
              </w:rPr>
              <w:br/>
            </w:r>
            <w:r>
              <w:rPr>
                <w:rFonts w:ascii="Times" w:hAnsi="Times" w:cs="Times"/>
                <w:sz w:val="20"/>
                <w:szCs w:val="20"/>
              </w:rPr>
              <w:br/>
              <w:t>Dohoda takisto slúži ako platforma pre užšiu spoluprácu a dialóg v širokom spektre dvojstranných, regionálnych a multilaterálnych záležitostí. Posilní politickú, hospodársku a odvetvovú spoluprácu v širokom spektre oblastí politiky, ako je zmena klímy, výskum a inovácia, námorné záležitosti, vzdelávanie, kultúra, migrácia, boj proti terorizmu a boj proti organizovanému zločinu a počítačovej kriminalite. Opätovne pripomína záväzok zmluvných strán týkajúci sa zachovania medzinárodného mieru a bezpečnosti prostredníctvom zamedzenia šíreniu zbraní hromadného ničenia a prijímania opatrení na riešenie nezákonného obchodovania s ručnými a ľahkými zbraňami.</w:t>
            </w:r>
          </w:p>
        </w:tc>
      </w:tr>
      <w:tr w:rsidR="002A546C">
        <w:trPr>
          <w:divId w:val="2918727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A546C" w:rsidRDefault="002A546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2A546C">
        <w:trPr>
          <w:divId w:val="2918727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Dotknutými subjektmi z pohľadu medzinárodného práva sú zmluvné strany viazané dohodou, a teda Európska únia a jej členské štáty a Japonsko.</w:t>
            </w:r>
          </w:p>
        </w:tc>
      </w:tr>
      <w:tr w:rsidR="002A546C">
        <w:trPr>
          <w:divId w:val="2918727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A546C" w:rsidRDefault="002A546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2A546C">
        <w:trPr>
          <w:divId w:val="2918727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Alternatívne riešenia neboli zvažované.</w:t>
            </w:r>
          </w:p>
        </w:tc>
      </w:tr>
      <w:tr w:rsidR="002A546C">
        <w:trPr>
          <w:divId w:val="2918727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A546C" w:rsidRDefault="002A546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2A546C">
        <w:trPr>
          <w:divId w:val="2918727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2A546C">
        <w:trPr>
          <w:divId w:val="2918727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A546C" w:rsidRDefault="002A546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lastRenderedPageBreak/>
              <w:t xml:space="preserve">  7.  Transpozícia práva EÚ </w:t>
            </w:r>
          </w:p>
        </w:tc>
      </w:tr>
      <w:tr w:rsidR="002A546C">
        <w:trPr>
          <w:divId w:val="2918727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Materiálom nedochádza k transpozícii práva EÚ.</w:t>
            </w:r>
          </w:p>
        </w:tc>
      </w:tr>
      <w:tr w:rsidR="002A546C">
        <w:trPr>
          <w:divId w:val="2918727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A546C" w:rsidRDefault="002A546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2A546C">
        <w:trPr>
          <w:divId w:val="2918727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Neaplikuje sa.</w:t>
            </w: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2A546C" w:rsidRDefault="002A546C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2A546C">
        <w:trPr>
          <w:divId w:val="835417009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A546C" w:rsidRDefault="002A546C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2A546C">
        <w:trPr>
          <w:divId w:val="835417009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A546C">
        <w:trPr>
          <w:divId w:val="835417009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2A546C">
        <w:trPr>
          <w:divId w:val="835417009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A546C">
        <w:trPr>
          <w:divId w:val="835417009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A546C">
        <w:trPr>
          <w:divId w:val="835417009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A546C">
        <w:trPr>
          <w:divId w:val="835417009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A546C">
        <w:trPr>
          <w:divId w:val="835417009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A546C">
        <w:trPr>
          <w:divId w:val="835417009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A546C">
        <w:trPr>
          <w:divId w:val="835417009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A546C">
        <w:trPr>
          <w:divId w:val="835417009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2A546C" w:rsidRDefault="002A546C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2A546C">
        <w:trPr>
          <w:divId w:val="209754960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A546C" w:rsidRDefault="002A546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2A546C">
        <w:trPr>
          <w:divId w:val="209754960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Aj napriek tomu, že vykonávanie predmetnej dohody nebude mať vplyvy na vybrané oblasti, dohoda môže mať nepriame pozitívne vplyvy na podnikateľské subjekty, ktoré však v tejto chvíli nie je možné popísať ani kvantifikovať. Pôjde o dôsledok intenzívnejšej podpory priemyselnej spolupráce medzi zmluvnými stranami, čo povedie k zlepšeniu konkurencieschopnosti podnikov a k podpore internacionalizácie malých a stredných podnikov.</w:t>
            </w:r>
          </w:p>
        </w:tc>
      </w:tr>
      <w:tr w:rsidR="002A546C">
        <w:trPr>
          <w:divId w:val="209754960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A546C" w:rsidRDefault="002A546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2A546C">
        <w:trPr>
          <w:divId w:val="209754960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Patrik Turošík, LL.M.</w:t>
            </w:r>
            <w:r>
              <w:rPr>
                <w:rFonts w:ascii="Times" w:hAnsi="Times" w:cs="Times"/>
                <w:sz w:val="20"/>
                <w:szCs w:val="20"/>
              </w:rPr>
              <w:br/>
              <w:t>Odbor práva EÚ, Sekcia európskych záležitostí, MZVEZ SR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t. č.: 02/5978 3537; e-mail: patrik.turosik@mzv.sk </w:t>
            </w:r>
          </w:p>
        </w:tc>
      </w:tr>
      <w:tr w:rsidR="002A546C">
        <w:trPr>
          <w:divId w:val="209754960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A546C" w:rsidRDefault="002A546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2A546C">
        <w:trPr>
          <w:divId w:val="209754960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Úradný vestník Európskej únie</w:t>
            </w:r>
          </w:p>
        </w:tc>
      </w:tr>
      <w:tr w:rsidR="002A546C">
        <w:trPr>
          <w:divId w:val="209754960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A546C" w:rsidRDefault="002A546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2A546C">
        <w:trPr>
          <w:divId w:val="2097549609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546C" w:rsidRDefault="002A546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Keďže nebol identifikovaný žiadny z vybraných vplyvov, v súlade s bodom 6.1 Jednotnej metodiky na posudzovanie vybraných vplyvov materiál nie je predkladaný na PPK.</w:t>
            </w:r>
          </w:p>
        </w:tc>
      </w:tr>
    </w:tbl>
    <w:p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D4B" w:rsidRDefault="00420D4B">
      <w:r>
        <w:separator/>
      </w:r>
    </w:p>
  </w:endnote>
  <w:endnote w:type="continuationSeparator" w:id="0">
    <w:p w:rsidR="00420D4B" w:rsidRDefault="0042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D4B" w:rsidRDefault="00420D4B">
      <w:r>
        <w:separator/>
      </w:r>
    </w:p>
  </w:footnote>
  <w:footnote w:type="continuationSeparator" w:id="0">
    <w:p w:rsidR="00420D4B" w:rsidRDefault="00420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546C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A77A6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91FB4C31-A83D-4A31-94C8-213069F6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0.4.2019 12:35:50"/>
    <f:field ref="objchangedby" par="" text="Administrator, System"/>
    <f:field ref="objmodifiedat" par="" text="10.4.2019 12:35:53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4020</Characters>
  <Application>Microsoft Office Word</Application>
  <DocSecurity>4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Turosik Patrik /OPEU/MZV</cp:lastModifiedBy>
  <cp:revision>2</cp:revision>
  <dcterms:created xsi:type="dcterms:W3CDTF">2019-05-16T09:22:00Z</dcterms:created>
  <dcterms:modified xsi:type="dcterms:W3CDTF">2019-05-16T09:22:00Z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Akt medzinárodného práva</vt:lpwstr>
  </property>
  <property fmtid="{D5CDD505-2E9C-101B-9397-08002B2CF9AE}" pid="3" name="FSC#SKEDITIONSLOVLEX@103.510:stavpredpis">
    <vt:lpwstr>Pred rokovaním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Právo EÚ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Patrik Turošík</vt:lpwstr>
  </property>
  <property fmtid="{D5CDD505-2E9C-101B-9397-08002B2CF9AE}" pid="9" name="FSC#SKEDITIONSLOVLEX@103.510:zodppredkladatel">
    <vt:lpwstr>Miroslav Lajčák</vt:lpwstr>
  </property>
  <property fmtid="{D5CDD505-2E9C-101B-9397-08002B2CF9AE}" pid="10" name="FSC#SKEDITIONSLOVLEX@103.510:nazovpredpis">
    <vt:lpwstr> Návrh na uzavretie Dohody o strategickom partnerstve medzi Európskou úniou a jej členskými štátmi na jednej strane a Japonskom na druhej strane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zahraničných vecí a európskych záležitostí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Iniciatívny materiál</vt:lpwstr>
  </property>
  <property fmtid="{D5CDD505-2E9C-101B-9397-08002B2CF9AE}" pid="16" name="FSC#SKEDITIONSLOVLEX@103.510:plnynazovpredpis">
    <vt:lpwstr> Návrh na uzavretie Dohody o strategickom partnerstve medzi Európskou úniou a jej členskými štátmi na jednej strane a Japonskom na druhej strane</vt:lpwstr>
  </property>
  <property fmtid="{D5CDD505-2E9C-101B-9397-08002B2CF9AE}" pid="17" name="FSC#SKEDITIONSLOVLEX@103.510:rezortcislopredpis">
    <vt:lpwstr>039479/2019-OPEU-0031942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LP/2019/256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Žiadne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>&lt;span style="font-family: &amp;quot;Times&amp;quot;,serif; font-size: 10pt; mso-fareast-font-family: &amp;quot;Times New Roman&amp;quot;; mso-fareast-language: SK; mso-ansi-language: SK; mso-bidi-language: AR-SA;"&gt;Aj napriek tomu, že vykonávanie predmetnej dohody nebude </vt:lpwstr>
  </property>
  <property fmtid="{D5CDD505-2E9C-101B-9397-08002B2CF9AE}" pid="56" name="FSC#SKEDITIONSLOVLEX@103.510:AttrStrListDocPropAltRiesenia">
    <vt:lpwstr>Alternatívne riešenia neboli zvažované.</vt:lpwstr>
  </property>
  <property fmtid="{D5CDD505-2E9C-101B-9397-08002B2CF9AE}" pid="57" name="FSC#SKEDITIONSLOVLEX@103.510:AttrStrListDocPropStanoviskoGest">
    <vt:lpwstr>&lt;span style="font-family: &amp;quot;Times&amp;quot;,serif; font-size: 10pt; mso-fareast-font-family: &amp;quot;Times New Roman&amp;quot;; mso-fareast-language: SK; mso-ansi-language: SK; mso-bidi-language: AR-SA;"&gt;Keďže nebol identifikovaný žiadny z vybraných vplyvov, v </vt:lpwstr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 zahraničných vecí a európskych záležitostí Slovenskej republiky</vt:lpwstr>
  </property>
  <property fmtid="{D5CDD505-2E9C-101B-9397-08002B2CF9AE}" pid="127" name="FSC#SKEDITIONSLOVLEX@103.510:AttrStrListDocPropUznesenieNaVedomie">
    <vt:lpwstr>prezident Slovenskej republiky_x000d_
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 -ms-text-justify: inter-ideograph;"&gt;Návrh na uzavretie Dohody o strategickom partnerstve medzi Európskou úniou a jej členskými štátmi na jednej strane a Japonskom na druhej strane (ďalej len „dohoda“) sa predkladá na rokovan</vt:lpwstr>
  </property>
  <property fmtid="{D5CDD505-2E9C-101B-9397-08002B2CF9AE}" pid="130" name="FSC#COOSYSTEM@1.1:Container">
    <vt:lpwstr>COO.2145.1000.3.3298706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zahraničných vecí a európskych záležitostí Slovenskej republiky</vt:lpwstr>
  </property>
  <property fmtid="{D5CDD505-2E9C-101B-9397-08002B2CF9AE}" pid="145" name="FSC#SKEDITIONSLOVLEX@103.510:funkciaZodpPredAkuzativ">
    <vt:lpwstr>ministrovi zahraničných vecí a európskych záležitostí Slovenskej republiky</vt:lpwstr>
  </property>
  <property fmtid="{D5CDD505-2E9C-101B-9397-08002B2CF9AE}" pid="146" name="FSC#SKEDITIONSLOVLEX@103.510:funkciaZodpPredDativ">
    <vt:lpwstr>ministra zahraničných vecí a európskych záležitostí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Miroslav Lajčák_x000d_
minister zahraničných vecí a európskych záležitostí Slovenskej republiky</vt:lpwstr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10. 4. 2019</vt:lpwstr>
  </property>
</Properties>
</file>