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5AA9" w:rsidRDefault="004C080A">
      <w:pPr>
        <w:pStyle w:val="Normlnywebov1"/>
        <w:spacing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335AA9" w:rsidRDefault="004C080A">
      <w:pPr>
        <w:pStyle w:val="Nadpis1"/>
        <w:numPr>
          <w:ilvl w:val="0"/>
          <w:numId w:val="1"/>
        </w:numPr>
        <w:spacing w:before="120" w:after="0"/>
        <w:ind w:left="432" w:hanging="432"/>
        <w:jc w:val="both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:rsidR="00335AA9" w:rsidRDefault="004C080A">
      <w:pPr>
        <w:spacing w:before="120"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Book Antiqua"/>
        </w:rPr>
        <w:t xml:space="preserve">Návrh zákona, </w:t>
      </w:r>
      <w:r>
        <w:rPr>
          <w:rFonts w:ascii="Book Antiqua" w:hAnsi="Book Antiqua" w:cs="Book Antiqua"/>
          <w:bCs/>
        </w:rPr>
        <w:t xml:space="preserve">ktorým sa mení zákon č. 166/2003 Z. z. o ochrane súkromia pred neoprávneným použitím informačno-technických prostriedkov a o zmene a doplnení niektorých zákonov (zákon o ochrane pred odpočúvaním) v znení </w:t>
      </w:r>
      <w:r>
        <w:rPr>
          <w:rFonts w:ascii="Book Antiqua" w:hAnsi="Book Antiqua" w:cs="Book Antiqua"/>
          <w:bCs/>
        </w:rPr>
        <w:t>neskorších predpisov</w:t>
      </w:r>
      <w:r>
        <w:rPr>
          <w:rFonts w:ascii="Book Antiqua" w:hAnsi="Book Antiqua" w:cs="Book Antiqua"/>
        </w:rPr>
        <w:t xml:space="preserve"> (ďalej len „návrh zákona“) predkladá do legislatívneho procesu skupina poslancov Národnej rady Slovenskej republiky.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Hlavným cieľom návrhu zákona je zabezpečiť fungovanie komisie na kontrolu používania informačno-technických prostriedk</w:t>
      </w:r>
      <w:r>
        <w:rPr>
          <w:rFonts w:ascii="Book Antiqua" w:hAnsi="Book Antiqua" w:cs="Book Antiqua"/>
          <w:b/>
          <w:sz w:val="22"/>
          <w:szCs w:val="22"/>
        </w:rPr>
        <w:t xml:space="preserve">ov </w:t>
      </w:r>
      <w:r>
        <w:rPr>
          <w:rFonts w:ascii="Book Antiqua" w:hAnsi="Book Antiqua" w:cs="Book Antiqua"/>
          <w:sz w:val="22"/>
          <w:szCs w:val="22"/>
        </w:rPr>
        <w:t xml:space="preserve">(ďalej len „komisia“), </w:t>
      </w:r>
      <w:r>
        <w:rPr>
          <w:rFonts w:ascii="Book Antiqua" w:hAnsi="Book Antiqua" w:cs="Book Antiqua"/>
          <w:b/>
          <w:bCs/>
          <w:sz w:val="22"/>
          <w:szCs w:val="22"/>
        </w:rPr>
        <w:t>a to zmenou spôsobu ustanovovania jej členov</w:t>
      </w:r>
      <w:r>
        <w:rPr>
          <w:rFonts w:ascii="Book Antiqua" w:hAnsi="Book Antiqua" w:cs="Book Antiqua"/>
          <w:sz w:val="22"/>
          <w:szCs w:val="22"/>
        </w:rPr>
        <w:t>.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 súčasnosti má byť komisia vytvorená tak, že dvoch členov komisie volí Národná rada a šiestich členov komisie nominujú Osobitný kontrolný výbor Národnej rady Slovenskej republiky na k</w:t>
      </w:r>
      <w:r>
        <w:rPr>
          <w:rFonts w:ascii="Book Antiqua" w:hAnsi="Book Antiqua" w:cs="Book Antiqua"/>
          <w:sz w:val="22"/>
          <w:szCs w:val="22"/>
        </w:rPr>
        <w:t>ontrolu činnosti Slovenskej informačnej služby, Osobitný kontrolný výbor Národnej rady Slovenskej republiky na kontrolu činnosti Vojenského spravodajstva a Výbor Národnej rady Slovenskej republiky pre obranu a bezpečnosť, pričom každý z uvedených výborov n</w:t>
      </w:r>
      <w:r>
        <w:rPr>
          <w:rFonts w:ascii="Book Antiqua" w:hAnsi="Book Antiqua" w:cs="Book Antiqua"/>
          <w:sz w:val="22"/>
          <w:szCs w:val="22"/>
        </w:rPr>
        <w:t xml:space="preserve">ominuje dvoch členov komisie, a to na základe paritného zastúpenia zo zástupcov vlády a opozície. 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Podľa dôvodovej správy k zákonu, ktorý upravuje právomoci komisie, má komisia predstavovať posilnenie kontrolnej právomoci zákonodarného orgánu nad používaní</w:t>
      </w:r>
      <w:r>
        <w:rPr>
          <w:rFonts w:ascii="Book Antiqua" w:hAnsi="Book Antiqua" w:cs="Book Antiqua"/>
          <w:sz w:val="22"/>
          <w:szCs w:val="22"/>
        </w:rPr>
        <w:t>m informačno-technických prostriedkov orgánmi výkonnej  moci, pričom toto posilnenie zákonodarca označuje za významné. Napriek tomu komisia už 3 roky nie je schopná plniť si svoju funkciu, keďže niektoré výbory si nesplnili svoju povinnosť a nenominovali č</w:t>
      </w:r>
      <w:r>
        <w:rPr>
          <w:rFonts w:ascii="Book Antiqua" w:hAnsi="Book Antiqua" w:cs="Book Antiqua"/>
          <w:sz w:val="22"/>
          <w:szCs w:val="22"/>
        </w:rPr>
        <w:t xml:space="preserve">lenov komisie tak, ako im to prikazuje zákon a komisia preto nemohla byť zriadená. 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 cieľom nepredlžovať tento neúnosný stav, keď nie je v plnej miere zabezpečená kontrola zásahov do súkromia jednotlivcov informačno-technickými prostriedkami štátnych orgá</w:t>
      </w:r>
      <w:r>
        <w:rPr>
          <w:rFonts w:ascii="Book Antiqua" w:hAnsi="Book Antiqua" w:cs="Book Antiqua"/>
          <w:sz w:val="22"/>
          <w:szCs w:val="22"/>
        </w:rPr>
        <w:t xml:space="preserve">nov, sa navrhuje zmeniť spôsob kreovania komisie a to tak, že jej členmi sa stanú:  </w:t>
      </w:r>
    </w:p>
    <w:p w:rsidR="00335AA9" w:rsidRDefault="004C080A">
      <w:pPr>
        <w:pStyle w:val="Normlnywebov1"/>
        <w:numPr>
          <w:ilvl w:val="0"/>
          <w:numId w:val="3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Osobitného kontrolného výboru Národnej rady Slovenskej republiky na kontrolu činnosti Slovenskej informačnej služby,</w:t>
      </w:r>
    </w:p>
    <w:p w:rsidR="00335AA9" w:rsidRDefault="004C080A">
      <w:pPr>
        <w:pStyle w:val="Normlnywebov1"/>
        <w:numPr>
          <w:ilvl w:val="0"/>
          <w:numId w:val="3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</w:t>
      </w:r>
      <w:r>
        <w:rPr>
          <w:rFonts w:ascii="Book Antiqua" w:hAnsi="Book Antiqua" w:cs="Book Antiqua"/>
          <w:sz w:val="22"/>
          <w:szCs w:val="22"/>
        </w:rPr>
        <w:t>ho kontrolného výboru Národnej rady Slovenskej republiky na kontrolu činnosti Vojenského spravodajstva,</w:t>
      </w:r>
    </w:p>
    <w:p w:rsidR="00335AA9" w:rsidRDefault="004C080A">
      <w:pPr>
        <w:pStyle w:val="Normlnywebov1"/>
        <w:numPr>
          <w:ilvl w:val="0"/>
          <w:numId w:val="3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Osobitného kontrolného výboru Národnej rady Slovenskej republiky na kontrolu činnosti Národného bezpečnostného úradu,</w:t>
      </w:r>
    </w:p>
    <w:p w:rsidR="00335AA9" w:rsidRDefault="004C080A">
      <w:pPr>
        <w:pStyle w:val="Normlnywebov1"/>
        <w:numPr>
          <w:ilvl w:val="0"/>
          <w:numId w:val="3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predseda a </w:t>
      </w:r>
      <w:r>
        <w:rPr>
          <w:rFonts w:ascii="Book Antiqua" w:hAnsi="Book Antiqua" w:cs="Book Antiqua"/>
          <w:sz w:val="22"/>
          <w:szCs w:val="22"/>
        </w:rPr>
        <w:t xml:space="preserve">podpredseda Výboru Národnej rady Slovenskej republiky pre obranu a bezpečnosť. 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Navrhnutým spôsobom sa tak vyrieši problém s nečinnosťou jednotlivých výborov a zabezpečí sa riadne fungovanie komisie ako kontrolného orgánu výkonnej moci.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>Predkladaný návrh z</w:t>
      </w:r>
      <w:r>
        <w:rPr>
          <w:rFonts w:ascii="Book Antiqua" w:hAnsi="Book Antiqua" w:cs="Book Antiqua"/>
          <w:sz w:val="22"/>
          <w:szCs w:val="22"/>
        </w:rPr>
        <w:t xml:space="preserve">ákona nepredpokladá žiadne vplyvy na rozpočet verejnej správy, podnikateľské prostredie, sociálne vplyvy, vplyvy na životné prostredie ani vplyvy na informatizáciu spoločnosti. 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</w:t>
      </w:r>
      <w:r>
        <w:rPr>
          <w:rFonts w:ascii="Book Antiqua" w:hAnsi="Book Antiqua" w:cs="Book Antiqua"/>
          <w:sz w:val="22"/>
          <w:szCs w:val="22"/>
        </w:rPr>
        <w:t>statnými všeobecne záväznými právnymi predpismi Slovenskej republiky, medzinárodnými zmluvami a inými medzinárodnými dokumentmi, ktorými je Slovenská republika viazaná a s právom Európskej únie.</w:t>
      </w:r>
      <w:r>
        <w:br w:type="page"/>
      </w: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</w:rPr>
        <w:lastRenderedPageBreak/>
        <w:t>B. Osobitná časť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  <w:b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</w:rPr>
        <w:t>K Čl. I</w:t>
      </w:r>
    </w:p>
    <w:p w:rsidR="00335AA9" w:rsidRDefault="004C080A">
      <w:pPr>
        <w:spacing w:before="120" w:after="0"/>
        <w:jc w:val="both"/>
      </w:pPr>
      <w:r>
        <w:rPr>
          <w:rFonts w:ascii="Book Antiqua" w:hAnsi="Book Antiqua" w:cs="Book Antiqua"/>
          <w:u w:val="single"/>
        </w:rPr>
        <w:t>K bodu 1</w:t>
      </w:r>
    </w:p>
    <w:p w:rsidR="00335AA9" w:rsidRDefault="004C080A">
      <w:pPr>
        <w:spacing w:before="120" w:after="0"/>
        <w:jc w:val="both"/>
      </w:pPr>
      <w:r>
        <w:rPr>
          <w:rFonts w:ascii="Book Antiqua" w:hAnsi="Book Antiqua" w:cs="Book Antiqua"/>
        </w:rPr>
        <w:tab/>
        <w:t>Ide o legislatívno-techn</w:t>
      </w:r>
      <w:r>
        <w:rPr>
          <w:rFonts w:ascii="Book Antiqua" w:hAnsi="Book Antiqua" w:cs="Book Antiqua"/>
        </w:rPr>
        <w:t xml:space="preserve">ickú úpravu, ktorá bezprostredne súvisí s Čl. I bodom 2 tohto návrhu zákona. Keďže sa mení spôsob kreovania komisie, a to tak, že členmi komisie sa stávajú predsedovia a podpredsedovia príslušných výborov Národnej rady Slovenskej republiky, pričom podľa § </w:t>
      </w:r>
      <w:r w:rsidR="00C10F1D">
        <w:rPr>
          <w:rFonts w:ascii="Book Antiqua" w:hAnsi="Book Antiqua" w:cs="Book Antiqua"/>
        </w:rPr>
        <w:t xml:space="preserve">48 </w:t>
      </w:r>
      <w:r>
        <w:rPr>
          <w:rFonts w:ascii="Book Antiqua" w:hAnsi="Book Antiqua" w:cs="Book Antiqua"/>
        </w:rPr>
        <w:t xml:space="preserve">ods. 1 </w:t>
      </w:r>
      <w:r>
        <w:rPr>
          <w:rFonts w:ascii="Book Antiqua" w:hAnsi="Book Antiqua" w:cs="Book Antiqua"/>
        </w:rPr>
        <w:t>zákona Národnej rady Slovenskej republiky č. 350/1996 Z. z. o rokovacom poriadku Národnej rady Slovenskej republiky v znení neskorších predpisov si jednotlivé výbory môžu zvoliť jedného alebo dvoch podpredsedov výboru, presný počet členov komisi</w:t>
      </w:r>
      <w:r>
        <w:rPr>
          <w:rFonts w:ascii="Book Antiqua" w:hAnsi="Book Antiqua" w:cs="Book Antiqua"/>
        </w:rPr>
        <w:t xml:space="preserve">e sa bude odvíjať od počtu zvolených podpredsedov v príslušných výboroch. </w:t>
      </w:r>
    </w:p>
    <w:p w:rsidR="00335AA9" w:rsidRDefault="004C080A">
      <w:pPr>
        <w:spacing w:before="120" w:after="0"/>
        <w:jc w:val="both"/>
      </w:pPr>
      <w:r>
        <w:rPr>
          <w:rFonts w:ascii="Book Antiqua" w:hAnsi="Book Antiqua" w:cs="Book Antiqua"/>
          <w:u w:val="single"/>
        </w:rPr>
        <w:t>K bodu 2</w:t>
      </w:r>
    </w:p>
    <w:p w:rsidR="00335AA9" w:rsidRDefault="004C080A">
      <w:pPr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/>
        </w:rPr>
        <w:t xml:space="preserve">Doterajší spôsob zriadenia komisie založený na nominácii jej členov príslušnými výbormi </w:t>
      </w:r>
      <w:r>
        <w:rPr>
          <w:rFonts w:ascii="Book Antiqua" w:hAnsi="Book Antiqua" w:cs="Book Antiqua"/>
        </w:rPr>
        <w:t xml:space="preserve">Národnej rady Slovenskej republiky sa v praxi ukázal ako neúčinný a problematický. Nie všetky výbory si plnili svoju zákonnú povinnosť nominovať členov komisie, čo malo za následok, že táto komisia je už 3 roky nefunkčná. 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Návrh zákona preto mení spôsob kr</w:t>
      </w:r>
      <w:r>
        <w:rPr>
          <w:rFonts w:ascii="Book Antiqua" w:hAnsi="Book Antiqua" w:cs="Book Antiqua"/>
          <w:sz w:val="22"/>
          <w:szCs w:val="22"/>
        </w:rPr>
        <w:t xml:space="preserve">eovania komisie a to tak, že jej členmi sa stanú:  </w:t>
      </w:r>
    </w:p>
    <w:p w:rsidR="00335AA9" w:rsidRDefault="004C080A">
      <w:pPr>
        <w:pStyle w:val="Normlnywebov1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Osobitného kontrolného výboru Národnej rady Slovenskej republiky na kontrolu činnosti Slovenskej informačnej služby,</w:t>
      </w:r>
    </w:p>
    <w:p w:rsidR="00335AA9" w:rsidRDefault="004C080A">
      <w:pPr>
        <w:pStyle w:val="Normlnywebov1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Osobitného kontrolného výboru Národnej ra</w:t>
      </w:r>
      <w:r>
        <w:rPr>
          <w:rFonts w:ascii="Book Antiqua" w:hAnsi="Book Antiqua" w:cs="Book Antiqua"/>
          <w:sz w:val="22"/>
          <w:szCs w:val="22"/>
        </w:rPr>
        <w:t>dy Slovenskej republiky na kontrolu činnosti Vojenského spravodajstva</w:t>
      </w:r>
      <w:r>
        <w:rPr>
          <w:rFonts w:ascii="Book Antiqua" w:hAnsi="Book Antiqua"/>
          <w:sz w:val="22"/>
          <w:szCs w:val="22"/>
        </w:rPr>
        <w:t>,</w:t>
      </w:r>
    </w:p>
    <w:p w:rsidR="00335AA9" w:rsidRDefault="004C080A">
      <w:pPr>
        <w:pStyle w:val="Normlnywebov1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predseda a podpredseda Osobitného kontrolného výboru Národnej rady Slovenskej republiky na kontrolu činnosti Národného bezpečnostného úradu,</w:t>
      </w:r>
    </w:p>
    <w:p w:rsidR="00335AA9" w:rsidRDefault="004C080A">
      <w:pPr>
        <w:pStyle w:val="Normlnywebov1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predseda a podpredseda Výboru Národnej rady </w:t>
      </w:r>
      <w:r>
        <w:rPr>
          <w:rFonts w:ascii="Book Antiqua" w:hAnsi="Book Antiqua" w:cs="Book Antiqua"/>
          <w:sz w:val="22"/>
          <w:szCs w:val="22"/>
        </w:rPr>
        <w:t xml:space="preserve">Slovenskej republiky pre obranu a bezpečnosť.  </w:t>
      </w:r>
    </w:p>
    <w:p w:rsidR="00335AA9" w:rsidRDefault="004C080A">
      <w:pPr>
        <w:pStyle w:val="Normlnywebov1"/>
        <w:spacing w:before="120" w:after="0"/>
        <w:ind w:firstLine="708"/>
        <w:jc w:val="both"/>
      </w:pPr>
      <w:r>
        <w:rPr>
          <w:rFonts w:ascii="Book Antiqua" w:hAnsi="Book Antiqua" w:cs="Book Antiqua"/>
          <w:sz w:val="22"/>
          <w:szCs w:val="22"/>
        </w:rPr>
        <w:t>Predsedu komisie si členovia komisia volia spomedzi seba, avšak len z tých členov komisie, ktorí boli do svojich funkcií vo výboroch navrhnutí politickými stranami alebo politickými hnutiami, ktoré nemajú zas</w:t>
      </w:r>
      <w:r>
        <w:rPr>
          <w:rFonts w:ascii="Book Antiqua" w:hAnsi="Book Antiqua" w:cs="Book Antiqua"/>
          <w:sz w:val="22"/>
          <w:szCs w:val="22"/>
        </w:rPr>
        <w:t>túpenie vo vláde Slovenskej republiky.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Zánik členstva v komisii je spojený najmä so zánikom funkcie predsedu alebo podpredsedu výboru. Ide o množstvo situácií, ktoré vymenúva tak Ústava Slovenskej republiky (Čl. 77, 81 a 81a), ako aj </w:t>
      </w:r>
      <w:bookmarkStart w:id="0" w:name="__DdeLink__391_2981258808"/>
      <w:r>
        <w:rPr>
          <w:rFonts w:ascii="Book Antiqua" w:hAnsi="Book Antiqua"/>
          <w:sz w:val="22"/>
          <w:szCs w:val="22"/>
        </w:rPr>
        <w:t>zákon Národnej rady Sl</w:t>
      </w:r>
      <w:r>
        <w:rPr>
          <w:rFonts w:ascii="Book Antiqua" w:hAnsi="Book Antiqua"/>
          <w:sz w:val="22"/>
          <w:szCs w:val="22"/>
        </w:rPr>
        <w:t>ovenskej republiky č. 350/1996 Z. z. o rokovacom poriadku Národnej rady Slovenskej republiky v znení neskorších predpisov</w:t>
      </w:r>
      <w:bookmarkEnd w:id="0"/>
      <w:r>
        <w:rPr>
          <w:rFonts w:ascii="Book Antiqua" w:hAnsi="Book Antiqua"/>
          <w:sz w:val="22"/>
          <w:szCs w:val="22"/>
        </w:rPr>
        <w:t>, akými sú napr. zánik mandátu poslanca, neuplatňovanie mandátu poslanca, odvolanie z funkcie a ďalšie. Vzdanie sa funkcie člena komisi</w:t>
      </w:r>
      <w:r>
        <w:rPr>
          <w:rFonts w:ascii="Book Antiqua" w:hAnsi="Book Antiqua"/>
          <w:sz w:val="22"/>
          <w:szCs w:val="22"/>
        </w:rPr>
        <w:t>e nie je možné samé osebe, ale len ako dôsledok zániku funkcie predsedu alebo podpredsedu výboru.</w:t>
      </w:r>
    </w:p>
    <w:p w:rsidR="00C10F1D" w:rsidRDefault="00C10F1D">
      <w:pPr>
        <w:spacing w:before="120" w:after="0"/>
        <w:jc w:val="both"/>
        <w:rPr>
          <w:rFonts w:ascii="Book Antiqua" w:hAnsi="Book Antiqua"/>
          <w:u w:val="single"/>
        </w:rPr>
      </w:pPr>
    </w:p>
    <w:p w:rsidR="00C10F1D" w:rsidRDefault="00C10F1D">
      <w:pPr>
        <w:spacing w:before="120" w:after="0"/>
        <w:jc w:val="both"/>
        <w:rPr>
          <w:rFonts w:ascii="Book Antiqua" w:hAnsi="Book Antiqua"/>
          <w:u w:val="single"/>
        </w:rPr>
      </w:pPr>
    </w:p>
    <w:p w:rsidR="00C10F1D" w:rsidRDefault="004C080A">
      <w:pPr>
        <w:spacing w:before="120" w:after="0"/>
        <w:jc w:val="both"/>
      </w:pPr>
      <w:r>
        <w:rPr>
          <w:rFonts w:ascii="Book Antiqua" w:hAnsi="Book Antiqua"/>
          <w:u w:val="single"/>
        </w:rPr>
        <w:lastRenderedPageBreak/>
        <w:t>K bodom 3 až 6</w:t>
      </w:r>
    </w:p>
    <w:p w:rsidR="00335AA9" w:rsidRPr="00C10F1D" w:rsidRDefault="004C080A" w:rsidP="00C10F1D">
      <w:pPr>
        <w:spacing w:before="120" w:after="0"/>
        <w:ind w:firstLine="709"/>
        <w:jc w:val="both"/>
      </w:pPr>
      <w:r>
        <w:rPr>
          <w:rFonts w:ascii="Book Antiqua" w:hAnsi="Book Antiqua" w:cs="Book Antiqua"/>
        </w:rPr>
        <w:t xml:space="preserve">Ide o legislatívno-technickú úpravu, ktorá bezprostredne súvisí s Čl. I bodom 1 tohto návrhu zákona. </w:t>
      </w:r>
    </w:p>
    <w:p w:rsidR="00335AA9" w:rsidRDefault="004C080A">
      <w:pPr>
        <w:spacing w:before="120" w:after="0"/>
        <w:jc w:val="both"/>
      </w:pPr>
      <w:r>
        <w:rPr>
          <w:rFonts w:ascii="Book Antiqua" w:hAnsi="Book Antiqua" w:cs="Book Antiqua"/>
          <w:u w:val="single"/>
        </w:rPr>
        <w:t>K bodu 7</w:t>
      </w:r>
    </w:p>
    <w:p w:rsidR="00335AA9" w:rsidRDefault="004C080A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Prechodným ustanovením sa ri</w:t>
      </w:r>
      <w:r>
        <w:rPr>
          <w:rFonts w:ascii="Book Antiqua" w:hAnsi="Book Antiqua" w:cs="Book Antiqua"/>
        </w:rPr>
        <w:t>eši problém súvisiaci s možným prípadom, ak by sa členom komisie stal ešte pred úč</w:t>
      </w:r>
      <w:r>
        <w:rPr>
          <w:rFonts w:ascii="Book Antiqua" w:hAnsi="Book Antiqua"/>
        </w:rPr>
        <w:t>innosťou tohto návrhu zákona aj taký člen, ktorý by nespĺňal podmienky pre členstvo v komisii podľa tohto návrhu zákona.</w:t>
      </w:r>
    </w:p>
    <w:p w:rsidR="00335AA9" w:rsidRDefault="00335AA9">
      <w:pPr>
        <w:tabs>
          <w:tab w:val="left" w:pos="6015"/>
        </w:tabs>
        <w:spacing w:before="120" w:after="0"/>
        <w:jc w:val="both"/>
        <w:rPr>
          <w:rFonts w:ascii="Book Antiqua" w:hAnsi="Book Antiqua" w:cs="Book Antiqua"/>
          <w:b/>
        </w:rPr>
      </w:pPr>
    </w:p>
    <w:p w:rsidR="00335AA9" w:rsidRDefault="004C080A">
      <w:pPr>
        <w:tabs>
          <w:tab w:val="left" w:pos="6015"/>
        </w:tabs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</w:rPr>
        <w:t>K Čl. II</w:t>
      </w:r>
    </w:p>
    <w:p w:rsidR="00335AA9" w:rsidRDefault="004C080A">
      <w:pPr>
        <w:pStyle w:val="Normlnywebov1"/>
        <w:spacing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 xml:space="preserve">Navrhuje sa účinnosť predkladaného návrhu </w:t>
      </w:r>
      <w:r>
        <w:rPr>
          <w:rFonts w:ascii="Book Antiqua" w:hAnsi="Book Antiqua" w:cs="Book Antiqua"/>
          <w:bCs/>
          <w:sz w:val="22"/>
          <w:szCs w:val="22"/>
        </w:rPr>
        <w:t xml:space="preserve">zákona so zohľadnením potrebnej dĺžky </w:t>
      </w:r>
      <w:proofErr w:type="spellStart"/>
      <w:r>
        <w:rPr>
          <w:rFonts w:ascii="Book Antiqua" w:hAnsi="Book Antiqua" w:cs="Book Antiqua"/>
          <w:bCs/>
          <w:sz w:val="22"/>
          <w:szCs w:val="22"/>
        </w:rPr>
        <w:t>legisvakančnej</w:t>
      </w:r>
      <w:proofErr w:type="spellEnd"/>
      <w:r>
        <w:rPr>
          <w:rFonts w:ascii="Book Antiqua" w:hAnsi="Book Antiqua" w:cs="Book Antiqua"/>
          <w:bCs/>
          <w:sz w:val="22"/>
          <w:szCs w:val="22"/>
        </w:rPr>
        <w:t xml:space="preserve"> lehoty o</w:t>
      </w:r>
      <w:bookmarkStart w:id="1" w:name="_GoBack"/>
      <w:bookmarkEnd w:id="1"/>
      <w:r>
        <w:rPr>
          <w:rFonts w:ascii="Book Antiqua" w:hAnsi="Book Antiqua" w:cs="Book Antiqua"/>
          <w:bCs/>
          <w:sz w:val="22"/>
          <w:szCs w:val="22"/>
        </w:rPr>
        <w:t>d</w:t>
      </w:r>
      <w:r>
        <w:rPr>
          <w:rFonts w:ascii="Book Antiqua" w:hAnsi="Book Antiqua" w:cs="Book Antiqua"/>
          <w:sz w:val="22"/>
          <w:szCs w:val="22"/>
        </w:rPr>
        <w:t xml:space="preserve"> 1. januára 2020. </w:t>
      </w:r>
      <w:r>
        <w:br w:type="page"/>
      </w:r>
    </w:p>
    <w:p w:rsidR="00335AA9" w:rsidRDefault="004C080A">
      <w:pPr>
        <w:tabs>
          <w:tab w:val="left" w:pos="6015"/>
        </w:tabs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:rsidR="00335AA9" w:rsidRDefault="004C080A">
      <w:pPr>
        <w:pStyle w:val="Normlnywebov1"/>
        <w:spacing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335AA9" w:rsidRDefault="004C080A">
      <w:pPr>
        <w:pStyle w:val="Normlnywebov1"/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335AA9" w:rsidRDefault="004C080A">
      <w:pPr>
        <w:pStyle w:val="Normlnywebov1"/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 w:cs="Book Antiqua"/>
          <w:sz w:val="22"/>
          <w:szCs w:val="22"/>
        </w:rPr>
        <w:t xml:space="preserve"> skupina poslancov Národnej rady Slovenskej republiky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  <w:bCs/>
        </w:rPr>
      </w:pPr>
      <w:r>
        <w:rPr>
          <w:rFonts w:ascii="Book Antiqua" w:hAnsi="Book Antiqua" w:cs="Book Antiqua"/>
          <w:b/>
          <w:bCs/>
        </w:rPr>
        <w:t>2. Názov návrhu právneho predpisu:</w:t>
      </w:r>
      <w:r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</w:rPr>
        <w:t xml:space="preserve">návrh zákona, </w:t>
      </w:r>
      <w:r>
        <w:rPr>
          <w:rFonts w:ascii="Book Antiqua" w:hAnsi="Book Antiqua"/>
          <w:bCs/>
        </w:rPr>
        <w:t>ktorým sa mení zákon č. 166/2003 Z. z. o ochrane súkromia pred neoprávneným použitím informačno-technických prostriedkov a o zmene a doplnení niektorých zákonov (zákon o ochrane pred odpočúvaním) v znení neskorších predpisov</w:t>
      </w:r>
    </w:p>
    <w:p w:rsidR="00335AA9" w:rsidRDefault="00335AA9">
      <w:pPr>
        <w:pStyle w:val="Normlnywebov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</w:p>
    <w:p w:rsidR="00335AA9" w:rsidRDefault="004C080A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</w:t>
      </w:r>
      <w:r>
        <w:rPr>
          <w:rFonts w:ascii="Book Antiqua" w:hAnsi="Book Antiqua" w:cs="Book Antiqua"/>
          <w:b/>
          <w:bCs/>
          <w:sz w:val="22"/>
          <w:szCs w:val="22"/>
        </w:rPr>
        <w:t>u zákona:</w:t>
      </w:r>
    </w:p>
    <w:p w:rsidR="00335AA9" w:rsidRDefault="004C080A">
      <w:pPr>
        <w:pStyle w:val="Vchodzie"/>
        <w:numPr>
          <w:ilvl w:val="0"/>
          <w:numId w:val="2"/>
        </w:numPr>
        <w:spacing w:before="120" w:after="200" w:line="276" w:lineRule="auto"/>
        <w:ind w:firstLine="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nie je upravený v primárnom práve Európskej únie</w:t>
      </w:r>
    </w:p>
    <w:p w:rsidR="00335AA9" w:rsidRDefault="004C080A">
      <w:pPr>
        <w:pStyle w:val="Normlnywebov"/>
        <w:numPr>
          <w:ilvl w:val="0"/>
          <w:numId w:val="2"/>
        </w:numPr>
        <w:spacing w:before="120" w:after="0"/>
        <w:ind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upravený v sekundárnom práve Európskej únie,</w:t>
      </w:r>
    </w:p>
    <w:p w:rsidR="00335AA9" w:rsidRDefault="004C080A">
      <w:pPr>
        <w:pStyle w:val="Normlnywebov"/>
        <w:numPr>
          <w:ilvl w:val="0"/>
          <w:numId w:val="2"/>
        </w:numPr>
        <w:spacing w:before="120" w:after="0"/>
        <w:ind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  <w:r>
        <w:rPr>
          <w:rFonts w:ascii="Book Antiqua" w:hAnsi="Book Antiqua" w:cs="Book Antiqua"/>
          <w:sz w:val="22"/>
          <w:szCs w:val="22"/>
        </w:rPr>
        <w:t> </w:t>
      </w:r>
    </w:p>
    <w:p w:rsidR="00335AA9" w:rsidRDefault="00335AA9">
      <w:pPr>
        <w:pStyle w:val="Normlnywebov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335AA9" w:rsidRDefault="004C080A">
      <w:pPr>
        <w:pStyle w:val="Normlnywebov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Vzhľadom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na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to,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že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predmet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návrhu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zákona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nie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je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upravený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v práve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Európskej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únie,</w:t>
      </w:r>
      <w:r>
        <w:rPr>
          <w:rStyle w:val="awspan"/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je bezpredmetné vyjadrovať sa k bodom 4. a 5.</w:t>
      </w:r>
    </w:p>
    <w:p w:rsidR="00335AA9" w:rsidRDefault="004C080A">
      <w:pPr>
        <w:pStyle w:val="Normlnywebov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br w:type="page"/>
      </w:r>
    </w:p>
    <w:p w:rsidR="00335AA9" w:rsidRDefault="004C080A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:rsidR="00335AA9" w:rsidRDefault="004C080A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vybraných vplyvov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  <w:bCs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 xml:space="preserve">návrh zákona, </w:t>
      </w:r>
      <w:r>
        <w:rPr>
          <w:rFonts w:ascii="Book Antiqua" w:hAnsi="Book Antiqua"/>
          <w:bCs/>
        </w:rPr>
        <w:t>ktorým sa mení zákon č. 166/2003 Z. z. o ochrane súkromia pred neoprávneným použitím informačno-technických prostriedkov a o zmene a doplnení nie</w:t>
      </w:r>
      <w:r>
        <w:rPr>
          <w:rFonts w:ascii="Book Antiqua" w:hAnsi="Book Antiqua"/>
          <w:bCs/>
        </w:rPr>
        <w:t>ktorých zákonov (zákon o ochrane pred odpočúvaním) v znení neskorších predpisov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Termín začatia a ukončenia PPK: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  <w:iCs/>
        </w:rPr>
        <w:t>bezpredmetné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tbl>
      <w:tblPr>
        <w:tblW w:w="9148" w:type="dxa"/>
        <w:tblInd w:w="-49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1238"/>
        <w:gridCol w:w="1176"/>
        <w:gridCol w:w="1332"/>
      </w:tblGrid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 Pozitívne </w:t>
            </w: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 Žiadne 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 Negatívne </w:t>
            </w: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1. Vplyvy na rozpočet verejnej správy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 xml:space="preserve">2. Vplyvy na podnikateľské prostredie </w:t>
            </w:r>
            <w:r>
              <w:rPr>
                <w:rFonts w:ascii="Book Antiqua" w:hAnsi="Book Antiqua" w:cs="Book Antiqua"/>
              </w:rPr>
              <w:t>– dochádza k zvýšeniu regulačného zaťaženia?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3. Sociálne vplyvy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– vplyvy na hospodárenie obyvateľstva,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 xml:space="preserve">– sociálnu </w:t>
            </w:r>
            <w:proofErr w:type="spellStart"/>
            <w:r>
              <w:rPr>
                <w:rFonts w:ascii="Book Antiqua" w:hAnsi="Book Antiqua" w:cs="Book Antiqua"/>
              </w:rPr>
              <w:t>exklúziu</w:t>
            </w:r>
            <w:proofErr w:type="spellEnd"/>
            <w:r>
              <w:rPr>
                <w:rFonts w:ascii="Book Antiqua" w:hAnsi="Book Antiqua" w:cs="Book Antiqua"/>
              </w:rPr>
              <w:t>,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– rovnosť príležitostí a rodovú rovnosť a vplyvy na zamestnanosť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4. Vplyvy na životné prostredie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 w:rsidR="00335AA9">
        <w:tc>
          <w:tcPr>
            <w:tcW w:w="54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92" w:type="dxa"/>
              <w:right w:w="108" w:type="dxa"/>
            </w:tcMar>
            <w:vAlign w:val="center"/>
          </w:tcPr>
          <w:p w:rsidR="00335AA9" w:rsidRDefault="004C080A">
            <w:pPr>
              <w:spacing w:before="120"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 xml:space="preserve">5. </w:t>
            </w:r>
            <w:r>
              <w:rPr>
                <w:rFonts w:ascii="Book Antiqua" w:hAnsi="Book Antiqua" w:cs="Book Antiqua"/>
              </w:rPr>
              <w:t>Vplyvy na informatizáciu spoločnosti</w:t>
            </w:r>
          </w:p>
        </w:tc>
        <w:tc>
          <w:tcPr>
            <w:tcW w:w="12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4C080A">
            <w:pPr>
              <w:spacing w:before="12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3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-7" w:type="dxa"/>
            </w:tcMar>
            <w:vAlign w:val="center"/>
          </w:tcPr>
          <w:p w:rsidR="00335AA9" w:rsidRDefault="00335AA9">
            <w:pPr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335AA9" w:rsidRDefault="00335AA9">
      <w:pPr>
        <w:spacing w:before="120" w:after="0"/>
        <w:jc w:val="both"/>
        <w:rPr>
          <w:rFonts w:ascii="Book Antiqua" w:hAnsi="Book Antiqua" w:cs="Book Antiqua"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A.3. Poznámky</w:t>
      </w:r>
    </w:p>
    <w:p w:rsidR="00335AA9" w:rsidRDefault="004C080A">
      <w:pPr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i/>
        </w:rPr>
        <w:t>bezpredmetné</w:t>
      </w:r>
    </w:p>
    <w:p w:rsidR="00335AA9" w:rsidRDefault="00335AA9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A.4. Alternatívne riešenia</w:t>
      </w:r>
    </w:p>
    <w:p w:rsidR="00335AA9" w:rsidRDefault="004C080A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i/>
        </w:rPr>
        <w:t>bezpredmetné </w:t>
      </w:r>
    </w:p>
    <w:p w:rsidR="00335AA9" w:rsidRDefault="00335AA9">
      <w:pPr>
        <w:pStyle w:val="Normlnywebov"/>
        <w:spacing w:before="120" w:after="0"/>
        <w:ind w:left="567" w:hanging="567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335AA9" w:rsidRDefault="004C080A">
      <w:pPr>
        <w:pStyle w:val="Normlnywebov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A.5. </w:t>
      </w:r>
      <w:r>
        <w:rPr>
          <w:rFonts w:ascii="Book Antiqua" w:hAnsi="Book Antiqua" w:cs="Book Antiqua"/>
          <w:b/>
          <w:bCs/>
          <w:sz w:val="22"/>
          <w:szCs w:val="22"/>
        </w:rPr>
        <w:tab/>
        <w:t>Stanovisko gestorov</w:t>
      </w:r>
    </w:p>
    <w:p w:rsidR="00335AA9" w:rsidRDefault="004C080A">
      <w:pPr>
        <w:pStyle w:val="Normlnywebov"/>
        <w:spacing w:before="120" w:after="0"/>
        <w:jc w:val="both"/>
      </w:pPr>
      <w:r>
        <w:rPr>
          <w:rFonts w:ascii="Book Antiqua" w:hAnsi="Book Antiqua" w:cs="Book Antiqua"/>
          <w:i/>
          <w:iCs/>
          <w:sz w:val="22"/>
          <w:szCs w:val="22"/>
        </w:rPr>
        <w:t xml:space="preserve">Návrh zákona bol zaslaný na vyjadrenie Ministerstvu financií SR a stanovisko tohto ministerstva tvorí súčasť </w:t>
      </w:r>
      <w:r>
        <w:rPr>
          <w:rFonts w:ascii="Book Antiqua" w:hAnsi="Book Antiqua" w:cs="Book Antiqua"/>
          <w:i/>
          <w:iCs/>
          <w:sz w:val="22"/>
          <w:szCs w:val="22"/>
        </w:rPr>
        <w:t>predkladaného materiálu.</w:t>
      </w:r>
    </w:p>
    <w:sectPr w:rsidR="00335AA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0A" w:rsidRDefault="004C080A">
      <w:pPr>
        <w:spacing w:after="0" w:line="240" w:lineRule="auto"/>
      </w:pPr>
      <w:r>
        <w:separator/>
      </w:r>
    </w:p>
  </w:endnote>
  <w:endnote w:type="continuationSeparator" w:id="0">
    <w:p w:rsidR="004C080A" w:rsidRDefault="004C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A9" w:rsidRDefault="004C080A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C10F1D">
      <w:rPr>
        <w:noProof/>
      </w:rPr>
      <w:t>6</w:t>
    </w:r>
    <w:r>
      <w:fldChar w:fldCharType="end"/>
    </w:r>
  </w:p>
  <w:p w:rsidR="00335AA9" w:rsidRDefault="00335AA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0A" w:rsidRDefault="004C080A">
      <w:pPr>
        <w:spacing w:after="0" w:line="240" w:lineRule="auto"/>
      </w:pPr>
      <w:r>
        <w:separator/>
      </w:r>
    </w:p>
  </w:footnote>
  <w:footnote w:type="continuationSeparator" w:id="0">
    <w:p w:rsidR="004C080A" w:rsidRDefault="004C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EBD"/>
    <w:multiLevelType w:val="multilevel"/>
    <w:tmpl w:val="B8CCF3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048"/>
    <w:multiLevelType w:val="multilevel"/>
    <w:tmpl w:val="E29CFEF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nsid w:val="15325D0D"/>
    <w:multiLevelType w:val="multilevel"/>
    <w:tmpl w:val="0524A31E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Book Antiqua" w:hAnsi="Book Antiqua" w:cs="Book Antiqua"/>
        <w:b w:val="0"/>
        <w:sz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>
    <w:nsid w:val="23A05E77"/>
    <w:multiLevelType w:val="multilevel"/>
    <w:tmpl w:val="975C0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6D043A2"/>
    <w:multiLevelType w:val="multilevel"/>
    <w:tmpl w:val="A96E5A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A9"/>
    <w:rsid w:val="00335AA9"/>
    <w:rsid w:val="004C080A"/>
    <w:rsid w:val="00C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ourier New" w:hAnsi="Calibri" w:cs="Calibri"/>
      <w:sz w:val="22"/>
      <w:szCs w:val="22"/>
      <w:lang w:eastAsia="ar-SA" w:bidi="ar-SA"/>
    </w:rPr>
  </w:style>
  <w:style w:type="paragraph" w:styleId="Nadpis1">
    <w:name w:val="heading 1"/>
    <w:basedOn w:val="Normlny"/>
    <w:qFormat/>
    <w:pPr>
      <w:keepNext/>
      <w:tabs>
        <w:tab w:val="left" w:pos="0"/>
      </w:tabs>
      <w:ind w:left="432" w:hanging="432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3">
    <w:name w:val="heading 3"/>
    <w:basedOn w:val="Norm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Cambria" w:hAnsi="Cambria" w:cs="Times New Roman"/>
      <w:b/>
      <w:sz w:val="32"/>
    </w:rPr>
  </w:style>
  <w:style w:type="character" w:customStyle="1" w:styleId="Nadpis3Char">
    <w:name w:val="Nadpis 3 Char"/>
    <w:basedOn w:val="Predvolenpsmoodseku"/>
    <w:qFormat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qFormat/>
    <w:rPr>
      <w:rFonts w:ascii="Calibri" w:hAnsi="Calibri" w:cs="Times New Roman"/>
      <w:b/>
      <w:i/>
      <w:sz w:val="26"/>
      <w:lang w:val="sk-SK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styleId="Zvraznenie">
    <w:name w:val="Emphasis"/>
    <w:basedOn w:val="Predvolenpsmoodseku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sk-SK" w:eastAsia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sk-SK" w:eastAsia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sk-SK" w:eastAsia="ar-SA"/>
    </w:rPr>
  </w:style>
  <w:style w:type="character" w:customStyle="1" w:styleId="HlavikaChar">
    <w:name w:val="Hlavička Char"/>
    <w:qFormat/>
    <w:rPr>
      <w:rFonts w:ascii="Calibri" w:hAnsi="Calibri"/>
      <w:sz w:val="22"/>
      <w:lang w:val="sk-SK" w:eastAsia="ar-SA"/>
    </w:rPr>
  </w:style>
  <w:style w:type="character" w:customStyle="1" w:styleId="PtaChar">
    <w:name w:val="Päta Char"/>
    <w:qFormat/>
    <w:rPr>
      <w:rFonts w:ascii="Calibri" w:hAnsi="Calibri"/>
      <w:sz w:val="22"/>
      <w:lang w:val="sk-SK" w:eastAsia="ar-SA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ZarkazkladnhotextuChar2">
    <w:name w:val="Zarážka základného textu Char2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TextbublinyChar2">
    <w:name w:val="Text bubliny Char2"/>
    <w:basedOn w:val="Predvolenpsmoodseku"/>
    <w:qFormat/>
    <w:rPr>
      <w:rFonts w:ascii="Segoe UI" w:hAnsi="Segoe UI" w:cs="Segoe UI"/>
      <w:sz w:val="18"/>
      <w:szCs w:val="18"/>
      <w:lang w:val="sk-SK" w:eastAsia="ar-SA" w:bidi="ar-SA"/>
    </w:rPr>
  </w:style>
  <w:style w:type="character" w:customStyle="1" w:styleId="HlavikaChar1">
    <w:name w:val="Hlavička Char1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PtaChar1">
    <w:name w:val="Päta Char1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TextpoznmkypodiarouChar">
    <w:name w:val="Text poznámky pod čiarou Char"/>
    <w:basedOn w:val="Predvolenpsmoodseku"/>
    <w:qFormat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qFormat/>
    <w:rPr>
      <w:rFonts w:ascii="Courier New" w:hAnsi="Courier New" w:cs="Courier New"/>
      <w:lang w:val="sk-SK" w:eastAsia="ar-SA" w:bidi="ar-SA"/>
    </w:rPr>
  </w:style>
  <w:style w:type="character" w:styleId="Odkaznapoznmkupodiarou">
    <w:name w:val="footnote reference"/>
    <w:basedOn w:val="Predvolenpsmoodseku"/>
    <w:qFormat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qFormat/>
    <w:rPr>
      <w:rFonts w:cs="Times New Roman"/>
      <w:color w:val="800080"/>
      <w:u w:val="single"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Book Antiqua" w:hAnsi="Book Antiqua" w:cs="Times New Roman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awspan">
    <w:name w:val="awspan"/>
    <w:basedOn w:val="Predvolenpsmoodseku"/>
    <w:qFormat/>
    <w:rsid w:val="00CA3EDE"/>
  </w:style>
  <w:style w:type="character" w:customStyle="1" w:styleId="ListLabel47">
    <w:name w:val="ListLabel 47"/>
    <w:qFormat/>
    <w:rPr>
      <w:rFonts w:ascii="Book Antiqua" w:hAnsi="Book Antiqua" w:cs="Book Antiqua"/>
      <w:b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Book Antiqua" w:hAnsi="Book Antiqua" w:cs="Times New Roman"/>
      <w:b w:val="0"/>
      <w:sz w:val="22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Book Antiqua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  <w:rPr>
      <w:rFonts w:cs="Times New Roman"/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Pr>
      <w:rFonts w:cs="Mangal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szCs w:val="20"/>
      <w:lang w:eastAsia="sk-SK" w:bidi="ar-SA"/>
    </w:rPr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pisok">
    <w:name w:val="Popisok"/>
    <w:basedOn w:val="Normlny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Zarkazkladnhotextu">
    <w:name w:val="Body Text Indent"/>
    <w:basedOn w:val="Normlny"/>
    <w:pPr>
      <w:ind w:firstLine="709"/>
      <w:jc w:val="both"/>
    </w:pPr>
    <w:rPr>
      <w:rFonts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go">
    <w:name w:val="go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Textpoznmkypodiarou">
    <w:name w:val="footnote text"/>
    <w:basedOn w:val="Normlny"/>
    <w:qFormat/>
    <w:rPr>
      <w:rFonts w:cs="Times New Roman"/>
      <w:sz w:val="20"/>
      <w:szCs w:val="20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pPr>
      <w:widowControl w:val="0"/>
    </w:pPr>
    <w:rPr>
      <w:rFonts w:ascii="Times New Roman" w:eastAsia="Courier New" w:hAnsi="Times New Roman" w:cs="Times New Roman"/>
      <w:sz w:val="22"/>
      <w:lang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ourier New" w:hAnsi="Calibri" w:cs="Calibri"/>
      <w:sz w:val="22"/>
      <w:szCs w:val="22"/>
      <w:lang w:eastAsia="ar-SA" w:bidi="ar-SA"/>
    </w:rPr>
  </w:style>
  <w:style w:type="paragraph" w:styleId="Nadpis1">
    <w:name w:val="heading 1"/>
    <w:basedOn w:val="Normlny"/>
    <w:qFormat/>
    <w:pPr>
      <w:keepNext/>
      <w:tabs>
        <w:tab w:val="left" w:pos="0"/>
      </w:tabs>
      <w:ind w:left="432" w:hanging="432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3">
    <w:name w:val="heading 3"/>
    <w:basedOn w:val="Norm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Cambria" w:hAnsi="Cambria" w:cs="Times New Roman"/>
      <w:b/>
      <w:sz w:val="32"/>
    </w:rPr>
  </w:style>
  <w:style w:type="character" w:customStyle="1" w:styleId="Nadpis3Char">
    <w:name w:val="Nadpis 3 Char"/>
    <w:basedOn w:val="Predvolenpsmoodseku"/>
    <w:qFormat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qFormat/>
    <w:rPr>
      <w:rFonts w:ascii="Calibri" w:hAnsi="Calibri" w:cs="Times New Roman"/>
      <w:b/>
      <w:i/>
      <w:sz w:val="26"/>
      <w:lang w:val="sk-SK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styleId="Zvraznenie">
    <w:name w:val="Emphasis"/>
    <w:basedOn w:val="Predvolenpsmoodseku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sk-SK" w:eastAsia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sk-SK" w:eastAsia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sk-SK" w:eastAsia="ar-SA"/>
    </w:rPr>
  </w:style>
  <w:style w:type="character" w:customStyle="1" w:styleId="HlavikaChar">
    <w:name w:val="Hlavička Char"/>
    <w:qFormat/>
    <w:rPr>
      <w:rFonts w:ascii="Calibri" w:hAnsi="Calibri"/>
      <w:sz w:val="22"/>
      <w:lang w:val="sk-SK" w:eastAsia="ar-SA"/>
    </w:rPr>
  </w:style>
  <w:style w:type="character" w:customStyle="1" w:styleId="PtaChar">
    <w:name w:val="Päta Char"/>
    <w:qFormat/>
    <w:rPr>
      <w:rFonts w:ascii="Calibri" w:hAnsi="Calibri"/>
      <w:sz w:val="22"/>
      <w:lang w:val="sk-SK" w:eastAsia="ar-SA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ZarkazkladnhotextuChar2">
    <w:name w:val="Zarážka základného textu Char2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TextbublinyChar2">
    <w:name w:val="Text bubliny Char2"/>
    <w:basedOn w:val="Predvolenpsmoodseku"/>
    <w:qFormat/>
    <w:rPr>
      <w:rFonts w:ascii="Segoe UI" w:hAnsi="Segoe UI" w:cs="Segoe UI"/>
      <w:sz w:val="18"/>
      <w:szCs w:val="18"/>
      <w:lang w:val="sk-SK" w:eastAsia="ar-SA" w:bidi="ar-SA"/>
    </w:rPr>
  </w:style>
  <w:style w:type="character" w:customStyle="1" w:styleId="HlavikaChar1">
    <w:name w:val="Hlavička Char1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PtaChar1">
    <w:name w:val="Päta Char1"/>
    <w:basedOn w:val="Predvolenpsmoodseku"/>
    <w:qFormat/>
    <w:rPr>
      <w:rFonts w:ascii="Calibri" w:hAnsi="Calibri" w:cs="Calibri"/>
      <w:sz w:val="22"/>
      <w:szCs w:val="22"/>
      <w:lang w:val="sk-SK" w:eastAsia="ar-SA" w:bidi="ar-SA"/>
    </w:rPr>
  </w:style>
  <w:style w:type="character" w:customStyle="1" w:styleId="TextpoznmkypodiarouChar">
    <w:name w:val="Text poznámky pod čiarou Char"/>
    <w:basedOn w:val="Predvolenpsmoodseku"/>
    <w:qFormat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qFormat/>
    <w:rPr>
      <w:rFonts w:ascii="Courier New" w:hAnsi="Courier New" w:cs="Courier New"/>
      <w:lang w:val="sk-SK" w:eastAsia="ar-SA" w:bidi="ar-SA"/>
    </w:rPr>
  </w:style>
  <w:style w:type="character" w:styleId="Odkaznapoznmkupodiarou">
    <w:name w:val="footnote reference"/>
    <w:basedOn w:val="Predvolenpsmoodseku"/>
    <w:qFormat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qFormat/>
    <w:rPr>
      <w:rFonts w:cs="Times New Roman"/>
      <w:color w:val="800080"/>
      <w:u w:val="single"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Book Antiqua" w:hAnsi="Book Antiqua" w:cs="Times New Roman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awspan">
    <w:name w:val="awspan"/>
    <w:basedOn w:val="Predvolenpsmoodseku"/>
    <w:qFormat/>
    <w:rsid w:val="00CA3EDE"/>
  </w:style>
  <w:style w:type="character" w:customStyle="1" w:styleId="ListLabel47">
    <w:name w:val="ListLabel 47"/>
    <w:qFormat/>
    <w:rPr>
      <w:rFonts w:ascii="Book Antiqua" w:hAnsi="Book Antiqua" w:cs="Book Antiqua"/>
      <w:b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Book Antiqua" w:hAnsi="Book Antiqua" w:cs="Times New Roman"/>
      <w:b w:val="0"/>
      <w:sz w:val="22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Book Antiqua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  <w:rPr>
      <w:rFonts w:cs="Times New Roman"/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Pr>
      <w:rFonts w:cs="Mangal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szCs w:val="20"/>
      <w:lang w:eastAsia="sk-SK" w:bidi="ar-SA"/>
    </w:rPr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pisok">
    <w:name w:val="Popisok"/>
    <w:basedOn w:val="Normlny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Zarkazkladnhotextu">
    <w:name w:val="Body Text Indent"/>
    <w:basedOn w:val="Normlny"/>
    <w:pPr>
      <w:ind w:firstLine="709"/>
      <w:jc w:val="both"/>
    </w:pPr>
    <w:rPr>
      <w:rFonts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go">
    <w:name w:val="go"/>
    <w:basedOn w:val="Normlny"/>
    <w:qFormat/>
    <w:pPr>
      <w:spacing w:before="280" w:after="280"/>
    </w:pPr>
    <w:rPr>
      <w:rFonts w:cs="Times New Roman"/>
      <w:sz w:val="24"/>
      <w:szCs w:val="24"/>
    </w:rPr>
  </w:style>
  <w:style w:type="paragraph" w:styleId="Textpoznmkypodiarou">
    <w:name w:val="footnote text"/>
    <w:basedOn w:val="Normlny"/>
    <w:qFormat/>
    <w:rPr>
      <w:rFonts w:cs="Times New Roman"/>
      <w:sz w:val="20"/>
      <w:szCs w:val="20"/>
    </w:rPr>
  </w:style>
  <w:style w:type="paragraph" w:styleId="PredformtovanHTML">
    <w:name w:val="HTML Preformatted"/>
    <w:basedOn w:val="Norm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pPr>
      <w:widowControl w:val="0"/>
    </w:pPr>
    <w:rPr>
      <w:rFonts w:ascii="Times New Roman" w:eastAsia="Courier New" w:hAnsi="Times New Roman" w:cs="Times New Roman"/>
      <w:sz w:val="22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Kancelaria NRSR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Maťka</dc:creator>
  <dc:description/>
  <cp:lastModifiedBy>Milan</cp:lastModifiedBy>
  <cp:revision>9</cp:revision>
  <cp:lastPrinted>2017-04-19T09:03:00Z</cp:lastPrinted>
  <dcterms:created xsi:type="dcterms:W3CDTF">2019-08-20T15:49:00Z</dcterms:created>
  <dcterms:modified xsi:type="dcterms:W3CDTF">2019-08-22T00:04:00Z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Milan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