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CA" w:rsidRPr="00770552" w:rsidRDefault="000C0BCA" w:rsidP="00770552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770552" w:rsidRDefault="00770552" w:rsidP="00770552">
      <w:pPr>
        <w:pStyle w:val="Nadpis1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C0BCA" w:rsidRPr="00770552" w:rsidRDefault="000C0BCA" w:rsidP="00770552">
      <w:pPr>
        <w:pStyle w:val="Nadpis1"/>
        <w:spacing w:before="120" w:line="276" w:lineRule="auto"/>
        <w:jc w:val="both"/>
        <w:rPr>
          <w:rFonts w:ascii="Book Antiqua" w:hAnsi="Book Antiqua"/>
          <w:b w:val="0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A. Všeobecná časť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Návrh na vydanie zákona, ktorým sa mení a dopĺňa zákon č. 581/2004 Z. z. o zdravotných poisťovniach, dohľade nad zdravotnou starostlivosťou a o zmene a doplnení niektorých zákonov v znení neskorších predpisov a ktorým sa mení zákon č. 578/2004 Z. z. o poskytovateľoch zdravotnej starostlivosti, zdravotníckych pracovníkoch, stavovských organizáciách v zdravotníctve a o zmene a doplnení niektorých zákonov v znení neskorších predpisov (ďalej len „návrh zákona“) predkladá do legislatívneho procesu skupina poslancov Národnej rady Slovenskej republiky (NR SR).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V súčasne platnej legislatíve je rozsah vybraných chorôb, na ktoré sa oficiálne vytvárajú čakacie listiny, príliš úzky a nezahŕňa nádorové ochorenia ani operačné zákroky, ktoré s týmito ochoreniami súvisia. Pritom práve pri nádorových ochoreniach je čas vykonania potrebného operačného zákroku mimoriadne dôležitý a tento faktor môže v konečnom dôsledku rozhodnúť o tom, či pacient prežije alebo chorobe podľahne. Je preto v záujme všetkých pacientov, ktorým lekár v súvislosti s diagnostikou alebo podozrením na nádorové ochorenie indikoval operačný zákrok, aby bol tento zákrok vykonaný v čo najkratšom čase.</w:t>
      </w:r>
    </w:p>
    <w:p w:rsid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b/>
          <w:sz w:val="22"/>
          <w:szCs w:val="22"/>
        </w:rPr>
        <w:t>Hlavným cieľom predloženého návrhu zákona je preto vytvoriť také legislatívne podmienky, aby operačné zákroky indikované v súvislosti</w:t>
      </w:r>
      <w:r w:rsidR="00C93F64">
        <w:rPr>
          <w:rFonts w:ascii="Book Antiqua" w:hAnsi="Book Antiqua"/>
          <w:b/>
          <w:sz w:val="22"/>
          <w:szCs w:val="22"/>
        </w:rPr>
        <w:t xml:space="preserve"> s nádorovým ochorením boli </w:t>
      </w:r>
      <w:r w:rsidRPr="00770552">
        <w:rPr>
          <w:rFonts w:ascii="Book Antiqua" w:hAnsi="Book Antiqua"/>
          <w:b/>
          <w:sz w:val="22"/>
          <w:szCs w:val="22"/>
        </w:rPr>
        <w:t>vykonávané do 14 dní odo dňa indikácie operácie</w:t>
      </w:r>
      <w:r w:rsidR="00770552">
        <w:rPr>
          <w:rFonts w:ascii="Book Antiqua" w:hAnsi="Book Antiqua"/>
          <w:sz w:val="22"/>
          <w:szCs w:val="22"/>
        </w:rPr>
        <w:t xml:space="preserve">. </w:t>
      </w:r>
      <w:r w:rsidRPr="00770552">
        <w:rPr>
          <w:rFonts w:ascii="Book Antiqua" w:hAnsi="Book Antiqua"/>
          <w:sz w:val="22"/>
          <w:szCs w:val="22"/>
        </w:rPr>
        <w:t>Na dosiahnutie tohto cieľa predložený návrh zákona zavádza nasledovné prostriedky:</w:t>
      </w:r>
    </w:p>
    <w:p w:rsidR="000C0BCA" w:rsidRDefault="00770552" w:rsidP="00770552">
      <w:pPr>
        <w:pStyle w:val="Odsekzoznamu"/>
        <w:numPr>
          <w:ilvl w:val="0"/>
          <w:numId w:val="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="000C0BCA" w:rsidRPr="00770552">
        <w:rPr>
          <w:rFonts w:ascii="Book Antiqua" w:hAnsi="Book Antiqua"/>
          <w:sz w:val="22"/>
          <w:szCs w:val="22"/>
        </w:rPr>
        <w:t>ovinnosť poskytovateľa zdravotnej starostlivosti navrhnúť zaradenie poistenca na čakací zoznam, ak plánovaná zdravotná starostlivosť spočíva v operačnom zákroku, ktorý indikoval klinický onkológ na základe diagnostiky alebo pod</w:t>
      </w:r>
      <w:r>
        <w:rPr>
          <w:rFonts w:ascii="Book Antiqua" w:hAnsi="Book Antiqua"/>
          <w:sz w:val="22"/>
          <w:szCs w:val="22"/>
        </w:rPr>
        <w:t>ozrenia na nádorové ochorenie; l</w:t>
      </w:r>
      <w:r w:rsidR="000C0BCA" w:rsidRPr="00770552">
        <w:rPr>
          <w:rFonts w:ascii="Book Antiqua" w:hAnsi="Book Antiqua"/>
          <w:sz w:val="22"/>
          <w:szCs w:val="22"/>
        </w:rPr>
        <w:t>ehota na splnenie tejto povinnosti je 24 hodín od indikácie operačného zákroku</w:t>
      </w:r>
      <w:r>
        <w:rPr>
          <w:rFonts w:ascii="Book Antiqua" w:hAnsi="Book Antiqua"/>
          <w:sz w:val="22"/>
          <w:szCs w:val="22"/>
        </w:rPr>
        <w:t>,</w:t>
      </w:r>
    </w:p>
    <w:p w:rsidR="000C0BCA" w:rsidRDefault="00770552" w:rsidP="00770552">
      <w:pPr>
        <w:pStyle w:val="Odsekzoznamu"/>
        <w:numPr>
          <w:ilvl w:val="0"/>
          <w:numId w:val="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="000C0BCA" w:rsidRPr="00770552">
        <w:rPr>
          <w:rFonts w:ascii="Book Antiqua" w:hAnsi="Book Antiqua"/>
          <w:sz w:val="22"/>
          <w:szCs w:val="22"/>
        </w:rPr>
        <w:t>ovin</w:t>
      </w:r>
      <w:r>
        <w:rPr>
          <w:rFonts w:ascii="Book Antiqua" w:hAnsi="Book Antiqua"/>
          <w:sz w:val="22"/>
          <w:szCs w:val="22"/>
        </w:rPr>
        <w:t xml:space="preserve">nosť zdravotnej poisťovne viesť </w:t>
      </w:r>
      <w:r w:rsidR="000C0BCA" w:rsidRPr="00770552">
        <w:rPr>
          <w:rFonts w:ascii="Book Antiqua" w:hAnsi="Book Antiqua"/>
          <w:sz w:val="22"/>
          <w:szCs w:val="22"/>
        </w:rPr>
        <w:t>pre plánovanú zdravotnú starostlivosť spočívajúcu v operačnom zákroku, ktorý indikoval klinický onkológ na základe diagnostiky alebo podozrenia na nádorové ochorenie, jeden spoločný zoznam pre všetkých poskytovateľov zdravotnej starostlivosti</w:t>
      </w:r>
      <w:r>
        <w:rPr>
          <w:rFonts w:ascii="Book Antiqua" w:hAnsi="Book Antiqua"/>
          <w:sz w:val="22"/>
          <w:szCs w:val="22"/>
        </w:rPr>
        <w:t>,</w:t>
      </w:r>
    </w:p>
    <w:p w:rsidR="000C0BCA" w:rsidRDefault="00770552" w:rsidP="00770552">
      <w:pPr>
        <w:pStyle w:val="Odsekzoznamu"/>
        <w:numPr>
          <w:ilvl w:val="0"/>
          <w:numId w:val="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="000C0BCA" w:rsidRPr="00770552">
        <w:rPr>
          <w:rFonts w:ascii="Book Antiqua" w:hAnsi="Book Antiqua"/>
          <w:sz w:val="22"/>
          <w:szCs w:val="22"/>
        </w:rPr>
        <w:t>ovinnosť zdravotnej poisťovne zabezpečiť poistencovi vykonanie operačného zákroku súvisiaceho s nádorovým ochorením do 14 dní odo dňa z</w:t>
      </w:r>
      <w:r>
        <w:rPr>
          <w:rFonts w:ascii="Book Antiqua" w:hAnsi="Book Antiqua"/>
          <w:sz w:val="22"/>
          <w:szCs w:val="22"/>
        </w:rPr>
        <w:t>aradenia poistenca do zoznamu; a</w:t>
      </w:r>
      <w:r w:rsidR="000C0BCA" w:rsidRPr="00770552">
        <w:rPr>
          <w:rFonts w:ascii="Book Antiqua" w:hAnsi="Book Antiqua"/>
          <w:sz w:val="22"/>
          <w:szCs w:val="22"/>
        </w:rPr>
        <w:t>k si zdravotná poisťovňa túto povinnosť v danej lehote nesplní, zavádza sa povinnosť zdravotnej poisťovne uhradiť takýt</w:t>
      </w:r>
      <w:r>
        <w:rPr>
          <w:rFonts w:ascii="Book Antiqua" w:hAnsi="Book Antiqua"/>
          <w:sz w:val="22"/>
          <w:szCs w:val="22"/>
        </w:rPr>
        <w:t xml:space="preserve">o zákrok, aj keď bude vykonaný </w:t>
      </w:r>
      <w:r w:rsidR="000C0BCA" w:rsidRPr="00770552">
        <w:rPr>
          <w:rFonts w:ascii="Book Antiqua" w:hAnsi="Book Antiqua"/>
          <w:sz w:val="22"/>
          <w:szCs w:val="22"/>
        </w:rPr>
        <w:t>u nezmluvného poskytovateľa resp. v členských krajinách EÚ, a to v plnom rozsahu</w:t>
      </w:r>
      <w:r>
        <w:rPr>
          <w:rFonts w:ascii="Book Antiqua" w:hAnsi="Book Antiqua"/>
          <w:sz w:val="22"/>
          <w:szCs w:val="22"/>
        </w:rPr>
        <w:t xml:space="preserve"> podľa výberu pacienta (poistenca),</w:t>
      </w:r>
    </w:p>
    <w:p w:rsidR="00770552" w:rsidRDefault="00770552" w:rsidP="00770552">
      <w:pPr>
        <w:pStyle w:val="Odsekzoznamu"/>
        <w:numPr>
          <w:ilvl w:val="0"/>
          <w:numId w:val="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</w:t>
      </w:r>
      <w:r w:rsidR="000C0BCA" w:rsidRPr="00770552">
        <w:rPr>
          <w:rFonts w:ascii="Book Antiqua" w:hAnsi="Book Antiqua"/>
          <w:sz w:val="22"/>
          <w:szCs w:val="22"/>
        </w:rPr>
        <w:t>ozšírenie rozsahu chorôb, na základe ktorých sú poistenci zaradení do čakacieho zoznamu, o nádorové ochorenia</w:t>
      </w:r>
      <w:r w:rsidR="007F135D" w:rsidRPr="00770552">
        <w:rPr>
          <w:rFonts w:ascii="Book Antiqua" w:hAnsi="Book Antiqua"/>
          <w:sz w:val="22"/>
          <w:szCs w:val="22"/>
        </w:rPr>
        <w:t>.</w:t>
      </w:r>
    </w:p>
    <w:p w:rsid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Povinnosť zdravotnej poisťovne účtovať technické rezervy na zdravotnú starostlivosť o pacientov na čakacích zoznamoch bude po rozšírení ch</w:t>
      </w:r>
      <w:r w:rsidR="00770552">
        <w:rPr>
          <w:rFonts w:ascii="Book Antiqua" w:hAnsi="Book Antiqua"/>
          <w:sz w:val="22"/>
          <w:szCs w:val="22"/>
        </w:rPr>
        <w:t xml:space="preserve">orôb, na ktoré sa čaká, viesť </w:t>
      </w:r>
      <w:r w:rsidRPr="00770552">
        <w:rPr>
          <w:rFonts w:ascii="Book Antiqua" w:hAnsi="Book Antiqua"/>
          <w:sz w:val="22"/>
          <w:szCs w:val="22"/>
        </w:rPr>
        <w:t xml:space="preserve">k lepšej </w:t>
      </w:r>
      <w:r w:rsidRPr="00770552">
        <w:rPr>
          <w:rFonts w:ascii="Book Antiqua" w:hAnsi="Book Antiqua"/>
          <w:sz w:val="22"/>
          <w:szCs w:val="22"/>
        </w:rPr>
        <w:lastRenderedPageBreak/>
        <w:t>a prísnejšej regulácii zisku zdravotných poisťovní a k efektívnejšiemu využitiu zdrojov verejného zdravotného poistenia v prospech poistencov.</w:t>
      </w:r>
    </w:p>
    <w:p w:rsidR="00770552" w:rsidRDefault="00770552" w:rsidP="0077055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Predkladaný návrh zákona </w:t>
      </w:r>
      <w:r>
        <w:rPr>
          <w:rFonts w:ascii="Book Antiqua" w:hAnsi="Book Antiqua"/>
          <w:sz w:val="22"/>
          <w:szCs w:val="22"/>
        </w:rPr>
        <w:t>ne</w:t>
      </w:r>
      <w:r w:rsidRPr="00550F63">
        <w:rPr>
          <w:rFonts w:ascii="Book Antiqua" w:hAnsi="Book Antiqua"/>
          <w:sz w:val="22"/>
          <w:szCs w:val="22"/>
        </w:rPr>
        <w:t>má dopad na rozpočet</w:t>
      </w:r>
      <w:r>
        <w:rPr>
          <w:rFonts w:ascii="Book Antiqua" w:hAnsi="Book Antiqua"/>
          <w:sz w:val="22"/>
          <w:szCs w:val="22"/>
        </w:rPr>
        <w:t xml:space="preserve"> verejnej správy ani na </w:t>
      </w:r>
      <w:r w:rsidRPr="00550F63">
        <w:rPr>
          <w:rFonts w:ascii="Book Antiqua" w:hAnsi="Book Antiqua"/>
          <w:sz w:val="22"/>
          <w:szCs w:val="22"/>
        </w:rPr>
        <w:t>podnikat</w:t>
      </w:r>
      <w:r>
        <w:rPr>
          <w:rFonts w:ascii="Book Antiqua" w:hAnsi="Book Antiqua"/>
          <w:sz w:val="22"/>
          <w:szCs w:val="22"/>
        </w:rPr>
        <w:t xml:space="preserve">eľské prostredie. Nemá vplyv </w:t>
      </w:r>
      <w:r w:rsidRPr="00550F63">
        <w:rPr>
          <w:rFonts w:ascii="Book Antiqua" w:hAnsi="Book Antiqua"/>
          <w:sz w:val="22"/>
          <w:szCs w:val="22"/>
        </w:rPr>
        <w:t>na životné prostredie a ani na informatizáciu spoločnosti, avšak vyvo</w:t>
      </w:r>
      <w:r>
        <w:rPr>
          <w:rFonts w:ascii="Book Antiqua" w:hAnsi="Book Antiqua"/>
          <w:sz w:val="22"/>
          <w:szCs w:val="22"/>
        </w:rPr>
        <w:t xml:space="preserve">láva pozitívne sociálne vplyvy. </w:t>
      </w:r>
    </w:p>
    <w:p w:rsidR="000C0BCA" w:rsidRPr="00770552" w:rsidRDefault="00770552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66186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70552">
        <w:rPr>
          <w:rFonts w:ascii="Book Antiqua" w:hAnsi="Book Antiqua"/>
          <w:b/>
          <w:sz w:val="22"/>
          <w:szCs w:val="22"/>
        </w:rPr>
        <w:t>K Čl. I</w:t>
      </w:r>
    </w:p>
    <w:p w:rsidR="000C0BCA" w:rsidRPr="00770552" w:rsidRDefault="00770552" w:rsidP="00770552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>K bodom 1 a 4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Zavádza sa povinnosť poskytovateľa zdravotnej starostlivosti navrhnúť zaradenie poistenca na čakací zoznam, ak plánovaná zdravotná starostlivosť spočíva v operačnom zákroku, ktorý indikoval klinický onkológ na základe diagnostiky alebo podozrenia na nádorové ochorenie. Lehota na splnenie tejto povinnosti je 24 hodín od indikácie operačného zákroku.</w:t>
      </w:r>
      <w:r w:rsidR="00770552">
        <w:rPr>
          <w:rFonts w:ascii="Book Antiqua" w:hAnsi="Book Antiqua"/>
          <w:sz w:val="22"/>
          <w:szCs w:val="22"/>
        </w:rPr>
        <w:t xml:space="preserve"> Podrobnosti o povinnostiach poskytovateľa zdravotnej starostlivosti pri podávaní návrhu na zaradenie do zoznamu a jeho vecnej a miestnej príslušnosti upraví vyhláška, ktorú vydá Ministerstvo zdravotníctva Slovenskej republiky.</w:t>
      </w: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70552">
        <w:rPr>
          <w:rFonts w:ascii="Book Antiqua" w:hAnsi="Book Antiqua"/>
          <w:sz w:val="22"/>
          <w:szCs w:val="22"/>
          <w:u w:val="single"/>
        </w:rPr>
        <w:t>K bodu 2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Z dôvodu zvýšenia efektivity a transparentnosti sa zavádza povinnosť zdravotnej poisťovne viesť pre plánovanú zdravotnú starostlivosť spočívajúcu v operačnom zákroku, ktorý indikoval klinický onkológ na základe diagnostiky alebo podozrenia na nádorové ochorenie, jeden spoločný zoznam pre všetkých poskytovat</w:t>
      </w:r>
      <w:r w:rsidR="00770552">
        <w:rPr>
          <w:rFonts w:ascii="Book Antiqua" w:hAnsi="Book Antiqua"/>
          <w:sz w:val="22"/>
          <w:szCs w:val="22"/>
        </w:rPr>
        <w:t>eľov zdravotnej starostlivosti. V súčasnosti si totiž vedú zdravotné poisťovne samostatné zoznamy vo vzťahu ku každému poskytovateľovi zdravotnej starostlivosti, čo je menej prehľadné aj efektívne z pohľadu zabezpečenia zdravotnej starostlivosti.</w:t>
      </w: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70552">
        <w:rPr>
          <w:rFonts w:ascii="Book Antiqua" w:hAnsi="Book Antiqua"/>
          <w:sz w:val="22"/>
          <w:szCs w:val="22"/>
          <w:u w:val="single"/>
        </w:rPr>
        <w:t>K bodu 3</w:t>
      </w: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ab/>
        <w:t xml:space="preserve">Zavádza sa povinnosť zdravotnej poisťovne zabezpečiť poistencovi vykonanie operačného zákroku súvisiaceho s nádorovým ochorením do 14 dní odo dňa zaradenia poistenca do zoznamu. </w:t>
      </w:r>
      <w:r w:rsidR="00C93F64">
        <w:rPr>
          <w:rFonts w:ascii="Book Antiqua" w:hAnsi="Book Antiqua"/>
          <w:sz w:val="22"/>
          <w:szCs w:val="22"/>
        </w:rPr>
        <w:t>Tento postup však nemôže ohroziť poskytnutie neodkladnej zdravotnej starostlivosti, t. j. ak zdravotná poisťovňa zariadi operačný zákrok poistencovi do 14 dní, ale operačný zákrok sa u poskytovateľa (ústavnej zdravotnej starostlivosti) posunie napr. o 1-2 dni neskôr kvôli zabezpečeniu neodkladnej zdravotnej starostlivosti o toho istého poskytovateľa zdravotnej starostlivosti, nebude sa takáto situácia považovať za porušenie 14-dňovej lehoty to strany zdravotnej poisťovne.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Ak si zdravotná poisťovňa túto povinnosť v danej lehote nesplní, zavádza sa povinnosť zdravotnej poisťovne uhradiť takýt</w:t>
      </w:r>
      <w:r w:rsidR="00770552">
        <w:rPr>
          <w:rFonts w:ascii="Book Antiqua" w:hAnsi="Book Antiqua"/>
          <w:sz w:val="22"/>
          <w:szCs w:val="22"/>
        </w:rPr>
        <w:t xml:space="preserve">o zákrok, aj keď bude vykonaný </w:t>
      </w:r>
      <w:r w:rsidRPr="00770552">
        <w:rPr>
          <w:rFonts w:ascii="Book Antiqua" w:hAnsi="Book Antiqua"/>
          <w:sz w:val="22"/>
          <w:szCs w:val="22"/>
        </w:rPr>
        <w:t>u nezmluvného poskytovateľa resp. v členských kraj</w:t>
      </w:r>
      <w:r w:rsidR="00770552">
        <w:rPr>
          <w:rFonts w:ascii="Book Antiqua" w:hAnsi="Book Antiqua"/>
          <w:sz w:val="22"/>
          <w:szCs w:val="22"/>
        </w:rPr>
        <w:t>inách EÚ, a to v plnom rozsahu, a to podľa výberu pacienta.</w:t>
      </w:r>
    </w:p>
    <w:p w:rsidR="000C0BCA" w:rsidRPr="00770552" w:rsidRDefault="00770552" w:rsidP="00770552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>K bodu 5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 xml:space="preserve">Ministerstvo zdravotníctva vo vykonávacej vyhláške upraví podrobnosti týkajúce sa novo zavedených povinností zdravotnej poisťovne v súvislosti s čl. I bodom 3 tohto návrhu zákona. Okrem iného je potrebné upraviť aj spôsob informovania poistenca zdravotnou poisťovňou o možnosti vykonania operačného zákroku v 14 dňovej lehote tak, aby bol tento spôsob jednoznačný a preukázateľný a nemohlo tak zo strany poistenca dôjsť k zneužitiu povinnosti zdravotnej poisťovne uhradiť operačný zákrok u nezmluvného poskytovateľa, </w:t>
      </w:r>
      <w:r w:rsidRPr="00770552">
        <w:rPr>
          <w:rFonts w:ascii="Book Antiqua" w:hAnsi="Book Antiqua"/>
          <w:sz w:val="22"/>
          <w:szCs w:val="22"/>
        </w:rPr>
        <w:lastRenderedPageBreak/>
        <w:t xml:space="preserve">resp. v zahraničí, tým, že </w:t>
      </w:r>
      <w:r w:rsidR="007F135D" w:rsidRPr="00770552">
        <w:rPr>
          <w:rFonts w:ascii="Book Antiqua" w:hAnsi="Book Antiqua"/>
          <w:sz w:val="22"/>
          <w:szCs w:val="22"/>
        </w:rPr>
        <w:t xml:space="preserve">by sa </w:t>
      </w:r>
      <w:r w:rsidRPr="00770552">
        <w:rPr>
          <w:rFonts w:ascii="Book Antiqua" w:hAnsi="Book Antiqua"/>
          <w:sz w:val="22"/>
          <w:szCs w:val="22"/>
        </w:rPr>
        <w:t>danému informovaniu</w:t>
      </w:r>
      <w:r w:rsidR="007F135D" w:rsidRPr="00770552">
        <w:rPr>
          <w:rFonts w:ascii="Book Antiqua" w:hAnsi="Book Antiqua"/>
          <w:sz w:val="22"/>
          <w:szCs w:val="22"/>
        </w:rPr>
        <w:t xml:space="preserve"> </w:t>
      </w:r>
      <w:r w:rsidR="00770552">
        <w:rPr>
          <w:rFonts w:ascii="Book Antiqua" w:hAnsi="Book Antiqua"/>
          <w:sz w:val="22"/>
          <w:szCs w:val="22"/>
        </w:rPr>
        <w:t xml:space="preserve">(resp. návrhu zdravotnej poisťovne) </w:t>
      </w:r>
      <w:r w:rsidR="007F135D" w:rsidRPr="00770552">
        <w:rPr>
          <w:rFonts w:ascii="Book Antiqua" w:hAnsi="Book Antiqua"/>
          <w:sz w:val="22"/>
          <w:szCs w:val="22"/>
        </w:rPr>
        <w:t>účelovo vyhol.</w:t>
      </w:r>
      <w:r w:rsidRPr="00770552">
        <w:rPr>
          <w:rFonts w:ascii="Book Antiqua" w:hAnsi="Book Antiqua"/>
          <w:sz w:val="22"/>
          <w:szCs w:val="22"/>
        </w:rPr>
        <w:t xml:space="preserve"> </w:t>
      </w:r>
    </w:p>
    <w:p w:rsidR="000C0BCA" w:rsidRPr="00770552" w:rsidRDefault="00770552" w:rsidP="00770552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>K bodu 6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Rozširuje sa rozsah chorôb, na základe ktorých sú poistenci zaradení na čakac</w:t>
      </w:r>
      <w:r w:rsidR="00770552">
        <w:rPr>
          <w:rFonts w:ascii="Book Antiqua" w:hAnsi="Book Antiqua"/>
          <w:sz w:val="22"/>
          <w:szCs w:val="22"/>
        </w:rPr>
        <w:t>í zoznamu (t.j. zoznamu poistencov čakajúcich na poskytnutie plánovanej zdravotnej starostlivosti), o nádorové ochorenia, keďže právny predpis, ktorý upravuje zoznam chorôb, ktoré sú spojené s čakacími zoznamami neobsahujú tieto typy ochorení. Príslušný právny predpis bude musieť v súvislosti s prijatím tohto návrhu zákona Ministerstvo zdravotníctva SR novelizovať.</w:t>
      </w:r>
    </w:p>
    <w:p w:rsidR="000C0BCA" w:rsidRPr="00770552" w:rsidRDefault="00770552" w:rsidP="00770552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>K bodu 7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Ide o legislatívno-technickú úpravu, ktorá bezprostredne súvisí s Čl. I bodom 3 tohto návrhu zákona.</w:t>
      </w: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70552">
        <w:rPr>
          <w:rFonts w:ascii="Book Antiqua" w:hAnsi="Book Antiqua"/>
          <w:b/>
          <w:sz w:val="22"/>
          <w:szCs w:val="22"/>
        </w:rPr>
        <w:t>K Čl. II</w:t>
      </w:r>
    </w:p>
    <w:p w:rsidR="000C0BCA" w:rsidRPr="00770552" w:rsidRDefault="000C0BCA" w:rsidP="00770552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Cs/>
          <w:sz w:val="22"/>
          <w:szCs w:val="22"/>
        </w:rPr>
        <w:t>Dopĺňajú sa povinnosti poskytovateľa zdravotnej starostlivosti v súvislosti s navrhovanými zmenami uvedenými v Čl. I tohto návrhu zákona. Zároveň sa spresňuje povinnosť poskytovateľa zdravotnej starostlivosti ohľadne zoznamu pacientov, ktorým má byť poskytnutá plánovaná zdravotná starostlivosť – keďže zdravotné poisťovne musia tieto zoznamy vytvárať podľa zákona, vypúšťa sa podmienka o dodržiavaní poradia pacientov v zozname poskytovateľom zdravotnej starostlivosti súvisiaca s tým, že túto povinnosť uvedený poskytovateľ má len vtedy, ak si zdravotná poisťovňa zoznam vytvorila (ten si totiž musí vytvoriť vždy).</w:t>
      </w: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0C0BCA" w:rsidRPr="00770552" w:rsidRDefault="000C0BCA" w:rsidP="00770552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70552">
        <w:rPr>
          <w:rFonts w:ascii="Book Antiqua" w:hAnsi="Book Antiqua"/>
          <w:b/>
          <w:bCs/>
          <w:sz w:val="22"/>
          <w:szCs w:val="22"/>
        </w:rPr>
        <w:t>K Čl. III</w:t>
      </w:r>
    </w:p>
    <w:p w:rsidR="000C0BCA" w:rsidRPr="00770552" w:rsidRDefault="000C0BCA" w:rsidP="00880611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bCs/>
          <w:sz w:val="22"/>
          <w:szCs w:val="22"/>
        </w:rPr>
        <w:t xml:space="preserve">Navrhuje sa účinnosť predkladaného návrhu zákona so zohľadnením potrebnej dĺžky </w:t>
      </w:r>
      <w:proofErr w:type="spellStart"/>
      <w:r w:rsidRPr="00770552">
        <w:rPr>
          <w:rFonts w:ascii="Book Antiqua" w:hAnsi="Book Antiqua"/>
          <w:bCs/>
          <w:sz w:val="22"/>
          <w:szCs w:val="22"/>
        </w:rPr>
        <w:t>legisvakačnej</w:t>
      </w:r>
      <w:proofErr w:type="spellEnd"/>
      <w:r w:rsidRPr="00770552">
        <w:rPr>
          <w:rFonts w:ascii="Book Antiqua" w:hAnsi="Book Antiqua"/>
          <w:bCs/>
          <w:sz w:val="22"/>
          <w:szCs w:val="22"/>
        </w:rPr>
        <w:t xml:space="preserve"> lehoty na</w:t>
      </w:r>
      <w:r w:rsidRPr="00770552">
        <w:rPr>
          <w:rFonts w:ascii="Book Antiqua" w:hAnsi="Book Antiqua"/>
          <w:sz w:val="22"/>
          <w:szCs w:val="22"/>
        </w:rPr>
        <w:t xml:space="preserve"> 1. januára 2020.</w:t>
      </w:r>
    </w:p>
    <w:p w:rsidR="007A012E" w:rsidRPr="00770552" w:rsidRDefault="007A012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012E" w:rsidRPr="00770552" w:rsidRDefault="007A012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2E1E" w:rsidRPr="00770552" w:rsidRDefault="008D2E1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2E1E" w:rsidRPr="00770552" w:rsidRDefault="008D2E1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2E1E" w:rsidRPr="00770552" w:rsidRDefault="008D2E1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2E1E" w:rsidRPr="00770552" w:rsidRDefault="008D2E1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2E1E" w:rsidRPr="00770552" w:rsidRDefault="008D2E1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2E1E" w:rsidRPr="00770552" w:rsidRDefault="008D2E1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2E1E" w:rsidRPr="00770552" w:rsidRDefault="008D2E1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2E1E" w:rsidRPr="00770552" w:rsidRDefault="008D2E1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F135D" w:rsidRPr="00770552" w:rsidRDefault="007F135D" w:rsidP="00880611">
      <w:pPr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93F64" w:rsidRDefault="00C93F64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012E" w:rsidRPr="00770552" w:rsidRDefault="004724FE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770552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7A012E" w:rsidRPr="00770552" w:rsidRDefault="004724FE" w:rsidP="00770552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b/>
          <w:bCs/>
          <w:sz w:val="22"/>
          <w:szCs w:val="22"/>
        </w:rPr>
        <w:t>návrhu zákona s právom Európskej únie</w:t>
      </w:r>
    </w:p>
    <w:p w:rsidR="007A012E" w:rsidRPr="00770552" w:rsidRDefault="004724FE" w:rsidP="00770552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trike/>
          <w:color w:val="FF0000"/>
          <w:sz w:val="22"/>
          <w:szCs w:val="22"/>
        </w:rPr>
      </w:pPr>
      <w:r w:rsidRPr="00770552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770552">
        <w:rPr>
          <w:rFonts w:ascii="Book Antiqua" w:hAnsi="Book Antiqua"/>
          <w:sz w:val="22"/>
          <w:szCs w:val="22"/>
        </w:rPr>
        <w:t xml:space="preserve"> skupina poslancov Národnej rady Slovenskej republiky.</w:t>
      </w:r>
    </w:p>
    <w:p w:rsidR="007A012E" w:rsidRPr="00770552" w:rsidRDefault="004724FE" w:rsidP="00770552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/>
          <w:sz w:val="22"/>
          <w:szCs w:val="22"/>
        </w:rPr>
        <w:t>2. Názov návrhu zákona</w:t>
      </w:r>
      <w:r w:rsidRPr="00770552">
        <w:rPr>
          <w:rFonts w:ascii="Book Antiqua" w:hAnsi="Book Antiqua"/>
          <w:sz w:val="22"/>
          <w:szCs w:val="22"/>
        </w:rPr>
        <w:t>: návrh zákona, ktorým sa mení a dopĺňa zákon č. 581/2004 Z. z. o zdravotných poisťovniach, dohľade nad zdravotnou starostlivosťou a o zmene a doplnení niektorých zákonov v znení neskorších predpisov a ktorým sa mení zákon č. 578/2004 Z. z. o poskytovateľoch zdravotnej starostlivosti, zdravotníckych pracovníkoch, stavovských organizáciách v zdravotníctve a o zmene a doplnení niektorých zákonov v znení neskorších predpisov</w:t>
      </w:r>
      <w:r w:rsidRPr="00770552">
        <w:rPr>
          <w:rFonts w:ascii="Book Antiqua" w:hAnsi="Book Antiqua"/>
          <w:bCs/>
          <w:sz w:val="22"/>
          <w:szCs w:val="22"/>
        </w:rPr>
        <w:t>.</w:t>
      </w:r>
    </w:p>
    <w:p w:rsidR="007A012E" w:rsidRPr="00770552" w:rsidRDefault="004724FE" w:rsidP="00770552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70552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7A012E" w:rsidRPr="00770552" w:rsidRDefault="004724FE" w:rsidP="00770552">
      <w:pPr>
        <w:pStyle w:val="Normlnywebov"/>
        <w:numPr>
          <w:ilvl w:val="0"/>
          <w:numId w:val="2"/>
        </w:numPr>
        <w:suppressAutoHyphens/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Cs/>
          <w:sz w:val="22"/>
          <w:szCs w:val="22"/>
        </w:rPr>
        <w:t>je upravený v primárnom práve Európskej únie,</w:t>
      </w:r>
      <w:r w:rsidR="007864E6" w:rsidRPr="00770552">
        <w:rPr>
          <w:rFonts w:ascii="Book Antiqua" w:hAnsi="Book Antiqua"/>
          <w:bCs/>
          <w:sz w:val="22"/>
          <w:szCs w:val="22"/>
        </w:rPr>
        <w:t xml:space="preserve"> a to v čl. 35 (zdravotná starostlivosť) Charty základných práv </w:t>
      </w:r>
      <w:r w:rsidR="00202EF7">
        <w:rPr>
          <w:rFonts w:ascii="Book Antiqua" w:hAnsi="Book Antiqua"/>
          <w:bCs/>
          <w:sz w:val="22"/>
          <w:szCs w:val="22"/>
        </w:rPr>
        <w:t xml:space="preserve">Európskej únie a čl. 48 a </w:t>
      </w:r>
      <w:r w:rsidR="007864E6" w:rsidRPr="00880611">
        <w:rPr>
          <w:rFonts w:ascii="Book Antiqua" w:hAnsi="Book Antiqua"/>
          <w:bCs/>
          <w:sz w:val="22"/>
          <w:szCs w:val="22"/>
        </w:rPr>
        <w:t>168 Zmluvy o fungovaní</w:t>
      </w:r>
      <w:r w:rsidR="007864E6" w:rsidRPr="00770552">
        <w:rPr>
          <w:rFonts w:ascii="Book Antiqua" w:hAnsi="Book Antiqua"/>
          <w:bCs/>
          <w:sz w:val="22"/>
          <w:szCs w:val="22"/>
        </w:rPr>
        <w:t xml:space="preserve"> Európskej únie</w:t>
      </w:r>
    </w:p>
    <w:p w:rsidR="007A012E" w:rsidRPr="00770552" w:rsidRDefault="004724FE" w:rsidP="00770552">
      <w:pPr>
        <w:pStyle w:val="Normlnywebov"/>
        <w:numPr>
          <w:ilvl w:val="0"/>
          <w:numId w:val="2"/>
        </w:numPr>
        <w:suppressAutoHyphens/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Cs/>
          <w:sz w:val="22"/>
          <w:szCs w:val="22"/>
        </w:rPr>
        <w:t>je upravený v sekundárnom práve Európskej únie,</w:t>
      </w:r>
      <w:r w:rsidR="007864E6" w:rsidRPr="00770552">
        <w:rPr>
          <w:rFonts w:ascii="Book Antiqua" w:hAnsi="Book Antiqua"/>
          <w:bCs/>
          <w:sz w:val="22"/>
          <w:szCs w:val="22"/>
        </w:rPr>
        <w:t xml:space="preserve"> a to v:</w:t>
      </w:r>
    </w:p>
    <w:p w:rsidR="007864E6" w:rsidRPr="00770552" w:rsidRDefault="007864E6" w:rsidP="00770552">
      <w:pPr>
        <w:pStyle w:val="Normlnywebov"/>
        <w:numPr>
          <w:ilvl w:val="0"/>
          <w:numId w:val="5"/>
        </w:numPr>
        <w:suppressAutoHyphens/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Cs/>
          <w:sz w:val="22"/>
          <w:szCs w:val="22"/>
        </w:rPr>
        <w:t>nariadení Európskeho parlamentu a Rady (ES) 883/2004 z 29. apríla 2004 o koordinácií systémov sociálneho zabezpečenia (Mimoriadne vydanie Ú.</w:t>
      </w:r>
      <w:r w:rsidR="00093117">
        <w:rPr>
          <w:rFonts w:ascii="Book Antiqua" w:hAnsi="Book Antiqua"/>
          <w:bCs/>
          <w:sz w:val="22"/>
          <w:szCs w:val="22"/>
        </w:rPr>
        <w:t xml:space="preserve"> </w:t>
      </w:r>
      <w:r w:rsidRPr="00770552">
        <w:rPr>
          <w:rFonts w:ascii="Book Antiqua" w:hAnsi="Book Antiqua"/>
          <w:bCs/>
          <w:sz w:val="22"/>
          <w:szCs w:val="22"/>
        </w:rPr>
        <w:t>v. EÚ, kap. 05/zv. 05) v platnom znení</w:t>
      </w:r>
    </w:p>
    <w:p w:rsidR="007864E6" w:rsidRPr="00770552" w:rsidRDefault="007864E6" w:rsidP="00770552">
      <w:pPr>
        <w:pStyle w:val="Normlnywebov"/>
        <w:numPr>
          <w:ilvl w:val="0"/>
          <w:numId w:val="5"/>
        </w:numPr>
        <w:suppressAutoHyphens/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Cs/>
          <w:sz w:val="22"/>
          <w:szCs w:val="22"/>
        </w:rPr>
        <w:t xml:space="preserve">nariadení Európskeho parlamentu a Rady (ES) č. 987/2009 zo 16. septembra 2009, ktorým sa stanovuje postup vykonávania nariadenia (ES) č. 883/2004 o koordinácií systémov sociálneho zabezpečenia (Ú. v. EÚ L 284, 30.10.2009) v platnom znení  </w:t>
      </w:r>
    </w:p>
    <w:p w:rsidR="007A012E" w:rsidRPr="00770552" w:rsidRDefault="004724FE" w:rsidP="00770552">
      <w:pPr>
        <w:pStyle w:val="Normlnywebov"/>
        <w:numPr>
          <w:ilvl w:val="0"/>
          <w:numId w:val="2"/>
        </w:numPr>
        <w:suppressAutoHyphens/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Cs/>
          <w:sz w:val="22"/>
          <w:szCs w:val="22"/>
        </w:rPr>
        <w:t>je obsiahnutý v judikatú</w:t>
      </w:r>
      <w:r w:rsidR="007864E6" w:rsidRPr="00770552">
        <w:rPr>
          <w:rFonts w:ascii="Book Antiqua" w:hAnsi="Book Antiqua"/>
          <w:bCs/>
          <w:sz w:val="22"/>
          <w:szCs w:val="22"/>
        </w:rPr>
        <w:t>re Súdneho dvora Európskej únie, a to v:</w:t>
      </w:r>
    </w:p>
    <w:p w:rsidR="007864E6" w:rsidRPr="00770552" w:rsidRDefault="007864E6" w:rsidP="00770552">
      <w:pPr>
        <w:pStyle w:val="Normlnywebov"/>
        <w:numPr>
          <w:ilvl w:val="0"/>
          <w:numId w:val="6"/>
        </w:numPr>
        <w:suppressAutoHyphens/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Cs/>
          <w:sz w:val="22"/>
          <w:szCs w:val="22"/>
        </w:rPr>
        <w:t xml:space="preserve">rozhodnutí Súdneho dvora Európskych spoločenstiev vo veci C-120/95, </w:t>
      </w:r>
      <w:proofErr w:type="spellStart"/>
      <w:r w:rsidRPr="00770552">
        <w:rPr>
          <w:rFonts w:ascii="Book Antiqua" w:hAnsi="Book Antiqua"/>
          <w:bCs/>
          <w:sz w:val="22"/>
          <w:szCs w:val="22"/>
        </w:rPr>
        <w:t>Decker</w:t>
      </w:r>
      <w:proofErr w:type="spellEnd"/>
      <w:r w:rsidRPr="00770552">
        <w:rPr>
          <w:rFonts w:ascii="Book Antiqua" w:hAnsi="Book Antiqua"/>
          <w:bCs/>
          <w:sz w:val="22"/>
          <w:szCs w:val="22"/>
        </w:rPr>
        <w:t xml:space="preserve"> v</w:t>
      </w:r>
      <w:r w:rsidR="00A330A2" w:rsidRPr="00770552">
        <w:rPr>
          <w:rFonts w:ascii="Book Antiqua" w:hAnsi="Book Antiqua"/>
          <w:bCs/>
          <w:sz w:val="22"/>
          <w:szCs w:val="22"/>
        </w:rPr>
        <w:t>.</w:t>
      </w:r>
      <w:r w:rsidRPr="00770552">
        <w:rPr>
          <w:rFonts w:ascii="Book Antiqua" w:hAnsi="Book Antiqua"/>
          <w:bCs/>
          <w:sz w:val="22"/>
          <w:szCs w:val="22"/>
        </w:rPr>
        <w:t xml:space="preserve"> Luxemburská zdravotná poisťovňa</w:t>
      </w:r>
    </w:p>
    <w:p w:rsidR="007864E6" w:rsidRPr="00770552" w:rsidRDefault="007864E6" w:rsidP="00770552">
      <w:pPr>
        <w:pStyle w:val="Normlnywebov"/>
        <w:numPr>
          <w:ilvl w:val="0"/>
          <w:numId w:val="6"/>
        </w:numPr>
        <w:suppressAutoHyphens/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Cs/>
          <w:sz w:val="22"/>
          <w:szCs w:val="22"/>
        </w:rPr>
        <w:t xml:space="preserve">rozhodnutí Súdneho dvora Európskych spoločenstiev vo veci C 368/98, </w:t>
      </w:r>
      <w:proofErr w:type="spellStart"/>
      <w:r w:rsidRPr="00770552">
        <w:rPr>
          <w:rFonts w:ascii="Book Antiqua" w:hAnsi="Book Antiqua"/>
          <w:bCs/>
          <w:sz w:val="22"/>
          <w:szCs w:val="22"/>
        </w:rPr>
        <w:t>Abdon</w:t>
      </w:r>
      <w:proofErr w:type="spellEnd"/>
      <w:r w:rsidRPr="00770552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770552">
        <w:rPr>
          <w:rFonts w:ascii="Book Antiqua" w:hAnsi="Book Antiqua"/>
          <w:bCs/>
          <w:sz w:val="22"/>
          <w:szCs w:val="22"/>
        </w:rPr>
        <w:t>Vanbraekel</w:t>
      </w:r>
      <w:proofErr w:type="spellEnd"/>
      <w:r w:rsidRPr="00770552">
        <w:rPr>
          <w:rFonts w:ascii="Book Antiqua" w:hAnsi="Book Antiqua"/>
          <w:bCs/>
          <w:sz w:val="22"/>
          <w:szCs w:val="22"/>
        </w:rPr>
        <w:t xml:space="preserve"> a i. v. </w:t>
      </w:r>
      <w:proofErr w:type="spellStart"/>
      <w:r w:rsidRPr="00770552">
        <w:rPr>
          <w:rFonts w:ascii="Book Antiqua" w:hAnsi="Book Antiqua"/>
          <w:bCs/>
          <w:sz w:val="22"/>
          <w:szCs w:val="22"/>
        </w:rPr>
        <w:t>Alliance</w:t>
      </w:r>
      <w:proofErr w:type="spellEnd"/>
      <w:r w:rsidRPr="00770552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770552">
        <w:rPr>
          <w:rFonts w:ascii="Book Antiqua" w:hAnsi="Book Antiqua"/>
          <w:bCs/>
          <w:sz w:val="22"/>
          <w:szCs w:val="22"/>
        </w:rPr>
        <w:t>nationale</w:t>
      </w:r>
      <w:proofErr w:type="spellEnd"/>
      <w:r w:rsidRPr="00770552">
        <w:rPr>
          <w:rFonts w:ascii="Book Antiqua" w:hAnsi="Book Antiqua"/>
          <w:bCs/>
          <w:sz w:val="22"/>
          <w:szCs w:val="22"/>
        </w:rPr>
        <w:t xml:space="preserve"> des </w:t>
      </w:r>
      <w:proofErr w:type="spellStart"/>
      <w:r w:rsidRPr="00770552">
        <w:rPr>
          <w:rFonts w:ascii="Book Antiqua" w:hAnsi="Book Antiqua"/>
          <w:bCs/>
          <w:sz w:val="22"/>
          <w:szCs w:val="22"/>
        </w:rPr>
        <w:t>mutualités</w:t>
      </w:r>
      <w:proofErr w:type="spellEnd"/>
      <w:r w:rsidRPr="00770552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770552">
        <w:rPr>
          <w:rFonts w:ascii="Book Antiqua" w:hAnsi="Book Antiqua"/>
          <w:bCs/>
          <w:sz w:val="22"/>
          <w:szCs w:val="22"/>
        </w:rPr>
        <w:t>chrétiennes</w:t>
      </w:r>
      <w:proofErr w:type="spellEnd"/>
      <w:r w:rsidRPr="00770552">
        <w:rPr>
          <w:rFonts w:ascii="Book Antiqua" w:hAnsi="Book Antiqua"/>
          <w:bCs/>
          <w:sz w:val="22"/>
          <w:szCs w:val="22"/>
        </w:rPr>
        <w:t xml:space="preserve"> (ANMC)</w:t>
      </w:r>
    </w:p>
    <w:p w:rsidR="009920AD" w:rsidRPr="00770552" w:rsidRDefault="009920AD" w:rsidP="00770552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70552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:rsidR="009920AD" w:rsidRPr="00770552" w:rsidRDefault="009920AD" w:rsidP="00770552">
      <w:pPr>
        <w:numPr>
          <w:ilvl w:val="0"/>
          <w:numId w:val="7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bezpredmetné,</w:t>
      </w:r>
    </w:p>
    <w:p w:rsidR="009920AD" w:rsidRPr="00770552" w:rsidRDefault="009920AD" w:rsidP="00770552">
      <w:pPr>
        <w:numPr>
          <w:ilvl w:val="0"/>
          <w:numId w:val="7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:rsidR="009920AD" w:rsidRPr="00770552" w:rsidRDefault="009920AD" w:rsidP="00770552">
      <w:pPr>
        <w:pStyle w:val="Vchodzie"/>
        <w:numPr>
          <w:ilvl w:val="0"/>
          <w:numId w:val="7"/>
        </w:numPr>
        <w:tabs>
          <w:tab w:val="left" w:pos="284"/>
          <w:tab w:val="left" w:pos="720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>bezpredmetné.</w:t>
      </w:r>
    </w:p>
    <w:p w:rsidR="009920AD" w:rsidRPr="00770552" w:rsidRDefault="009920AD" w:rsidP="00770552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70552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770552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770552">
        <w:rPr>
          <w:rFonts w:ascii="Book Antiqua" w:hAnsi="Book Antiqua" w:cs="Book Antiqua"/>
          <w:b/>
          <w:bCs/>
          <w:sz w:val="22"/>
          <w:szCs w:val="22"/>
        </w:rPr>
        <w:t>:</w:t>
      </w:r>
    </w:p>
    <w:p w:rsidR="009920AD" w:rsidRPr="00770552" w:rsidRDefault="009920AD" w:rsidP="00770552">
      <w:pPr>
        <w:pStyle w:val="Vchodzie"/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sz w:val="22"/>
          <w:szCs w:val="22"/>
        </w:rPr>
        <w:t xml:space="preserve">- </w:t>
      </w:r>
      <w:r w:rsidRPr="00770552">
        <w:rPr>
          <w:rFonts w:ascii="Book Antiqua" w:hAnsi="Book Antiqua"/>
          <w:sz w:val="22"/>
          <w:szCs w:val="22"/>
        </w:rPr>
        <w:tab/>
        <w:t>úplný.</w:t>
      </w:r>
    </w:p>
    <w:p w:rsidR="00880611" w:rsidRDefault="00880611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880611" w:rsidRDefault="00880611" w:rsidP="00770552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A012E" w:rsidRPr="00770552" w:rsidRDefault="004724FE" w:rsidP="0077055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770552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lastRenderedPageBreak/>
        <w:t>Doložka</w:t>
      </w:r>
    </w:p>
    <w:p w:rsidR="007A012E" w:rsidRPr="00770552" w:rsidRDefault="004724FE" w:rsidP="00770552">
      <w:pPr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770552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7A012E" w:rsidRPr="00770552" w:rsidRDefault="007A012E" w:rsidP="00770552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7A012E" w:rsidRPr="00770552" w:rsidRDefault="004724FE" w:rsidP="00770552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70552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770552">
        <w:rPr>
          <w:rFonts w:ascii="Book Antiqua" w:hAnsi="Book Antiqua"/>
          <w:sz w:val="22"/>
          <w:szCs w:val="22"/>
        </w:rPr>
        <w:t>návrh zákona, ktorým sa mení a dopĺňa zákon č. 581/2004 Z. z. o zdravotných poisťovniach, dohľade nad zdravotnou starostlivosťou a o zmene a doplnení niektorých zákonov v znení neskorších predpisov a ktorým sa mení zákon č. 578/2004 Z. z. o poskytovateľoch zdravotnej starostlivosti, zdravotníckych pracovníkoch, stavovských organizáciách v zdravotníctve a o zmene a doplnení niektorých zákonov v znení neskorších predpisov.</w:t>
      </w:r>
    </w:p>
    <w:p w:rsidR="008D2E1E" w:rsidRPr="00770552" w:rsidRDefault="008D2E1E" w:rsidP="00770552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A012E" w:rsidRPr="00770552" w:rsidRDefault="004724FE" w:rsidP="00770552">
      <w:pPr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770552">
        <w:rPr>
          <w:rFonts w:ascii="Book Antiqua" w:hAnsi="Book Antiqua"/>
          <w:b/>
          <w:bCs/>
          <w:color w:val="000000"/>
          <w:sz w:val="22"/>
          <w:szCs w:val="22"/>
        </w:rPr>
        <w:t xml:space="preserve">Termín začatia a ukončenia PPK: </w:t>
      </w:r>
      <w:r w:rsidRPr="00770552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8D2E1E" w:rsidRPr="00770552" w:rsidRDefault="008D2E1E" w:rsidP="00770552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A012E" w:rsidRPr="00770552" w:rsidRDefault="004724FE" w:rsidP="00770552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770552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Ind w:w="-2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4A0" w:firstRow="1" w:lastRow="0" w:firstColumn="1" w:lastColumn="0" w:noHBand="0" w:noVBand="1"/>
      </w:tblPr>
      <w:tblGrid>
        <w:gridCol w:w="5513"/>
        <w:gridCol w:w="1193"/>
        <w:gridCol w:w="1182"/>
        <w:gridCol w:w="1200"/>
      </w:tblGrid>
      <w:tr w:rsidR="007A012E" w:rsidRPr="00770552">
        <w:tc>
          <w:tcPr>
            <w:tcW w:w="5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7A012E" w:rsidRPr="00770552">
        <w:tc>
          <w:tcPr>
            <w:tcW w:w="5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  <w:highlight w:val="yellow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7A012E" w:rsidRPr="00770552">
        <w:tc>
          <w:tcPr>
            <w:tcW w:w="5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8D2E1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highlight w:val="red"/>
              </w:rPr>
            </w:pPr>
          </w:p>
        </w:tc>
      </w:tr>
      <w:tr w:rsidR="007A012E" w:rsidRPr="00770552">
        <w:tc>
          <w:tcPr>
            <w:tcW w:w="5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7A012E" w:rsidRPr="00770552">
        <w:tc>
          <w:tcPr>
            <w:tcW w:w="5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7A012E" w:rsidRPr="00770552">
        <w:tc>
          <w:tcPr>
            <w:tcW w:w="5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7A012E" w:rsidRPr="00770552">
        <w:tc>
          <w:tcPr>
            <w:tcW w:w="5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7A012E" w:rsidRPr="00770552">
        <w:tc>
          <w:tcPr>
            <w:tcW w:w="5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7A012E" w:rsidRPr="00770552">
        <w:tc>
          <w:tcPr>
            <w:tcW w:w="5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4724F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705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A012E" w:rsidRPr="00770552" w:rsidRDefault="007A012E" w:rsidP="00770552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8D2E1E" w:rsidRPr="00770552" w:rsidRDefault="008D2E1E" w:rsidP="00770552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A012E" w:rsidRPr="00770552" w:rsidRDefault="004724FE" w:rsidP="00770552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770552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8D2E1E" w:rsidRPr="00770552" w:rsidRDefault="008D2E1E" w:rsidP="00770552">
      <w:pPr>
        <w:spacing w:before="12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770552">
        <w:rPr>
          <w:rFonts w:ascii="Book Antiqua" w:hAnsi="Book Antiqua"/>
          <w:b/>
          <w:bCs/>
          <w:color w:val="000000"/>
          <w:sz w:val="22"/>
          <w:szCs w:val="22"/>
        </w:rPr>
        <w:tab/>
      </w:r>
      <w:r w:rsidR="00E177EF" w:rsidRPr="00770552">
        <w:rPr>
          <w:rFonts w:ascii="Book Antiqua" w:hAnsi="Book Antiqua"/>
          <w:bCs/>
          <w:i/>
          <w:color w:val="000000"/>
          <w:sz w:val="22"/>
          <w:szCs w:val="22"/>
        </w:rPr>
        <w:t>Negatívne dopady na rozpočet verejnej správy (Všeobecná zdravotná poisťovňa) ani na podnikateľský sektor (súkromné zdravotné poisťovne) nepredpokladáme, keďže sme presvedčení, že zdravotné poisťovne si dokážu nastaviť svoje vnútorné pravidlá a systémy tak, aby dokázali uhrádzať plánovanú zdravotnú starostlivosť riadne a včas, a to aj pokiaľ pôjde o onkologické ochorenia, pri ktorých bude treba dodržať lehotu 14 dní na preplatenie operačného zákroku u pacienta.</w:t>
      </w:r>
    </w:p>
    <w:p w:rsidR="00E177EF" w:rsidRPr="00770552" w:rsidRDefault="00E177EF" w:rsidP="00770552">
      <w:pPr>
        <w:spacing w:before="12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770552">
        <w:rPr>
          <w:rFonts w:ascii="Book Antiqua" w:hAnsi="Book Antiqua"/>
          <w:bCs/>
          <w:i/>
          <w:color w:val="000000"/>
          <w:sz w:val="22"/>
          <w:szCs w:val="22"/>
        </w:rPr>
        <w:tab/>
        <w:t xml:space="preserve">Ak by sa však predsa len stalo, že by Všeobecná zdravotná poisťovňa manažérsky v tejto veci zlyhala a toto zlyhanie by následne malo neočakávaný negatívny dopad na rozpočet verejnej správy, ktorý však nemožno presne vyčísliť, </w:t>
      </w:r>
      <w:r w:rsidRPr="00770552">
        <w:rPr>
          <w:rFonts w:ascii="Book Antiqua" w:hAnsi="Book Antiqua"/>
          <w:i/>
          <w:sz w:val="22"/>
          <w:szCs w:val="22"/>
        </w:rPr>
        <w:t xml:space="preserve">tento negatívny dopad navrhujeme </w:t>
      </w:r>
      <w:r w:rsidRPr="00770552">
        <w:rPr>
          <w:rFonts w:ascii="Book Antiqua" w:hAnsi="Book Antiqua" w:cs="Book Antiqua"/>
          <w:i/>
          <w:iCs/>
          <w:sz w:val="22"/>
          <w:szCs w:val="22"/>
        </w:rPr>
        <w:t>na aktuálny rozpočtový rok, ako aj ďalšie rozpočtové roky</w:t>
      </w:r>
      <w:r w:rsidRPr="00770552">
        <w:rPr>
          <w:rFonts w:ascii="Book Antiqua" w:hAnsi="Book Antiqua"/>
          <w:i/>
          <w:sz w:val="22"/>
          <w:szCs w:val="22"/>
        </w:rPr>
        <w:t xml:space="preserve"> financovať z rozpočtovej kapitoly Všeobecná pokladničná správa, kde je vyčlenených 2 mld. eur na bližšie nešpecifikované účely.</w:t>
      </w:r>
    </w:p>
    <w:p w:rsidR="007A012E" w:rsidRPr="00770552" w:rsidRDefault="004724FE" w:rsidP="00770552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770552">
        <w:rPr>
          <w:rFonts w:ascii="Book Antiqua" w:hAnsi="Book Antiqua"/>
          <w:b/>
          <w:bCs/>
          <w:color w:val="000000"/>
          <w:sz w:val="22"/>
          <w:szCs w:val="22"/>
        </w:rPr>
        <w:lastRenderedPageBreak/>
        <w:t>A.4. Alternatívne riešenia</w:t>
      </w:r>
    </w:p>
    <w:p w:rsidR="007A012E" w:rsidRPr="00770552" w:rsidRDefault="004724FE" w:rsidP="00770552">
      <w:pPr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770552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880611" w:rsidRDefault="00880611" w:rsidP="00770552">
      <w:pPr>
        <w:pStyle w:val="Normlnywebov"/>
        <w:spacing w:before="120" w:beforeAutospacing="0" w:afterAutospacing="0" w:line="276" w:lineRule="auto"/>
        <w:ind w:left="567" w:hanging="567"/>
        <w:jc w:val="both"/>
        <w:rPr>
          <w:rFonts w:ascii="Book Antiqua" w:hAnsi="Book Antiqua"/>
          <w:b/>
          <w:bCs/>
          <w:sz w:val="22"/>
          <w:szCs w:val="22"/>
        </w:rPr>
      </w:pPr>
    </w:p>
    <w:p w:rsidR="007A012E" w:rsidRPr="00770552" w:rsidRDefault="004724FE" w:rsidP="00770552">
      <w:pPr>
        <w:pStyle w:val="Normlnywebov"/>
        <w:spacing w:before="120" w:beforeAutospacing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770552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:rsidR="007A012E" w:rsidRPr="00770552" w:rsidRDefault="004724FE" w:rsidP="00770552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70552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7A012E" w:rsidRPr="00770552" w:rsidRDefault="007A012E" w:rsidP="0077055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sectPr w:rsidR="007A012E" w:rsidRPr="00770552">
      <w:pgSz w:w="11906" w:h="16838"/>
      <w:pgMar w:top="1417" w:right="1417" w:bottom="1417" w:left="1417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3A33"/>
    <w:multiLevelType w:val="multilevel"/>
    <w:tmpl w:val="DBEEBC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8D567DD"/>
    <w:multiLevelType w:val="hybridMultilevel"/>
    <w:tmpl w:val="A71663D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1C102CE"/>
    <w:multiLevelType w:val="hybridMultilevel"/>
    <w:tmpl w:val="70000FD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3B96AD2"/>
    <w:multiLevelType w:val="hybridMultilevel"/>
    <w:tmpl w:val="6C009A9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F1652E"/>
    <w:multiLevelType w:val="multilevel"/>
    <w:tmpl w:val="A710B7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108CE"/>
    <w:multiLevelType w:val="hybridMultilevel"/>
    <w:tmpl w:val="049872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F1863"/>
    <w:multiLevelType w:val="multilevel"/>
    <w:tmpl w:val="7D000F82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7">
    <w:nsid w:val="797C6D33"/>
    <w:multiLevelType w:val="hybridMultilevel"/>
    <w:tmpl w:val="00B46B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E"/>
    <w:rsid w:val="00093117"/>
    <w:rsid w:val="000C0BCA"/>
    <w:rsid w:val="00202EF7"/>
    <w:rsid w:val="004724FE"/>
    <w:rsid w:val="00770552"/>
    <w:rsid w:val="007864E6"/>
    <w:rsid w:val="007A012E"/>
    <w:rsid w:val="007F135D"/>
    <w:rsid w:val="00880611"/>
    <w:rsid w:val="008D2E1E"/>
    <w:rsid w:val="009920AD"/>
    <w:rsid w:val="00A330A2"/>
    <w:rsid w:val="00C93F64"/>
    <w:rsid w:val="00D33452"/>
    <w:rsid w:val="00D82B45"/>
    <w:rsid w:val="00D93781"/>
    <w:rsid w:val="00E177EF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Book Antiqua" w:hAnsi="Times New Roman" w:cs="Times New Roman"/>
      <w:sz w:val="24"/>
      <w:lang w:eastAsia="sk-SK" w:bidi="ar-SA"/>
    </w:rPr>
  </w:style>
  <w:style w:type="paragraph" w:styleId="Nadpis1">
    <w:name w:val="heading 1"/>
    <w:basedOn w:val="Normlny"/>
    <w:qFormat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Pr>
      <w:rFonts w:ascii="Cambria" w:hAnsi="Cambria" w:cs="Times New Roman"/>
      <w:b/>
      <w:bCs/>
      <w:sz w:val="32"/>
      <w:szCs w:val="32"/>
      <w:lang w:val="sk-SK" w:eastAsia="sk-SK"/>
    </w:rPr>
  </w:style>
  <w:style w:type="character" w:styleId="Textzstupnhosymbolu">
    <w:name w:val="Placeholder Text"/>
    <w:basedOn w:val="Predvolenpsmoodseku"/>
    <w:qFormat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1">
    <w:name w:val="Päta Char1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6">
    <w:name w:val="Päta Char6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5">
    <w:name w:val="Päta Char5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4">
    <w:name w:val="Päta Char4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3">
    <w:name w:val="Päta Char3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2">
    <w:name w:val="Päta Char2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FooterChar1">
    <w:name w:val="Footer Char1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FooterChar12">
    <w:name w:val="Footer Char12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FooterChar11">
    <w:name w:val="Footer Char11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ListLabel1">
    <w:name w:val="ListLabel 1"/>
    <w:qFormat/>
    <w:rPr>
      <w:rFonts w:ascii="Book Antiqua" w:hAnsi="Book Antiqua" w:cs="Times New Roman"/>
      <w:b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b w:val="0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DocumentMap">
    <w:name w:val="DocumentMap"/>
    <w:qFormat/>
    <w:pPr>
      <w:spacing w:after="160" w:line="254" w:lineRule="auto"/>
    </w:pPr>
    <w:rPr>
      <w:rFonts w:ascii="Calibri" w:eastAsia="Book Antiqua" w:hAnsi="Calibri" w:cs="Calibri"/>
      <w:sz w:val="22"/>
      <w:szCs w:val="22"/>
      <w:lang w:eastAsia="en-US" w:bidi="ar-SA"/>
    </w:rPr>
  </w:style>
  <w:style w:type="paragraph" w:styleId="Normlnywebov">
    <w:name w:val="Normal (Web)"/>
    <w:basedOn w:val="Normlny"/>
    <w:uiPriority w:val="99"/>
    <w:qFormat/>
    <w:pPr>
      <w:spacing w:beforeAutospacing="1" w:afterAutospacing="1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Standard">
    <w:name w:val="Standard"/>
    <w:rsid w:val="00F6618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lang w:eastAsia="sk-SK" w:bidi="ar-SA"/>
    </w:rPr>
  </w:style>
  <w:style w:type="paragraph" w:customStyle="1" w:styleId="Vchodzie">
    <w:name w:val="Vchodzie"/>
    <w:rsid w:val="009920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lang w:eastAsia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Book Antiqua" w:hAnsi="Times New Roman" w:cs="Times New Roman"/>
      <w:sz w:val="24"/>
      <w:lang w:eastAsia="sk-SK" w:bidi="ar-SA"/>
    </w:rPr>
  </w:style>
  <w:style w:type="paragraph" w:styleId="Nadpis1">
    <w:name w:val="heading 1"/>
    <w:basedOn w:val="Normlny"/>
    <w:qFormat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Pr>
      <w:rFonts w:ascii="Cambria" w:hAnsi="Cambria" w:cs="Times New Roman"/>
      <w:b/>
      <w:bCs/>
      <w:sz w:val="32"/>
      <w:szCs w:val="32"/>
      <w:lang w:val="sk-SK" w:eastAsia="sk-SK"/>
    </w:rPr>
  </w:style>
  <w:style w:type="character" w:styleId="Textzstupnhosymbolu">
    <w:name w:val="Placeholder Text"/>
    <w:basedOn w:val="Predvolenpsmoodseku"/>
    <w:qFormat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1">
    <w:name w:val="Päta Char1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6">
    <w:name w:val="Päta Char6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5">
    <w:name w:val="Päta Char5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4">
    <w:name w:val="Päta Char4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3">
    <w:name w:val="Päta Char3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taChar2">
    <w:name w:val="Päta Char2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FooterChar1">
    <w:name w:val="Footer Char1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FooterChar12">
    <w:name w:val="Footer Char12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FooterChar11">
    <w:name w:val="Footer Char11"/>
    <w:basedOn w:val="Predvolenpsmoodseku"/>
    <w:qFormat/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ListLabel1">
    <w:name w:val="ListLabel 1"/>
    <w:qFormat/>
    <w:rPr>
      <w:rFonts w:ascii="Book Antiqua" w:hAnsi="Book Antiqua" w:cs="Times New Roman"/>
      <w:b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b w:val="0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DocumentMap">
    <w:name w:val="DocumentMap"/>
    <w:qFormat/>
    <w:pPr>
      <w:spacing w:after="160" w:line="254" w:lineRule="auto"/>
    </w:pPr>
    <w:rPr>
      <w:rFonts w:ascii="Calibri" w:eastAsia="Book Antiqua" w:hAnsi="Calibri" w:cs="Calibri"/>
      <w:sz w:val="22"/>
      <w:szCs w:val="22"/>
      <w:lang w:eastAsia="en-US" w:bidi="ar-SA"/>
    </w:rPr>
  </w:style>
  <w:style w:type="paragraph" w:styleId="Normlnywebov">
    <w:name w:val="Normal (Web)"/>
    <w:basedOn w:val="Normlny"/>
    <w:uiPriority w:val="99"/>
    <w:qFormat/>
    <w:pPr>
      <w:spacing w:beforeAutospacing="1" w:afterAutospacing="1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Standard">
    <w:name w:val="Standard"/>
    <w:rsid w:val="00F6618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lang w:eastAsia="sk-SK" w:bidi="ar-SA"/>
    </w:rPr>
  </w:style>
  <w:style w:type="paragraph" w:customStyle="1" w:styleId="Vchodzie">
    <w:name w:val="Vchodzie"/>
    <w:rsid w:val="009920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Milan</cp:lastModifiedBy>
  <cp:revision>5</cp:revision>
  <cp:lastPrinted>2016-08-19T13:57:00Z</cp:lastPrinted>
  <dcterms:created xsi:type="dcterms:W3CDTF">2019-08-23T12:56:00Z</dcterms:created>
  <dcterms:modified xsi:type="dcterms:W3CDTF">2019-08-23T13:30:00Z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Meszaros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