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AEE" w:rsidRPr="007B1195" w:rsidRDefault="0022454F" w:rsidP="007B1195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7F6AEE" w:rsidRPr="007B1195" w:rsidRDefault="0022454F" w:rsidP="007B1195">
      <w:pPr>
        <w:pStyle w:val="Nadpis1"/>
        <w:numPr>
          <w:ilvl w:val="0"/>
          <w:numId w:val="2"/>
        </w:numPr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A. Všeobecná časť</w:t>
      </w:r>
    </w:p>
    <w:p w:rsidR="007F6AEE" w:rsidRPr="007B1195" w:rsidRDefault="0022454F" w:rsidP="007B1195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Návrh </w:t>
      </w:r>
      <w:bookmarkStart w:id="0" w:name="__DdeLink__2114_3880725105"/>
      <w:r w:rsidRPr="007B1195">
        <w:rPr>
          <w:rFonts w:ascii="Book Antiqua" w:hAnsi="Book Antiqua"/>
          <w:bCs/>
          <w:sz w:val="22"/>
          <w:szCs w:val="22"/>
        </w:rPr>
        <w:t>zákona, ktorým sa mení a dopĺňa zákon č. 461/2003 Z. z. o sociálnom poistení v znení neskorších predpisov</w:t>
      </w:r>
      <w:bookmarkEnd w:id="0"/>
      <w:r w:rsidRPr="007B1195">
        <w:rPr>
          <w:rFonts w:ascii="Book Antiqua" w:hAnsi="Book Antiqua" w:cs="Book Antiqua"/>
          <w:sz w:val="22"/>
          <w:szCs w:val="22"/>
        </w:rPr>
        <w:t xml:space="preserve"> (ďalej len „návrh zákona“) </w:t>
      </w:r>
      <w:r w:rsidRPr="007B1195">
        <w:rPr>
          <w:rFonts w:ascii="Book Antiqua" w:hAnsi="Book Antiqua" w:cs="Book Antiqua"/>
          <w:color w:val="000000"/>
          <w:sz w:val="22"/>
          <w:szCs w:val="22"/>
        </w:rPr>
        <w:t>predkladá skupina poslancov Národnej rady Slovenskej republiky.</w:t>
      </w:r>
    </w:p>
    <w:p w:rsidR="007F6AEE" w:rsidRPr="007B1195" w:rsidRDefault="0022454F" w:rsidP="007B1195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Návrh zákona </w:t>
      </w:r>
      <w:r w:rsidRPr="007B1195">
        <w:rPr>
          <w:rFonts w:ascii="Book Antiqua" w:hAnsi="Book Antiqua" w:cs="Book Antiqua"/>
          <w:sz w:val="22"/>
          <w:szCs w:val="22"/>
        </w:rPr>
        <w:t>cieli na riešenie problematiky sociálneho poistenia fyzických osôb, ktoré v zmysle zákona č. 447/2008 Z. z. o peňažných príspevkoch na kompenzáciu ťažkého zdravotného postihnutia vykonávajú podľa zmluvy o výkone osobnej asistencie osobnú asistenciu fyzicke</w:t>
      </w:r>
      <w:r w:rsidRPr="007B1195">
        <w:rPr>
          <w:rFonts w:ascii="Book Antiqua" w:hAnsi="Book Antiqua" w:cs="Book Antiqua"/>
          <w:sz w:val="22"/>
          <w:szCs w:val="22"/>
        </w:rPr>
        <w:t>j osobe s ťažkým zdravotným postihnutím. V súčasnosti sú tieto osoby poistené iba v rozsahu dôchodkového poistenia, a to za predpokladu, že asistenciu vykonávajú najmenej 140 hodín mesačne a nemajú poistenie z iného dôvodu. Takto upravený rozsah je pri tej</w:t>
      </w:r>
      <w:r w:rsidRPr="007B1195">
        <w:rPr>
          <w:rFonts w:ascii="Book Antiqua" w:hAnsi="Book Antiqua" w:cs="Book Antiqua"/>
          <w:sz w:val="22"/>
          <w:szCs w:val="22"/>
        </w:rPr>
        <w:t>to cieľovej skupine, zohľadňujúc ich veľmi dôležitú funkciu v spoločnosti, vymedzený úzko a nezabezpečuje dôstojnú ochranu v prípade sociálnej udalosti predpokladanej poistením. Preto sa navrhuje, aby asistenti vykonávajúci asistenciu podľa zmluvy o výkone</w:t>
      </w:r>
      <w:r w:rsidRPr="007B1195">
        <w:rPr>
          <w:rFonts w:ascii="Book Antiqua" w:hAnsi="Book Antiqua" w:cs="Book Antiqua"/>
          <w:sz w:val="22"/>
          <w:szCs w:val="22"/>
        </w:rPr>
        <w:t xml:space="preserve"> osobnej asistencie boli povinne nemocensky poistení a povinne poistení v nezamestnanosti, pričom toto poistenie by mal hradiť štát. Zároveň sa navrhuje, aby rozsah 140 hodín bol znížený na 120 hodín, nakoľko má umožniť aj rodinným príslušníkov, ktorí vyko</w:t>
      </w:r>
      <w:r w:rsidRPr="007B1195">
        <w:rPr>
          <w:rFonts w:ascii="Book Antiqua" w:hAnsi="Book Antiqua" w:cs="Book Antiqua"/>
          <w:sz w:val="22"/>
          <w:szCs w:val="22"/>
        </w:rPr>
        <w:t>návajú osobnú asistenciu, získať sociálne poistenie. Tí, môžu na základe zmluvy vykonávať osobnú asistenciu v maximálnom rozsahu 4 hodiny denne, čo je spravidla 120 hodín mesačne. Zvyčajne však zabezpečujú pomoc aj viac hodín (bez nároku na odmenu) v nepra</w:t>
      </w:r>
      <w:r w:rsidRPr="007B1195">
        <w:rPr>
          <w:rFonts w:ascii="Book Antiqua" w:hAnsi="Book Antiqua" w:cs="Book Antiqua"/>
          <w:sz w:val="22"/>
          <w:szCs w:val="22"/>
        </w:rPr>
        <w:t>videlných časoch a nemajú príležitosť vykonávať osobnú asistenciu pre niekoho ďalšieho. Zároveň odmena nie je dostatočne vysoká na to, aby si ho mohli hradiť sami.</w:t>
      </w:r>
    </w:p>
    <w:p w:rsidR="007F6AEE" w:rsidRPr="007B1195" w:rsidRDefault="0022454F" w:rsidP="007B1195">
      <w:pPr>
        <w:tabs>
          <w:tab w:val="left" w:pos="426"/>
        </w:tabs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B1195">
        <w:rPr>
          <w:rFonts w:ascii="Book Antiqua" w:hAnsi="Book Antiqua"/>
          <w:b/>
          <w:sz w:val="22"/>
          <w:szCs w:val="22"/>
        </w:rPr>
        <w:tab/>
      </w:r>
      <w:r w:rsidRPr="007B1195">
        <w:rPr>
          <w:rFonts w:ascii="Book Antiqua" w:hAnsi="Book Antiqua"/>
          <w:b/>
          <w:sz w:val="22"/>
          <w:szCs w:val="22"/>
        </w:rPr>
        <w:tab/>
        <w:t>Cieľom návrhu zákona je tak zabezpečiť dôstojnú ochranu prostredníctvom systému sociálneho</w:t>
      </w:r>
      <w:r w:rsidRPr="007B1195">
        <w:rPr>
          <w:rFonts w:ascii="Book Antiqua" w:hAnsi="Book Antiqua"/>
          <w:b/>
          <w:sz w:val="22"/>
          <w:szCs w:val="22"/>
        </w:rPr>
        <w:t xml:space="preserve"> poistenia fyzickým osobám, ktoré vykonávajú osobnú asistenciu v rozsahu aspoň 120 hodín mesačne a nemajú iný druh príjmu.</w:t>
      </w:r>
      <w:r w:rsidRPr="007B1195">
        <w:rPr>
          <w:rFonts w:ascii="Book Antiqua" w:hAnsi="Book Antiqua"/>
          <w:sz w:val="22"/>
          <w:szCs w:val="22"/>
        </w:rPr>
        <w:t xml:space="preserve"> Ani zvýšená odmena osobného asistenta nie je dostatočne motivujúca, ak dlhodobo vypadávajú zo systému sociálneho poistenia a ani si n</w:t>
      </w:r>
      <w:r w:rsidRPr="007B1195">
        <w:rPr>
          <w:rFonts w:ascii="Book Antiqua" w:hAnsi="Book Antiqua"/>
          <w:sz w:val="22"/>
          <w:szCs w:val="22"/>
        </w:rPr>
        <w:t>evedia toto poistenie dobrovoľne zabezpečiť. Osobní asistenti potrebujú mať rovnako dôstojné a bezpečné postavenie, ako zamestnanci, samostatne zárobkovo činné osoby, resp. iné fyzické osoby, ktoré vykonávajú zárobkovú činnosť. Zároveň</w:t>
      </w:r>
      <w:r w:rsidRPr="007B1195">
        <w:rPr>
          <w:rFonts w:ascii="Book Antiqua" w:hAnsi="Book Antiqua"/>
          <w:b/>
          <w:sz w:val="22"/>
          <w:szCs w:val="22"/>
        </w:rPr>
        <w:t>, s ohľadom na finanč</w:t>
      </w:r>
      <w:r w:rsidRPr="007B1195">
        <w:rPr>
          <w:rFonts w:ascii="Book Antiqua" w:hAnsi="Book Antiqua"/>
          <w:b/>
          <w:sz w:val="22"/>
          <w:szCs w:val="22"/>
        </w:rPr>
        <w:t xml:space="preserve">nú odmenu poskytovanú za výkon osobnej asistencie, je navrhované, </w:t>
      </w:r>
      <w:r w:rsidR="007B1195">
        <w:rPr>
          <w:rFonts w:ascii="Book Antiqua" w:hAnsi="Book Antiqua"/>
          <w:b/>
          <w:sz w:val="22"/>
          <w:szCs w:val="22"/>
        </w:rPr>
        <w:t>aby toto poistenie hradil štát</w:t>
      </w:r>
      <w:r w:rsidRPr="007B1195">
        <w:rPr>
          <w:rFonts w:ascii="Book Antiqua" w:hAnsi="Book Antiqua" w:cs="Book Antiqua"/>
          <w:sz w:val="22"/>
          <w:szCs w:val="22"/>
        </w:rPr>
        <w:t>.</w:t>
      </w:r>
    </w:p>
    <w:p w:rsidR="007F6AEE" w:rsidRPr="007B1195" w:rsidRDefault="0022454F" w:rsidP="007B1195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bookmarkStart w:id="1" w:name="__DdeLink__7087_3880725105"/>
      <w:r w:rsidRPr="007B1195">
        <w:rPr>
          <w:rFonts w:ascii="Book Antiqua" w:hAnsi="Book Antiqua" w:cs="Book Antiqua"/>
          <w:sz w:val="22"/>
          <w:szCs w:val="22"/>
        </w:rPr>
        <w:t>Predkladaný návrh zákona má pomerne zanedbateľný negatívny vplyv na rozpočet verejnej správy, na druhej strane prináša výrazne pozitívne sociálne vplyvy (najmä na hospodáren</w:t>
      </w:r>
      <w:r w:rsidRPr="007B1195">
        <w:rPr>
          <w:rFonts w:ascii="Book Antiqua" w:hAnsi="Book Antiqua" w:cs="Book Antiqua"/>
          <w:sz w:val="22"/>
          <w:szCs w:val="22"/>
        </w:rPr>
        <w:t xml:space="preserve">ie obyvateľstva a tiež prispieva k znižovaniu sociálnej </w:t>
      </w:r>
      <w:proofErr w:type="spellStart"/>
      <w:r w:rsidRPr="007B1195">
        <w:rPr>
          <w:rFonts w:ascii="Book Antiqua" w:hAnsi="Book Antiqua" w:cs="Book Antiqua"/>
          <w:sz w:val="22"/>
          <w:szCs w:val="22"/>
        </w:rPr>
        <w:t>exklúzie</w:t>
      </w:r>
      <w:proofErr w:type="spellEnd"/>
      <w:r w:rsidRPr="007B1195">
        <w:rPr>
          <w:rFonts w:ascii="Book Antiqua" w:hAnsi="Book Antiqua" w:cs="Book Antiqua"/>
          <w:sz w:val="22"/>
          <w:szCs w:val="22"/>
        </w:rPr>
        <w:t>). Predkladaný návrh zákona nemá žiadny vplyv na podnikateľské prostredie, životné prostredie a ani na informatizáciu spoločnosti.</w:t>
      </w:r>
      <w:bookmarkEnd w:id="1"/>
    </w:p>
    <w:p w:rsidR="007F6AEE" w:rsidRPr="007B1195" w:rsidRDefault="0022454F" w:rsidP="007B1195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Predkladaný návrh zákona je v súlade s Ústavou Slovenskej rep</w:t>
      </w:r>
      <w:r w:rsidRPr="007B1195">
        <w:rPr>
          <w:rFonts w:ascii="Book Antiqua" w:hAnsi="Book Antiqua" w:cs="Book Antiqua"/>
          <w:sz w:val="22"/>
          <w:szCs w:val="22"/>
        </w:rPr>
        <w:t>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lastRenderedPageBreak/>
        <w:t>B. Osobitná časť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 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t xml:space="preserve">K Čl. I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 xml:space="preserve">K bodu 1 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Medzi povinne nemocensky poistené osoby sa navrhuje začleniť aj fyzickú osobu, ktorá má podľa zmluvy o výkone osobnej asistencie vykonávať osobnú asistenciu fyzickej osobe s ťažkým zdravotným postihnutím (ďalej len „</w:t>
      </w:r>
      <w:r w:rsidRPr="007B1195">
        <w:rPr>
          <w:rFonts w:ascii="Book Antiqua" w:hAnsi="Book Antiqua" w:cs="Book Antiqua"/>
          <w:sz w:val="22"/>
          <w:szCs w:val="22"/>
        </w:rPr>
        <w:t>osobný asistent“) najmenej 120 hodín mesačne. Osobní asistenti tvoria popri zamestnancoch a SZČO samostatnú kategóriu povinne nemocensky poistených osôb.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Navrhuje sa znížiť počet hodín osobnej asistencie zo 140 na 120 hodín mesačne, ktorých odprac</w:t>
      </w:r>
      <w:r w:rsidRPr="007B1195">
        <w:rPr>
          <w:rFonts w:ascii="Book Antiqua" w:hAnsi="Book Antiqua" w:cs="Book Antiqua"/>
          <w:sz w:val="22"/>
          <w:szCs w:val="22"/>
        </w:rPr>
        <w:t xml:space="preserve">ovanie je podmienkou, štátom hradeného nemocenského poistenia, dôchodkového poistenia a poistenia v nezamestnanosti v prospech osobného asistenta. 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Toto opatrenie zabezpečí, aby nárok na sociálne poistenie mali aj rodinní príslušníci, vykonávajúci osobnú as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istenciu.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t>V mnohých prípadoch, aj z nedostatku asistentov, musia vykonávať osobnú asistenciu rodinní príslušníci, ktorí vždy vykonávajú tie najťažšie druhy činností a sú osobám s ťažkým zdravotným postihnutím k dispozícii podľa potrieb (v rôznych časoch), ale v maxi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málnom rozsahu 4 hodiny denne, t.j. 120 hodín mesačne, preto si ťažko hľadajú iný druh práce. V praxi to znamená, že si nedokážu doplniť počet hodín na 140 hodín mesačne, aby mali zabezpečené sociálne poistenie. Zároveň celková maximálna odmena za mesiac j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e pre nich nízka, aby si ho dobrovoľne v p</w:t>
      </w:r>
      <w:r w:rsidR="00AD7B21">
        <w:rPr>
          <w:rFonts w:ascii="Book Antiqua" w:hAnsi="Book Antiqua" w:cs="Book Antiqua"/>
          <w:b/>
          <w:bCs/>
          <w:sz w:val="22"/>
          <w:szCs w:val="22"/>
        </w:rPr>
        <w:t>lnom rozsahu doplácali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 xml:space="preserve">.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3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Návrhom zákona sa rozširuje skupina osôb, ktoré sú povinne poistené v nezamestnanosti. Okrem povinne nemocensky poistených zamestnancov sa nimi stanú aj povinne nemocensky poistení osobní asistenti, ktorí vykonávajú osobnú asistenciu najmenej 120 hodín mes</w:t>
      </w:r>
      <w:r w:rsidRPr="007B1195">
        <w:rPr>
          <w:rFonts w:ascii="Book Antiqua" w:hAnsi="Book Antiqua" w:cs="Book Antiqua"/>
          <w:sz w:val="22"/>
          <w:szCs w:val="22"/>
        </w:rPr>
        <w:t xml:space="preserve">ačne a nie sú nemocensky poistení z iného dôvodu.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4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Vzhľadom na to, že osobní asistenti tvoria samostatnú kategória povinne nemocenských poistených osôb a zároveň za nich poistné bude uhrádzať štát (viď novelizačný bod 12</w:t>
      </w:r>
      <w:r w:rsidR="00AD7B21">
        <w:rPr>
          <w:rFonts w:ascii="Book Antiqua" w:hAnsi="Book Antiqua" w:cs="Book Antiqua"/>
          <w:sz w:val="22"/>
          <w:szCs w:val="22"/>
        </w:rPr>
        <w:t xml:space="preserve"> v Čl. I</w:t>
      </w:r>
      <w:r w:rsidRPr="007B1195">
        <w:rPr>
          <w:rFonts w:ascii="Book Antiqua" w:hAnsi="Book Antiqua" w:cs="Book Antiqua"/>
          <w:sz w:val="22"/>
          <w:szCs w:val="22"/>
        </w:rPr>
        <w:t>), definuje sa okamih vznik</w:t>
      </w:r>
      <w:r w:rsidRPr="007B1195">
        <w:rPr>
          <w:rFonts w:ascii="Book Antiqua" w:hAnsi="Book Antiqua" w:cs="Book Antiqua"/>
          <w:sz w:val="22"/>
          <w:szCs w:val="22"/>
        </w:rPr>
        <w:t xml:space="preserve">u a zániku povinného nemocenského poistenia osobných asistentov. 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V</w:t>
      </w:r>
      <w:r w:rsidRPr="007B1195">
        <w:rPr>
          <w:rFonts w:ascii="Book Antiqua" w:hAnsi="Book Antiqua" w:cs="Book Antiqua"/>
          <w:sz w:val="22"/>
          <w:szCs w:val="22"/>
        </w:rPr>
        <w:t>znik nemocenského poistenia sa bude viazať na splnenie dvoch podmienok, a to na uzatvorenie zmluvy o osobnej asistencii fyzickej osobe s ťažkým zdravotným postihnutím v rozsahu najmenej 120</w:t>
      </w:r>
      <w:r w:rsidRPr="007B1195">
        <w:rPr>
          <w:rFonts w:ascii="Book Antiqua" w:hAnsi="Book Antiqua" w:cs="Book Antiqua"/>
          <w:sz w:val="22"/>
          <w:szCs w:val="22"/>
        </w:rPr>
        <w:t xml:space="preserve"> hodín mesačne a na podanie prihlášky na nemocenské poistenie, ak nemajú nemocenské poistenie z iného dôvodu. Povinné nemocenské poistenie naopak zanikne momentom vypovedania zmluvy o osobnej asistencii fyzickej osobe s ťažkým zdravotným postihnutím, resp.</w:t>
      </w:r>
      <w:r w:rsidRPr="007B1195">
        <w:rPr>
          <w:rFonts w:ascii="Book Antiqua" w:hAnsi="Book Antiqua" w:cs="Book Antiqua"/>
          <w:sz w:val="22"/>
          <w:szCs w:val="22"/>
        </w:rPr>
        <w:t xml:space="preserve"> podaním odhlášky. Okrem toho štát prestane uhrádzať poistné aj v</w:t>
      </w:r>
      <w:r w:rsidR="00AD7B21">
        <w:rPr>
          <w:rFonts w:ascii="Book Antiqua" w:hAnsi="Book Antiqua" w:cs="Book Antiqua"/>
          <w:sz w:val="22"/>
          <w:szCs w:val="22"/>
        </w:rPr>
        <w:t> </w:t>
      </w:r>
      <w:r w:rsidRPr="007B1195">
        <w:rPr>
          <w:rFonts w:ascii="Book Antiqua" w:hAnsi="Book Antiqua" w:cs="Book Antiqua"/>
          <w:sz w:val="22"/>
          <w:szCs w:val="22"/>
        </w:rPr>
        <w:t>prípade</w:t>
      </w:r>
      <w:r w:rsidR="00AD7B21">
        <w:rPr>
          <w:rFonts w:ascii="Book Antiqua" w:hAnsi="Book Antiqua" w:cs="Book Antiqua"/>
          <w:sz w:val="22"/>
          <w:szCs w:val="22"/>
        </w:rPr>
        <w:t>,</w:t>
      </w:r>
      <w:r w:rsidRPr="007B1195">
        <w:rPr>
          <w:rFonts w:ascii="Book Antiqua" w:hAnsi="Book Antiqua" w:cs="Book Antiqua"/>
          <w:sz w:val="22"/>
          <w:szCs w:val="22"/>
        </w:rPr>
        <w:t xml:space="preserve"> ak sa osobný asistent stane zamestnancom alebo SZČO </w:t>
      </w:r>
      <w:r w:rsidRPr="007B1195">
        <w:rPr>
          <w:rFonts w:ascii="Book Antiqua" w:hAnsi="Book Antiqua" w:cs="Book Antiqua"/>
          <w:sz w:val="22"/>
          <w:szCs w:val="22"/>
        </w:rPr>
        <w:t>podľa podmienok uvedených v § 14 ods. 1 písm. a) alebo b) zákona.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lastRenderedPageBreak/>
        <w:t>K bodu 5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Povinné poistenie v nezamestnanosti je naviazané na </w:t>
      </w:r>
      <w:r w:rsidRPr="007B1195">
        <w:rPr>
          <w:rFonts w:ascii="Book Antiqua" w:hAnsi="Book Antiqua" w:cs="Book Antiqua"/>
          <w:sz w:val="22"/>
          <w:szCs w:val="22"/>
        </w:rPr>
        <w:t>vznik a zánik povinného nemocenského poistenia, preto je vznik a zánik povinného poistenia v nezamestnanosti plne závislé od vzniku a zániku povinného nemocenského poistenia osobného asistenta, ktoré je zase popísané v</w:t>
      </w:r>
      <w:r w:rsidR="00AD7B21">
        <w:rPr>
          <w:rFonts w:ascii="Book Antiqua" w:hAnsi="Book Antiqua" w:cs="Book Antiqua"/>
          <w:sz w:val="22"/>
          <w:szCs w:val="22"/>
        </w:rPr>
        <w:t xml:space="preserve"> Čl. I </w:t>
      </w:r>
      <w:r w:rsidRPr="007B1195">
        <w:rPr>
          <w:rFonts w:ascii="Book Antiqua" w:hAnsi="Book Antiqua" w:cs="Book Antiqua"/>
          <w:sz w:val="22"/>
          <w:szCs w:val="22"/>
        </w:rPr>
        <w:t>bode 4</w:t>
      </w:r>
      <w:r w:rsidR="00AD7B21">
        <w:rPr>
          <w:rFonts w:ascii="Book Antiqua" w:hAnsi="Book Antiqua" w:cs="Book Antiqua"/>
          <w:sz w:val="22"/>
          <w:szCs w:val="22"/>
        </w:rPr>
        <w:t xml:space="preserve"> tohto návrhu zákona</w:t>
      </w:r>
      <w:r w:rsidRPr="007B1195">
        <w:rPr>
          <w:rFonts w:ascii="Book Antiqua" w:hAnsi="Book Antiqua" w:cs="Book Antiqua"/>
          <w:sz w:val="22"/>
          <w:szCs w:val="22"/>
        </w:rPr>
        <w:t>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bodom 6 až 10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Návrhom zákon</w:t>
      </w:r>
      <w:r w:rsidRPr="007B1195">
        <w:rPr>
          <w:rFonts w:ascii="Book Antiqua" w:hAnsi="Book Antiqua" w:cs="Book Antiqua"/>
          <w:sz w:val="22"/>
          <w:szCs w:val="22"/>
        </w:rPr>
        <w:t>a sa ustanovuje, aby sa všeobecné podmienky nároku na nemocenské dávky týkali aj osobného asistenta.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bodom 11 až 13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Navrhuje sa, aby mal povinne nemocensky poistený osobný asistent nárok na nemocenskú dávku za rovnakých podmienok ako povinne nemocensky p</w:t>
      </w:r>
      <w:r w:rsidRPr="007B1195">
        <w:rPr>
          <w:rFonts w:ascii="Book Antiqua" w:hAnsi="Book Antiqua" w:cs="Book Antiqua"/>
          <w:sz w:val="22"/>
          <w:szCs w:val="22"/>
        </w:rPr>
        <w:t>oistená SZČO. To okrem iného znamená, že nárok na nemocenské vzniká už od prvého dňa dočasnej pracovnej neschopnosti, pričom až do tretieho dňa je v sume 55% denného vymeriavacieho základu a od štvrtého do 11-teho dňa je to 25 % z denného vymeriavacieho zá</w:t>
      </w:r>
      <w:r w:rsidRPr="007B1195">
        <w:rPr>
          <w:rFonts w:ascii="Book Antiqua" w:hAnsi="Book Antiqua" w:cs="Book Antiqua"/>
          <w:sz w:val="22"/>
          <w:szCs w:val="22"/>
        </w:rPr>
        <w:t>kladu.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bodom 14, 16 a 17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Vzhľadom na to, že postavenie povinne nemocensky poisteného osobného asistenta sa svojou povahou najväčšmi ponáša na postavenie povinne nemocensky poistenej SZČO, navrhuje sa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- rozhodujúce obdobie na zistenie denného vymeriavaci</w:t>
      </w:r>
      <w:r w:rsidRPr="007B1195">
        <w:rPr>
          <w:rFonts w:ascii="Book Antiqua" w:hAnsi="Book Antiqua" w:cs="Book Antiqua"/>
          <w:sz w:val="22"/>
          <w:szCs w:val="22"/>
        </w:rPr>
        <w:t>eho základu,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- denný vymeriavací základ na určenie výšky nemocenskej dávky a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- pravdepodobný denný  vymeriavací základ na určenie výšky nemocenských dávok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stanoviť tak ako je určený pre povinne poistenú SZČO.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bodom 15, 19 a 21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Ide o </w:t>
      </w:r>
      <w:proofErr w:type="spellStart"/>
      <w:r w:rsidRPr="007B1195">
        <w:rPr>
          <w:rFonts w:ascii="Book Antiqua" w:hAnsi="Book Antiqua" w:cs="Book Antiqua"/>
          <w:sz w:val="22"/>
          <w:szCs w:val="22"/>
        </w:rPr>
        <w:t>legislatívno</w:t>
      </w:r>
      <w:proofErr w:type="spellEnd"/>
      <w:r w:rsidRPr="007B1195">
        <w:rPr>
          <w:rFonts w:ascii="Book Antiqua" w:hAnsi="Book Antiqua" w:cs="Book Antiqua"/>
          <w:sz w:val="22"/>
          <w:szCs w:val="22"/>
        </w:rPr>
        <w:t xml:space="preserve"> technick</w:t>
      </w:r>
      <w:r w:rsidRPr="007B1195">
        <w:rPr>
          <w:rFonts w:ascii="Book Antiqua" w:hAnsi="Book Antiqua" w:cs="Book Antiqua"/>
          <w:sz w:val="22"/>
          <w:szCs w:val="22"/>
        </w:rPr>
        <w:t>ú úpravu súvisiacu s</w:t>
      </w:r>
      <w:r w:rsidR="00AD7B21">
        <w:rPr>
          <w:rFonts w:ascii="Book Antiqua" w:hAnsi="Book Antiqua" w:cs="Book Antiqua"/>
          <w:sz w:val="22"/>
          <w:szCs w:val="22"/>
        </w:rPr>
        <w:t xml:space="preserve"> Čl. I </w:t>
      </w:r>
      <w:r w:rsidRPr="007B1195">
        <w:rPr>
          <w:rFonts w:ascii="Book Antiqua" w:hAnsi="Book Antiqua" w:cs="Book Antiqua"/>
          <w:sz w:val="22"/>
          <w:szCs w:val="22"/>
        </w:rPr>
        <w:t>bodom 20</w:t>
      </w:r>
      <w:r w:rsidR="00AD7B21">
        <w:rPr>
          <w:rFonts w:ascii="Book Antiqua" w:hAnsi="Book Antiqua" w:cs="Book Antiqua"/>
          <w:sz w:val="22"/>
          <w:szCs w:val="22"/>
        </w:rPr>
        <w:t xml:space="preserve"> tohto návrhu zákona</w:t>
      </w:r>
      <w:r w:rsidRPr="007B1195">
        <w:rPr>
          <w:rFonts w:ascii="Book Antiqua" w:hAnsi="Book Antiqua" w:cs="Book Antiqua"/>
          <w:sz w:val="22"/>
          <w:szCs w:val="22"/>
        </w:rPr>
        <w:t>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18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Na účely určenia výšky dávky v nezamestnanosti sa navrhuje, aby bol osobný asistent v obdobnom postavení ako dobrovoľne poistená osoba v nezamestnanosti.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20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  <w:u w:val="single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t>Napriek zvýšenému ohodnoteniu práce osobného asiste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nta, nie je takáto činnosť pre osobných asistentov stále atraktívna. Dôvodom je okrem iného chýbajúce nemocenské poistenie a poistenie v nezamestnanosti. Najväčší dopad to má na osobných asistentov, ktorí chcú uvedenú činnosť vykonávať ako svoju jedinú čin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 xml:space="preserve">nosť. Vzhľadom na to, že dobrovoľné poistenie je opäť len „záťaž“ pre osobných asistentov, navrhuje sa, aby za osobných asistentov, ktorí spĺňajú podmienky poistenia, platil poistenie štát a tým sa činnosť osobnej asistencie zatraktívnila. V súčasnosti je 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 xml:space="preserve">dôchodkovo poistených len asi 8% osobných asistentov. 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Keďže osobných asistentov je stálo málo a štát je už dnes schopný hradiť osobným asistentom, ktorí vykonávajú osobnú asistenciu v rozsahu 140 hodín a viac, dôchodkové </w:t>
      </w:r>
      <w:r w:rsidRPr="007B1195">
        <w:rPr>
          <w:rFonts w:ascii="Book Antiqua" w:hAnsi="Book Antiqua" w:cs="Book Antiqua"/>
          <w:sz w:val="22"/>
          <w:szCs w:val="22"/>
        </w:rPr>
        <w:lastRenderedPageBreak/>
        <w:t>poistenie, predloženým návrhom zák</w:t>
      </w:r>
      <w:r w:rsidRPr="007B1195">
        <w:rPr>
          <w:rFonts w:ascii="Book Antiqua" w:hAnsi="Book Antiqua" w:cs="Book Antiqua"/>
          <w:sz w:val="22"/>
          <w:szCs w:val="22"/>
        </w:rPr>
        <w:t>ona sa navrhuje,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 xml:space="preserve"> aby osobným asistentom osôb s ťažkým zdravotným postihnutím, štát platil poistné nie len na dôchodkové poistenie, ale aj nemocenské poistenie a poistenie v nezamestnanosti. 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22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Sadzba štátom hradeného poistného na nemocenské poiste</w:t>
      </w:r>
      <w:r w:rsidRPr="007B1195">
        <w:rPr>
          <w:rFonts w:ascii="Book Antiqua" w:hAnsi="Book Antiqua" w:cs="Book Antiqua"/>
          <w:sz w:val="22"/>
          <w:szCs w:val="22"/>
        </w:rPr>
        <w:t>nie pre osobného asistenta sa navrhuje vo výške 4,4 % z vymeriavacieho základu, tak ako je tomu aj prípade povinne nemocensky poistenej SZČO či dobrovoľne nemocensky poistenej osoby.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23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Sadzba štátom hradeného poistného na poistenie v nezamestnanost</w:t>
      </w:r>
      <w:r w:rsidRPr="007B1195">
        <w:rPr>
          <w:rFonts w:ascii="Book Antiqua" w:hAnsi="Book Antiqua" w:cs="Book Antiqua"/>
          <w:sz w:val="22"/>
          <w:szCs w:val="22"/>
        </w:rPr>
        <w:t xml:space="preserve">i pre osobného asistenta sa navrhuje vo výške 1 % z vymeriavacieho základu. Sadza poistného je teda v rovnakej výške aká sa uplatňuje na zamestnanca alebo zamestnávateľa.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24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Vymeriavací základ, z ktorého </w:t>
      </w:r>
      <w:r w:rsidRPr="007B1195">
        <w:rPr>
          <w:rFonts w:ascii="Book Antiqua" w:hAnsi="Book Antiqua" w:cs="Book Antiqua"/>
          <w:bCs/>
          <w:color w:val="000000"/>
          <w:sz w:val="22"/>
          <w:szCs w:val="22"/>
        </w:rPr>
        <w:t xml:space="preserve">štát platí poistné na </w:t>
      </w:r>
      <w:r w:rsidRPr="007B1195">
        <w:rPr>
          <w:rFonts w:ascii="Book Antiqua" w:hAnsi="Book Antiqua"/>
          <w:bCs/>
          <w:color w:val="000000"/>
          <w:sz w:val="22"/>
          <w:szCs w:val="22"/>
        </w:rPr>
        <w:t>nemocenské</w:t>
      </w:r>
      <w:r w:rsidRPr="007B1195">
        <w:rPr>
          <w:rFonts w:ascii="Book Antiqua" w:hAnsi="Book Antiqua" w:cs="Book Antiqua"/>
          <w:bCs/>
          <w:color w:val="000000"/>
          <w:sz w:val="22"/>
          <w:szCs w:val="22"/>
        </w:rPr>
        <w:t xml:space="preserve"> poistenie</w:t>
      </w:r>
      <w:r w:rsidRPr="007B1195">
        <w:rPr>
          <w:rFonts w:ascii="Book Antiqua" w:hAnsi="Book Antiqua" w:cs="Book Antiqua"/>
          <w:bCs/>
          <w:color w:val="00A933"/>
          <w:sz w:val="22"/>
          <w:szCs w:val="22"/>
        </w:rPr>
        <w:t xml:space="preserve"> </w:t>
      </w:r>
      <w:r w:rsidRPr="007B1195">
        <w:rPr>
          <w:rFonts w:ascii="Book Antiqua" w:hAnsi="Book Antiqua" w:cs="Book Antiqua"/>
          <w:bCs/>
          <w:color w:val="000000"/>
          <w:sz w:val="22"/>
          <w:szCs w:val="22"/>
        </w:rPr>
        <w:t>za osobného asistenta je v rovnakej výške ako vymeriavací základ, z ktorého štát za osobného asistenta platí poistné na dôchodkové poistenie.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25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color w:val="000000"/>
          <w:sz w:val="22"/>
          <w:szCs w:val="22"/>
        </w:rPr>
        <w:t xml:space="preserve">Vymeriavací základ, z ktorého </w:t>
      </w:r>
      <w:r w:rsidRPr="007B1195">
        <w:rPr>
          <w:rFonts w:ascii="Book Antiqua" w:hAnsi="Book Antiqua" w:cs="Book Antiqua"/>
          <w:bCs/>
          <w:color w:val="000000"/>
          <w:sz w:val="22"/>
          <w:szCs w:val="22"/>
        </w:rPr>
        <w:t>štát platí poistné na poistenie v nezamestnanosti</w:t>
      </w:r>
      <w:r w:rsidRPr="007B1195">
        <w:rPr>
          <w:rFonts w:ascii="Book Antiqua" w:hAnsi="Book Antiqua" w:cs="Book Antiqua"/>
          <w:bCs/>
          <w:color w:val="00A933"/>
          <w:sz w:val="22"/>
          <w:szCs w:val="22"/>
        </w:rPr>
        <w:t xml:space="preserve"> </w:t>
      </w:r>
      <w:r w:rsidRPr="007B1195">
        <w:rPr>
          <w:rFonts w:ascii="Book Antiqua" w:hAnsi="Book Antiqua" w:cs="Book Antiqua"/>
          <w:bCs/>
          <w:color w:val="000000"/>
          <w:sz w:val="22"/>
          <w:szCs w:val="22"/>
        </w:rPr>
        <w:t>za osobného asistenta pr</w:t>
      </w:r>
      <w:r w:rsidRPr="007B1195">
        <w:rPr>
          <w:rFonts w:ascii="Book Antiqua" w:hAnsi="Book Antiqua" w:cs="Book Antiqua"/>
          <w:bCs/>
          <w:color w:val="000000"/>
          <w:sz w:val="22"/>
          <w:szCs w:val="22"/>
        </w:rPr>
        <w:t>edstavuje jednu štvrtinu z vymeriavacieho základu, z ktorého štát za osobného asistenta platí poistné na nemocenské poistenie.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26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Ide o </w:t>
      </w:r>
      <w:proofErr w:type="spellStart"/>
      <w:r w:rsidRPr="007B1195">
        <w:rPr>
          <w:rFonts w:ascii="Book Antiqua" w:hAnsi="Book Antiqua" w:cs="Book Antiqua"/>
          <w:sz w:val="22"/>
          <w:szCs w:val="22"/>
        </w:rPr>
        <w:t>legislatívno</w:t>
      </w:r>
      <w:proofErr w:type="spellEnd"/>
      <w:r w:rsidRPr="007B1195">
        <w:rPr>
          <w:rFonts w:ascii="Book Antiqua" w:hAnsi="Book Antiqua" w:cs="Book Antiqua"/>
          <w:sz w:val="22"/>
          <w:szCs w:val="22"/>
        </w:rPr>
        <w:t xml:space="preserve"> technickú úpravu súvisiacu s</w:t>
      </w:r>
      <w:r w:rsidR="00AD7B21">
        <w:rPr>
          <w:rFonts w:ascii="Book Antiqua" w:hAnsi="Book Antiqua" w:cs="Book Antiqua"/>
          <w:sz w:val="22"/>
          <w:szCs w:val="22"/>
        </w:rPr>
        <w:t xml:space="preserve"> Čl. I </w:t>
      </w:r>
      <w:r w:rsidRPr="007B1195">
        <w:rPr>
          <w:rFonts w:ascii="Book Antiqua" w:hAnsi="Book Antiqua" w:cs="Book Antiqua"/>
          <w:sz w:val="22"/>
          <w:szCs w:val="22"/>
        </w:rPr>
        <w:t>bodmi 24 a</w:t>
      </w:r>
      <w:r w:rsidR="00AD7B21">
        <w:rPr>
          <w:rFonts w:ascii="Book Antiqua" w:hAnsi="Book Antiqua" w:cs="Book Antiqua"/>
          <w:sz w:val="22"/>
          <w:szCs w:val="22"/>
        </w:rPr>
        <w:t> </w:t>
      </w:r>
      <w:r w:rsidRPr="007B1195">
        <w:rPr>
          <w:rFonts w:ascii="Book Antiqua" w:hAnsi="Book Antiqua" w:cs="Book Antiqua"/>
          <w:sz w:val="22"/>
          <w:szCs w:val="22"/>
        </w:rPr>
        <w:t>25</w:t>
      </w:r>
      <w:r w:rsidR="00AD7B21">
        <w:rPr>
          <w:rFonts w:ascii="Book Antiqua" w:hAnsi="Book Antiqua" w:cs="Book Antiqua"/>
          <w:sz w:val="22"/>
          <w:szCs w:val="22"/>
        </w:rPr>
        <w:t xml:space="preserve"> tohto návrhu zákona</w:t>
      </w:r>
      <w:r w:rsidRPr="007B1195">
        <w:rPr>
          <w:rFonts w:ascii="Book Antiqua" w:hAnsi="Book Antiqua" w:cs="Book Antiqua"/>
          <w:sz w:val="22"/>
          <w:szCs w:val="22"/>
        </w:rPr>
        <w:t>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27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Povinnosť oznámenia zmeny vybraných údajov org</w:t>
      </w:r>
      <w:r w:rsidRPr="007B1195">
        <w:rPr>
          <w:rFonts w:ascii="Book Antiqua" w:hAnsi="Book Antiqua" w:cs="Book Antiqua"/>
          <w:sz w:val="22"/>
          <w:szCs w:val="22"/>
        </w:rPr>
        <w:t>anizačnej zložke Sociálnej poisťovni do ôsmich dní sa bude týkať aj osobných asistentov za ktorých štát uhrádza poistné na nemocenské poistenie a poistenie v nezamestnanosti.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28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Keďže osobný asistent je nemocensky poistený až podaním prihlášky na ne</w:t>
      </w:r>
      <w:r w:rsidRPr="007B1195">
        <w:rPr>
          <w:rFonts w:ascii="Book Antiqua" w:hAnsi="Book Antiqua" w:cs="Book Antiqua"/>
          <w:sz w:val="22"/>
          <w:szCs w:val="22"/>
        </w:rPr>
        <w:t>mocenské poistenie po tom čo splnil zákonom stanovené podmienky, je v momente ich neplnenia povinný odhlásiť sa z nemocenského poistenia.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29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Navrhuje sa, aby Sociálna poisťovňa pripravila tlačivo</w:t>
      </w:r>
      <w:r w:rsidRPr="007B1195">
        <w:rPr>
          <w:rFonts w:ascii="Book Antiqua" w:hAnsi="Book Antiqua" w:cs="Book Antiqua"/>
          <w:sz w:val="22"/>
          <w:szCs w:val="22"/>
        </w:rPr>
        <w:t>, resp. určila iný spôsob oznamovania, ktorým sa os</w:t>
      </w:r>
      <w:r w:rsidRPr="007B1195">
        <w:rPr>
          <w:rFonts w:ascii="Book Antiqua" w:hAnsi="Book Antiqua" w:cs="Book Antiqua"/>
          <w:sz w:val="22"/>
          <w:szCs w:val="22"/>
        </w:rPr>
        <w:t xml:space="preserve">obný asistent prihlási na povinné nemocenské poistenie. 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  <w:u w:val="single"/>
        </w:rPr>
        <w:t>K bodu 30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Zavádzajú sa intertemporálne ustanovenia, vďaka ktorým bude osobným asistentom umožnené prihlásiť sa na povinné nemocenské poistenie a povinné poistenie v </w:t>
      </w:r>
      <w:r w:rsidRPr="007B1195">
        <w:rPr>
          <w:rFonts w:ascii="Book Antiqua" w:hAnsi="Book Antiqua" w:cs="Book Antiqua"/>
          <w:sz w:val="22"/>
          <w:szCs w:val="22"/>
        </w:rPr>
        <w:lastRenderedPageBreak/>
        <w:t>nezamestnanosti už od 1. januára 2</w:t>
      </w:r>
      <w:r w:rsidR="00AD7B21">
        <w:rPr>
          <w:rFonts w:ascii="Book Antiqua" w:hAnsi="Book Antiqua" w:cs="Book Antiqua"/>
          <w:sz w:val="22"/>
          <w:szCs w:val="22"/>
        </w:rPr>
        <w:t>020 a obdobia vykonávania osobnej asistencie sa mu budú započítavať aj spätne pred nadobudnutím účinnosti tohto zákona.</w:t>
      </w: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sz w:val="22"/>
          <w:szCs w:val="22"/>
        </w:rPr>
        <w:t>K Čl. II</w:t>
      </w:r>
    </w:p>
    <w:p w:rsidR="007F6AEE" w:rsidRPr="007B1195" w:rsidRDefault="0022454F" w:rsidP="00AD7B21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 xml:space="preserve">So zohľadnením </w:t>
      </w:r>
      <w:proofErr w:type="spellStart"/>
      <w:r w:rsidRPr="007B1195">
        <w:rPr>
          <w:rFonts w:ascii="Book Antiqua" w:hAnsi="Book Antiqua" w:cs="Book Antiqua"/>
          <w:sz w:val="22"/>
          <w:szCs w:val="22"/>
        </w:rPr>
        <w:t>legisvakančnej</w:t>
      </w:r>
      <w:proofErr w:type="spellEnd"/>
      <w:r w:rsidRPr="007B1195">
        <w:rPr>
          <w:rFonts w:ascii="Book Antiqua" w:hAnsi="Book Antiqua" w:cs="Book Antiqua"/>
          <w:sz w:val="22"/>
          <w:szCs w:val="22"/>
        </w:rPr>
        <w:t xml:space="preserve"> lehoty sa účinnosť návrhu zákona navrhuje od </w:t>
      </w:r>
      <w:r w:rsidR="00AD7B21">
        <w:rPr>
          <w:rFonts w:ascii="Book Antiqua" w:hAnsi="Book Antiqua" w:cs="Book Antiqua"/>
          <w:sz w:val="22"/>
          <w:szCs w:val="22"/>
        </w:rPr>
        <w:t xml:space="preserve">         </w:t>
      </w:r>
      <w:r w:rsidRPr="007B1195">
        <w:rPr>
          <w:rFonts w:ascii="Book Antiqua" w:hAnsi="Book Antiqua" w:cs="Book Antiqua"/>
          <w:sz w:val="22"/>
          <w:szCs w:val="22"/>
        </w:rPr>
        <w:t>1. januára 2020.</w:t>
      </w: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  <w:sectPr w:rsidR="007F6AEE" w:rsidRPr="007B1195">
          <w:footerReference w:type="default" r:id="rId8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</w:p>
    <w:p w:rsidR="007F6AEE" w:rsidRPr="007B1195" w:rsidRDefault="0022454F" w:rsidP="007B1195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7F6AEE" w:rsidRPr="007B1195" w:rsidRDefault="0022454F" w:rsidP="007B1195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t xml:space="preserve">návrhu 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zákona</w:t>
      </w:r>
      <w:r w:rsidRPr="007B1195">
        <w:rPr>
          <w:rFonts w:ascii="Book Antiqua" w:hAnsi="Book Antiqua" w:cs="Book Antiqua"/>
          <w:sz w:val="22"/>
          <w:szCs w:val="22"/>
        </w:rPr>
        <w:t xml:space="preserve"> </w:t>
      </w:r>
      <w:r w:rsidRPr="007B1195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sz w:val="22"/>
          <w:szCs w:val="22"/>
        </w:rPr>
        <w:t> </w:t>
      </w:r>
    </w:p>
    <w:p w:rsidR="007F6AEE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7B1195">
        <w:rPr>
          <w:rFonts w:ascii="Book Antiqua" w:hAnsi="Book Antiqua" w:cs="Book Antiqua"/>
          <w:sz w:val="22"/>
          <w:szCs w:val="22"/>
        </w:rPr>
        <w:t xml:space="preserve"> </w:t>
      </w:r>
      <w:r w:rsidRPr="007B1195">
        <w:rPr>
          <w:rFonts w:ascii="Book Antiqua" w:hAnsi="Book Antiqua" w:cs="Book Antiqua"/>
          <w:color w:val="000000"/>
          <w:sz w:val="22"/>
          <w:szCs w:val="22"/>
        </w:rPr>
        <w:t>skupina poslancov Národnej rady Slovenskej republiky</w:t>
      </w:r>
    </w:p>
    <w:p w:rsidR="00D20058" w:rsidRPr="00D20058" w:rsidRDefault="00D20058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7F6AEE" w:rsidRDefault="0022454F" w:rsidP="007B1195">
      <w:pPr>
        <w:spacing w:before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sz w:val="22"/>
          <w:szCs w:val="22"/>
        </w:rPr>
        <w:t>2. Názov návrhu zákona:</w:t>
      </w:r>
      <w:r w:rsidRPr="007B1195">
        <w:rPr>
          <w:rFonts w:ascii="Book Antiqua" w:hAnsi="Book Antiqua" w:cs="Book Antiqua"/>
          <w:sz w:val="22"/>
          <w:szCs w:val="22"/>
        </w:rPr>
        <w:t xml:space="preserve"> </w:t>
      </w:r>
      <w:bookmarkStart w:id="2" w:name="__DdeLink__67868_1258658721"/>
      <w:r w:rsidRPr="007B1195">
        <w:rPr>
          <w:rFonts w:ascii="Book Antiqua" w:hAnsi="Book Antiqua" w:cs="Book Antiqua"/>
          <w:color w:val="000000"/>
          <w:sz w:val="22"/>
          <w:szCs w:val="22"/>
        </w:rPr>
        <w:t xml:space="preserve">návrh </w:t>
      </w:r>
      <w:bookmarkEnd w:id="2"/>
      <w:r w:rsidRPr="007B1195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Pr="007B1195">
        <w:rPr>
          <w:rFonts w:ascii="Book Antiqua" w:hAnsi="Book Antiqua"/>
          <w:bCs/>
          <w:color w:val="000000"/>
          <w:sz w:val="22"/>
          <w:szCs w:val="22"/>
        </w:rPr>
        <w:t>zákona,  ktorým sa mení a dopĺňa zákon č. 461/2003 Z. z. o sociálnom poistení v znení neskorších predpisov</w:t>
      </w:r>
    </w:p>
    <w:p w:rsidR="00D20058" w:rsidRPr="00D20058" w:rsidRDefault="00D20058" w:rsidP="007B1195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20058" w:rsidRPr="003265C0" w:rsidRDefault="00D20058" w:rsidP="00D20058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D20058" w:rsidRPr="00550F63" w:rsidRDefault="00D20058" w:rsidP="00D20058">
      <w:pPr>
        <w:pStyle w:val="Normlnywebov"/>
        <w:numPr>
          <w:ilvl w:val="0"/>
          <w:numId w:val="4"/>
        </w:numPr>
        <w:suppressAutoHyphens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B3DF8">
        <w:rPr>
          <w:rFonts w:ascii="Book Antiqua" w:hAnsi="Book Antiqua"/>
          <w:bCs/>
          <w:sz w:val="22"/>
          <w:szCs w:val="22"/>
        </w:rPr>
        <w:t xml:space="preserve">je upravený v primárnom práve Európskej únie, a to v </w:t>
      </w:r>
      <w:r w:rsidRPr="00FB3DF8">
        <w:rPr>
          <w:rFonts w:ascii="Book Antiqua" w:hAnsi="Book Antiqua"/>
          <w:sz w:val="22"/>
          <w:szCs w:val="22"/>
        </w:rPr>
        <w:t>čl. 48</w:t>
      </w:r>
      <w:r>
        <w:rPr>
          <w:rFonts w:ascii="Book Antiqua" w:hAnsi="Book Antiqua"/>
          <w:sz w:val="22"/>
          <w:szCs w:val="22"/>
        </w:rPr>
        <w:t xml:space="preserve"> (voľný pohyb pracovníkov)</w:t>
      </w:r>
      <w:r w:rsidRPr="00FB3DF8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 xml:space="preserve">151 (sociálna politika), </w:t>
      </w:r>
      <w:r w:rsidRPr="00FB3DF8">
        <w:rPr>
          <w:rFonts w:ascii="Book Antiqua" w:hAnsi="Book Antiqua"/>
          <w:sz w:val="22"/>
          <w:szCs w:val="22"/>
        </w:rPr>
        <w:t>153</w:t>
      </w:r>
      <w:r>
        <w:rPr>
          <w:rFonts w:ascii="Book Antiqua" w:hAnsi="Book Antiqua"/>
          <w:sz w:val="22"/>
          <w:szCs w:val="22"/>
        </w:rPr>
        <w:t xml:space="preserve"> (sociálna politika) a 288</w:t>
      </w:r>
      <w:r w:rsidRPr="00FB3DF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(právne akty EÚ) </w:t>
      </w:r>
      <w:r w:rsidRPr="00FB3DF8">
        <w:rPr>
          <w:rFonts w:ascii="Book Antiqua" w:hAnsi="Book Antiqua"/>
          <w:sz w:val="22"/>
          <w:szCs w:val="22"/>
        </w:rPr>
        <w:t xml:space="preserve">Zmluvy o fungovaní Európskej únie, ktoré zabezpečujú primeranú sociálnu ochranu, </w:t>
      </w:r>
    </w:p>
    <w:p w:rsidR="00D20058" w:rsidRPr="00FB3DF8" w:rsidRDefault="00D20058" w:rsidP="00D20058">
      <w:pPr>
        <w:pStyle w:val="Odsekzoznamu"/>
        <w:numPr>
          <w:ilvl w:val="0"/>
          <w:numId w:val="6"/>
        </w:numPr>
        <w:spacing w:before="12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FB3DF8">
        <w:rPr>
          <w:rFonts w:ascii="Book Antiqua" w:hAnsi="Book Antiqua"/>
          <w:bCs/>
          <w:sz w:val="22"/>
          <w:szCs w:val="22"/>
        </w:rPr>
        <w:t>je upravený v sekundárnom práve Európskej únie, a to v:</w:t>
      </w:r>
    </w:p>
    <w:p w:rsidR="00D20058" w:rsidRPr="00FB3DF8" w:rsidRDefault="00D20058" w:rsidP="00D20058">
      <w:pPr>
        <w:pStyle w:val="Odsekzoznamu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B3DF8">
        <w:rPr>
          <w:rFonts w:ascii="Book Antiqua" w:hAnsi="Book Antiqua"/>
          <w:sz w:val="22"/>
          <w:szCs w:val="22"/>
        </w:rPr>
        <w:t>nariadení Európskeho parlamentu a  Rady  (ES) č. 883/2004 z 29. apríla 2004 o koordinácii systémov sociálneho zabezpečenia v platnom znení (Mimoriadne vydanie Ú. v. EÚ, kap. 5/ zv. 5</w:t>
      </w:r>
      <w:r w:rsidRPr="00FB3DF8">
        <w:rPr>
          <w:rFonts w:ascii="Book Antiqua" w:hAnsi="Book Antiqua" w:cs="Times"/>
          <w:sz w:val="22"/>
          <w:szCs w:val="22"/>
        </w:rPr>
        <w:t>; Ú. v. EÚ L 166, 30. 4. 2004</w:t>
      </w:r>
      <w:r>
        <w:rPr>
          <w:rFonts w:ascii="Book Antiqua" w:hAnsi="Book Antiqua"/>
          <w:sz w:val="22"/>
          <w:szCs w:val="22"/>
        </w:rPr>
        <w:t>) v platnom znení,</w:t>
      </w:r>
    </w:p>
    <w:p w:rsidR="00D20058" w:rsidRPr="00FB3DF8" w:rsidRDefault="00D20058" w:rsidP="00D20058">
      <w:pPr>
        <w:pStyle w:val="Odsekzoznamu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B3DF8">
        <w:rPr>
          <w:rFonts w:ascii="Book Antiqua" w:hAnsi="Book Antiqua"/>
          <w:sz w:val="22"/>
          <w:szCs w:val="22"/>
        </w:rPr>
        <w:t>nariadení Európskeho parlamentu a Rady  (ES) č. 987/2009 zo 16. septembra 2009, ktorým sa ustanovuje postup vykonávania nariadenia (ES) č. 883/2004 o koordinácii systémov sociálneho zabezpečenia (Ú. v. EÚ L 284, 30. 10. 2009) v pl</w:t>
      </w:r>
      <w:r>
        <w:rPr>
          <w:rFonts w:ascii="Book Antiqua" w:hAnsi="Book Antiqua"/>
          <w:sz w:val="22"/>
          <w:szCs w:val="22"/>
        </w:rPr>
        <w:t>atnom znení,</w:t>
      </w:r>
    </w:p>
    <w:p w:rsidR="00D20058" w:rsidRPr="000910E5" w:rsidRDefault="00D20058" w:rsidP="00D20058">
      <w:pPr>
        <w:pStyle w:val="Odsekzoznamu"/>
        <w:numPr>
          <w:ilvl w:val="0"/>
          <w:numId w:val="6"/>
        </w:numPr>
        <w:spacing w:before="12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0910E5">
        <w:rPr>
          <w:rFonts w:ascii="Book Antiqua" w:hAnsi="Book Antiqua"/>
          <w:bCs/>
          <w:sz w:val="22"/>
          <w:szCs w:val="22"/>
        </w:rPr>
        <w:t>je obsiahnutý v judikatúre Súdneho dvora Európskej únie, a to v:</w:t>
      </w:r>
    </w:p>
    <w:p w:rsidR="00D20058" w:rsidRDefault="00D20058" w:rsidP="00D20058">
      <w:pPr>
        <w:pStyle w:val="Odsekzoznamu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rozsudk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u</w:t>
      </w:r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Súdneho dvora </w:t>
      </w:r>
      <w:r w:rsidRPr="000910E5">
        <w:rPr>
          <w:rFonts w:ascii="Book Antiqua" w:hAnsi="Book Antiqua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vo veci C-333/13 </w:t>
      </w:r>
      <w:proofErr w:type="spellStart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Elisabeta</w:t>
      </w:r>
      <w:proofErr w:type="spellEnd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Dano</w:t>
      </w:r>
      <w:proofErr w:type="spellEnd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a </w:t>
      </w:r>
      <w:proofErr w:type="spellStart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Florin</w:t>
      </w:r>
      <w:proofErr w:type="spellEnd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Dano</w:t>
      </w:r>
      <w:proofErr w:type="spellEnd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proti </w:t>
      </w:r>
      <w:proofErr w:type="spellStart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Jobcenter</w:t>
      </w:r>
      <w:proofErr w:type="spellEnd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Leipzig</w:t>
      </w:r>
      <w:proofErr w:type="spellEnd"/>
      <w:r w:rsidRPr="000910E5">
        <w:rPr>
          <w:rFonts w:ascii="Book Antiqua" w:hAnsi="Book Antiqua" w:cs="Lucida Grande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0910E5">
        <w:rPr>
          <w:rFonts w:ascii="Book Antiqua" w:hAnsi="Book Antiqua"/>
          <w:sz w:val="22"/>
          <w:szCs w:val="22"/>
        </w:rPr>
        <w:t>[2014] (osobit</w:t>
      </w:r>
      <w:r>
        <w:rPr>
          <w:rFonts w:ascii="Book Antiqua" w:hAnsi="Book Antiqua"/>
          <w:sz w:val="22"/>
          <w:szCs w:val="22"/>
        </w:rPr>
        <w:t>né nepríspevkové peňažné dávky).</w:t>
      </w:r>
    </w:p>
    <w:p w:rsidR="00D20058" w:rsidRPr="000910E5" w:rsidRDefault="00D20058" w:rsidP="00D20058">
      <w:pPr>
        <w:pStyle w:val="Odsekzoznamu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  <w:lang w:eastAsia="en-US"/>
        </w:rPr>
      </w:pPr>
    </w:p>
    <w:p w:rsidR="00D20058" w:rsidRPr="00550F63" w:rsidRDefault="00D20058" w:rsidP="00D20058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:rsidR="00D20058" w:rsidRDefault="00D20058" w:rsidP="00D20058">
      <w:pPr>
        <w:numPr>
          <w:ilvl w:val="0"/>
          <w:numId w:val="5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:rsidR="00D20058" w:rsidRDefault="00D20058" w:rsidP="00D20058">
      <w:pPr>
        <w:numPr>
          <w:ilvl w:val="0"/>
          <w:numId w:val="5"/>
        </w:numPr>
        <w:suppressAutoHyphens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:rsidR="00D20058" w:rsidRDefault="00D20058" w:rsidP="00D20058">
      <w:pPr>
        <w:pStyle w:val="Vchodzie"/>
        <w:numPr>
          <w:ilvl w:val="0"/>
          <w:numId w:val="5"/>
        </w:numPr>
        <w:tabs>
          <w:tab w:val="left" w:pos="284"/>
          <w:tab w:val="left" w:pos="720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:rsidR="00D20058" w:rsidRPr="00550F63" w:rsidRDefault="00D20058" w:rsidP="00D20058">
      <w:pPr>
        <w:pStyle w:val="Vchodzie"/>
        <w:tabs>
          <w:tab w:val="left" w:pos="284"/>
          <w:tab w:val="left" w:pos="720"/>
        </w:tabs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</w:p>
    <w:p w:rsidR="00D20058" w:rsidRPr="00550F63" w:rsidRDefault="00D20058" w:rsidP="00D20058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:rsidR="007F6AEE" w:rsidRPr="007B1195" w:rsidRDefault="00D20058" w:rsidP="00D20058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  <w:t>úplný.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  <w:sectPr w:rsidR="007F6AEE" w:rsidRPr="007B1195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  <w:r w:rsidRPr="007B1195">
        <w:rPr>
          <w:rFonts w:ascii="Book Antiqua" w:hAnsi="Book Antiqua" w:cs="Book Antiqua"/>
          <w:sz w:val="22"/>
          <w:szCs w:val="22"/>
        </w:rPr>
        <w:t> </w:t>
      </w:r>
    </w:p>
    <w:p w:rsidR="007F6AEE" w:rsidRPr="007B1195" w:rsidRDefault="0022454F" w:rsidP="007B1195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7F6AEE" w:rsidRPr="007B1195" w:rsidRDefault="0022454F" w:rsidP="007B1195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vybraných vplyvov</w:t>
      </w:r>
    </w:p>
    <w:p w:rsidR="007F6AEE" w:rsidRPr="007B1195" w:rsidRDefault="0022454F" w:rsidP="007B1195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color w:val="000000"/>
          <w:sz w:val="22"/>
          <w:szCs w:val="22"/>
        </w:rPr>
        <w:t>  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A.1. Názov materiálu: </w:t>
      </w:r>
      <w:r w:rsidRPr="007B1195">
        <w:rPr>
          <w:rFonts w:ascii="Book Antiqua" w:hAnsi="Book Antiqua" w:cs="Book Antiqua"/>
          <w:color w:val="000000"/>
          <w:sz w:val="22"/>
          <w:szCs w:val="22"/>
        </w:rPr>
        <w:t xml:space="preserve">návrh </w:t>
      </w:r>
      <w:r w:rsidRPr="007B1195">
        <w:rPr>
          <w:rFonts w:ascii="Book Antiqua" w:hAnsi="Book Antiqua"/>
          <w:bCs/>
          <w:color w:val="000000"/>
          <w:sz w:val="22"/>
          <w:szCs w:val="22"/>
        </w:rPr>
        <w:t>zákona, ktorým sa mení a dopĺňa zákon č. 461/2003 Z. z. o sociálnom poistení v znení neskorších predpisov</w:t>
      </w: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   </w:t>
      </w: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    </w:t>
      </w:r>
      <w:r w:rsidRPr="007B1195"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 xml:space="preserve"> </w:t>
      </w: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Termín začatia a ukončenia PPK:</w:t>
      </w:r>
      <w:r w:rsidRPr="007B1195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Pr="007B1195"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W w:w="9118" w:type="dxa"/>
        <w:tblInd w:w="-22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76"/>
        <w:gridCol w:w="1232"/>
      </w:tblGrid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7F6AEE" w:rsidP="007B1195">
            <w:pPr>
              <w:pStyle w:val="Normlnywebov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7F6AEE" w:rsidP="007B1195">
            <w:pPr>
              <w:pStyle w:val="Normlnywebov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– </w:t>
            </w: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7F6AEE" w:rsidP="007B1195">
            <w:pPr>
              <w:pStyle w:val="Normlnywebov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– </w:t>
            </w: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sociálnu </w:t>
            </w:r>
            <w:proofErr w:type="spellStart"/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7F6AEE" w:rsidP="007B1195">
            <w:pPr>
              <w:pStyle w:val="Normlnywebov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– </w:t>
            </w: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 w:rsidR="007F6AEE" w:rsidRPr="007B1195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6AEE" w:rsidRPr="007B1195" w:rsidRDefault="0022454F" w:rsidP="007B1195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7B119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A.3. Poznámky</w:t>
      </w:r>
    </w:p>
    <w:p w:rsidR="00B02D7E" w:rsidRDefault="00B02D7E" w:rsidP="00B02D7E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Predkladaný návrh zákona má pomerne zanedbateľný negatívny vplyv na rozpočet verejnej správy, na druhej strane prináša výrazne pozitívne sociálne vplyvy (najmä na hospodárenie obyvateľstva a tiež prispieva k znižovaniu sociálnej </w:t>
      </w:r>
      <w:proofErr w:type="spellStart"/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exklúzie</w:t>
      </w:r>
      <w:proofErr w:type="spellEnd"/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). Predkladaný návrh zákona nemá žiadny vplyv na podnikateľské prostredie, životné prostredie a ani na informatizáciu spoločnosti.</w:t>
      </w:r>
    </w:p>
    <w:p w:rsidR="00B02D7E" w:rsidRDefault="00B02D7E" w:rsidP="00B02D7E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Celkový vplyv na rozpočet verejnej správy bude negatívny, keďže sa stanovuje povinnosť štátu hradiť nemocenské poistenie za fyzické osoby vykonávajúce osobnú asistenciu (cca 1250 osobných asistentov x 32 eur mesačne) a zároveň sa znižuje rozsah hodín zjednanej asistencie pre vznik dôchodkového poistenia zo 140 hodín na 120 hodín (môže sa týkať cca 300 osobných asistentov, s mesačnými nákladmi 156 eur na jedného osobného asistenta). Pokiaľ ide o konkrétny dopad, odhadujú sa výdavky pod</w:t>
      </w:r>
      <w:r w:rsidR="001958E8">
        <w:rPr>
          <w:rFonts w:ascii="Book Antiqua" w:hAnsi="Book Antiqua" w:cs="Book Antiqua"/>
          <w:i/>
          <w:iCs/>
          <w:color w:val="000000"/>
          <w:sz w:val="22"/>
          <w:szCs w:val="22"/>
        </w:rPr>
        <w:t>ľa uvedených počtov pre rok 2020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vo výške </w:t>
      </w:r>
      <w:r w:rsidR="001958E8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1 041 600 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eur hradených z rezerv  a predpoklad nárastu počtu osobných asisten</w:t>
      </w:r>
      <w:r w:rsidR="001958E8">
        <w:rPr>
          <w:rFonts w:ascii="Book Antiqua" w:hAnsi="Book Antiqua" w:cs="Book Antiqua"/>
          <w:i/>
          <w:iCs/>
          <w:color w:val="000000"/>
          <w:sz w:val="22"/>
          <w:szCs w:val="22"/>
        </w:rPr>
        <w:t>tov (aspoň na 775) v rokoch 2021 a 2022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zvýši celkové výdavky na 1 930 800 eur.  </w:t>
      </w:r>
    </w:p>
    <w:p w:rsidR="007F6AEE" w:rsidRPr="00D20058" w:rsidRDefault="00B02D7E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Táto suma by sa mala v roku 2020, ako aj v ďalších rozpočtových rokoch pokryť z výdavkov na politiku trhu práce a sociálne politiky.</w:t>
      </w:r>
      <w:bookmarkStart w:id="3" w:name="_GoBack"/>
      <w:bookmarkEnd w:id="3"/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lastRenderedPageBreak/>
        <w:t>A.4. Alternatívne riešenia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7F6AEE" w:rsidRPr="007B1195" w:rsidRDefault="007F6AEE" w:rsidP="007B1195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2"/>
          <w:szCs w:val="22"/>
        </w:rPr>
      </w:pP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7F6AEE" w:rsidRPr="007B1195" w:rsidRDefault="0022454F" w:rsidP="007B1195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B1195">
        <w:rPr>
          <w:rFonts w:ascii="Book Antiqua" w:hAnsi="Book Antiqua" w:cs="Book Antiqua"/>
          <w:i/>
          <w:iCs/>
          <w:color w:val="000000"/>
          <w:sz w:val="22"/>
          <w:szCs w:val="22"/>
        </w:rPr>
        <w:t>Návrh zákona bol zaslaný</w:t>
      </w:r>
      <w:r w:rsidRPr="007B1195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na vyjadrenie Ministerstvu financií SR a stanovisko tohto ministerstva tvorí súčasť predkladaného materiálu.</w:t>
      </w:r>
    </w:p>
    <w:sectPr w:rsidR="007F6AEE" w:rsidRPr="007B1195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4F" w:rsidRDefault="0022454F">
      <w:r>
        <w:separator/>
      </w:r>
    </w:p>
  </w:endnote>
  <w:endnote w:type="continuationSeparator" w:id="0">
    <w:p w:rsidR="0022454F" w:rsidRDefault="0022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EE" w:rsidRDefault="0022454F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7" behindDoc="1" locked="0" layoutInCell="1" allowOverlap="1" wp14:anchorId="183BA9ED" wp14:editId="43F2A018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8105" cy="351790"/>
              <wp:effectExtent l="1905" t="635" r="8255" b="254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3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6AEE" w:rsidRDefault="0022454F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D20058">
                            <w:rPr>
                              <w:rStyle w:val="slostran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:rsidR="007F6AEE" w:rsidRDefault="007F6AEE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518.4pt;margin-top:.05pt;width:6.15pt;height:27.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" filled="f" stroked="f">
              <v:textbox inset="0,0,0,0">
                <w:txbxContent>
                  <w:p w:rsidR="007F6AEE" w:rsidRDefault="0022454F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D20058">
                      <w:rPr>
                        <w:rStyle w:val="slostrany"/>
                        <w:noProof/>
                      </w:rPr>
                      <w:t>5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:rsidR="007F6AEE" w:rsidRDefault="007F6AEE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EE" w:rsidRDefault="0022454F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8" behindDoc="1" locked="0" layoutInCell="1" allowOverlap="1" wp14:anchorId="4DF49EFF" wp14:editId="3C847427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8105" cy="351790"/>
              <wp:effectExtent l="1905" t="635" r="8255" b="254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3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6AEE" w:rsidRDefault="0022454F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D20058">
                            <w:rPr>
                              <w:rStyle w:val="slostran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:rsidR="007F6AEE" w:rsidRDefault="007F6AEE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7" style="position:absolute;left:0;text-align:left;margin-left:518.4pt;margin-top:.05pt;width:6.15pt;height:27.7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" filled="f" stroked="f">
              <v:textbox inset="0,0,0,0">
                <w:txbxContent>
                  <w:p w:rsidR="007F6AEE" w:rsidRDefault="0022454F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D20058">
                      <w:rPr>
                        <w:rStyle w:val="slostrany"/>
                        <w:noProof/>
                      </w:rPr>
                      <w:t>6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:rsidR="007F6AEE" w:rsidRDefault="007F6AEE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EE" w:rsidRDefault="0022454F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10" behindDoc="1" locked="0" layoutInCell="1" allowOverlap="1" wp14:anchorId="389F88B6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8105" cy="351790"/>
              <wp:effectExtent l="1905" t="635" r="8255" b="2540"/>
              <wp:wrapSquare wrapText="largest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3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6AEE" w:rsidRDefault="0022454F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D20058">
                            <w:rPr>
                              <w:rStyle w:val="slostran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:rsidR="007F6AEE" w:rsidRDefault="007F6AEE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28" style="position:absolute;left:0;text-align:left;margin-left:518.4pt;margin-top:.05pt;width:6.15pt;height:27.7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" filled="f" stroked="f">
              <v:textbox inset="0,0,0,0">
                <w:txbxContent>
                  <w:p w:rsidR="007F6AEE" w:rsidRDefault="0022454F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D20058">
                      <w:rPr>
                        <w:rStyle w:val="slostrany"/>
                        <w:noProof/>
                      </w:rPr>
                      <w:t>7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:rsidR="007F6AEE" w:rsidRDefault="007F6AEE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4F" w:rsidRDefault="0022454F">
      <w:r>
        <w:separator/>
      </w:r>
    </w:p>
  </w:footnote>
  <w:footnote w:type="continuationSeparator" w:id="0">
    <w:p w:rsidR="0022454F" w:rsidRDefault="0022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74A"/>
    <w:multiLevelType w:val="multilevel"/>
    <w:tmpl w:val="F6AA616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22206ADA"/>
    <w:multiLevelType w:val="multilevel"/>
    <w:tmpl w:val="BE14B9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C102CE"/>
    <w:multiLevelType w:val="hybridMultilevel"/>
    <w:tmpl w:val="70000FD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1513C2"/>
    <w:multiLevelType w:val="hybridMultilevel"/>
    <w:tmpl w:val="5476A74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CD91F18"/>
    <w:multiLevelType w:val="hybridMultilevel"/>
    <w:tmpl w:val="02889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C206C7"/>
    <w:multiLevelType w:val="multilevel"/>
    <w:tmpl w:val="45124DE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Times New Roman"/>
        <w:sz w:val="22"/>
      </w:r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EE"/>
    <w:rsid w:val="001958E8"/>
    <w:rsid w:val="0022454F"/>
    <w:rsid w:val="007B1195"/>
    <w:rsid w:val="007F6AEE"/>
    <w:rsid w:val="00AD7B21"/>
    <w:rsid w:val="00B02D7E"/>
    <w:rsid w:val="00D20058"/>
    <w:rsid w:val="00D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jc w:val="center"/>
    </w:pPr>
    <w:rPr>
      <w:sz w:val="24"/>
      <w:szCs w:val="24"/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 Antiqua" w:hAnsi="Book Antiqua" w:cs="Book Antiqua"/>
      <w:sz w:val="22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Book Antiqua" w:hAnsi="Book Antiqua" w:cs="Book Antiqua"/>
      <w:sz w:val="22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Predvolenpsmoodseku1">
    <w:name w:val="Predvolené písmo odseku1"/>
    <w:qFormat/>
  </w:style>
  <w:style w:type="character" w:customStyle="1" w:styleId="Nadpis1Char">
    <w:name w:val="Nadpis 1 Char"/>
    <w:qFormat/>
    <w:rPr>
      <w:rFonts w:ascii="Cambria" w:hAnsi="Cambria" w:cs="Cambria"/>
      <w:b/>
      <w:kern w:val="2"/>
      <w:sz w:val="32"/>
    </w:rPr>
  </w:style>
  <w:style w:type="character" w:customStyle="1" w:styleId="Nadpis3Char">
    <w:name w:val="Nadpis 3 Char"/>
    <w:qFormat/>
    <w:rPr>
      <w:rFonts w:ascii="Cambria" w:hAnsi="Cambria" w:cs="Cambria"/>
      <w:b/>
      <w:sz w:val="26"/>
    </w:rPr>
  </w:style>
  <w:style w:type="character" w:customStyle="1" w:styleId="TextbublinyChar">
    <w:name w:val="Text bubliny Char"/>
    <w:qFormat/>
    <w:rPr>
      <w:rFonts w:ascii="Tahoma" w:hAnsi="Tahoma" w:cs="Tahoma"/>
      <w:sz w:val="16"/>
    </w:rPr>
  </w:style>
  <w:style w:type="character" w:customStyle="1" w:styleId="PtaChar">
    <w:name w:val="Päta Char"/>
    <w:qFormat/>
    <w:rPr>
      <w:sz w:val="24"/>
    </w:rPr>
  </w:style>
  <w:style w:type="character" w:styleId="slostrany">
    <w:name w:val="page number"/>
    <w:qFormat/>
  </w:style>
  <w:style w:type="character" w:customStyle="1" w:styleId="HlavikaChar">
    <w:name w:val="Hlavička Char"/>
    <w:qFormat/>
    <w:rPr>
      <w:sz w:val="24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2Char">
    <w:name w:val="Nadpis 2 Char"/>
    <w:qFormat/>
    <w:rPr>
      <w:rFonts w:ascii="Cambria" w:hAnsi="Cambria" w:cs="Cambria"/>
      <w:b/>
      <w:i/>
      <w:sz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ListLabel20">
    <w:name w:val="ListLabel 20"/>
    <w:qFormat/>
    <w:rPr>
      <w:rFonts w:ascii="Book Antiqua" w:hAnsi="Book Antiqua" w:cs="Times New Roman"/>
      <w:sz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355B54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355B54"/>
    <w:rPr>
      <w:lang w:val="sk-SK"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626E5"/>
    <w:rPr>
      <w:b/>
      <w:bCs/>
      <w:lang w:val="sk-SK" w:eastAsia="zh-CN"/>
    </w:rPr>
  </w:style>
  <w:style w:type="character" w:customStyle="1" w:styleId="ListLabel33">
    <w:name w:val="ListLabel 33"/>
    <w:qFormat/>
    <w:rPr>
      <w:rFonts w:cs="Times New Roman"/>
      <w:sz w:val="22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  <w:b/>
      <w:bCs/>
      <w:sz w:val="22"/>
      <w:szCs w:val="22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b/>
      <w:bCs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itulok">
    <w:name w:val="titulok"/>
    <w:basedOn w:val="Normlny"/>
    <w:qFormat/>
    <w:pPr>
      <w:spacing w:before="280" w:after="280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qFormat/>
    <w:pPr>
      <w:spacing w:before="280" w:after="28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rPr>
      <w:b/>
      <w:bCs/>
    </w:rPr>
  </w:style>
  <w:style w:type="paragraph" w:customStyle="1" w:styleId="Obsahrmca">
    <w:name w:val="Obsah rámca"/>
    <w:basedOn w:val="Normlny"/>
    <w:qFormat/>
  </w:style>
  <w:style w:type="paragraph" w:customStyle="1" w:styleId="Normlnywebov1">
    <w:name w:val="Normálny (webový)1"/>
    <w:basedOn w:val="Normlny"/>
    <w:qFormat/>
    <w:pPr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355B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B626E5"/>
    <w:rPr>
      <w:b/>
      <w:bCs/>
    </w:rPr>
  </w:style>
  <w:style w:type="paragraph" w:styleId="Odsekzoznamu">
    <w:name w:val="List Paragraph"/>
    <w:basedOn w:val="Normlny"/>
    <w:uiPriority w:val="34"/>
    <w:qFormat/>
    <w:rsid w:val="00D20058"/>
    <w:pPr>
      <w:suppressAutoHyphens w:val="0"/>
      <w:ind w:left="708"/>
      <w:jc w:val="left"/>
    </w:pPr>
    <w:rPr>
      <w:lang w:eastAsia="sk-SK"/>
    </w:rPr>
  </w:style>
  <w:style w:type="paragraph" w:customStyle="1" w:styleId="Vchodzie">
    <w:name w:val="Vchodzie"/>
    <w:rsid w:val="00D20058"/>
    <w:pPr>
      <w:widowControl w:val="0"/>
      <w:autoSpaceDE w:val="0"/>
      <w:autoSpaceDN w:val="0"/>
      <w:adjustRightInd w:val="0"/>
    </w:pPr>
    <w:rPr>
      <w:kern w:val="1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jc w:val="center"/>
    </w:pPr>
    <w:rPr>
      <w:sz w:val="24"/>
      <w:szCs w:val="24"/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 Antiqua" w:hAnsi="Book Antiqua" w:cs="Book Antiqua"/>
      <w:sz w:val="22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Book Antiqua" w:hAnsi="Book Antiqua" w:cs="Book Antiqua"/>
      <w:sz w:val="22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Predvolenpsmoodseku1">
    <w:name w:val="Predvolené písmo odseku1"/>
    <w:qFormat/>
  </w:style>
  <w:style w:type="character" w:customStyle="1" w:styleId="Nadpis1Char">
    <w:name w:val="Nadpis 1 Char"/>
    <w:qFormat/>
    <w:rPr>
      <w:rFonts w:ascii="Cambria" w:hAnsi="Cambria" w:cs="Cambria"/>
      <w:b/>
      <w:kern w:val="2"/>
      <w:sz w:val="32"/>
    </w:rPr>
  </w:style>
  <w:style w:type="character" w:customStyle="1" w:styleId="Nadpis3Char">
    <w:name w:val="Nadpis 3 Char"/>
    <w:qFormat/>
    <w:rPr>
      <w:rFonts w:ascii="Cambria" w:hAnsi="Cambria" w:cs="Cambria"/>
      <w:b/>
      <w:sz w:val="26"/>
    </w:rPr>
  </w:style>
  <w:style w:type="character" w:customStyle="1" w:styleId="TextbublinyChar">
    <w:name w:val="Text bubliny Char"/>
    <w:qFormat/>
    <w:rPr>
      <w:rFonts w:ascii="Tahoma" w:hAnsi="Tahoma" w:cs="Tahoma"/>
      <w:sz w:val="16"/>
    </w:rPr>
  </w:style>
  <w:style w:type="character" w:customStyle="1" w:styleId="PtaChar">
    <w:name w:val="Päta Char"/>
    <w:qFormat/>
    <w:rPr>
      <w:sz w:val="24"/>
    </w:rPr>
  </w:style>
  <w:style w:type="character" w:styleId="slostrany">
    <w:name w:val="page number"/>
    <w:qFormat/>
  </w:style>
  <w:style w:type="character" w:customStyle="1" w:styleId="HlavikaChar">
    <w:name w:val="Hlavička Char"/>
    <w:qFormat/>
    <w:rPr>
      <w:sz w:val="24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2Char">
    <w:name w:val="Nadpis 2 Char"/>
    <w:qFormat/>
    <w:rPr>
      <w:rFonts w:ascii="Cambria" w:hAnsi="Cambria" w:cs="Cambria"/>
      <w:b/>
      <w:i/>
      <w:sz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ListLabel20">
    <w:name w:val="ListLabel 20"/>
    <w:qFormat/>
    <w:rPr>
      <w:rFonts w:ascii="Book Antiqua" w:hAnsi="Book Antiqua" w:cs="Times New Roman"/>
      <w:sz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355B54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355B54"/>
    <w:rPr>
      <w:lang w:val="sk-SK"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626E5"/>
    <w:rPr>
      <w:b/>
      <w:bCs/>
      <w:lang w:val="sk-SK" w:eastAsia="zh-CN"/>
    </w:rPr>
  </w:style>
  <w:style w:type="character" w:customStyle="1" w:styleId="ListLabel33">
    <w:name w:val="ListLabel 33"/>
    <w:qFormat/>
    <w:rPr>
      <w:rFonts w:cs="Times New Roman"/>
      <w:sz w:val="22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  <w:b/>
      <w:bCs/>
      <w:sz w:val="22"/>
      <w:szCs w:val="22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b/>
      <w:bCs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itulok">
    <w:name w:val="titulok"/>
    <w:basedOn w:val="Normlny"/>
    <w:qFormat/>
    <w:pPr>
      <w:spacing w:before="280" w:after="280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qFormat/>
    <w:pPr>
      <w:spacing w:before="280" w:after="28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rPr>
      <w:b/>
      <w:bCs/>
    </w:rPr>
  </w:style>
  <w:style w:type="paragraph" w:customStyle="1" w:styleId="Obsahrmca">
    <w:name w:val="Obsah rámca"/>
    <w:basedOn w:val="Normlny"/>
    <w:qFormat/>
  </w:style>
  <w:style w:type="paragraph" w:customStyle="1" w:styleId="Normlnywebov1">
    <w:name w:val="Normálny (webový)1"/>
    <w:basedOn w:val="Normlny"/>
    <w:qFormat/>
    <w:pPr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355B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B626E5"/>
    <w:rPr>
      <w:b/>
      <w:bCs/>
    </w:rPr>
  </w:style>
  <w:style w:type="paragraph" w:styleId="Odsekzoznamu">
    <w:name w:val="List Paragraph"/>
    <w:basedOn w:val="Normlny"/>
    <w:uiPriority w:val="34"/>
    <w:qFormat/>
    <w:rsid w:val="00D20058"/>
    <w:pPr>
      <w:suppressAutoHyphens w:val="0"/>
      <w:ind w:left="708"/>
      <w:jc w:val="left"/>
    </w:pPr>
    <w:rPr>
      <w:lang w:eastAsia="sk-SK"/>
    </w:rPr>
  </w:style>
  <w:style w:type="paragraph" w:customStyle="1" w:styleId="Vchodzie">
    <w:name w:val="Vchodzie"/>
    <w:rsid w:val="00D20058"/>
    <w:pPr>
      <w:widowControl w:val="0"/>
      <w:autoSpaceDE w:val="0"/>
      <w:autoSpaceDN w:val="0"/>
      <w:adjustRightInd w:val="0"/>
    </w:pPr>
    <w:rPr>
      <w:kern w:val="1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Kancelaria NR SR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Milan</cp:lastModifiedBy>
  <cp:revision>6</cp:revision>
  <cp:lastPrinted>2013-02-14T11:36:00Z</cp:lastPrinted>
  <dcterms:created xsi:type="dcterms:W3CDTF">2019-08-23T13:36:00Z</dcterms:created>
  <dcterms:modified xsi:type="dcterms:W3CDTF">2019-08-23T13:49:00Z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