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8" w:rsidRDefault="00206A88" w:rsidP="00206A88">
      <w:pPr>
        <w:jc w:val="both"/>
      </w:pPr>
    </w:p>
    <w:p w:rsidR="00206A88" w:rsidRPr="00B918C6" w:rsidRDefault="00206A88" w:rsidP="00206A88">
      <w:pPr>
        <w:jc w:val="center"/>
        <w:rPr>
          <w:b/>
          <w:bCs/>
          <w:sz w:val="28"/>
          <w:szCs w:val="28"/>
        </w:rPr>
      </w:pPr>
      <w:r w:rsidRPr="00B918C6">
        <w:rPr>
          <w:b/>
          <w:bCs/>
          <w:sz w:val="28"/>
          <w:szCs w:val="28"/>
        </w:rPr>
        <w:t xml:space="preserve">Dôvodová správa </w:t>
      </w:r>
    </w:p>
    <w:p w:rsidR="00206A88" w:rsidRPr="00B918C6" w:rsidRDefault="00206A88" w:rsidP="00206A88">
      <w:pPr>
        <w:jc w:val="center"/>
        <w:rPr>
          <w:b/>
          <w:bCs/>
          <w:sz w:val="28"/>
          <w:szCs w:val="28"/>
        </w:rPr>
      </w:pPr>
    </w:p>
    <w:p w:rsidR="00206A88" w:rsidRPr="00B918C6" w:rsidRDefault="00206A88" w:rsidP="00206A88">
      <w:pPr>
        <w:jc w:val="center"/>
        <w:rPr>
          <w:b/>
          <w:bCs/>
          <w:sz w:val="28"/>
          <w:szCs w:val="28"/>
        </w:rPr>
      </w:pPr>
    </w:p>
    <w:p w:rsidR="00206A88" w:rsidRPr="00B918C6" w:rsidRDefault="00206A88" w:rsidP="00206A88">
      <w:pPr>
        <w:jc w:val="both"/>
        <w:rPr>
          <w:b/>
          <w:bCs/>
          <w:u w:val="single"/>
        </w:rPr>
      </w:pPr>
      <w:r w:rsidRPr="00B918C6">
        <w:rPr>
          <w:b/>
          <w:bCs/>
          <w:u w:val="single"/>
        </w:rPr>
        <w:t>Všeobecná časť</w:t>
      </w:r>
    </w:p>
    <w:p w:rsidR="00206A88" w:rsidRDefault="00206A88" w:rsidP="00206A88">
      <w:pPr>
        <w:jc w:val="both"/>
      </w:pPr>
      <w:r>
        <w:tab/>
      </w:r>
    </w:p>
    <w:p w:rsidR="00206A88" w:rsidRDefault="00AB64D2" w:rsidP="00206A88">
      <w:pPr>
        <w:ind w:firstLine="539"/>
        <w:jc w:val="both"/>
      </w:pPr>
      <w:r>
        <w:t xml:space="preserve"> </w:t>
      </w:r>
      <w:r w:rsidR="002D5374">
        <w:t>Účelom navrhovanej novely Trestného zákona (</w:t>
      </w:r>
      <w:r w:rsidR="00F96E95">
        <w:t>ďalej aj „</w:t>
      </w:r>
      <w:r w:rsidR="002D5374">
        <w:t>TZ</w:t>
      </w:r>
      <w:r w:rsidR="00F96E95">
        <w:t>“</w:t>
      </w:r>
      <w:r w:rsidR="002D5374">
        <w:t xml:space="preserve">) je vyčleniť skutkovú podstatu trestného činu podľa § 171 TZ, ktorá sa týka nedovoleného prechovávania </w:t>
      </w:r>
      <w:r w:rsidR="002D5374" w:rsidRPr="002D5374">
        <w:t xml:space="preserve">omamných a psychotropných látok, jedov alebo </w:t>
      </w:r>
      <w:proofErr w:type="spellStart"/>
      <w:r w:rsidR="002D5374" w:rsidRPr="002D5374">
        <w:t>prekurzorov</w:t>
      </w:r>
      <w:proofErr w:type="spellEnd"/>
      <w:r w:rsidR="002D5374" w:rsidRPr="002D5374">
        <w:t xml:space="preserve"> pre vlastnú potrebu</w:t>
      </w:r>
      <w:r w:rsidR="002D5374">
        <w:t xml:space="preserve">, do samostatného trestného činu z doterajšieho trestného činu </w:t>
      </w:r>
      <w:r w:rsidR="002D5374" w:rsidRPr="00925291">
        <w:rPr>
          <w:i/>
        </w:rPr>
        <w:t xml:space="preserve">Nedovolená výroba omamných a psychotropných látok, jedov alebo </w:t>
      </w:r>
      <w:proofErr w:type="spellStart"/>
      <w:r w:rsidR="002D5374" w:rsidRPr="00925291">
        <w:rPr>
          <w:i/>
        </w:rPr>
        <w:t>prekurzorov</w:t>
      </w:r>
      <w:proofErr w:type="spellEnd"/>
      <w:r w:rsidR="002D5374" w:rsidRPr="00925291">
        <w:rPr>
          <w:i/>
        </w:rPr>
        <w:t>, ich držanie a obchodovanie s</w:t>
      </w:r>
      <w:r w:rsidR="002D5374">
        <w:rPr>
          <w:i/>
        </w:rPr>
        <w:t> </w:t>
      </w:r>
      <w:r w:rsidR="002D5374" w:rsidRPr="00925291">
        <w:rPr>
          <w:i/>
        </w:rPr>
        <w:t>nimi</w:t>
      </w:r>
      <w:r w:rsidR="002D5374">
        <w:rPr>
          <w:i/>
        </w:rPr>
        <w:t xml:space="preserve">, </w:t>
      </w:r>
      <w:r w:rsidR="002D5374">
        <w:t xml:space="preserve"> ktorý okrem § 171</w:t>
      </w:r>
      <w:r w:rsidR="00F96E95">
        <w:t xml:space="preserve"> TZ</w:t>
      </w:r>
      <w:r w:rsidR="002D5374">
        <w:t xml:space="preserve"> zahŕňa paragrafy 172 a</w:t>
      </w:r>
      <w:r w:rsidR="00F96E95">
        <w:t> </w:t>
      </w:r>
      <w:r w:rsidR="002D5374">
        <w:t>173</w:t>
      </w:r>
      <w:r w:rsidR="00F96E95">
        <w:t xml:space="preserve"> TZ</w:t>
      </w:r>
      <w:r w:rsidR="002D5374">
        <w:t xml:space="preserve">. </w:t>
      </w:r>
    </w:p>
    <w:p w:rsidR="002D5374" w:rsidRDefault="002D5374" w:rsidP="00206A88">
      <w:pPr>
        <w:ind w:firstLine="539"/>
        <w:jc w:val="both"/>
      </w:pPr>
      <w:r>
        <w:t xml:space="preserve">V § 172 TZ je vymedzená základná skutková podstata trestného činu </w:t>
      </w:r>
      <w:r w:rsidRPr="00925291">
        <w:rPr>
          <w:i/>
        </w:rPr>
        <w:t xml:space="preserve">Nedovolená výroba omamných a psychotropných látok, jedov alebo </w:t>
      </w:r>
      <w:proofErr w:type="spellStart"/>
      <w:r w:rsidRPr="00925291">
        <w:rPr>
          <w:i/>
        </w:rPr>
        <w:t>prekurzorov</w:t>
      </w:r>
      <w:proofErr w:type="spellEnd"/>
      <w:r w:rsidRPr="00925291">
        <w:rPr>
          <w:i/>
        </w:rPr>
        <w:t>, ich držanie a obchodovanie s</w:t>
      </w:r>
      <w:r>
        <w:rPr>
          <w:i/>
        </w:rPr>
        <w:t> </w:t>
      </w:r>
      <w:r w:rsidRPr="00925291">
        <w:rPr>
          <w:i/>
        </w:rPr>
        <w:t>nimi</w:t>
      </w:r>
      <w:r>
        <w:t xml:space="preserve">. Toto ustanovenie postihuje neoprávnenú výrobu, dovoz, vývoz, prevoz, danie na prepravu, kúpu, predaj, výmenu, zadováženie a prechovávanie po akúkoľvek dobu uvedených látok pre potreby iných. Ustanovenie § 172 TZ má </w:t>
      </w:r>
      <w:r w:rsidR="00F96E95">
        <w:t xml:space="preserve">teda </w:t>
      </w:r>
      <w:r>
        <w:t xml:space="preserve">postihovať závažnejšie formy drogovej trestnej činnosti – </w:t>
      </w:r>
      <w:r w:rsidR="00DE26AC">
        <w:t xml:space="preserve">konanie </w:t>
      </w:r>
      <w:r>
        <w:t xml:space="preserve">výrobcov, pašerákov a dealerov drog. </w:t>
      </w:r>
    </w:p>
    <w:p w:rsidR="002D5374" w:rsidRDefault="002D5374" w:rsidP="00206A88">
      <w:pPr>
        <w:ind w:firstLine="539"/>
        <w:jc w:val="both"/>
      </w:pPr>
      <w:r>
        <w:t xml:space="preserve">Ustanovenie § 171 </w:t>
      </w:r>
      <w:r w:rsidR="00F96E95">
        <w:t xml:space="preserve">TZ </w:t>
      </w:r>
      <w:r>
        <w:t>predstavuje tzv. privilegovanú skutkovú podstatu</w:t>
      </w:r>
      <w:r w:rsidR="00F96E95">
        <w:t xml:space="preserve"> trestného činu</w:t>
      </w:r>
      <w:r>
        <w:t xml:space="preserve">, ktorá má postihovať menej závažné formy konania v porovnaní so základnou skutkovou podstatou </w:t>
      </w:r>
      <w:r w:rsidR="00DE26AC">
        <w:t xml:space="preserve">tohto trestného činu </w:t>
      </w:r>
      <w:r>
        <w:t>(§ 172</w:t>
      </w:r>
      <w:r w:rsidR="00F96E95">
        <w:t xml:space="preserve"> TZ</w:t>
      </w:r>
      <w:r>
        <w:t xml:space="preserve">) a stanovuje za jej spáchanie menej prísne tresty. </w:t>
      </w:r>
      <w:r w:rsidR="00DE26AC">
        <w:t>Skutková podstata trestného činu podľa § 171</w:t>
      </w:r>
      <w:r w:rsidR="00F96E95">
        <w:t xml:space="preserve"> TZ</w:t>
      </w:r>
      <w:r w:rsidR="00DE26AC">
        <w:t xml:space="preserve"> sa týka užívateľov drog, ktorí ich prechovávajú pre vlastnú potrebu. </w:t>
      </w:r>
    </w:p>
    <w:p w:rsidR="00DE26AC" w:rsidRDefault="00DE26AC" w:rsidP="00206A88">
      <w:pPr>
        <w:ind w:firstLine="539"/>
        <w:jc w:val="both"/>
      </w:pPr>
      <w:r>
        <w:t xml:space="preserve">Samostatne vymedzená skutková podstata trestného činu podľa § 173 TZ sa týka výroby, zadováženia a prechovávania </w:t>
      </w:r>
      <w:r w:rsidRPr="00DE26AC">
        <w:t>predmet</w:t>
      </w:r>
      <w:r>
        <w:t>u určeného</w:t>
      </w:r>
      <w:r w:rsidRPr="00DE26AC">
        <w:t xml:space="preserve"> na nedovolenú výrobu omamnej látky, psychot</w:t>
      </w:r>
      <w:r w:rsidR="00F96E95">
        <w:t xml:space="preserve">ropnej látky, jedu a </w:t>
      </w:r>
      <w:proofErr w:type="spellStart"/>
      <w:r w:rsidR="00F96E95">
        <w:t>prekurzora</w:t>
      </w:r>
      <w:proofErr w:type="spellEnd"/>
      <w:r>
        <w:t xml:space="preserve">. </w:t>
      </w:r>
    </w:p>
    <w:p w:rsidR="00DE26AC" w:rsidRPr="00F96E95" w:rsidRDefault="00DE26AC" w:rsidP="00206A88">
      <w:pPr>
        <w:ind w:firstLine="539"/>
        <w:jc w:val="both"/>
      </w:pPr>
      <w:r>
        <w:t>Zámerom zákonodarcu pri schvaľovaní Trestného zákona bolo odlíšiť postihovanie užívateľov drog od postihovania ich výrobcov, pašerákov a dealerov. Urobil to prostredníctvom rozlíšenia skutkových podstát do rôznych paragrafov</w:t>
      </w:r>
      <w:r w:rsidR="00F96E95">
        <w:t xml:space="preserve"> TZ</w:t>
      </w:r>
      <w:r>
        <w:t xml:space="preserve">, ktoré však zahrnul pod jeden spoločne nazvaný trestný čin </w:t>
      </w:r>
      <w:r w:rsidRPr="00925291">
        <w:rPr>
          <w:i/>
        </w:rPr>
        <w:t xml:space="preserve">Nedovolená výroba omamných a psychotropných látok, jedov alebo </w:t>
      </w:r>
      <w:proofErr w:type="spellStart"/>
      <w:r w:rsidRPr="00925291">
        <w:rPr>
          <w:i/>
        </w:rPr>
        <w:t>prekurzorov</w:t>
      </w:r>
      <w:proofErr w:type="spellEnd"/>
      <w:r w:rsidRPr="00925291">
        <w:rPr>
          <w:i/>
        </w:rPr>
        <w:t>, ich držanie a obchodovanie s</w:t>
      </w:r>
      <w:r>
        <w:rPr>
          <w:i/>
        </w:rPr>
        <w:t> </w:t>
      </w:r>
      <w:r w:rsidRPr="00925291">
        <w:rPr>
          <w:i/>
        </w:rPr>
        <w:t>nimi</w:t>
      </w:r>
      <w:r>
        <w:rPr>
          <w:i/>
        </w:rPr>
        <w:t>.</w:t>
      </w:r>
      <w:r w:rsidR="00F96E95">
        <w:t xml:space="preserve"> </w:t>
      </w:r>
    </w:p>
    <w:p w:rsidR="00DE26AC" w:rsidRDefault="00DE26AC" w:rsidP="00206A88">
      <w:pPr>
        <w:ind w:firstLine="539"/>
        <w:jc w:val="both"/>
      </w:pPr>
      <w:r>
        <w:t xml:space="preserve">Predkladatelia návrhu zákona sa domnievajú, že toto rozlíšenie by malo byť ešte dôslednejšie a nedovolené prechovávanie </w:t>
      </w:r>
      <w:r w:rsidR="00AE5A54">
        <w:t xml:space="preserve">drog </w:t>
      </w:r>
      <w:r>
        <w:t xml:space="preserve">pre vlastnú potrebu by malo byť vyčlenené do samostatného trestného činu s vlastným označením. Preto navrhujú, aby sa trestný čin </w:t>
      </w:r>
      <w:r w:rsidRPr="00925291">
        <w:rPr>
          <w:i/>
        </w:rPr>
        <w:t xml:space="preserve">Nedovolená výroba omamných a psychotropných látok, jedov alebo </w:t>
      </w:r>
      <w:proofErr w:type="spellStart"/>
      <w:r w:rsidRPr="00925291">
        <w:rPr>
          <w:i/>
        </w:rPr>
        <w:t>prekurzorov</w:t>
      </w:r>
      <w:proofErr w:type="spellEnd"/>
      <w:r w:rsidRPr="00925291">
        <w:rPr>
          <w:i/>
        </w:rPr>
        <w:t>, ich držanie a obchodovanie s</w:t>
      </w:r>
      <w:r w:rsidR="00656504">
        <w:rPr>
          <w:i/>
        </w:rPr>
        <w:t> </w:t>
      </w:r>
      <w:r w:rsidRPr="00925291">
        <w:rPr>
          <w:i/>
        </w:rPr>
        <w:t>nimi</w:t>
      </w:r>
      <w:r w:rsidR="00656504">
        <w:t xml:space="preserve"> zúžil na paragrafy 172 a 173 </w:t>
      </w:r>
      <w:r w:rsidR="00991576">
        <w:t xml:space="preserve">TZ </w:t>
      </w:r>
      <w:r w:rsidR="00656504">
        <w:t xml:space="preserve">a aby sa § 171 </w:t>
      </w:r>
      <w:r w:rsidR="00991576">
        <w:t xml:space="preserve">TZ </w:t>
      </w:r>
      <w:r w:rsidR="00656504">
        <w:t xml:space="preserve">vyčlenil ako samostatný trestný čin </w:t>
      </w:r>
      <w:r w:rsidR="00656504" w:rsidRPr="00925291">
        <w:rPr>
          <w:i/>
        </w:rPr>
        <w:t xml:space="preserve">Nedovolené prechovávanie omamných a psychotropných látok, jedov alebo </w:t>
      </w:r>
      <w:proofErr w:type="spellStart"/>
      <w:r w:rsidR="00656504" w:rsidRPr="00925291">
        <w:rPr>
          <w:i/>
        </w:rPr>
        <w:t>prekurzorov</w:t>
      </w:r>
      <w:proofErr w:type="spellEnd"/>
      <w:r w:rsidR="00656504" w:rsidRPr="00925291">
        <w:rPr>
          <w:i/>
        </w:rPr>
        <w:t xml:space="preserve"> pre vlastnú potrebu</w:t>
      </w:r>
      <w:r w:rsidR="00656504">
        <w:t>. Uvedená zmena sa týka výlučne len označenia trestného činu podľa § 171</w:t>
      </w:r>
      <w:r w:rsidR="00991576">
        <w:t xml:space="preserve"> TZ</w:t>
      </w:r>
      <w:r w:rsidR="00656504">
        <w:t xml:space="preserve"> – nijako nezasahuje do obsahového vymedzenia skutkových podstát, ani do výšky trestov pri žiadnom z troch dotknutých paragrafov.  </w:t>
      </w:r>
    </w:p>
    <w:p w:rsidR="00690C2A" w:rsidRDefault="00BE01BD" w:rsidP="008C5A44">
      <w:pPr>
        <w:ind w:firstLine="539"/>
        <w:jc w:val="both"/>
      </w:pPr>
      <w:r>
        <w:t xml:space="preserve">Okrem jasnejšieho rozlišovania medzi postihovaním užívateľov drog na jednej </w:t>
      </w:r>
      <w:r w:rsidR="008C5A44">
        <w:t>strane</w:t>
      </w:r>
      <w:r>
        <w:t xml:space="preserve"> a postihovaním výrobcov, pašerákov a dealerov na stran</w:t>
      </w:r>
      <w:r w:rsidR="00530A73">
        <w:t xml:space="preserve">e druhej, návrh zákona reaguje aj na </w:t>
      </w:r>
      <w:r w:rsidR="008C5A44">
        <w:t xml:space="preserve">v júni schválenú </w:t>
      </w:r>
      <w:r w:rsidR="00530A73">
        <w:t xml:space="preserve">novelu zákona </w:t>
      </w:r>
      <w:r w:rsidR="008C5A44">
        <w:t>č. 138/2019 Z. z. o pedagogických zamestnancoch a odborných zamestnancoch (zákon č. 209/2019</w:t>
      </w:r>
      <w:r w:rsidR="00991576">
        <w:t xml:space="preserve"> Z. z.</w:t>
      </w:r>
      <w:r w:rsidR="008C5A44">
        <w:t>), ktorou sa upravila definícia bezúhonnosti ako predpokladu na výkon pracovnej činnosti pedagogického zamestnanca a odborného zamestnanca. Podľa doterajšej právnej úpravy sa bezúhonnosť preukazovala výpisom z registra trestov. Júnovou novelou bolo do zákona o pedagogických zamestnancoch a odborných zamestnancoch dop</w:t>
      </w:r>
      <w:r w:rsidR="00AE5A54">
        <w:t>lnené ustanovenie, podľa ktorého</w:t>
      </w:r>
      <w:r w:rsidR="008C5A44">
        <w:t xml:space="preserve"> sa bezúhonnosť preukazuje odpisom z registra trestov, ktorý obsahuje aj informáciu o zahladených trestných činoch. Pri obzvlášť závažných zločinoch a ďalších v zákone vymenovaných trestných činoch sa za </w:t>
      </w:r>
      <w:r w:rsidR="008C5A44">
        <w:lastRenderedPageBreak/>
        <w:t xml:space="preserve">bezúhonného </w:t>
      </w:r>
      <w:r w:rsidR="00991576">
        <w:t>nebude</w:t>
      </w:r>
      <w:r w:rsidR="008C5A44" w:rsidRPr="008C5A44">
        <w:t xml:space="preserve"> </w:t>
      </w:r>
      <w:r w:rsidR="008C5A44">
        <w:t>považovať</w:t>
      </w:r>
      <w:r w:rsidR="008C5A44" w:rsidRPr="008C5A44">
        <w:t xml:space="preserve"> ani ten, komu bolo odsúdenie za taký trestný čin zahladené alebo na ktorého sa hľadí, ako keby nebol za taký trestný čin odsúdený</w:t>
      </w:r>
      <w:r w:rsidR="008C5A44">
        <w:t xml:space="preserve">. </w:t>
      </w:r>
    </w:p>
    <w:p w:rsidR="00D77A9C" w:rsidRDefault="008C5A44" w:rsidP="008C5A44">
      <w:pPr>
        <w:ind w:firstLine="539"/>
        <w:jc w:val="both"/>
      </w:pPr>
      <w:r>
        <w:t>Uvedená novela bola reakciou na informácie o prípadoch sexuálneho zneužívania a ohrozovania žiakov pedagógmi, ktorí pritom boli v minulosti za podobné trestné činy odsúdení, ale trest im bol zahladený. Z hľadiska uvedeného zámeru chrániť deti pred sexuálnymi predátormi je preto úplne legitímne, že sa v zozname trestných činov</w:t>
      </w:r>
      <w:r w:rsidR="00D77A9C">
        <w:t xml:space="preserve">, pri ktorých sa má uplatňovať nulová tolerancia bez prihliadania na zahladenie trestného činu, nachádzajú trestné činy súvisiace so sexuálnym alebo iným násilím a podobné trestné činy ako </w:t>
      </w:r>
      <w:r w:rsidR="00D77A9C" w:rsidRPr="008C5A44">
        <w:t>trestný čin znásilnenia, trestný čin sexuálneho násilia, trestný čin sexuálneho zneužívania, trestný čin súlože medzi príbuznými, trestný čin opustenia dieťaťa, trestný čin zanedbania povinnej výživy, trestný čin týrania blízkej osoby a zverenej osoby, trestný čin ohrozovania mravnej výchovy mládeže,</w:t>
      </w:r>
      <w:r w:rsidR="00D77A9C" w:rsidRPr="00D77A9C">
        <w:t xml:space="preserve"> </w:t>
      </w:r>
      <w:r w:rsidR="00D77A9C" w:rsidRPr="008C5A44">
        <w:t>trestný čin výroby detskej pornografie, trestný čin rozširovania detskej pornografie, trestný čin prechovávania detskej pornografie a účasť na detskom pornografickom predstavení a trestný čin ohrozovania mravnosti</w:t>
      </w:r>
      <w:r w:rsidR="00D77A9C">
        <w:t xml:space="preserve">. </w:t>
      </w:r>
    </w:p>
    <w:p w:rsidR="008C5A44" w:rsidRDefault="00D77A9C" w:rsidP="008C5A44">
      <w:pPr>
        <w:ind w:firstLine="539"/>
        <w:jc w:val="both"/>
      </w:pPr>
      <w:r>
        <w:t xml:space="preserve">Okrem týchto trestných činov boli do uvedeného ustanovenia zákona o pedagogických zamestnancoch a odborných zamestnancoch doplnené aj trestné činy korupcie a </w:t>
      </w:r>
      <w:r w:rsidR="008C5A44" w:rsidRPr="008C5A44">
        <w:t xml:space="preserve">trestný čin nedovolenej výroby omamných a psychotropných látok, jedov alebo </w:t>
      </w:r>
      <w:proofErr w:type="spellStart"/>
      <w:r w:rsidR="008C5A44" w:rsidRPr="008C5A44">
        <w:t>prekurzorov</w:t>
      </w:r>
      <w:proofErr w:type="spellEnd"/>
      <w:r w:rsidR="008C5A44" w:rsidRPr="008C5A44">
        <w:t>, ich držanie a o</w:t>
      </w:r>
      <w:r>
        <w:t>bchodovanie s nimi, ktoré priamo nesúvisia s možným sexuálnym ohrozovaním detí. Vo</w:t>
      </w:r>
      <w:r w:rsidR="00AE5A54">
        <w:t xml:space="preserve"> vzťahu k ustanoveniu paragrafov</w:t>
      </w:r>
      <w:r>
        <w:t xml:space="preserve"> 172 a 173 Trestného zákona sleduje zaradenie trestného činu </w:t>
      </w:r>
      <w:r w:rsidRPr="008C5A44">
        <w:t xml:space="preserve">nedovolenej výroby omamných a psychotropných látok, jedov alebo </w:t>
      </w:r>
      <w:proofErr w:type="spellStart"/>
      <w:r w:rsidRPr="008C5A44">
        <w:t>prekurzorov</w:t>
      </w:r>
      <w:proofErr w:type="spellEnd"/>
      <w:r>
        <w:t xml:space="preserve"> legitímny cieľ chrániť deti pred drogovými dealermi a drogami. Vo vzťahu k skutkovej podstate trestného činu vymedzenej v § 171 TZ sa však javí ako neprimerane prísne, že človek, ktorý bol v minulosti užívateľom drog, bol prichytený s malým množstvom drogy pre vlastnú potrebu, bol za to odsúdený a hoci odvtedy viedol riadny život a trest mu bol zahladený</w:t>
      </w:r>
      <w:r w:rsidR="006319F6">
        <w:t xml:space="preserve"> alebo sa na neho hľadí, ako keby za tento trestný čin nebol odsúdený</w:t>
      </w:r>
      <w:r>
        <w:t xml:space="preserve">, už nikdy nebude môcť vykonávať prácu pedagogického zamestnanca alebo odborného zamestnanca. Bezúhonnosť vrátane nespáchania trestného činu podľa § 171 TZ budú pritom musieť preukazovať nielen nastupujúci pedagogickí a odborní zamestnanci, ale aj </w:t>
      </w:r>
      <w:r w:rsidR="006319F6">
        <w:t xml:space="preserve">všetci </w:t>
      </w:r>
      <w:r>
        <w:t xml:space="preserve">tí, ktorí sú nimi už dnes. </w:t>
      </w:r>
    </w:p>
    <w:p w:rsidR="00D77A9C" w:rsidRPr="00C3062E" w:rsidRDefault="00D77A9C" w:rsidP="008C5A44">
      <w:pPr>
        <w:ind w:firstLine="539"/>
        <w:jc w:val="both"/>
      </w:pPr>
      <w:r>
        <w:t xml:space="preserve">Vyčlenením § 171 TZ z trestného činu </w:t>
      </w:r>
      <w:r w:rsidRPr="008C5A44">
        <w:t xml:space="preserve">nedovolenej výroby omamných a psychotropných látok, jedov alebo </w:t>
      </w:r>
      <w:proofErr w:type="spellStart"/>
      <w:r w:rsidRPr="008C5A44">
        <w:t>prekurzorov</w:t>
      </w:r>
      <w:proofErr w:type="spellEnd"/>
      <w:r w:rsidRPr="008C5A44">
        <w:t>, ich držanie a o</w:t>
      </w:r>
      <w:r>
        <w:t>bchodovanie s</w:t>
      </w:r>
      <w:r w:rsidR="00C3062E">
        <w:t> </w:t>
      </w:r>
      <w:r>
        <w:t>nimi</w:t>
      </w:r>
      <w:r w:rsidR="00C3062E">
        <w:t xml:space="preserve"> do samostatného trestného činu </w:t>
      </w:r>
      <w:r w:rsidR="00C3062E" w:rsidRPr="00925291">
        <w:rPr>
          <w:i/>
        </w:rPr>
        <w:t xml:space="preserve">Nedovolené prechovávanie omamných a psychotropných látok, jedov alebo </w:t>
      </w:r>
      <w:proofErr w:type="spellStart"/>
      <w:r w:rsidR="00C3062E" w:rsidRPr="00925291">
        <w:rPr>
          <w:i/>
        </w:rPr>
        <w:t>prekurzorov</w:t>
      </w:r>
      <w:proofErr w:type="spellEnd"/>
      <w:r w:rsidR="00C3062E" w:rsidRPr="00925291">
        <w:rPr>
          <w:i/>
        </w:rPr>
        <w:t xml:space="preserve"> pre vlastnú potrebu</w:t>
      </w:r>
      <w:r w:rsidR="00C3062E">
        <w:rPr>
          <w:i/>
        </w:rPr>
        <w:t xml:space="preserve"> </w:t>
      </w:r>
      <w:r w:rsidR="00C3062E">
        <w:t xml:space="preserve">by sa tak zároveň eliminovala neprimeraná tvrdosť dopadov júnovej novely zákona o pedagogických zamestnancoch a odborných zamestnancoch na ľudí, ktorí boli v minulosti potrestaní za prechovávanie drog pre vlastnú potrebu. Keďže by ustanovenie § 171 </w:t>
      </w:r>
      <w:r w:rsidR="006319F6">
        <w:t xml:space="preserve">TZ </w:t>
      </w:r>
      <w:r w:rsidR="00C3062E">
        <w:t xml:space="preserve">nebolo súčasťou trestného činu </w:t>
      </w:r>
      <w:r w:rsidR="00C3062E" w:rsidRPr="00925291">
        <w:rPr>
          <w:i/>
        </w:rPr>
        <w:t xml:space="preserve">Nedovolené prechovávanie omamných a psychotropných látok, jedov alebo </w:t>
      </w:r>
      <w:proofErr w:type="spellStart"/>
      <w:r w:rsidR="00C3062E" w:rsidRPr="00925291">
        <w:rPr>
          <w:i/>
        </w:rPr>
        <w:t>prekurzorov</w:t>
      </w:r>
      <w:proofErr w:type="spellEnd"/>
      <w:r w:rsidR="00C3062E" w:rsidRPr="00925291">
        <w:rPr>
          <w:i/>
        </w:rPr>
        <w:t xml:space="preserve"> pre vlastnú potrebu</w:t>
      </w:r>
      <w:r w:rsidR="00C3062E">
        <w:rPr>
          <w:i/>
        </w:rPr>
        <w:t xml:space="preserve">, </w:t>
      </w:r>
      <w:r w:rsidR="00C3062E">
        <w:t>ale iného</w:t>
      </w:r>
      <w:r w:rsidR="006319F6">
        <w:t>,</w:t>
      </w:r>
      <w:r w:rsidR="00C3062E">
        <w:t xml:space="preserve"> samostatného trestného činu, </w:t>
      </w:r>
      <w:r w:rsidR="00FE4387">
        <w:t>prihliadalo by sa u nich na prípadné zahladenie trestného činu a spáchanie deliktu vo forme prechovávania drog pre vlastnú potrebu by pre nich nepredstavovalo doživotnú prekážku výkonu pedagogického povolania.</w:t>
      </w:r>
    </w:p>
    <w:p w:rsidR="00206A88" w:rsidRPr="00096943" w:rsidRDefault="00206A88" w:rsidP="00206A88">
      <w:pPr>
        <w:ind w:firstLine="539"/>
        <w:jc w:val="both"/>
        <w:rPr>
          <w:highlight w:val="yellow"/>
        </w:rPr>
      </w:pPr>
    </w:p>
    <w:p w:rsidR="00206A88" w:rsidRPr="00D142B6" w:rsidRDefault="00206A88" w:rsidP="00206A88">
      <w:pPr>
        <w:ind w:firstLine="539"/>
        <w:jc w:val="both"/>
      </w:pPr>
      <w:r w:rsidRPr="00D142B6">
        <w:t>Návrh zákona nebude mať priamy dopad na verejné rozpočty, neprináša nárok na pracovné sily a nemá vplyv na zamestnanosť a tvorbu pracovných miest, na životné prostredie</w:t>
      </w:r>
      <w:r>
        <w:t>, na podnikateľské prostredie, nebude mať ani vplyv na manželstvo, rodičovstvo a rodinu a ani sociálne vplyvy</w:t>
      </w:r>
      <w:r w:rsidRPr="00D142B6">
        <w:t xml:space="preserve">. </w:t>
      </w:r>
    </w:p>
    <w:p w:rsidR="00206A88" w:rsidRPr="00D142B6" w:rsidRDefault="00206A88" w:rsidP="00206A88">
      <w:pPr>
        <w:pStyle w:val="Zkladntext2"/>
        <w:ind w:firstLine="539"/>
        <w:jc w:val="both"/>
        <w:rPr>
          <w:rFonts w:eastAsia="MS Mincho"/>
        </w:rPr>
      </w:pPr>
    </w:p>
    <w:p w:rsidR="00206A88" w:rsidRPr="009005AE" w:rsidRDefault="00206A88" w:rsidP="00206A88">
      <w:pPr>
        <w:pStyle w:val="Zkladntext2"/>
        <w:ind w:firstLine="539"/>
        <w:jc w:val="both"/>
        <w:rPr>
          <w:rFonts w:eastAsia="MS Mincho"/>
        </w:rPr>
      </w:pPr>
      <w:r w:rsidRPr="00D142B6">
        <w:rPr>
          <w:rFonts w:eastAsia="MS Mincho"/>
        </w:rPr>
        <w:tab/>
        <w:t>Návrh zákona je v  súlade s  Ústavou Slovenskej republiky, jej zákonmi a medzinárodnými zmluvami, ktorými je Slovenská republika viazaná.</w:t>
      </w:r>
      <w:r w:rsidRPr="009005AE">
        <w:rPr>
          <w:rFonts w:eastAsia="MS Mincho"/>
        </w:rPr>
        <w:t xml:space="preserve"> </w:t>
      </w:r>
    </w:p>
    <w:p w:rsidR="00206A88" w:rsidRPr="00B918C6" w:rsidRDefault="00206A88" w:rsidP="00206A88">
      <w:pPr>
        <w:jc w:val="both"/>
        <w:rPr>
          <w:b/>
          <w:bCs/>
        </w:rPr>
      </w:pPr>
      <w:r w:rsidRPr="009005AE">
        <w:br w:type="page"/>
      </w:r>
    </w:p>
    <w:p w:rsidR="00206A88" w:rsidRPr="00B918C6" w:rsidRDefault="00206A88" w:rsidP="00206A88">
      <w:pPr>
        <w:jc w:val="center"/>
        <w:rPr>
          <w:b/>
          <w:bCs/>
        </w:rPr>
      </w:pPr>
      <w:r w:rsidRPr="00B918C6">
        <w:rPr>
          <w:b/>
          <w:bCs/>
        </w:rPr>
        <w:lastRenderedPageBreak/>
        <w:t>DOLOŽKA  ZLUČITEĽNOSTI</w:t>
      </w:r>
    </w:p>
    <w:p w:rsidR="00206A88" w:rsidRPr="00B918C6" w:rsidRDefault="00206A88" w:rsidP="00206A88">
      <w:pPr>
        <w:jc w:val="center"/>
        <w:rPr>
          <w:b/>
          <w:bCs/>
        </w:rPr>
      </w:pPr>
      <w:r w:rsidRPr="00B918C6">
        <w:rPr>
          <w:b/>
          <w:bCs/>
        </w:rPr>
        <w:t>právneho predpisu s právom Európskej únie</w:t>
      </w:r>
    </w:p>
    <w:p w:rsidR="00206A88" w:rsidRPr="00B918C6" w:rsidRDefault="00206A88" w:rsidP="00206A88">
      <w:pPr>
        <w:jc w:val="center"/>
      </w:pPr>
    </w:p>
    <w:p w:rsidR="00206A88" w:rsidRPr="00B918C6" w:rsidRDefault="00206A88" w:rsidP="00206A88">
      <w:pPr>
        <w:jc w:val="both"/>
      </w:pPr>
      <w:r w:rsidRPr="00B918C6">
        <w:rPr>
          <w:b/>
        </w:rPr>
        <w:t>1. Predkladateľ návrhu právneho predpisu:</w:t>
      </w:r>
      <w:r w:rsidRPr="00B918C6">
        <w:t xml:space="preserve"> </w:t>
      </w:r>
      <w:r>
        <w:t>poslanci</w:t>
      </w:r>
      <w:r w:rsidRPr="00B918C6">
        <w:t xml:space="preserve"> Národnej rady Slovenskej republiky </w:t>
      </w:r>
      <w:r>
        <w:t>Ondrej Dostál, Natália Blahová</w:t>
      </w:r>
      <w:r w:rsidR="00AB64D2">
        <w:t xml:space="preserve">, Zuzana </w:t>
      </w:r>
      <w:proofErr w:type="spellStart"/>
      <w:r w:rsidR="00AB64D2">
        <w:t>Zimenová</w:t>
      </w:r>
      <w:proofErr w:type="spellEnd"/>
      <w:r>
        <w:t xml:space="preserve"> a Peter Osuský.</w:t>
      </w:r>
    </w:p>
    <w:p w:rsidR="00206A88" w:rsidRPr="00B918C6" w:rsidRDefault="00206A88" w:rsidP="00206A88">
      <w:pPr>
        <w:jc w:val="both"/>
      </w:pPr>
    </w:p>
    <w:p w:rsidR="00206A88" w:rsidRPr="00B918C6" w:rsidRDefault="00206A88" w:rsidP="00206A88">
      <w:pPr>
        <w:jc w:val="both"/>
      </w:pPr>
      <w:r w:rsidRPr="00B918C6">
        <w:rPr>
          <w:b/>
        </w:rPr>
        <w:t>2. Názov návrhu právneho predpisu:</w:t>
      </w:r>
      <w:r w:rsidRPr="00B918C6">
        <w:t xml:space="preserve"> Návrh zákona, </w:t>
      </w:r>
      <w:r w:rsidR="00AB64D2">
        <w:t>ktorým sa mení a dopĺňa zákon č. 300/2005 Z. z. Trestný zákon v znení neskorších predpisov</w:t>
      </w:r>
      <w:r>
        <w:t>.</w:t>
      </w:r>
      <w:r w:rsidRPr="00B918C6">
        <w:t xml:space="preserve"> </w:t>
      </w:r>
    </w:p>
    <w:p w:rsidR="00206A88" w:rsidRPr="00B918C6" w:rsidRDefault="00206A88" w:rsidP="00206A88">
      <w:pPr>
        <w:jc w:val="both"/>
      </w:pPr>
    </w:p>
    <w:p w:rsidR="00206A88" w:rsidRPr="00B918C6" w:rsidRDefault="00206A88" w:rsidP="00206A88">
      <w:pPr>
        <w:jc w:val="both"/>
        <w:rPr>
          <w:b/>
        </w:rPr>
      </w:pPr>
      <w:r w:rsidRPr="00B918C6">
        <w:rPr>
          <w:b/>
        </w:rPr>
        <w:t>3. Problematika návrhu právneho predpisu:</w:t>
      </w:r>
    </w:p>
    <w:p w:rsidR="00206A88" w:rsidRPr="00B918C6" w:rsidRDefault="00206A88" w:rsidP="00206A88">
      <w:pPr>
        <w:pStyle w:val="listparagraph"/>
        <w:numPr>
          <w:ilvl w:val="1"/>
          <w:numId w:val="1"/>
        </w:numPr>
        <w:ind w:left="360"/>
        <w:jc w:val="both"/>
      </w:pPr>
      <w:r w:rsidRPr="00B918C6">
        <w:t xml:space="preserve">nie je </w:t>
      </w:r>
      <w:r w:rsidR="00AE5A54">
        <w:t xml:space="preserve">upravená v práve Európskej únie, </w:t>
      </w:r>
    </w:p>
    <w:p w:rsidR="00206A88" w:rsidRPr="00B918C6" w:rsidRDefault="00206A88" w:rsidP="00206A88">
      <w:pPr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B918C6">
        <w:t>nie je obsiahnutá v judikatúre Súdneho dvora Európskej únie.</w:t>
      </w:r>
    </w:p>
    <w:p w:rsidR="00206A88" w:rsidRPr="00B918C6" w:rsidRDefault="00206A88" w:rsidP="00206A88">
      <w:pPr>
        <w:ind w:firstLine="360"/>
        <w:jc w:val="both"/>
        <w:rPr>
          <w:b/>
          <w:bCs/>
        </w:rPr>
      </w:pPr>
      <w:r w:rsidRPr="00B918C6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206A88" w:rsidRPr="00B918C6" w:rsidRDefault="00206A88" w:rsidP="00206A88">
      <w:pPr>
        <w:pStyle w:val="Normlnywebov"/>
        <w:spacing w:before="0" w:beforeAutospacing="0" w:after="0" w:afterAutospacing="0"/>
        <w:ind w:right="-108"/>
        <w:jc w:val="center"/>
        <w:rPr>
          <w:b/>
          <w:bCs/>
          <w:highlight w:val="yellow"/>
        </w:rPr>
      </w:pPr>
    </w:p>
    <w:p w:rsidR="00206A88" w:rsidRPr="00B918C6" w:rsidRDefault="00206A88" w:rsidP="00206A88">
      <w:pPr>
        <w:pStyle w:val="Normlnywebov"/>
        <w:spacing w:before="0" w:beforeAutospacing="0" w:after="0" w:afterAutospacing="0"/>
        <w:ind w:right="-108"/>
        <w:jc w:val="center"/>
      </w:pPr>
      <w:r w:rsidRPr="00B918C6">
        <w:rPr>
          <w:b/>
          <w:bCs/>
        </w:rPr>
        <w:t>DOLOŽKA VYBRANÝCH VPLYVOV</w:t>
      </w:r>
    </w:p>
    <w:p w:rsidR="00206A88" w:rsidRPr="00B918C6" w:rsidRDefault="00206A88" w:rsidP="00206A88">
      <w:pPr>
        <w:rPr>
          <w:b/>
          <w:bCs/>
        </w:rPr>
      </w:pPr>
      <w:r w:rsidRPr="00B918C6">
        <w:rPr>
          <w:b/>
          <w:bCs/>
        </w:rPr>
        <w:t xml:space="preserve">A.1. Názov materiálu: </w:t>
      </w:r>
    </w:p>
    <w:p w:rsidR="00206A88" w:rsidRPr="00B918C6" w:rsidRDefault="00206A88" w:rsidP="00206A88">
      <w:pPr>
        <w:pStyle w:val="Normlnywebov"/>
        <w:spacing w:before="0" w:beforeAutospacing="0" w:after="0" w:afterAutospacing="0"/>
        <w:jc w:val="both"/>
      </w:pPr>
      <w:r w:rsidRPr="00B918C6">
        <w:t xml:space="preserve">Návrh zákona, </w:t>
      </w:r>
      <w:r w:rsidRPr="000745E1">
        <w:t xml:space="preserve">ktorým </w:t>
      </w:r>
      <w:r w:rsidR="00AB64D2">
        <w:t>sa mení a dopĺňa zákon č. 300/2005 Z. z. Trestný zákon v znení neskorších predpisov</w:t>
      </w:r>
      <w:r>
        <w:t>.</w:t>
      </w:r>
      <w:r w:rsidRPr="000745E1">
        <w:t xml:space="preserve"> </w:t>
      </w:r>
    </w:p>
    <w:p w:rsidR="00206A88" w:rsidRPr="00B918C6" w:rsidRDefault="00206A88" w:rsidP="00206A88">
      <w:pPr>
        <w:pStyle w:val="Normlnywebov"/>
        <w:spacing w:before="0" w:beforeAutospacing="0" w:after="0" w:afterAutospacing="0"/>
        <w:rPr>
          <w:b/>
          <w:bCs/>
        </w:rPr>
      </w:pPr>
    </w:p>
    <w:p w:rsidR="00206A88" w:rsidRPr="00B918C6" w:rsidRDefault="00206A88" w:rsidP="00206A88">
      <w:pPr>
        <w:pStyle w:val="Normlnywebov"/>
        <w:spacing w:before="0" w:beforeAutospacing="0" w:after="0" w:afterAutospacing="0"/>
      </w:pPr>
      <w:r w:rsidRPr="00B918C6">
        <w:rPr>
          <w:b/>
          <w:bCs/>
        </w:rPr>
        <w:t>A.2. Vplyvy:</w:t>
      </w:r>
    </w:p>
    <w:p w:rsidR="00206A88" w:rsidRPr="00B918C6" w:rsidRDefault="00206A88" w:rsidP="00206A88">
      <w:pPr>
        <w:pStyle w:val="Normlnywebov"/>
        <w:spacing w:before="0" w:beforeAutospacing="0" w:after="0" w:afterAutospacing="0"/>
      </w:pPr>
      <w:r w:rsidRPr="00B918C6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Pozitívne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  <w:r w:rsidRPr="00B918C6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Žiadne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Negatívne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1. Vplyvy na rozpočet verejnej správy</w:t>
            </w: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 xml:space="preserve">3, Sociálne vplyvy </w:t>
            </w: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– vplyvy  na hospodárenie obyvateľstva,</w:t>
            </w: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 xml:space="preserve">-sociálnu </w:t>
            </w:r>
            <w:proofErr w:type="spellStart"/>
            <w:r w:rsidRPr="00B918C6">
              <w:rPr>
                <w:sz w:val="22"/>
                <w:szCs w:val="22"/>
              </w:rPr>
              <w:t>exklúziu</w:t>
            </w:r>
            <w:proofErr w:type="spellEnd"/>
            <w:r w:rsidRPr="00B918C6">
              <w:rPr>
                <w:sz w:val="22"/>
                <w:szCs w:val="22"/>
              </w:rPr>
              <w:t>,</w:t>
            </w: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206A88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6A88" w:rsidRPr="00B918C6" w:rsidRDefault="00206A88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206A88" w:rsidRPr="00B918C6" w:rsidRDefault="00206A88" w:rsidP="00206A88">
      <w:pPr>
        <w:pStyle w:val="Normlnywebov"/>
        <w:spacing w:before="0" w:beforeAutospacing="0" w:after="0" w:afterAutospacing="0"/>
        <w:jc w:val="both"/>
      </w:pPr>
      <w:r w:rsidRPr="00B918C6">
        <w:rPr>
          <w:b/>
          <w:bCs/>
          <w:sz w:val="16"/>
          <w:szCs w:val="16"/>
        </w:rPr>
        <w:t>*</w:t>
      </w:r>
      <w:r w:rsidRPr="00B918C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06A88" w:rsidRDefault="00206A88" w:rsidP="00206A88">
      <w:r>
        <w:br w:type="page"/>
      </w:r>
    </w:p>
    <w:p w:rsidR="00206A88" w:rsidRPr="00B918C6" w:rsidRDefault="00206A88" w:rsidP="00206A88"/>
    <w:p w:rsidR="00206A88" w:rsidRPr="00B918C6" w:rsidRDefault="00206A88" w:rsidP="00206A88">
      <w:pPr>
        <w:jc w:val="both"/>
        <w:rPr>
          <w:b/>
          <w:bCs/>
          <w:u w:val="single"/>
        </w:rPr>
      </w:pPr>
      <w:r w:rsidRPr="00B918C6">
        <w:rPr>
          <w:b/>
          <w:bCs/>
          <w:u w:val="single"/>
        </w:rPr>
        <w:t>Osobitná časť</w:t>
      </w:r>
    </w:p>
    <w:p w:rsidR="00206A88" w:rsidRPr="00B918C6" w:rsidRDefault="00206A88" w:rsidP="00206A88">
      <w:pPr>
        <w:jc w:val="both"/>
      </w:pPr>
    </w:p>
    <w:p w:rsidR="00206A88" w:rsidRPr="0012252E" w:rsidRDefault="00206A88" w:rsidP="00206A88">
      <w:pPr>
        <w:jc w:val="both"/>
        <w:rPr>
          <w:b/>
          <w:u w:val="single"/>
        </w:rPr>
      </w:pPr>
      <w:r w:rsidRPr="0012252E">
        <w:rPr>
          <w:b/>
          <w:u w:val="single"/>
        </w:rPr>
        <w:t>K čl. I</w:t>
      </w:r>
    </w:p>
    <w:p w:rsidR="00206A88" w:rsidRDefault="00206A88" w:rsidP="00206A88">
      <w:pPr>
        <w:jc w:val="both"/>
        <w:rPr>
          <w:u w:val="single"/>
        </w:rPr>
      </w:pPr>
    </w:p>
    <w:p w:rsidR="00206A88" w:rsidRPr="006945CA" w:rsidRDefault="00206A88" w:rsidP="00206A88">
      <w:pPr>
        <w:jc w:val="both"/>
        <w:rPr>
          <w:b/>
        </w:rPr>
      </w:pPr>
      <w:r>
        <w:rPr>
          <w:b/>
        </w:rPr>
        <w:t>K bodu 1</w:t>
      </w:r>
    </w:p>
    <w:p w:rsidR="007D5787" w:rsidRDefault="00206A88" w:rsidP="00206A88">
      <w:pPr>
        <w:jc w:val="both"/>
      </w:pPr>
      <w:r>
        <w:tab/>
      </w:r>
      <w:r w:rsidR="007D5787">
        <w:t xml:space="preserve">Vzhľadom na vyčlenenie skutkovej podstavy vymedzenej v § 171 </w:t>
      </w:r>
      <w:r w:rsidR="00456EAB">
        <w:t xml:space="preserve">Trestného zákona </w:t>
      </w:r>
      <w:r w:rsidR="007D5787">
        <w:t xml:space="preserve">do samostatného trestného činu (body 2 a 3) sa v § 5a </w:t>
      </w:r>
      <w:r w:rsidR="00456EAB">
        <w:t xml:space="preserve">TZ </w:t>
      </w:r>
      <w:r w:rsidR="007D5787">
        <w:t xml:space="preserve">navrhuje vypustenie § 171 </w:t>
      </w:r>
      <w:r w:rsidR="00456EAB">
        <w:t xml:space="preserve">TZ </w:t>
      </w:r>
      <w:r w:rsidR="007D5787">
        <w:t xml:space="preserve">zo zátvorky uvedenej za trestným činom </w:t>
      </w:r>
      <w:r w:rsidR="007D5787" w:rsidRPr="007D5787">
        <w:t xml:space="preserve">nedovolenej výroby omamných a psychotropných látok, jedov alebo </w:t>
      </w:r>
      <w:proofErr w:type="spellStart"/>
      <w:r w:rsidR="007D5787" w:rsidRPr="007D5787">
        <w:t>prekurzorov</w:t>
      </w:r>
      <w:proofErr w:type="spellEnd"/>
      <w:r w:rsidR="007D5787" w:rsidRPr="007D5787">
        <w:t>, ich držania a obchodovanie s</w:t>
      </w:r>
      <w:r w:rsidR="007D5787">
        <w:t> </w:t>
      </w:r>
      <w:r w:rsidR="007D5787" w:rsidRPr="007D5787">
        <w:t>nimi</w:t>
      </w:r>
      <w:r w:rsidR="007D5787">
        <w:t xml:space="preserve">. V § 5a sa vymedzuje osobná pôsobnosť </w:t>
      </w:r>
      <w:r w:rsidR="00456EAB">
        <w:t>Trestného zákona</w:t>
      </w:r>
      <w:r w:rsidR="007D5787">
        <w:t xml:space="preserve"> takým spôsobom, že trestnosť trestných činov vymenovaných v tomto paragrafe sa posudzuje podľa TZ </w:t>
      </w:r>
      <w:r w:rsidR="007D5787" w:rsidRPr="007D5787">
        <w:t>aj vtedy, ak taký trestný čin spáchal mimo územia Slovenskej republiky cudzinec, ktorý nemá na území Slovenskej republiky trvalý pobyt.</w:t>
      </w:r>
      <w:r w:rsidR="007D5787">
        <w:t xml:space="preserve"> Po navrhovanej zmene by naďalej ostala takto vymedzená pôsobnosť TZ vo vzťahu k trestnému činu </w:t>
      </w:r>
      <w:r w:rsidR="007D5787" w:rsidRPr="007D5787">
        <w:t xml:space="preserve">nedovolenej výroby omamných a psychotropných látok, jedov alebo </w:t>
      </w:r>
      <w:proofErr w:type="spellStart"/>
      <w:r w:rsidR="007D5787" w:rsidRPr="007D5787">
        <w:t>prekurzorov</w:t>
      </w:r>
      <w:proofErr w:type="spellEnd"/>
      <w:r w:rsidR="007D5787" w:rsidRPr="007D5787">
        <w:t>, ich držania a obchodovanie s</w:t>
      </w:r>
      <w:r w:rsidR="007D5787">
        <w:t> </w:t>
      </w:r>
      <w:r w:rsidR="007D5787" w:rsidRPr="007D5787">
        <w:t>nimi</w:t>
      </w:r>
      <w:r w:rsidR="007D5787">
        <w:t xml:space="preserve"> podľa § 172, </w:t>
      </w:r>
      <w:r w:rsidR="00656504">
        <w:t xml:space="preserve">teda k závažnejším formám drogovej trestnej činnosti, </w:t>
      </w:r>
      <w:r w:rsidR="007D5787">
        <w:t>nevzťahovala by sa však už na trestný čin podľa § 171</w:t>
      </w:r>
      <w:r w:rsidR="00656504">
        <w:t>, teda na prechovávanie drog pre vlastnú potrebu</w:t>
      </w:r>
      <w:r w:rsidR="007D5787">
        <w:t xml:space="preserve">. </w:t>
      </w:r>
    </w:p>
    <w:p w:rsidR="007D5787" w:rsidRDefault="007D5787" w:rsidP="00206A88">
      <w:pPr>
        <w:jc w:val="both"/>
      </w:pPr>
    </w:p>
    <w:p w:rsidR="007D5787" w:rsidRPr="007D5787" w:rsidRDefault="007D5787" w:rsidP="00206A88">
      <w:pPr>
        <w:jc w:val="both"/>
        <w:rPr>
          <w:b/>
        </w:rPr>
      </w:pPr>
      <w:r>
        <w:rPr>
          <w:b/>
        </w:rPr>
        <w:t>K bodu 2</w:t>
      </w:r>
    </w:p>
    <w:p w:rsidR="00206A88" w:rsidRPr="000745E1" w:rsidRDefault="00206A88" w:rsidP="007D5787">
      <w:pPr>
        <w:ind w:firstLine="708"/>
        <w:jc w:val="both"/>
      </w:pPr>
      <w:r w:rsidRPr="000745E1">
        <w:t>Navrhuje sa</w:t>
      </w:r>
      <w:r>
        <w:t xml:space="preserve"> </w:t>
      </w:r>
      <w:r w:rsidR="0035546C">
        <w:t xml:space="preserve">zo zákona vypustiť spoločné označenie skutkových podstát uvedených v paragrafoch 171 až 173 TZ ako trestný čin </w:t>
      </w:r>
      <w:r w:rsidR="0035546C" w:rsidRPr="00925291">
        <w:rPr>
          <w:i/>
        </w:rPr>
        <w:t xml:space="preserve">Nedovolená výroba omamných a psychotropných látok, jedov alebo </w:t>
      </w:r>
      <w:proofErr w:type="spellStart"/>
      <w:r w:rsidR="0035546C" w:rsidRPr="00925291">
        <w:rPr>
          <w:i/>
        </w:rPr>
        <w:t>prekurzorov</w:t>
      </w:r>
      <w:proofErr w:type="spellEnd"/>
      <w:r w:rsidR="0035546C" w:rsidRPr="00925291">
        <w:rPr>
          <w:i/>
        </w:rPr>
        <w:t>, ich držanie a obchodovanie s nimi</w:t>
      </w:r>
      <w:r w:rsidR="0035546C">
        <w:t xml:space="preserve">. </w:t>
      </w:r>
      <w:r w:rsidR="004D0D64">
        <w:t xml:space="preserve">Toto označenie bude zachované pre trestné činy, ktorých skutková podstata je vymedzená v paragrafoch 172 a 173 </w:t>
      </w:r>
      <w:r w:rsidR="00677634">
        <w:t>TZ (bod 4</w:t>
      </w:r>
      <w:r w:rsidR="004D0D64">
        <w:t>), kým trestný čin, ktorého skutková podstata je vymedzená v § 171 bude mať n</w:t>
      </w:r>
      <w:r w:rsidR="00677634">
        <w:t>ové, samostatné označenie (bod 3</w:t>
      </w:r>
      <w:r w:rsidR="004D0D64">
        <w:t xml:space="preserve">). </w:t>
      </w:r>
    </w:p>
    <w:p w:rsidR="00206A88" w:rsidRPr="000745E1" w:rsidRDefault="00206A88" w:rsidP="00206A88">
      <w:pPr>
        <w:jc w:val="both"/>
      </w:pPr>
      <w:r w:rsidRPr="000745E1">
        <w:tab/>
      </w:r>
    </w:p>
    <w:p w:rsidR="00206A88" w:rsidRPr="006945CA" w:rsidRDefault="007D5787" w:rsidP="00206A88">
      <w:pPr>
        <w:jc w:val="both"/>
        <w:rPr>
          <w:b/>
        </w:rPr>
      </w:pPr>
      <w:r>
        <w:rPr>
          <w:b/>
        </w:rPr>
        <w:t>K bodu 3</w:t>
      </w:r>
    </w:p>
    <w:p w:rsidR="00AB64D2" w:rsidRDefault="00206A88" w:rsidP="00206A88">
      <w:pPr>
        <w:jc w:val="both"/>
      </w:pPr>
      <w:r>
        <w:tab/>
        <w:t xml:space="preserve">Navrhuje sa </w:t>
      </w:r>
      <w:r w:rsidR="0035546C">
        <w:t>novo označiť s</w:t>
      </w:r>
      <w:r w:rsidR="00993C3C">
        <w:t>kutkovú podstatu uvedenú v § 171</w:t>
      </w:r>
      <w:r w:rsidR="0035546C">
        <w:t xml:space="preserve"> TZ</w:t>
      </w:r>
      <w:r w:rsidR="00993C3C">
        <w:t xml:space="preserve"> ako </w:t>
      </w:r>
      <w:r w:rsidR="00925291">
        <w:t xml:space="preserve">samostatný </w:t>
      </w:r>
      <w:r w:rsidR="00993C3C">
        <w:t xml:space="preserve">trestný čin </w:t>
      </w:r>
      <w:r w:rsidR="00993C3C" w:rsidRPr="00925291">
        <w:rPr>
          <w:i/>
        </w:rPr>
        <w:t xml:space="preserve">Nedovolené prechovávanie omamných a psychotropných látok, jedov alebo </w:t>
      </w:r>
      <w:proofErr w:type="spellStart"/>
      <w:r w:rsidR="00993C3C" w:rsidRPr="00925291">
        <w:rPr>
          <w:i/>
        </w:rPr>
        <w:t>prekurzorov</w:t>
      </w:r>
      <w:proofErr w:type="spellEnd"/>
      <w:r w:rsidR="00993C3C" w:rsidRPr="00925291">
        <w:rPr>
          <w:i/>
        </w:rPr>
        <w:t xml:space="preserve"> pre vlastnú potrebu</w:t>
      </w:r>
      <w:r w:rsidR="00993C3C">
        <w:t xml:space="preserve">. </w:t>
      </w:r>
      <w:r w:rsidR="004D0D64">
        <w:t xml:space="preserve">Skutková podstata </w:t>
      </w:r>
      <w:r w:rsidR="00925291">
        <w:t>nedovoleného</w:t>
      </w:r>
      <w:r w:rsidR="004D0D64">
        <w:t xml:space="preserve"> prechovávania týchto látok pre vlastnú potrebu ako menej závažného a nebezpečného konania sa vyčlení do samostatného trestného činu s vlastným označením, obsahové vymedzenie skutkovej podstaty, ani sankcia za spáchanie tohto trestného činu sa oproti </w:t>
      </w:r>
      <w:r w:rsidR="00677634">
        <w:t>súčasnej úprave nijako</w:t>
      </w:r>
      <w:r w:rsidR="004D0D64">
        <w:t xml:space="preserve"> nezmenia. </w:t>
      </w:r>
    </w:p>
    <w:p w:rsidR="00AB64D2" w:rsidRDefault="00AB64D2" w:rsidP="00206A88">
      <w:pPr>
        <w:jc w:val="both"/>
      </w:pPr>
    </w:p>
    <w:p w:rsidR="00AB64D2" w:rsidRPr="00AB64D2" w:rsidRDefault="007D5787" w:rsidP="00206A88">
      <w:pPr>
        <w:jc w:val="both"/>
        <w:rPr>
          <w:b/>
        </w:rPr>
      </w:pPr>
      <w:r>
        <w:rPr>
          <w:b/>
        </w:rPr>
        <w:t>K bodu 4</w:t>
      </w:r>
    </w:p>
    <w:p w:rsidR="00206A88" w:rsidRDefault="00AB64D2" w:rsidP="00206A88">
      <w:pPr>
        <w:jc w:val="both"/>
      </w:pPr>
      <w:r>
        <w:tab/>
        <w:t xml:space="preserve">Navrhuje sa </w:t>
      </w:r>
      <w:r w:rsidR="0035546C">
        <w:t xml:space="preserve">ako trestný </w:t>
      </w:r>
      <w:r w:rsidR="0035546C" w:rsidRPr="00925291">
        <w:rPr>
          <w:i/>
        </w:rPr>
        <w:t xml:space="preserve">čin Nedovolená výroba omamných a psychotropných látok, jedov alebo </w:t>
      </w:r>
      <w:proofErr w:type="spellStart"/>
      <w:r w:rsidR="0035546C" w:rsidRPr="00925291">
        <w:rPr>
          <w:i/>
        </w:rPr>
        <w:t>prekurzorov</w:t>
      </w:r>
      <w:proofErr w:type="spellEnd"/>
      <w:r w:rsidR="0035546C" w:rsidRPr="00925291">
        <w:rPr>
          <w:i/>
        </w:rPr>
        <w:t>, ich držanie a obchodovanie s nimi</w:t>
      </w:r>
      <w:r w:rsidR="0035546C">
        <w:t xml:space="preserve"> označiť skutkové podstaty uvedené v paragrafoch 172 a 173 TZ, resp. naďalej ponechať pre skutkové podstaty vymedzené v paragrafoch 172 a </w:t>
      </w:r>
      <w:r w:rsidR="004D0D64">
        <w:t>173</w:t>
      </w:r>
      <w:r w:rsidR="0035546C">
        <w:t xml:space="preserve"> TZ t</w:t>
      </w:r>
      <w:r w:rsidR="004D0D64">
        <w:t xml:space="preserve">akéto </w:t>
      </w:r>
      <w:r w:rsidR="00677634">
        <w:t xml:space="preserve">aj v súčasnosti platné </w:t>
      </w:r>
      <w:r w:rsidR="004D0D64">
        <w:t>označenie trestného činu. Obsahové vymedzenie skutkovej podstaty týchto trestných činov, ani sankcia z</w:t>
      </w:r>
      <w:r w:rsidR="00AB1552">
        <w:t>a</w:t>
      </w:r>
      <w:r w:rsidR="004D0D64">
        <w:t xml:space="preserve"> ich spáchanie sa oproti doterajšiemu stavu tiež </w:t>
      </w:r>
      <w:r w:rsidR="00677634">
        <w:t xml:space="preserve">nijako </w:t>
      </w:r>
      <w:r w:rsidR="004D0D64">
        <w:t>nemenia.</w:t>
      </w:r>
    </w:p>
    <w:p w:rsidR="00AB64D2" w:rsidRPr="006945CA" w:rsidRDefault="00AB64D2" w:rsidP="00206A88">
      <w:pPr>
        <w:jc w:val="both"/>
      </w:pPr>
    </w:p>
    <w:p w:rsidR="00206A88" w:rsidRPr="000745E1" w:rsidRDefault="00206A88" w:rsidP="00206A88">
      <w:pPr>
        <w:jc w:val="both"/>
        <w:rPr>
          <w:b/>
          <w:u w:val="single"/>
        </w:rPr>
      </w:pPr>
      <w:r w:rsidRPr="000745E1">
        <w:rPr>
          <w:b/>
          <w:u w:val="single"/>
        </w:rPr>
        <w:t>K čl. II</w:t>
      </w:r>
    </w:p>
    <w:p w:rsidR="00206A88" w:rsidRPr="000745E1" w:rsidRDefault="00206A88" w:rsidP="00206A88">
      <w:pPr>
        <w:jc w:val="both"/>
        <w:rPr>
          <w:u w:val="single"/>
        </w:rPr>
      </w:pPr>
    </w:p>
    <w:p w:rsidR="00206A88" w:rsidRDefault="00206A88" w:rsidP="000D12E3">
      <w:pPr>
        <w:jc w:val="both"/>
      </w:pPr>
      <w:r w:rsidRPr="000745E1">
        <w:tab/>
      </w:r>
      <w:r w:rsidRPr="00B918C6">
        <w:t xml:space="preserve">Navrhuje sa stanoviť účinnosť zákona </w:t>
      </w:r>
      <w:r>
        <w:t>na začiatok nasledujúceho kalendárneho roka</w:t>
      </w:r>
      <w:r w:rsidRPr="00B918C6">
        <w:t>.</w:t>
      </w:r>
      <w:r>
        <w:t xml:space="preserve"> </w:t>
      </w:r>
    </w:p>
    <w:p w:rsidR="00206A88" w:rsidRDefault="00206A88" w:rsidP="00206A88">
      <w:pPr>
        <w:jc w:val="both"/>
      </w:pPr>
    </w:p>
    <w:p w:rsidR="00206A88" w:rsidRDefault="00206A88" w:rsidP="00206A88"/>
    <w:p w:rsidR="0051385E" w:rsidRDefault="0051385E">
      <w:pPr>
        <w:spacing w:after="160" w:line="259" w:lineRule="auto"/>
      </w:pPr>
      <w:r>
        <w:br w:type="page"/>
      </w:r>
      <w:bookmarkStart w:id="0" w:name="_GoBack"/>
      <w:bookmarkEnd w:id="0"/>
    </w:p>
    <w:p w:rsidR="0051385E" w:rsidRDefault="0051385E" w:rsidP="0051385E">
      <w:pPr>
        <w:rPr>
          <w:b/>
          <w:sz w:val="28"/>
        </w:rPr>
      </w:pPr>
      <w:r w:rsidRPr="0000413F">
        <w:rPr>
          <w:b/>
          <w:sz w:val="28"/>
        </w:rPr>
        <w:lastRenderedPageBreak/>
        <w:t>Informatívne konsolidované znenie príslušných ustanovení Trestného zákona, ktorých sa týka návrh zákona, s vyznačením navrhovaných zmien</w:t>
      </w:r>
    </w:p>
    <w:p w:rsidR="0051385E" w:rsidRPr="0000413F" w:rsidRDefault="0051385E" w:rsidP="0051385E">
      <w:pPr>
        <w:rPr>
          <w:b/>
          <w:sz w:val="28"/>
        </w:rPr>
      </w:pPr>
    </w:p>
    <w:p w:rsidR="0051385E" w:rsidRPr="002B5DD7" w:rsidRDefault="0051385E" w:rsidP="0051385E">
      <w:pPr>
        <w:rPr>
          <w:b/>
          <w:strike/>
        </w:rPr>
      </w:pPr>
      <w:r w:rsidRPr="0000413F">
        <w:rPr>
          <w:b/>
          <w:strike/>
        </w:rPr>
        <w:t xml:space="preserve">Nedovolená výroba omamných a psychotropných látok, jedov alebo </w:t>
      </w:r>
      <w:proofErr w:type="spellStart"/>
      <w:r w:rsidRPr="0000413F">
        <w:rPr>
          <w:b/>
          <w:strike/>
        </w:rPr>
        <w:t>prekurzorov</w:t>
      </w:r>
      <w:proofErr w:type="spellEnd"/>
      <w:r w:rsidRPr="0000413F">
        <w:rPr>
          <w:b/>
          <w:strike/>
        </w:rPr>
        <w:t>, ich držanie a obchodovanie s nimi</w:t>
      </w:r>
    </w:p>
    <w:p w:rsidR="0051385E" w:rsidRPr="0000413F" w:rsidRDefault="0051385E" w:rsidP="0051385E">
      <w:r w:rsidRPr="0000413F">
        <w:t>§ 171</w:t>
      </w:r>
    </w:p>
    <w:p w:rsidR="0051385E" w:rsidRPr="0000413F" w:rsidRDefault="0051385E" w:rsidP="0051385E">
      <w:pPr>
        <w:rPr>
          <w:b/>
          <w:u w:val="single"/>
        </w:rPr>
      </w:pPr>
      <w:r w:rsidRPr="0000413F">
        <w:rPr>
          <w:b/>
          <w:u w:val="single"/>
        </w:rPr>
        <w:t xml:space="preserve">Nedovolené prechovávanie omamných a psychotropných látok, jedov alebo </w:t>
      </w:r>
      <w:proofErr w:type="spellStart"/>
      <w:r w:rsidRPr="0000413F">
        <w:rPr>
          <w:b/>
          <w:u w:val="single"/>
        </w:rPr>
        <w:t>prekurzorov</w:t>
      </w:r>
      <w:proofErr w:type="spellEnd"/>
      <w:r w:rsidRPr="0000413F">
        <w:rPr>
          <w:b/>
          <w:u w:val="single"/>
        </w:rPr>
        <w:t xml:space="preserve"> pre vlastnú potrebu</w:t>
      </w:r>
    </w:p>
    <w:p w:rsidR="0051385E" w:rsidRPr="0000413F" w:rsidRDefault="0051385E" w:rsidP="0051385E">
      <w:r w:rsidRPr="0000413F">
        <w:t xml:space="preserve"> (1) Kto neoprávnene prechováva pre vlastnú potrebu omamnú látku, psychotropnú látku, jed alebo </w:t>
      </w:r>
      <w:proofErr w:type="spellStart"/>
      <w:r w:rsidRPr="0000413F">
        <w:t>prekurzor</w:t>
      </w:r>
      <w:proofErr w:type="spellEnd"/>
      <w:r w:rsidRPr="0000413F">
        <w:t>, potrestá sa odňatím slobody až na tri roky.</w:t>
      </w:r>
    </w:p>
    <w:p w:rsidR="0051385E" w:rsidRPr="0000413F" w:rsidRDefault="0051385E" w:rsidP="0051385E">
      <w:r w:rsidRPr="0000413F">
        <w:t xml:space="preserve">(2) Odňatím slobody až na päť rokov sa páchateľ potrestá, ak neoprávnene prechováva pre vlastnú potrebu omamnú látku, psychotropnú látku, jed alebo </w:t>
      </w:r>
      <w:proofErr w:type="spellStart"/>
      <w:r w:rsidRPr="0000413F">
        <w:t>prekurzor</w:t>
      </w:r>
      <w:proofErr w:type="spellEnd"/>
      <w:r w:rsidRPr="0000413F">
        <w:t xml:space="preserve"> vo väčšom rozsahu.</w:t>
      </w:r>
    </w:p>
    <w:p w:rsidR="0051385E" w:rsidRPr="0000413F" w:rsidRDefault="0051385E" w:rsidP="0051385E"/>
    <w:p w:rsidR="0051385E" w:rsidRPr="0000413F" w:rsidRDefault="0051385E" w:rsidP="0051385E">
      <w:pPr>
        <w:rPr>
          <w:b/>
          <w:u w:val="single"/>
        </w:rPr>
      </w:pPr>
      <w:r w:rsidRPr="0000413F">
        <w:rPr>
          <w:b/>
          <w:u w:val="single"/>
        </w:rPr>
        <w:t xml:space="preserve">Nedovolená výroba omamných a psychotropných látok, jedov alebo </w:t>
      </w:r>
      <w:proofErr w:type="spellStart"/>
      <w:r w:rsidRPr="0000413F">
        <w:rPr>
          <w:b/>
          <w:u w:val="single"/>
        </w:rPr>
        <w:t>prekurzorov</w:t>
      </w:r>
      <w:proofErr w:type="spellEnd"/>
      <w:r w:rsidRPr="0000413F">
        <w:rPr>
          <w:b/>
          <w:u w:val="single"/>
        </w:rPr>
        <w:t>, ich držanie a obchodovanie s nimi</w:t>
      </w:r>
    </w:p>
    <w:p w:rsidR="0051385E" w:rsidRPr="0000413F" w:rsidRDefault="0051385E" w:rsidP="0051385E">
      <w:r w:rsidRPr="0000413F">
        <w:t>§ 172</w:t>
      </w:r>
    </w:p>
    <w:p w:rsidR="0051385E" w:rsidRPr="0000413F" w:rsidRDefault="0051385E" w:rsidP="0051385E">
      <w:r w:rsidRPr="0000413F">
        <w:t>(1) Kto neoprávnene</w:t>
      </w:r>
    </w:p>
    <w:p w:rsidR="0051385E" w:rsidRPr="002B5DD7" w:rsidRDefault="0051385E" w:rsidP="0051385E">
      <w:r w:rsidRPr="002B5DD7">
        <w:t>a) vyrobí,</w:t>
      </w:r>
    </w:p>
    <w:p w:rsidR="0051385E" w:rsidRPr="002B5DD7" w:rsidRDefault="0051385E" w:rsidP="0051385E">
      <w:r w:rsidRPr="002B5DD7">
        <w:t>b) dovezie, vyvezie, prevezie alebo dá prepraviť,</w:t>
      </w:r>
    </w:p>
    <w:p w:rsidR="0051385E" w:rsidRPr="002B5DD7" w:rsidRDefault="0051385E" w:rsidP="0051385E">
      <w:r w:rsidRPr="002B5DD7">
        <w:t>c) kúpi, predá, vymení, zadováži, alebo</w:t>
      </w:r>
    </w:p>
    <w:p w:rsidR="0051385E" w:rsidRPr="002B5DD7" w:rsidRDefault="0051385E" w:rsidP="0051385E">
      <w:r w:rsidRPr="002B5DD7">
        <w:t>d) prechováva po akúkoľvek dobu,</w:t>
      </w:r>
    </w:p>
    <w:p w:rsidR="0051385E" w:rsidRPr="002B5DD7" w:rsidRDefault="0051385E" w:rsidP="0051385E">
      <w:r w:rsidRPr="002B5DD7">
        <w:t xml:space="preserve">omamnú látku, psychotropnú látku, jed alebo </w:t>
      </w:r>
      <w:proofErr w:type="spellStart"/>
      <w:r w:rsidRPr="002B5DD7">
        <w:t>prekurzor</w:t>
      </w:r>
      <w:proofErr w:type="spellEnd"/>
      <w:r w:rsidRPr="002B5DD7">
        <w:t xml:space="preserve"> alebo kto takú činnosť sprostredkuje, potrestá sa odňatím slobody na tri roky až desať rokov.</w:t>
      </w:r>
    </w:p>
    <w:p w:rsidR="0051385E" w:rsidRPr="002B5DD7" w:rsidRDefault="0051385E" w:rsidP="0051385E">
      <w:r w:rsidRPr="002B5DD7">
        <w:t>(2) Odňatím slobody na desať rokov až pätnásť rokov sa páchateľ potrestá, ak spácha čin uvedený v odseku 1</w:t>
      </w:r>
    </w:p>
    <w:p w:rsidR="0051385E" w:rsidRPr="002B5DD7" w:rsidRDefault="0051385E" w:rsidP="0051385E">
      <w:r w:rsidRPr="002B5DD7">
        <w:t>a) a už bol za taký čin odsúdený,</w:t>
      </w:r>
    </w:p>
    <w:p w:rsidR="0051385E" w:rsidRPr="002B5DD7" w:rsidRDefault="0051385E" w:rsidP="0051385E">
      <w:r w:rsidRPr="002B5DD7">
        <w:t>b) pre osobu, ktorá sa lieči z drogovej závislosti,</w:t>
      </w:r>
    </w:p>
    <w:p w:rsidR="0051385E" w:rsidRPr="002B5DD7" w:rsidRDefault="0051385E" w:rsidP="0051385E">
      <w:r w:rsidRPr="002B5DD7">
        <w:t>c) závažnejším spôsobom konania,</w:t>
      </w:r>
    </w:p>
    <w:p w:rsidR="0051385E" w:rsidRPr="002B5DD7" w:rsidRDefault="0051385E" w:rsidP="0051385E">
      <w:r w:rsidRPr="002B5DD7">
        <w:t>d) na chránenej osobe, alebo</w:t>
      </w:r>
    </w:p>
    <w:p w:rsidR="0051385E" w:rsidRPr="002B5DD7" w:rsidRDefault="0051385E" w:rsidP="0051385E">
      <w:r w:rsidRPr="002B5DD7">
        <w:t>e) vo väčšom rozsahu.</w:t>
      </w:r>
    </w:p>
    <w:p w:rsidR="0051385E" w:rsidRPr="002B5DD7" w:rsidRDefault="0051385E" w:rsidP="0051385E">
      <w:r w:rsidRPr="002B5DD7">
        <w:t>(3) Odňatím slobody na pätnásť rokov až dvadsať rokov sa páchateľ potrestá, ak spácha čin uvedený v odseku 1</w:t>
      </w:r>
    </w:p>
    <w:p w:rsidR="0051385E" w:rsidRPr="002B5DD7" w:rsidRDefault="0051385E" w:rsidP="0051385E">
      <w:r w:rsidRPr="002B5DD7">
        <w:t>a) a spôsobí ním ťažkú ujmu na zdraví alebo smrť,</w:t>
      </w:r>
    </w:p>
    <w:p w:rsidR="0051385E" w:rsidRPr="002B5DD7" w:rsidRDefault="0051385E" w:rsidP="0051385E">
      <w:r w:rsidRPr="002B5DD7">
        <w:t>b) voči osobe mladšej ako pätnásť rokov alebo prostredníctvom takej osoby, alebo</w:t>
      </w:r>
    </w:p>
    <w:p w:rsidR="0051385E" w:rsidRPr="002B5DD7" w:rsidRDefault="0051385E" w:rsidP="0051385E">
      <w:r w:rsidRPr="002B5DD7">
        <w:t>c) v značnom rozsahu.</w:t>
      </w:r>
    </w:p>
    <w:p w:rsidR="0051385E" w:rsidRPr="002B5DD7" w:rsidRDefault="0051385E" w:rsidP="0051385E">
      <w:r w:rsidRPr="002B5DD7">
        <w:t>(4) Odňatím slobody na dvadsať rokov až dvadsaťpäť rokov alebo trestom odňatia slobody na doživotie sa páchateľ potrestá, ak spácha čin uvedený v odseku 1</w:t>
      </w:r>
    </w:p>
    <w:p w:rsidR="0051385E" w:rsidRPr="002B5DD7" w:rsidRDefault="0051385E" w:rsidP="0051385E">
      <w:r w:rsidRPr="002B5DD7">
        <w:t>a) a spôsobí ním ťažkú ujmu na zdraví viacerým osobám alebo smrť viacerých osôb,</w:t>
      </w:r>
    </w:p>
    <w:p w:rsidR="0051385E" w:rsidRPr="002B5DD7" w:rsidRDefault="0051385E" w:rsidP="0051385E">
      <w:r w:rsidRPr="002B5DD7">
        <w:t>b) ako člen nebezpečného zoskupenia, alebo</w:t>
      </w:r>
    </w:p>
    <w:p w:rsidR="0051385E" w:rsidRPr="002B5DD7" w:rsidRDefault="0051385E" w:rsidP="0051385E">
      <w:r w:rsidRPr="002B5DD7">
        <w:t>c) vo veľkom rozsahu.</w:t>
      </w:r>
    </w:p>
    <w:p w:rsidR="0051385E" w:rsidRPr="002B5DD7" w:rsidRDefault="0051385E" w:rsidP="0051385E">
      <w:r w:rsidRPr="002B5DD7">
        <w:t>§ 173</w:t>
      </w:r>
    </w:p>
    <w:p w:rsidR="0051385E" w:rsidRPr="002B5DD7" w:rsidRDefault="0051385E" w:rsidP="0051385E">
      <w:r w:rsidRPr="002B5DD7">
        <w:t xml:space="preserve">(1) Kto vyrobí, sebe alebo inému zadováži alebo prechováva predmet určený na nedovolenú výrobu omamnej látky, psychotropnej látky, jedu a </w:t>
      </w:r>
      <w:proofErr w:type="spellStart"/>
      <w:r w:rsidRPr="002B5DD7">
        <w:t>prekurzora</w:t>
      </w:r>
      <w:proofErr w:type="spellEnd"/>
      <w:r w:rsidRPr="002B5DD7">
        <w:t>, potrestá sa odňatím slobody na jeden rok až päť rokov.</w:t>
      </w:r>
    </w:p>
    <w:p w:rsidR="0051385E" w:rsidRPr="002B5DD7" w:rsidRDefault="0051385E" w:rsidP="0051385E">
      <w:r w:rsidRPr="002B5DD7">
        <w:t>(2) Odňatím slobody na tri roky až osem rokov sa páchateľ potrestá, ak získa činom uvedeným v odseku 1 pre seba alebo iného väčší prospech.</w:t>
      </w:r>
    </w:p>
    <w:p w:rsidR="0051385E" w:rsidRPr="002B5DD7" w:rsidRDefault="0051385E" w:rsidP="0051385E">
      <w:r w:rsidRPr="002B5DD7">
        <w:t>(3) Odňatím slobody na štyri roky až desať rokov sa páchateľ potrestá, ak získa činom uvedeným v odseku 1 pre seba alebo iného značný prospech.</w:t>
      </w:r>
    </w:p>
    <w:p w:rsidR="00AC1E22" w:rsidRDefault="0051385E">
      <w:r w:rsidRPr="002B5DD7">
        <w:t>(4) Odňatím slobody na desať rokov až pätnásť rokov sa páchateľ potrestá, ak získa činom uvedeným v odseku 1 pre seba alebo iného prospech veľkého rozsahu.</w:t>
      </w:r>
    </w:p>
    <w:sectPr w:rsidR="00AC1E22" w:rsidSect="00E0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49" w:rsidRDefault="00844F49" w:rsidP="00991576">
      <w:r>
        <w:separator/>
      </w:r>
    </w:p>
  </w:endnote>
  <w:endnote w:type="continuationSeparator" w:id="0">
    <w:p w:rsidR="00844F49" w:rsidRDefault="00844F49" w:rsidP="0099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49" w:rsidRDefault="00844F49" w:rsidP="00991576">
      <w:r>
        <w:separator/>
      </w:r>
    </w:p>
  </w:footnote>
  <w:footnote w:type="continuationSeparator" w:id="0">
    <w:p w:rsidR="00844F49" w:rsidRDefault="00844F49" w:rsidP="00991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 w:tplc="7BBE8E0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D8945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E0DC0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6841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010B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2F8B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DAA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EA0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1E6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88"/>
    <w:rsid w:val="000D12E3"/>
    <w:rsid w:val="00206A88"/>
    <w:rsid w:val="002D5374"/>
    <w:rsid w:val="0035546C"/>
    <w:rsid w:val="00387C53"/>
    <w:rsid w:val="00456EAB"/>
    <w:rsid w:val="004D0D64"/>
    <w:rsid w:val="0051385E"/>
    <w:rsid w:val="00530A73"/>
    <w:rsid w:val="006319F6"/>
    <w:rsid w:val="00656504"/>
    <w:rsid w:val="00677634"/>
    <w:rsid w:val="00690C2A"/>
    <w:rsid w:val="00791215"/>
    <w:rsid w:val="007D5787"/>
    <w:rsid w:val="00844F49"/>
    <w:rsid w:val="008C5A44"/>
    <w:rsid w:val="008F5A9C"/>
    <w:rsid w:val="00925291"/>
    <w:rsid w:val="00932C6C"/>
    <w:rsid w:val="00991576"/>
    <w:rsid w:val="00993C3C"/>
    <w:rsid w:val="00AB1552"/>
    <w:rsid w:val="00AB64D2"/>
    <w:rsid w:val="00AC1E22"/>
    <w:rsid w:val="00AE5A54"/>
    <w:rsid w:val="00BE01BD"/>
    <w:rsid w:val="00C3062E"/>
    <w:rsid w:val="00D35657"/>
    <w:rsid w:val="00D77A9C"/>
    <w:rsid w:val="00DE26AC"/>
    <w:rsid w:val="00DF6105"/>
    <w:rsid w:val="00EC2467"/>
    <w:rsid w:val="00F14FF6"/>
    <w:rsid w:val="00F96E95"/>
    <w:rsid w:val="00FD4508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06A88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06A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206A88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206A88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9915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15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15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15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1984</cp:lastModifiedBy>
  <cp:revision>2</cp:revision>
  <dcterms:created xsi:type="dcterms:W3CDTF">2019-08-23T10:48:00Z</dcterms:created>
  <dcterms:modified xsi:type="dcterms:W3CDTF">2019-08-23T10:48:00Z</dcterms:modified>
</cp:coreProperties>
</file>