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294009" w:rsidRDefault="00294009"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294009">
        <w:trPr>
          <w:divId w:val="94597248"/>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1.  Základné údaje</w:t>
            </w:r>
          </w:p>
        </w:tc>
      </w:tr>
      <w:tr w:rsidR="00294009">
        <w:trPr>
          <w:divId w:val="94597248"/>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Názov materiálu</w:t>
            </w:r>
          </w:p>
        </w:tc>
      </w:tr>
      <w:tr w:rsidR="00294009">
        <w:trPr>
          <w:divId w:val="94597248"/>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294009" w:rsidRDefault="00AA27AB">
            <w:pPr>
              <w:rPr>
                <w:rFonts w:ascii="Times" w:hAnsi="Times" w:cs="Times"/>
                <w:sz w:val="20"/>
                <w:szCs w:val="20"/>
              </w:rPr>
            </w:pPr>
            <w: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bookmarkStart w:id="0" w:name="_GoBack"/>
            <w:bookmarkEnd w:id="0"/>
          </w:p>
        </w:tc>
      </w:tr>
      <w:tr w:rsidR="00294009">
        <w:trPr>
          <w:divId w:val="94597248"/>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Predkladateľ (a spolupredkladateľ)</w:t>
            </w:r>
          </w:p>
        </w:tc>
      </w:tr>
      <w:tr w:rsidR="00294009">
        <w:trPr>
          <w:divId w:val="94597248"/>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sz w:val="20"/>
                <w:szCs w:val="20"/>
              </w:rPr>
            </w:pPr>
            <w:r>
              <w:rPr>
                <w:rFonts w:ascii="Times" w:hAnsi="Times" w:cs="Times"/>
                <w:sz w:val="20"/>
                <w:szCs w:val="20"/>
              </w:rPr>
              <w:t>Úrad pre verejné obstarávanie</w:t>
            </w:r>
          </w:p>
        </w:tc>
      </w:tr>
      <w:tr w:rsidR="00294009">
        <w:trPr>
          <w:divId w:val="94597248"/>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94009" w:rsidRDefault="00294009">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294009">
        <w:trPr>
          <w:divId w:val="94597248"/>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294009">
        <w:trPr>
          <w:divId w:val="94597248"/>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294009">
        <w:trPr>
          <w:divId w:val="94597248"/>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sz w:val="20"/>
                <w:szCs w:val="20"/>
              </w:rPr>
            </w:pPr>
          </w:p>
        </w:tc>
      </w:tr>
      <w:tr w:rsidR="00294009">
        <w:trPr>
          <w:divId w:val="94597248"/>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sz w:val="20"/>
                <w:szCs w:val="20"/>
              </w:rPr>
            </w:pPr>
            <w:r>
              <w:rPr>
                <w:rFonts w:ascii="Times" w:hAnsi="Times" w:cs="Times"/>
                <w:sz w:val="20"/>
                <w:szCs w:val="20"/>
              </w:rPr>
              <w:t>Začiatok:    25.6.2019</w:t>
            </w:r>
            <w:r>
              <w:rPr>
                <w:rFonts w:ascii="Times" w:hAnsi="Times" w:cs="Times"/>
                <w:sz w:val="20"/>
                <w:szCs w:val="20"/>
              </w:rPr>
              <w:br/>
              <w:t>Ukončenie: 1.7.2019</w:t>
            </w:r>
          </w:p>
        </w:tc>
      </w:tr>
      <w:tr w:rsidR="00294009">
        <w:trPr>
          <w:divId w:val="94597248"/>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sz w:val="20"/>
                <w:szCs w:val="20"/>
              </w:rPr>
            </w:pPr>
            <w:r>
              <w:rPr>
                <w:rFonts w:ascii="Times" w:hAnsi="Times" w:cs="Times"/>
                <w:sz w:val="20"/>
                <w:szCs w:val="20"/>
              </w:rPr>
              <w:t>júl 2019</w:t>
            </w:r>
          </w:p>
        </w:tc>
      </w:tr>
      <w:tr w:rsidR="00294009">
        <w:trPr>
          <w:divId w:val="94597248"/>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sz w:val="20"/>
                <w:szCs w:val="20"/>
              </w:rPr>
            </w:pPr>
            <w:r>
              <w:rPr>
                <w:rFonts w:ascii="Times" w:hAnsi="Times" w:cs="Times"/>
                <w:sz w:val="20"/>
                <w:szCs w:val="20"/>
              </w:rPr>
              <w:t>August 2019</w:t>
            </w:r>
          </w:p>
        </w:tc>
      </w:tr>
    </w:tbl>
    <w:p w:rsidR="00325440" w:rsidRDefault="00325440" w:rsidP="00C579E9">
      <w:pPr>
        <w:pStyle w:val="Normlnywebov"/>
        <w:spacing w:before="0" w:beforeAutospacing="0" w:after="0" w:afterAutospacing="0"/>
        <w:rPr>
          <w:bCs/>
          <w:sz w:val="22"/>
          <w:szCs w:val="22"/>
        </w:rPr>
      </w:pPr>
    </w:p>
    <w:p w:rsidR="00294009" w:rsidRDefault="00294009"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294009">
        <w:trPr>
          <w:divId w:val="116470827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2.  Definícia problému</w:t>
            </w:r>
          </w:p>
        </w:tc>
      </w:tr>
      <w:tr w:rsidR="00294009">
        <w:trPr>
          <w:divId w:val="116470827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sz w:val="20"/>
                <w:szCs w:val="20"/>
              </w:rPr>
            </w:pPr>
            <w:r>
              <w:rPr>
                <w:rFonts w:ascii="Times" w:hAnsi="Times" w:cs="Times"/>
                <w:sz w:val="20"/>
                <w:szCs w:val="20"/>
              </w:rPr>
              <w:t xml:space="preserve">Predmetná novela zákona č. 343/2015 Z. z. o verejnom obstarávaní a o zmene a doplnení niektorých zákonov v znení neskorších predpisov (ďalej len „zákon o verejnom obstarávaní“) je pripravovaná na základe plánu legislatívnych úloh vlády SR na rok 2019. Vecne je predmetná novelizácia primárne zameraná na problematiku účasti majetkovo prepojených hospodárskych subjektov vo verejnom obstarávaní. Problematika vzájomne majetkovo alebo personálne prepojených uchádzačov - tvoriacich rovnakú hospodársku jednotku (ďalej ako „prepojení uchádzači) a ich účasť vo verejnom obstarávaní je významnou témou v rámci verejného obstarávania v rámci celej Európskej únie. Svedčia o tom (okrem iného) aj judikatúra Súdneho dvora EÚ z roku 2018 vo veci Ecoservice projektai, C-531/16, z ktorej vyplýva povinnosť pre verejného obstarávateľa zaoberať sa samostatnosťou a nezávislosťou ponúk predložených prepojenými uchádzačmi, pričom princípy verejného obstarávania bránia zadaniu zákazky uchádzačom, ktorí predložili vzájomne ovplyvnené ponuky. </w:t>
            </w:r>
            <w:r>
              <w:rPr>
                <w:rFonts w:ascii="Times" w:hAnsi="Times" w:cs="Times"/>
                <w:sz w:val="20"/>
                <w:szCs w:val="20"/>
              </w:rPr>
              <w:br/>
            </w:r>
            <w:r>
              <w:rPr>
                <w:rFonts w:ascii="Times" w:hAnsi="Times" w:cs="Times"/>
                <w:sz w:val="20"/>
                <w:szCs w:val="20"/>
              </w:rPr>
              <w:br/>
              <w:t xml:space="preserve">Pripravovaná novelizácia taktiež za účelom „spopularizovania“ zeleného verejného obstarávania vymedzí definíciu enviromentálneho aspektu vo verejnom obstarávaní. </w:t>
            </w:r>
            <w:r>
              <w:rPr>
                <w:rFonts w:ascii="Times" w:hAnsi="Times" w:cs="Times"/>
                <w:sz w:val="20"/>
                <w:szCs w:val="20"/>
              </w:rPr>
              <w:br/>
            </w:r>
            <w:r>
              <w:rPr>
                <w:rFonts w:ascii="Times" w:hAnsi="Times" w:cs="Times"/>
                <w:sz w:val="20"/>
                <w:szCs w:val="20"/>
              </w:rPr>
              <w:br/>
              <w:t xml:space="preserve">Okrem uvedenej problematiky je snahou novely znížiť administratívnu záťaž verejných obstarávateľov a obstarávateľov a to jednak systematickým zjednotením úpravy povinnosti zverejňovať súhrnné správy a taktiež zvýšením hranice pri zverejňovaní súhrnných správ pri zmluvách vyňatých z pôsobnosti zákona o verejnom obstarávaní zo súčasných 1000 Eur na 5000 Eur. </w:t>
            </w:r>
            <w:r>
              <w:rPr>
                <w:rFonts w:ascii="Times" w:hAnsi="Times" w:cs="Times"/>
                <w:sz w:val="20"/>
                <w:szCs w:val="20"/>
              </w:rPr>
              <w:br/>
            </w:r>
            <w:r>
              <w:rPr>
                <w:rFonts w:ascii="Times" w:hAnsi="Times" w:cs="Times"/>
                <w:sz w:val="20"/>
                <w:szCs w:val="20"/>
              </w:rPr>
              <w:br/>
              <w:t xml:space="preserve">Za účelom účinnejšej kontroly elektronických nástrojov používaných na elektronickú komunikáciu návrh upravuje zoznam elektronických prostriedkov. </w:t>
            </w:r>
            <w:r>
              <w:rPr>
                <w:rFonts w:ascii="Times" w:hAnsi="Times" w:cs="Times"/>
                <w:sz w:val="20"/>
                <w:szCs w:val="20"/>
              </w:rPr>
              <w:br/>
            </w:r>
            <w:r>
              <w:rPr>
                <w:rFonts w:ascii="Times" w:hAnsi="Times" w:cs="Times"/>
                <w:sz w:val="20"/>
                <w:szCs w:val="20"/>
              </w:rPr>
              <w:br/>
              <w:t xml:space="preserve">Okrem uvedenej problematiky je novelizácia zameraná na postihovanie špekulatívnych foriem konania hospodárskych subjektov pri využívaní revíznych nástrojov. </w:t>
            </w:r>
            <w:r>
              <w:rPr>
                <w:rFonts w:ascii="Times" w:hAnsi="Times" w:cs="Times"/>
                <w:sz w:val="20"/>
                <w:szCs w:val="20"/>
              </w:rPr>
              <w:br/>
            </w:r>
            <w:r>
              <w:rPr>
                <w:rFonts w:ascii="Times" w:hAnsi="Times" w:cs="Times"/>
                <w:sz w:val="20"/>
                <w:szCs w:val="20"/>
              </w:rPr>
              <w:br/>
              <w:t>Návrh taktiež reflektuje korekciu niektorých legislatívno-technických nedostatkov, ako napríklad nesprávne vnútorné odkazy.</w:t>
            </w:r>
          </w:p>
        </w:tc>
      </w:tr>
      <w:tr w:rsidR="00294009">
        <w:trPr>
          <w:divId w:val="116470827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3.  Ciele a výsledný stav</w:t>
            </w:r>
          </w:p>
        </w:tc>
      </w:tr>
      <w:tr w:rsidR="00294009">
        <w:trPr>
          <w:divId w:val="116470827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sz w:val="20"/>
                <w:szCs w:val="20"/>
              </w:rPr>
            </w:pPr>
            <w:r>
              <w:rPr>
                <w:rFonts w:ascii="Times" w:hAnsi="Times" w:cs="Times"/>
                <w:sz w:val="20"/>
                <w:szCs w:val="20"/>
              </w:rPr>
              <w:lastRenderedPageBreak/>
              <w:t>Zefektívnenie procesu verejného obstarávania, eliminácia a predchádzanie špekulatívnemu správaniu hospodárskych subjektov vo verejnom obstarávaní, efektívnejšia kontrola elektronických prostriedkov používaných na elektronickú komunikáciu vo verejnom obstarávaní</w:t>
            </w:r>
          </w:p>
        </w:tc>
      </w:tr>
      <w:tr w:rsidR="00294009">
        <w:trPr>
          <w:divId w:val="116470827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4.  Dotknuté subjekty</w:t>
            </w:r>
          </w:p>
        </w:tc>
      </w:tr>
      <w:tr w:rsidR="00294009">
        <w:trPr>
          <w:divId w:val="116470827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sz w:val="20"/>
                <w:szCs w:val="20"/>
              </w:rPr>
            </w:pPr>
            <w:r>
              <w:rPr>
                <w:rFonts w:ascii="Times" w:hAnsi="Times" w:cs="Times"/>
                <w:sz w:val="20"/>
                <w:szCs w:val="20"/>
              </w:rPr>
              <w:t xml:space="preserve">Verejní obstarávatelia, obstarávatelia a hospodárske subjekty podľa zákona č. 343/2015 Z. z. v znení neskorších predpisov. Prevádzkovatelia elektronických prostriedkov používaných na elektronickú komunikáciu vo verejnom obstarávaní. </w:t>
            </w:r>
          </w:p>
        </w:tc>
      </w:tr>
      <w:tr w:rsidR="00294009">
        <w:trPr>
          <w:divId w:val="116470827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5.  Alternatívne riešenia</w:t>
            </w:r>
          </w:p>
        </w:tc>
      </w:tr>
      <w:tr w:rsidR="00294009">
        <w:trPr>
          <w:divId w:val="116470827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sz w:val="20"/>
                <w:szCs w:val="20"/>
              </w:rPr>
            </w:pPr>
            <w:r>
              <w:rPr>
                <w:rFonts w:ascii="Times" w:hAnsi="Times" w:cs="Times"/>
                <w:sz w:val="20"/>
                <w:szCs w:val="20"/>
              </w:rPr>
              <w:t xml:space="preserve">V rámci konzultácie boli prediskutované aj iné formy regulácie elektronických prostriedkov vo verejnom obstarávaní, ako napríklad klasická certifikácia prostredníctvom akreditovaného subjektu, alebo certifikácia realizovaná samotným úradom. V rámci týchto alternatív však bolo poukázané nielen na dlhšiu nábehovú krivku takéhoto riešenia ale taktiež na značne vysoké finančné náklady spojené s certifikáciou. S navrhovaným riešením v rámci návrhu zákona prevádzkovatelia vyjadrili súhlas a to aj z dôvodu, že na navrhované riešenie regulácie elektronických prostriedkov sú v podstate už dnes technicky a administratívne pripravení. </w:t>
            </w:r>
          </w:p>
        </w:tc>
      </w:tr>
      <w:tr w:rsidR="00294009">
        <w:trPr>
          <w:divId w:val="116470827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6.  Vykonávacie predpisy</w:t>
            </w:r>
          </w:p>
        </w:tc>
      </w:tr>
      <w:tr w:rsidR="00294009">
        <w:trPr>
          <w:divId w:val="116470827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r>
            <w:r>
              <w:rPr>
                <w:rFonts w:ascii="Times" w:hAnsi="Times" w:cs="Times"/>
                <w:sz w:val="20"/>
                <w:szCs w:val="20"/>
              </w:rPr>
              <w:br/>
              <w:t xml:space="preserve">Návrh zákona v súvislosti s vytvorením zoznamu elektronických prostriedkov predpokladá vydanie nového vykonávacieho predpisu, ktorý upraví obsahové náležitosti dotazníka, ktorý budú predkladať prevádzkovatelia elektronických prostriedkov ako povinnú náležitosť žiadosti o zápis do tohto zoznamu (§ 158b ods. 2 písm. f) návrhu zákona) </w:t>
            </w:r>
          </w:p>
        </w:tc>
      </w:tr>
      <w:tr w:rsidR="00294009">
        <w:trPr>
          <w:divId w:val="116470827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xml:space="preserve">  7.  Transpozícia práva EÚ </w:t>
            </w:r>
          </w:p>
        </w:tc>
      </w:tr>
      <w:tr w:rsidR="00294009">
        <w:trPr>
          <w:divId w:val="116470827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sz w:val="20"/>
                <w:szCs w:val="20"/>
              </w:rPr>
            </w:pPr>
            <w:r>
              <w:rPr>
                <w:rFonts w:ascii="Times" w:hAnsi="Times" w:cs="Times"/>
                <w:sz w:val="20"/>
                <w:szCs w:val="20"/>
              </w:rPr>
              <w:t xml:space="preserve">Primárnym cieľom novelizácie zákona o verejnom obstarávaní nie je transpozícia práva EÚ. </w:t>
            </w:r>
          </w:p>
        </w:tc>
      </w:tr>
      <w:tr w:rsidR="00294009">
        <w:trPr>
          <w:divId w:val="116470827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8.  Preskúmanie účelnosti**</w:t>
            </w:r>
          </w:p>
        </w:tc>
      </w:tr>
      <w:tr w:rsidR="00294009">
        <w:trPr>
          <w:divId w:val="1164708271"/>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294009" w:rsidRDefault="00294009"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4"/>
        <w:gridCol w:w="1818"/>
        <w:gridCol w:w="1818"/>
        <w:gridCol w:w="1818"/>
      </w:tblGrid>
      <w:tr w:rsidR="00294009">
        <w:trPr>
          <w:divId w:val="952443199"/>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0"/>
                <w:szCs w:val="20"/>
              </w:rPr>
            </w:pPr>
            <w:r>
              <w:rPr>
                <w:rFonts w:ascii="Times" w:hAnsi="Times" w:cs="Times"/>
                <w:b/>
                <w:bCs/>
                <w:sz w:val="20"/>
                <w:szCs w:val="20"/>
              </w:rPr>
              <w:t>  9.   Vplyvy navrhovaného materiálu</w:t>
            </w:r>
          </w:p>
        </w:tc>
      </w:tr>
      <w:tr w:rsidR="00294009">
        <w:trPr>
          <w:divId w:val="952443199"/>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94009" w:rsidRDefault="00294009">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94009">
        <w:trPr>
          <w:divId w:val="952443199"/>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294009">
        <w:trPr>
          <w:divId w:val="952443199"/>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94009" w:rsidRDefault="00294009">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294009">
        <w:trPr>
          <w:divId w:val="952443199"/>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294009">
        <w:trPr>
          <w:divId w:val="952443199"/>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94009" w:rsidRDefault="00294009">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94009">
        <w:trPr>
          <w:divId w:val="952443199"/>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94009" w:rsidRDefault="00294009">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94009">
        <w:trPr>
          <w:divId w:val="952443199"/>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94009" w:rsidRDefault="00294009">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rsidP="001E10E3">
            <w:pPr>
              <w:rPr>
                <w:rFonts w:ascii="Times" w:hAnsi="Times" w:cs="Times"/>
                <w:sz w:val="20"/>
                <w:szCs w:val="20"/>
              </w:rPr>
            </w:pPr>
            <w:r>
              <w:rPr>
                <w:rFonts w:ascii="Times" w:hAnsi="Times" w:cs="Times"/>
                <w:sz w:val="20"/>
                <w:szCs w:val="20"/>
              </w:rPr>
              <w:t xml:space="preserve">   </w:t>
            </w:r>
            <w:r w:rsidR="001E10E3">
              <w:rPr>
                <w:rFonts w:ascii="Wingdings 2" w:hAnsi="Wingdings 2" w:cs="Times"/>
                <w:sz w:val="20"/>
                <w:szCs w:val="20"/>
              </w:rPr>
              <w:t></w:t>
            </w:r>
            <w:r>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rsidP="001E10E3">
            <w:pPr>
              <w:rPr>
                <w:rFonts w:ascii="Times" w:hAnsi="Times" w:cs="Times"/>
                <w:sz w:val="20"/>
                <w:szCs w:val="20"/>
              </w:rPr>
            </w:pPr>
            <w:r>
              <w:rPr>
                <w:rFonts w:ascii="Times" w:hAnsi="Times" w:cs="Times"/>
                <w:sz w:val="20"/>
                <w:szCs w:val="20"/>
              </w:rPr>
              <w:t>    </w:t>
            </w:r>
            <w:r w:rsidR="001E10E3" w:rsidRPr="001E10E3">
              <w:rPr>
                <w:rFonts w:ascii="Times" w:hAnsi="Times" w:cs="Times"/>
                <w:sz w:val="20"/>
                <w:szCs w:val="20"/>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94009">
        <w:trPr>
          <w:divId w:val="952443199"/>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94009" w:rsidRDefault="00294009">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294009">
        <w:trPr>
          <w:divId w:val="952443199"/>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94009">
        <w:trPr>
          <w:divId w:val="952443199"/>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94009" w:rsidRDefault="00294009">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94009" w:rsidRDefault="0029400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294009" w:rsidRDefault="00294009"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294009">
        <w:trPr>
          <w:divId w:val="67503629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10.  Poznámky</w:t>
            </w:r>
          </w:p>
        </w:tc>
      </w:tr>
      <w:tr w:rsidR="00294009">
        <w:trPr>
          <w:divId w:val="67503629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94009" w:rsidRPr="00F93C62" w:rsidRDefault="00294009">
            <w:pPr>
              <w:pStyle w:val="Normlnywebov"/>
              <w:jc w:val="both"/>
              <w:rPr>
                <w:rFonts w:ascii="Times" w:hAnsi="Times" w:cs="Times"/>
                <w:sz w:val="20"/>
                <w:szCs w:val="20"/>
              </w:rPr>
            </w:pPr>
            <w:r w:rsidRPr="00F93C62">
              <w:rPr>
                <w:rStyle w:val="Zvraznenie"/>
                <w:rFonts w:ascii="Times" w:hAnsi="Times" w:cs="Times"/>
                <w:sz w:val="20"/>
                <w:szCs w:val="20"/>
              </w:rPr>
              <w:t xml:space="preserve">V prípade vplyvov na podnikateľské prostredie návrh zákona predpokladá kombináciu pozitívneho aj negatívneho vplyvu. Z pohľadu pozitívneho vplyvu na podnikateľské prostredie možno vnímať predovšetkým snahu návrhu zákona predchádzať a postihovať špekulatívne formy správania sa podnikateľských subjektov pri využívaní revíznych prostriedkov, ktorých následky musia v praxi znášať nielen verejní obstarávatelia </w:t>
            </w:r>
            <w:r w:rsidRPr="00F93C62">
              <w:rPr>
                <w:rStyle w:val="Zvraznenie"/>
                <w:rFonts w:ascii="Times" w:hAnsi="Times" w:cs="Times"/>
                <w:sz w:val="20"/>
                <w:szCs w:val="20"/>
              </w:rPr>
              <w:lastRenderedPageBreak/>
              <w:t>(predlžovanie procesu verejného obstarávania, ohrozenie čerpania štrukturálnych fondov a pod..) ale aj čestní podnikatelia, ktorým sa napríklad v dôsledku predlžovania verejného obstarávania uplatňovaním obštrukčných opravných prostriedkov zvyšujú transakčné náklady na účasť vo verejnom obstarávaní, napr.  majú dlhší čas viazanú zábezpeku alebo vlastné kapacity alokované na realizáciu zákazky a pod..</w:t>
            </w:r>
          </w:p>
          <w:p w:rsidR="00294009" w:rsidRPr="00F93C62" w:rsidRDefault="00294009">
            <w:pPr>
              <w:pStyle w:val="Normlnywebov"/>
              <w:jc w:val="both"/>
              <w:rPr>
                <w:rFonts w:ascii="Times" w:hAnsi="Times" w:cs="Times"/>
                <w:sz w:val="20"/>
                <w:szCs w:val="20"/>
              </w:rPr>
            </w:pPr>
            <w:r w:rsidRPr="00F93C62">
              <w:rPr>
                <w:rStyle w:val="Zvraznenie"/>
                <w:rFonts w:ascii="Times" w:hAnsi="Times" w:cs="Times"/>
                <w:sz w:val="20"/>
                <w:szCs w:val="20"/>
              </w:rPr>
              <w:t xml:space="preserve">V kontexte pozitívneho vplyvu na podnikateľské prostredie taktiež možno vnímať snahu návrhu zákona vytvoriť regulačnú bázu pre efektívnejšiu kontrolu prevádzkovateľov elektronických nástrojov používaných na elektronickú komunikáciu vo verejnom obstarávaní. Efektívnejšie vynucovanie dodržiavania pravidiel vyžadovaných zákonom pre prevádzkovateľov elektronických nástrojov predstavuje základný predpoklad pre „zdravý“  vývoj tohto pomerne mladého podsegmentu IT sektora. </w:t>
            </w:r>
          </w:p>
          <w:p w:rsidR="00294009" w:rsidRPr="00F93C62" w:rsidRDefault="00294009">
            <w:pPr>
              <w:pStyle w:val="Normlnywebov"/>
              <w:jc w:val="both"/>
              <w:rPr>
                <w:rFonts w:ascii="Times" w:hAnsi="Times" w:cs="Times"/>
                <w:sz w:val="20"/>
                <w:szCs w:val="20"/>
              </w:rPr>
            </w:pPr>
            <w:r w:rsidRPr="00F93C62">
              <w:rPr>
                <w:rStyle w:val="Zvraznenie"/>
                <w:rFonts w:ascii="Times" w:hAnsi="Times" w:cs="Times"/>
                <w:sz w:val="20"/>
                <w:szCs w:val="20"/>
              </w:rPr>
              <w:t xml:space="preserve">Pozitívny vplyv na podnikateľské prostredie je taktiež možné identifikovať v precíznejšej regulácii možnosti obmedzenia prístupu hospodárskych subjektov z tretích krajín do verejného obstarávania v podmienkach Slovenskej republiky. </w:t>
            </w:r>
          </w:p>
          <w:p w:rsidR="00294009" w:rsidRPr="00F93C62" w:rsidRDefault="00294009">
            <w:pPr>
              <w:pStyle w:val="Normlnywebov"/>
              <w:jc w:val="both"/>
              <w:rPr>
                <w:rFonts w:ascii="Times" w:hAnsi="Times" w:cs="Times"/>
                <w:sz w:val="20"/>
                <w:szCs w:val="20"/>
              </w:rPr>
            </w:pPr>
            <w:r w:rsidRPr="00F93C62">
              <w:rPr>
                <w:rStyle w:val="Zvraznenie"/>
                <w:rFonts w:ascii="Times" w:hAnsi="Times" w:cs="Times"/>
                <w:sz w:val="20"/>
                <w:szCs w:val="20"/>
              </w:rPr>
              <w:t xml:space="preserve">V kontexte negatívnych dopadov na podnikateľské prostredie možno vnímať vznik administratívno-finančných nákladov pre prevádzkovateľov elektronických nástrojov, ktoré im vzniknú v súvislosti so zápisom elektronického prostriedku do zoznamu elektronických prostriedkov. </w:t>
            </w:r>
          </w:p>
        </w:tc>
      </w:tr>
      <w:tr w:rsidR="00294009">
        <w:trPr>
          <w:divId w:val="67503629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lastRenderedPageBreak/>
              <w:t>  11.  Kontakt na spracovateľa</w:t>
            </w:r>
          </w:p>
        </w:tc>
      </w:tr>
      <w:tr w:rsidR="00294009">
        <w:trPr>
          <w:divId w:val="67503629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94009" w:rsidRPr="00F93C62" w:rsidRDefault="00294009">
            <w:pPr>
              <w:pStyle w:val="Normlnywebov"/>
              <w:rPr>
                <w:rFonts w:ascii="Times" w:hAnsi="Times" w:cs="Times"/>
                <w:sz w:val="20"/>
                <w:szCs w:val="20"/>
              </w:rPr>
            </w:pPr>
            <w:r w:rsidRPr="00F93C62">
              <w:rPr>
                <w:rStyle w:val="Zvraznenie"/>
                <w:rFonts w:ascii="Times" w:hAnsi="Times" w:cs="Times"/>
                <w:sz w:val="20"/>
                <w:szCs w:val="20"/>
              </w:rPr>
              <w:t>JUDr. Róbert Majchrák – vedúci oddelenia legislatívno-právneho odboru, Úrad pre verejné obstarávanie</w:t>
            </w:r>
          </w:p>
          <w:p w:rsidR="00294009" w:rsidRPr="00F93C62" w:rsidRDefault="00730071">
            <w:pPr>
              <w:pStyle w:val="Normlnywebov"/>
              <w:rPr>
                <w:rFonts w:ascii="Times" w:hAnsi="Times" w:cs="Times"/>
                <w:sz w:val="20"/>
                <w:szCs w:val="20"/>
              </w:rPr>
            </w:pPr>
            <w:hyperlink r:id="rId7" w:history="1">
              <w:r w:rsidR="00294009" w:rsidRPr="00F93C62">
                <w:rPr>
                  <w:rStyle w:val="Hypertextovprepojenie"/>
                  <w:rFonts w:ascii="Times" w:hAnsi="Times" w:cs="Times"/>
                  <w:i/>
                  <w:iCs/>
                  <w:sz w:val="20"/>
                  <w:szCs w:val="20"/>
                </w:rPr>
                <w:t>robert.majchrak@uvo.gov.sk</w:t>
              </w:r>
            </w:hyperlink>
          </w:p>
          <w:p w:rsidR="00294009" w:rsidRPr="00F93C62" w:rsidRDefault="00294009">
            <w:pPr>
              <w:pStyle w:val="Normlnywebov"/>
              <w:rPr>
                <w:rFonts w:ascii="Times" w:hAnsi="Times" w:cs="Times"/>
                <w:sz w:val="20"/>
                <w:szCs w:val="20"/>
              </w:rPr>
            </w:pPr>
            <w:r w:rsidRPr="00F93C62">
              <w:rPr>
                <w:rStyle w:val="Zvraznenie"/>
                <w:rFonts w:ascii="Times" w:hAnsi="Times" w:cs="Times"/>
                <w:sz w:val="20"/>
                <w:szCs w:val="20"/>
              </w:rPr>
              <w:t>0907 113 713</w:t>
            </w:r>
          </w:p>
        </w:tc>
      </w:tr>
      <w:tr w:rsidR="00294009">
        <w:trPr>
          <w:divId w:val="67503629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12.  Zdroje</w:t>
            </w:r>
          </w:p>
        </w:tc>
      </w:tr>
      <w:tr w:rsidR="00294009">
        <w:trPr>
          <w:divId w:val="675036295"/>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94009" w:rsidRDefault="00294009">
            <w:pPr>
              <w:rPr>
                <w:rFonts w:ascii="Times" w:hAnsi="Times" w:cs="Times"/>
                <w:b/>
                <w:bCs/>
                <w:sz w:val="22"/>
                <w:szCs w:val="22"/>
              </w:rPr>
            </w:pPr>
          </w:p>
        </w:tc>
      </w:tr>
      <w:tr w:rsidR="00294009">
        <w:trPr>
          <w:divId w:val="675036295"/>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94009" w:rsidRDefault="00294009">
            <w:pPr>
              <w:rPr>
                <w:rFonts w:ascii="Times" w:hAnsi="Times" w:cs="Times"/>
                <w:b/>
                <w:bCs/>
                <w:sz w:val="22"/>
                <w:szCs w:val="22"/>
              </w:rPr>
            </w:pPr>
            <w:r>
              <w:rPr>
                <w:rFonts w:ascii="Times" w:hAnsi="Times" w:cs="Times"/>
                <w:b/>
                <w:bCs/>
                <w:sz w:val="22"/>
                <w:szCs w:val="22"/>
              </w:rPr>
              <w:t>  13.  Stanovisko Komisie pre posudzovanie vybraných vplyvov z PPK</w:t>
            </w:r>
          </w:p>
        </w:tc>
      </w:tr>
      <w:tr w:rsidR="00294009">
        <w:trPr>
          <w:divId w:val="675036295"/>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K doložke vybraných vplyvov</w:t>
            </w:r>
          </w:p>
          <w:p w:rsidR="00294009" w:rsidRPr="00F93C62" w:rsidRDefault="00294009">
            <w:pPr>
              <w:pStyle w:val="Normlnywebov"/>
              <w:rPr>
                <w:rFonts w:ascii="Times" w:hAnsi="Times" w:cs="Times"/>
                <w:sz w:val="20"/>
                <w:szCs w:val="20"/>
              </w:rPr>
            </w:pPr>
            <w:r w:rsidRPr="00F93C62">
              <w:rPr>
                <w:rFonts w:ascii="Times" w:hAnsi="Times" w:cs="Times"/>
                <w:sz w:val="20"/>
                <w:szCs w:val="20"/>
              </w:rPr>
              <w:t>Komisia odporúča uviesť do dôvodovej správy aj negatívne vplyvy na podnikateľské prostredie v súlade s doložkou vybraných vplyvov, a v doložke vybraných vplyvov uviesť aj pozitívne a negatívne vplyvy na MSP, v súlade s analýzou vplyvov na podnikateľské prostredie.</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Vyhodnotenie: akceptované</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Komisia odporúča do časti 5. Alternatívne riešenia doložky vybraných vplyvov uviesť text v zmysle vyhodnotenia konzultácií v analýze vplyvov na podnikateľské prostredie („V rámci konzultácie boli prediskutované aj iné formy regulácie ako napríklad klasická certifikácia prostredníctvom akreditovaného subjektu, alebo certifikácia realizovaná samotným úradom. V rámci týchto alternatív však bolo poukázané nielen na dlhšiu nábehovú krivku takéhoto riešenia ale taktiež na značne vysoké finančné náklady spojené s certifikáciou. S navrhovaným riešením v rámci návrhu zákona prevádzkovatelia vyjadrili súhlas a to aj z dôvodu, že na navrhované riešenie regulácie elektronických prostriedkov sú v podstate už dnes technicky a administratívne pripravení.“)</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 xml:space="preserve">Vyhodnotenie: akceptované </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Komisia žiada predkladateľa o vyznačenie pozitívno-negatívneho vplyvu na MSP v Doložke vybraných vplyvov v časti 9. Vplyvy navrhovaného materiálu. Predkladateľ tým uvedie do súladu Doložku vybraných vplyvov s Analýzou vplyvov na podnikateľské prostredie, nakoľko v Analýze uvádza vplyv na všetky kategórie podnikov.</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lastRenderedPageBreak/>
              <w:t xml:space="preserve">Vyhodnotenie: akceptované </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K analýze vplyvov na podnikateľské prostredie</w:t>
            </w:r>
          </w:p>
          <w:p w:rsidR="00294009" w:rsidRPr="00F93C62" w:rsidRDefault="00294009">
            <w:pPr>
              <w:pStyle w:val="Normlnywebov"/>
              <w:rPr>
                <w:rFonts w:ascii="Times" w:hAnsi="Times" w:cs="Times"/>
                <w:sz w:val="20"/>
                <w:szCs w:val="20"/>
              </w:rPr>
            </w:pPr>
            <w:r w:rsidRPr="00F93C62">
              <w:rPr>
                <w:rFonts w:ascii="Times" w:hAnsi="Times" w:cs="Times"/>
                <w:sz w:val="20"/>
                <w:szCs w:val="20"/>
              </w:rPr>
              <w:t>V časti 3.4 Konkurencieschopnosť a správanie sa podnikov na trhu Komisia odporúča v časti 3.4 Konkurencieschopnosť a správanie sa podnikov na trhu analýzy vplyvov na podnikateľské prostredie uviesť aj pozitívne vplyvy na podnikateľov:</w:t>
            </w:r>
          </w:p>
          <w:p w:rsidR="00294009" w:rsidRPr="00F93C62" w:rsidRDefault="00294009">
            <w:pPr>
              <w:pStyle w:val="Normlnywebov"/>
              <w:rPr>
                <w:rFonts w:ascii="Times" w:hAnsi="Times" w:cs="Times"/>
                <w:sz w:val="20"/>
                <w:szCs w:val="20"/>
              </w:rPr>
            </w:pPr>
            <w:r w:rsidRPr="00F93C62">
              <w:rPr>
                <w:rFonts w:ascii="Times" w:hAnsi="Times" w:cs="Times"/>
                <w:sz w:val="20"/>
                <w:szCs w:val="20"/>
              </w:rPr>
              <w:t>a) ktorí by mohli byť úspešnými uchádzačmi v rámci zeleného verejného obstarávania v súvislosti s doplnením § 2 ods. 5 q),</w:t>
            </w:r>
          </w:p>
          <w:p w:rsidR="00294009" w:rsidRPr="00F93C62" w:rsidRDefault="00294009">
            <w:pPr>
              <w:pStyle w:val="Normlnywebov"/>
              <w:rPr>
                <w:rFonts w:ascii="Times" w:hAnsi="Times" w:cs="Times"/>
                <w:sz w:val="20"/>
                <w:szCs w:val="20"/>
              </w:rPr>
            </w:pPr>
            <w:r w:rsidRPr="00F93C62">
              <w:rPr>
                <w:rFonts w:ascii="Times" w:hAnsi="Times" w:cs="Times"/>
                <w:sz w:val="20"/>
                <w:szCs w:val="20"/>
              </w:rPr>
              <w:t>b) ktorým by sa mohli znížiť transakčné náklady súvisiace s účasťou vo verejnom obstarávaní kvôli postihovaniu špekulatívnych foriem konania iných hospodárskych subjektov pri využívaní revíznych nástrojov</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Vyhodnotenie: akceptované</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Komisia odporúča v časti 3.3.1 Priame finančné náklady analýzy vplyvov na podnikateľské prostredie uviesť, resp. popísať sankcie v zmysle § 182 ods. 3 h) až o); keďže však ide o hypotetické náklady, ktoré vzniknú až pri porušení povinností zo strany podnikateľa, nie je potrebné ich uvádzať v časti 3.3.4 Súhrnná tabuľka nákladov regulácie</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Vyhodnotenie: akceptované</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Komisia odporúča v časti 3.3.3 Administratívne náklady analýzy vplyvov na podnikateľské prostredie uviesť aj:</w:t>
            </w:r>
          </w:p>
          <w:p w:rsidR="00294009" w:rsidRPr="00F93C62" w:rsidRDefault="00294009">
            <w:pPr>
              <w:pStyle w:val="Normlnywebov"/>
              <w:rPr>
                <w:rFonts w:ascii="Times" w:hAnsi="Times" w:cs="Times"/>
                <w:sz w:val="20"/>
                <w:szCs w:val="20"/>
              </w:rPr>
            </w:pPr>
            <w:r w:rsidRPr="00F93C62">
              <w:rPr>
                <w:rFonts w:ascii="Times" w:hAnsi="Times" w:cs="Times"/>
                <w:sz w:val="20"/>
                <w:szCs w:val="20"/>
              </w:rPr>
              <w:t>a) povinnosť v § 20 ods. 19 - sprístupnenie informácií alebo dokumentov – uviesť vyčíslenie na 1 podnikateľa podľa kalkulačky nákladov regulácie (povinnosť – Poskytnutie súčinnosti, hypotetické náklady - nie je potrebné ich uvádzať aj v časti 3.3.4 Súhrnná tabuľka nákladov regulácie)</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Vyhodnotenie: akceptované</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b) povinnosť v § 158b ods. 4 - uviesť vyčíslenie na 1 podnikateľa podľa kalkulačky nákladov regulácie (povinnosť – Ohlásenie, oznámenie, poskytnutie informácie, hypotetické náklady - nie je potrebné ich uvádzať aj v časti 3.3.4 Súhrnná tabuľka nákladov regulácie)</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Vyhodnotenie: akceptované</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c) povinnosť v § 166 ods. 2 - uviesť vyčíslenie na 1 podnikateľa podľa kalkulačky nákladov regulácie (povinnosť – Poskytnutie súčinnosti, hypotetické náklady - nie je potrebné ich uvádzať aj v časti 3.3.4 Súhrnná tabuľka nákladov regulácie)</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lastRenderedPageBreak/>
              <w:t>Vyhodnotenie: akceptované</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Komisia žiada predkladateľa o vyčíslenie celkových nákladov regulácie na 1 podnikateľa v časti 3.3.4 Súhrnná tabuľka nákladov regulácie, nakoľko predkladateľ vyčíslil administratívne náklady, ale celkové náklady regulácie vyznačil ako nulové.</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Vyhodnotenie: akceptované</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Komisia žiada predkladateľa o kvalitatívny popis pozitívnych vplyvov v Analýze vplyvov na podnikateľské prostredie v časti 3.3. Náklady regulácie (napr. vypustenie povinnosti zdôvodňovať uzavretie zmluvy v prípade predloženia jednej ponuky z dôvodu odstránenia národného goldplatingu a pod.).</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Vyhodnotenie: akceptované</w:t>
            </w:r>
            <w:r w:rsidRPr="00F93C62">
              <w:rPr>
                <w:rFonts w:ascii="Times" w:hAnsi="Times" w:cs="Times"/>
                <w:sz w:val="20"/>
                <w:szCs w:val="20"/>
              </w:rPr>
              <w:t xml:space="preserve"> (uvedené v bode 3.4)</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K vplyvom na informatizáciu</w:t>
            </w:r>
          </w:p>
          <w:p w:rsidR="00294009" w:rsidRPr="00F93C62" w:rsidRDefault="00294009">
            <w:pPr>
              <w:pStyle w:val="Normlnywebov"/>
              <w:rPr>
                <w:rFonts w:ascii="Times" w:hAnsi="Times" w:cs="Times"/>
                <w:sz w:val="20"/>
                <w:szCs w:val="20"/>
              </w:rPr>
            </w:pPr>
            <w:r w:rsidRPr="00F93C62">
              <w:rPr>
                <w:rFonts w:ascii="Times" w:hAnsi="Times" w:cs="Times"/>
                <w:sz w:val="20"/>
                <w:szCs w:val="20"/>
              </w:rPr>
              <w:t>Komisia nesúhlasí s tým, že materiál nepredpokladá žiadny vplyv na informatizáciu. Zverejňovanie informácií „zoznam elektronických prostriedkov“ na webovom sídle sa považuje za elektronickú službu. Z uvedeného dôvodu je potrebné uviesť túto skutočnosť do doložky vplyvov a vypracovať analýzu vplyvov na informatizáciu spoločnosti.</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 xml:space="preserve">Vyhodnotenie: akceptované </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rPr>
                <w:rFonts w:ascii="Times" w:hAnsi="Times" w:cs="Times"/>
                <w:sz w:val="20"/>
                <w:szCs w:val="20"/>
              </w:rPr>
            </w:pPr>
            <w:r w:rsidRPr="00F93C62">
              <w:rPr>
                <w:rStyle w:val="Siln"/>
                <w:rFonts w:ascii="Times" w:hAnsi="Times" w:cs="Times"/>
                <w:sz w:val="20"/>
                <w:szCs w:val="20"/>
              </w:rPr>
              <w:t xml:space="preserve">III. Záver: </w:t>
            </w:r>
            <w:r w:rsidRPr="00F93C62">
              <w:rPr>
                <w:rFonts w:ascii="Times" w:hAnsi="Times" w:cs="Times"/>
                <w:sz w:val="20"/>
                <w:szCs w:val="20"/>
              </w:rPr>
              <w:t>Stála pracovná komisia na posudzovanie vybraných vplyvov vyjadruje</w:t>
            </w:r>
          </w:p>
          <w:p w:rsidR="00294009" w:rsidRPr="00F93C62" w:rsidRDefault="00294009">
            <w:pPr>
              <w:pStyle w:val="Normlnywebov"/>
              <w:rPr>
                <w:rFonts w:ascii="Times" w:hAnsi="Times" w:cs="Times"/>
                <w:sz w:val="20"/>
                <w:szCs w:val="20"/>
              </w:rPr>
            </w:pPr>
            <w:r w:rsidRPr="00F93C62">
              <w:rPr>
                <w:rFonts w:ascii="Times" w:hAnsi="Times" w:cs="Times"/>
                <w:sz w:val="20"/>
                <w:szCs w:val="20"/>
              </w:rPr>
              <w:t> </w:t>
            </w:r>
          </w:p>
          <w:p w:rsidR="00294009" w:rsidRPr="00F93C62" w:rsidRDefault="00294009">
            <w:pPr>
              <w:pStyle w:val="Normlnywebov"/>
              <w:jc w:val="center"/>
              <w:rPr>
                <w:rFonts w:ascii="Times" w:hAnsi="Times" w:cs="Times"/>
                <w:sz w:val="20"/>
                <w:szCs w:val="20"/>
              </w:rPr>
            </w:pPr>
            <w:r w:rsidRPr="00F93C62">
              <w:rPr>
                <w:rStyle w:val="Siln"/>
                <w:rFonts w:ascii="Times" w:hAnsi="Times" w:cs="Times"/>
                <w:sz w:val="20"/>
                <w:szCs w:val="20"/>
              </w:rPr>
              <w:t>nesúhlasné stanovisko</w:t>
            </w:r>
          </w:p>
          <w:p w:rsidR="00294009" w:rsidRPr="00F93C62" w:rsidRDefault="00294009">
            <w:pPr>
              <w:pStyle w:val="Normlnywebov"/>
              <w:jc w:val="center"/>
              <w:rPr>
                <w:rFonts w:ascii="Times" w:hAnsi="Times" w:cs="Times"/>
                <w:sz w:val="20"/>
                <w:szCs w:val="20"/>
              </w:rPr>
            </w:pPr>
            <w:r w:rsidRPr="00F93C62">
              <w:rPr>
                <w:rFonts w:ascii="Times" w:hAnsi="Times" w:cs="Times"/>
                <w:sz w:val="20"/>
                <w:szCs w:val="20"/>
              </w:rPr>
              <w:t> </w:t>
            </w:r>
          </w:p>
          <w:p w:rsidR="00294009" w:rsidRPr="00F93C62" w:rsidRDefault="00294009">
            <w:pPr>
              <w:pStyle w:val="Normlnywebov"/>
              <w:jc w:val="center"/>
              <w:rPr>
                <w:rFonts w:ascii="Times" w:hAnsi="Times" w:cs="Times"/>
                <w:sz w:val="20"/>
                <w:szCs w:val="20"/>
              </w:rPr>
            </w:pPr>
            <w:r w:rsidRPr="00F93C62">
              <w:rPr>
                <w:rFonts w:ascii="Times" w:hAnsi="Times" w:cs="Times"/>
                <w:sz w:val="20"/>
                <w:szCs w:val="20"/>
              </w:rPr>
              <w:t>s materiálom predloženým na predbežné pripomienkové konanie s odporúčaním na jeho dopracovanie podľa pripomienok v bode II.</w:t>
            </w:r>
          </w:p>
        </w:tc>
      </w:tr>
    </w:tbl>
    <w:p w:rsidR="006931EC" w:rsidRPr="00543B8E" w:rsidRDefault="006931EC" w:rsidP="00543B8E">
      <w:pPr>
        <w:pStyle w:val="Normlnywebov"/>
        <w:spacing w:before="0" w:beforeAutospacing="0" w:after="0" w:afterAutospacing="0"/>
        <w:rPr>
          <w:bCs/>
          <w:sz w:val="20"/>
          <w:szCs w:val="20"/>
        </w:rPr>
      </w:pPr>
    </w:p>
    <w:sectPr w:rsidR="006931EC" w:rsidRPr="00543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071" w:rsidRDefault="00730071">
      <w:r>
        <w:separator/>
      </w:r>
    </w:p>
  </w:endnote>
  <w:endnote w:type="continuationSeparator" w:id="0">
    <w:p w:rsidR="00730071" w:rsidRDefault="0073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071" w:rsidRDefault="00730071">
      <w:r>
        <w:separator/>
      </w:r>
    </w:p>
  </w:footnote>
  <w:footnote w:type="continuationSeparator" w:id="0">
    <w:p w:rsidR="00730071" w:rsidRDefault="00730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0E3"/>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4009"/>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071"/>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7AB"/>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93"/>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24AF01E3-7C99-48A8-AC9C-FB15A62B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character" w:styleId="Zvraznenie">
    <w:name w:val="Emphasis"/>
    <w:uiPriority w:val="20"/>
    <w:qFormat/>
    <w:rsid w:val="00294009"/>
    <w:rPr>
      <w:i/>
      <w:iCs/>
    </w:rPr>
  </w:style>
  <w:style w:type="character" w:styleId="Hypertextovprepojenie">
    <w:name w:val="Hyperlink"/>
    <w:uiPriority w:val="99"/>
    <w:semiHidden/>
    <w:unhideWhenUsed/>
    <w:rsid w:val="00294009"/>
    <w:rPr>
      <w:color w:val="0000FF"/>
      <w:u w:val="single"/>
    </w:rPr>
  </w:style>
  <w:style w:type="character" w:styleId="Siln">
    <w:name w:val="Strong"/>
    <w:uiPriority w:val="22"/>
    <w:qFormat/>
    <w:rsid w:val="00294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7248">
      <w:bodyDiv w:val="1"/>
      <w:marLeft w:val="0"/>
      <w:marRight w:val="0"/>
      <w:marTop w:val="0"/>
      <w:marBottom w:val="0"/>
      <w:divBdr>
        <w:top w:val="none" w:sz="0" w:space="0" w:color="auto"/>
        <w:left w:val="none" w:sz="0" w:space="0" w:color="auto"/>
        <w:bottom w:val="none" w:sz="0" w:space="0" w:color="auto"/>
        <w:right w:val="none" w:sz="0" w:space="0" w:color="auto"/>
      </w:divBdr>
    </w:div>
    <w:div w:id="675036295">
      <w:bodyDiv w:val="1"/>
      <w:marLeft w:val="0"/>
      <w:marRight w:val="0"/>
      <w:marTop w:val="0"/>
      <w:marBottom w:val="0"/>
      <w:divBdr>
        <w:top w:val="none" w:sz="0" w:space="0" w:color="auto"/>
        <w:left w:val="none" w:sz="0" w:space="0" w:color="auto"/>
        <w:bottom w:val="none" w:sz="0" w:space="0" w:color="auto"/>
        <w:right w:val="none" w:sz="0" w:space="0" w:color="auto"/>
      </w:divBdr>
    </w:div>
    <w:div w:id="952443199">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1647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ert.majchrak@uvo.gov.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7.2019 15:38:57"/>
    <f:field ref="objchangedby" par="" text="Administrator, System"/>
    <f:field ref="objmodifiedat" par="" text="1.7.2019 15:39:01"/>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1869</Words>
  <Characters>10656</Characters>
  <Application>Microsoft Office Word</Application>
  <DocSecurity>0</DocSecurity>
  <Lines>88</Lines>
  <Paragraphs>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Majchrak Robert</cp:lastModifiedBy>
  <cp:revision>4</cp:revision>
  <dcterms:created xsi:type="dcterms:W3CDTF">2019-07-01T13:38:00Z</dcterms:created>
  <dcterms:modified xsi:type="dcterms:W3CDTF">2019-08-20T13:29:00Z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Správne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JUDr. Ivan Holič</vt:lpwstr>
  </property>
  <property fmtid="{D5CDD505-2E9C-101B-9397-08002B2CF9AE}" pid="9" name="FSC#SKEDITIONSLOVLEX@103.510:zodppredkladatel">
    <vt:lpwstr>JUDr. Miroslav Hlivák</vt:lpwstr>
  </property>
  <property fmtid="{D5CDD505-2E9C-101B-9397-08002B2CF9AE}" pid="10"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1" name="FSC#SKEDITIONSLOVLEX@103.510:cislopredpis">
    <vt:lpwstr/>
  </property>
  <property fmtid="{D5CDD505-2E9C-101B-9397-08002B2CF9AE}" pid="12" name="FSC#SKEDITIONSLOVLEX@103.510:zodpinstitucia">
    <vt:lpwstr>Úrad pre verejné obstarávanie</vt:lpwstr>
  </property>
  <property fmtid="{D5CDD505-2E9C-101B-9397-08002B2CF9AE}" pid="13"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14" name="FSC#SKEDITIONSLOVLEX@103.510:autorpredpis">
    <vt:lpwstr/>
  </property>
  <property fmtid="{D5CDD505-2E9C-101B-9397-08002B2CF9AE}" pid="15" name="FSC#SKEDITIONSLOVLEX@103.510:podnetpredpis">
    <vt:lpwstr>plán legislatívnych úloh vlády na rok 2019</vt:lpwstr>
  </property>
  <property fmtid="{D5CDD505-2E9C-101B-9397-08002B2CF9AE}" pid="16"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17" name="FSC#SKEDITIONSLOVLEX@103.510:rezortcislopredpis">
    <vt:lpwstr>10276-P/2019</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LP/2019/520</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upravený v práve Európskej únie</vt:lpwstr>
  </property>
  <property fmtid="{D5CDD505-2E9C-101B-9397-08002B2CF9AE}" pid="36" name="FSC#SKEDITIONSLOVLEX@103.510:AttrStrListDocPropPrimarnePravoEU">
    <vt:lpwstr>čl. 26 a 114 Zmluvy o fungovaní Európskej únie</vt:lpwstr>
  </property>
  <property fmtid="{D5CDD505-2E9C-101B-9397-08002B2CF9AE}" pid="37" name="FSC#SKEDITIONSLOVLEX@103.510:AttrStrListDocPropSekundarneLegPravoPO">
    <vt:lpwstr>Smernica Európskeho parlamentu a Rady 2014/24/EÚ o verejnom obstarávaní a o zrušení smernice 2004/18/ES (Ú. v. EÚ L 94; 28.3.2014) v platnom znení_x000d_
Smernica Európskeho parlamentu a Rady 2014/25/EÚ o obstarávaní vykonávanom subjektmi pôsobiacimi v odvetvia</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C-538/07_x000d_
C-531/16_x000d_
C 124/17</vt:lpwstr>
  </property>
  <property fmtid="{D5CDD505-2E9C-101B-9397-08002B2CF9AE}" pid="42" name="FSC#SKEDITIONSLOVLEX@103.510:AttrStrListDocPropLehotaPrebratieSmernice">
    <vt:lpwstr>nie je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nie je </vt:lpwstr>
  </property>
  <property fmtid="{D5CDD505-2E9C-101B-9397-08002B2CF9AE}" pid="45" name="FSC#SKEDITIONSLOVLEX@103.510:AttrStrListDocPropInfoUzPreberanePP">
    <vt:lpwstr>Zákon č. 343/2015 Z. z. o verejnom obstarávaní a o zmene a doplnení niektorých zákonov v znení neskorších predpisov - úplný</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25. 6. 2019</vt:lpwstr>
  </property>
  <property fmtid="{D5CDD505-2E9C-101B-9397-08002B2CF9AE}" pid="49" name="FSC#SKEDITIONSLOVLEX@103.510:AttrDateDocPropUkonceniePKK">
    <vt:lpwstr>1. 7. 2019</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Pozitívne_x000d_
Negatívne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&lt;p style="text-align: justify;"&gt;&lt;em&gt;V&amp;nbsp;prípade vplyvov na podnikateľské prostredie návrh zákona predpokladá kombináciu pozitívneho aj negatívneho vplyvu. Z&amp;nbsp;pohľadu pozitívneho vplyvu na podnikateľské prostredie možno vnímať predovšetkým snahu náv</vt:lpwstr>
  </property>
  <property fmtid="{D5CDD505-2E9C-101B-9397-08002B2CF9AE}" pid="56" name="FSC#SKEDITIONSLOVLEX@103.510:AttrStrListDocPropAltRiesenia">
    <vt:lpwstr>V rámci konzultácie boli prediskutované aj iné formy regulácie elektronických prostriedkov vo verejnom obstarávaní, ako napríklad klasická certifikácia prostredníctvom akreditovaného subjektu, alebo certifikácia realizovaná samotným úradom. V rámci týchto</vt:lpwstr>
  </property>
  <property fmtid="{D5CDD505-2E9C-101B-9397-08002B2CF9AE}" pid="57" name="FSC#SKEDITIONSLOVLEX@103.510:AttrStrListDocPropStanoviskoGest">
    <vt:lpwstr>&lt;p&gt;&lt;strong&gt;K doložke vybraných vplyvov&lt;/strong&gt;&lt;/p&gt;&lt;p&gt;Komisia odporúča uviesť do dôvodovej správy aj negatívne vplyvy na podnikateľské prostredie v súlade s doložkou vybraných vplyvov, a v doložke vybraných vplyvov uviesť aj pozitívne a negatívne vplyvy n</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predseda</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justify;"&gt;Novela zákona č. 343/2015 Z. z. o verejnom obstarávaní a o zmene a doplnení niektorých zákonov v znení neskorších predpisov (ďalej len „zákon o verejnom obstarávaní“) je pripravovaná na základe plánu legislatívnych úloh vlá</vt:lpwstr>
  </property>
  <property fmtid="{D5CDD505-2E9C-101B-9397-08002B2CF9AE}" pid="130" name="FSC#COOSYSTEM@1.1:Container">
    <vt:lpwstr>COO.2145.1000.3.3474197</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referent</vt:lpwstr>
  </property>
  <property fmtid="{D5CDD505-2E9C-101B-9397-08002B2CF9AE}" pid="142" name="FSC#SKEDITIONSLOVLEX@103.510:funkciaPredAkuzativ">
    <vt:lpwstr>refrentovi</vt:lpwstr>
  </property>
  <property fmtid="{D5CDD505-2E9C-101B-9397-08002B2CF9AE}" pid="143" name="FSC#SKEDITIONSLOVLEX@103.510:funkciaPredDativ">
    <vt:lpwstr>referenta</vt:lpwstr>
  </property>
  <property fmtid="{D5CDD505-2E9C-101B-9397-08002B2CF9AE}" pid="144" name="FSC#SKEDITIONSLOVLEX@103.510:funkciaZodpPred">
    <vt:lpwstr>predseda</vt:lpwstr>
  </property>
  <property fmtid="{D5CDD505-2E9C-101B-9397-08002B2CF9AE}" pid="145" name="FSC#SKEDITIONSLOVLEX@103.510:funkciaZodpPredAkuzativ">
    <vt:lpwstr>predsedu</vt:lpwstr>
  </property>
  <property fmtid="{D5CDD505-2E9C-101B-9397-08002B2CF9AE}" pid="146" name="FSC#SKEDITIONSLOVLEX@103.510:funkciaZodpPredDativ">
    <vt:lpwstr>predsedovi</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JUDr. Miroslav Hlivák_x000d_
predseda</vt:lpwstr>
  </property>
  <property fmtid="{D5CDD505-2E9C-101B-9397-08002B2CF9AE}" pid="151" name="FSC#SKEDITIONSLOVLEX@103.510:aktualnyrok">
    <vt:lpwstr>2019</vt:lpwstr>
  </property>
  <property fmtid="{D5CDD505-2E9C-101B-9397-08002B2CF9AE}" pid="152" name="FSC#SKEDITIONSLOVLEX@103.510:vytvorenedna">
    <vt:lpwstr>1. 7. 2019</vt:lpwstr>
  </property>
</Properties>
</file>