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B1" w:rsidRPr="009157AF" w:rsidRDefault="009A56B1" w:rsidP="009A56B1">
      <w:pPr>
        <w:autoSpaceDE w:val="0"/>
        <w:autoSpaceDN w:val="0"/>
        <w:adjustRightInd w:val="0"/>
        <w:spacing w:after="0" w:line="240" w:lineRule="auto"/>
        <w:jc w:val="center"/>
        <w:rPr>
          <w:rFonts w:ascii="Times New Roman" w:hAnsi="Times New Roman"/>
          <w:b/>
          <w:bCs/>
          <w:color w:val="000000"/>
          <w:sz w:val="24"/>
          <w:szCs w:val="24"/>
        </w:rPr>
      </w:pPr>
      <w:bookmarkStart w:id="0" w:name="_GoBack"/>
      <w:bookmarkEnd w:id="0"/>
      <w:r w:rsidRPr="009157AF">
        <w:rPr>
          <w:rFonts w:ascii="Times New Roman" w:hAnsi="Times New Roman"/>
          <w:b/>
          <w:bCs/>
          <w:color w:val="000000"/>
          <w:sz w:val="24"/>
          <w:szCs w:val="24"/>
        </w:rPr>
        <w:t>Dôvodová správa</w:t>
      </w:r>
    </w:p>
    <w:p w:rsidR="009A56B1" w:rsidRPr="009157AF" w:rsidRDefault="009A56B1" w:rsidP="009A56B1">
      <w:pPr>
        <w:spacing w:after="0" w:line="240" w:lineRule="auto"/>
        <w:jc w:val="both"/>
        <w:rPr>
          <w:rStyle w:val="Textzstupnhosymbolu"/>
          <w:rFonts w:ascii="Times New Roman" w:hAnsi="Times New Roman"/>
          <w:b/>
          <w:color w:val="000000"/>
          <w:sz w:val="24"/>
          <w:szCs w:val="24"/>
        </w:rPr>
      </w:pPr>
    </w:p>
    <w:p w:rsidR="009A56B1" w:rsidRPr="009157AF" w:rsidRDefault="009A56B1" w:rsidP="009A56B1">
      <w:pPr>
        <w:spacing w:after="0" w:line="240" w:lineRule="auto"/>
        <w:jc w:val="both"/>
        <w:rPr>
          <w:rStyle w:val="Textzstupnhosymbolu"/>
          <w:rFonts w:ascii="Times New Roman" w:hAnsi="Times New Roman"/>
          <w:b/>
          <w:color w:val="000000"/>
          <w:sz w:val="24"/>
          <w:szCs w:val="24"/>
        </w:rPr>
      </w:pPr>
    </w:p>
    <w:p w:rsidR="009A56B1" w:rsidRPr="009157AF" w:rsidRDefault="009A56B1" w:rsidP="009A56B1">
      <w:pPr>
        <w:spacing w:after="0" w:line="240" w:lineRule="auto"/>
        <w:jc w:val="both"/>
        <w:rPr>
          <w:rStyle w:val="Textzstupnhosymbolu"/>
          <w:rFonts w:ascii="Times New Roman" w:hAnsi="Times New Roman"/>
          <w:b/>
          <w:color w:val="000000"/>
          <w:sz w:val="24"/>
          <w:szCs w:val="24"/>
        </w:rPr>
      </w:pPr>
      <w:r w:rsidRPr="009157AF">
        <w:rPr>
          <w:rStyle w:val="Textzstupnhosymbolu"/>
          <w:rFonts w:ascii="Times New Roman" w:hAnsi="Times New Roman"/>
          <w:b/>
          <w:color w:val="000000"/>
          <w:sz w:val="24"/>
          <w:szCs w:val="24"/>
        </w:rPr>
        <w:t>A. Všeobecná časť</w:t>
      </w:r>
    </w:p>
    <w:p w:rsidR="009A56B1" w:rsidRPr="009157AF" w:rsidRDefault="009A56B1" w:rsidP="009A56B1">
      <w:pPr>
        <w:autoSpaceDE w:val="0"/>
        <w:autoSpaceDN w:val="0"/>
        <w:adjustRightInd w:val="0"/>
        <w:spacing w:after="0" w:line="240" w:lineRule="auto"/>
        <w:jc w:val="both"/>
        <w:rPr>
          <w:rFonts w:ascii="Times New Roman" w:hAnsi="Times New Roman"/>
          <w:b/>
          <w:bCs/>
          <w:color w:val="000000"/>
          <w:sz w:val="24"/>
          <w:szCs w:val="24"/>
        </w:rPr>
      </w:pPr>
    </w:p>
    <w:p w:rsidR="009A56B1" w:rsidRPr="009157AF" w:rsidRDefault="009A56B1" w:rsidP="009A56B1">
      <w:pPr>
        <w:spacing w:after="0" w:line="240" w:lineRule="auto"/>
        <w:jc w:val="both"/>
        <w:rPr>
          <w:rStyle w:val="Textzstupnhosymbolu"/>
          <w:rFonts w:ascii="Times New Roman" w:hAnsi="Times New Roman"/>
          <w:color w:val="000000"/>
          <w:sz w:val="24"/>
          <w:szCs w:val="24"/>
        </w:rPr>
      </w:pPr>
    </w:p>
    <w:p w:rsidR="009A56B1" w:rsidRPr="009157AF" w:rsidRDefault="009A56B1" w:rsidP="009A56B1">
      <w:pPr>
        <w:spacing w:after="0" w:line="240" w:lineRule="auto"/>
        <w:ind w:firstLine="708"/>
        <w:jc w:val="both"/>
        <w:rPr>
          <w:rFonts w:ascii="Times New Roman" w:hAnsi="Times New Roman"/>
          <w:color w:val="000000"/>
          <w:sz w:val="24"/>
          <w:szCs w:val="24"/>
        </w:rPr>
      </w:pPr>
      <w:r w:rsidRPr="009157AF">
        <w:rPr>
          <w:rStyle w:val="Textzstupnhosymbolu"/>
          <w:rFonts w:ascii="Times New Roman" w:hAnsi="Times New Roman"/>
          <w:color w:val="000000"/>
          <w:sz w:val="24"/>
          <w:szCs w:val="24"/>
        </w:rPr>
        <w:t xml:space="preserve">Návrh zákona, ktorým sa mení a dopĺňa zákon č. 431/2002 Z. z. o účtovníctve v znení neskorších predpisov, sa predkladá na základe uznesenia vlády Slovenskej republiky </w:t>
      </w:r>
      <w:r w:rsidRPr="009157AF">
        <w:rPr>
          <w:rFonts w:ascii="Times New Roman" w:hAnsi="Times New Roman"/>
          <w:color w:val="000000"/>
          <w:sz w:val="24"/>
          <w:szCs w:val="24"/>
        </w:rPr>
        <w:t>č. 50 z</w:t>
      </w:r>
      <w:r w:rsidR="00F83A02" w:rsidRPr="009157AF">
        <w:rPr>
          <w:rFonts w:ascii="Times New Roman" w:hAnsi="Times New Roman"/>
          <w:color w:val="000000"/>
          <w:sz w:val="24"/>
          <w:szCs w:val="24"/>
        </w:rPr>
        <w:t>o 6. februára 2019, ktorým sa schválil</w:t>
      </w:r>
      <w:r w:rsidRPr="009157AF">
        <w:rPr>
          <w:rFonts w:ascii="Times New Roman" w:hAnsi="Times New Roman"/>
          <w:color w:val="000000"/>
          <w:sz w:val="24"/>
          <w:szCs w:val="24"/>
        </w:rPr>
        <w:t> </w:t>
      </w:r>
      <w:r w:rsidR="00F83A02" w:rsidRPr="009157AF">
        <w:rPr>
          <w:rFonts w:ascii="Times New Roman" w:hAnsi="Times New Roman"/>
          <w:color w:val="000000"/>
          <w:sz w:val="24"/>
          <w:szCs w:val="24"/>
        </w:rPr>
        <w:t>Audit</w:t>
      </w:r>
      <w:r w:rsidR="00CD72F1" w:rsidRPr="009157AF">
        <w:rPr>
          <w:rFonts w:ascii="Times New Roman" w:hAnsi="Times New Roman"/>
          <w:color w:val="000000"/>
          <w:sz w:val="24"/>
          <w:szCs w:val="24"/>
        </w:rPr>
        <w:t xml:space="preserve"> legislatívy z pohľadu goldpla</w:t>
      </w:r>
      <w:r w:rsidRPr="009157AF">
        <w:rPr>
          <w:rFonts w:ascii="Times New Roman" w:hAnsi="Times New Roman"/>
          <w:color w:val="000000"/>
          <w:sz w:val="24"/>
          <w:szCs w:val="24"/>
        </w:rPr>
        <w:t>tingu.</w:t>
      </w:r>
      <w:r w:rsidR="00233FFE" w:rsidRPr="009157AF">
        <w:rPr>
          <w:rFonts w:ascii="Times New Roman" w:hAnsi="Times New Roman"/>
          <w:color w:val="000000"/>
          <w:sz w:val="24"/>
          <w:szCs w:val="24"/>
        </w:rPr>
        <w:t xml:space="preserve"> Súčasťou návrhu zákona sú zmeny podmienok, na základe ktorých vzniká povinnosť nechať si overiť riadnu individuálnu a mimoriadnu individuálnu účtovnú závierkou štatutárnym audítorom alebo audítorskou spoločnosťou (ďalej len „audit“).</w:t>
      </w:r>
    </w:p>
    <w:p w:rsidR="008254B2" w:rsidRPr="009157AF" w:rsidRDefault="008254B2" w:rsidP="009A56B1">
      <w:pPr>
        <w:spacing w:after="0" w:line="240" w:lineRule="auto"/>
        <w:ind w:firstLine="708"/>
        <w:jc w:val="both"/>
        <w:rPr>
          <w:rFonts w:ascii="Times New Roman" w:hAnsi="Times New Roman"/>
          <w:color w:val="000000"/>
          <w:sz w:val="24"/>
          <w:szCs w:val="24"/>
        </w:rPr>
      </w:pPr>
    </w:p>
    <w:p w:rsidR="009A56B1" w:rsidRPr="009157AF" w:rsidRDefault="009A56B1" w:rsidP="009A56B1">
      <w:pPr>
        <w:spacing w:after="0" w:line="240" w:lineRule="auto"/>
        <w:ind w:firstLine="708"/>
        <w:jc w:val="both"/>
        <w:rPr>
          <w:rFonts w:ascii="Times New Roman" w:hAnsi="Times New Roman"/>
          <w:color w:val="000000"/>
          <w:sz w:val="24"/>
          <w:szCs w:val="24"/>
        </w:rPr>
      </w:pPr>
    </w:p>
    <w:p w:rsidR="007E0782" w:rsidRPr="009157AF" w:rsidRDefault="008254B2" w:rsidP="009A56B1">
      <w:pPr>
        <w:spacing w:after="0" w:line="240" w:lineRule="auto"/>
        <w:ind w:firstLine="708"/>
        <w:jc w:val="both"/>
        <w:rPr>
          <w:rFonts w:ascii="Times New Roman" w:hAnsi="Times New Roman"/>
          <w:color w:val="000000"/>
          <w:sz w:val="24"/>
          <w:szCs w:val="24"/>
        </w:rPr>
      </w:pPr>
      <w:r w:rsidRPr="009157AF">
        <w:rPr>
          <w:rFonts w:ascii="Times New Roman" w:hAnsi="Times New Roman"/>
          <w:color w:val="000000"/>
          <w:sz w:val="24"/>
          <w:szCs w:val="24"/>
        </w:rPr>
        <w:t xml:space="preserve">V návrhu zákona sú vymedzené </w:t>
      </w:r>
      <w:r w:rsidR="009A56B1" w:rsidRPr="009157AF">
        <w:rPr>
          <w:rFonts w:ascii="Times New Roman" w:hAnsi="Times New Roman"/>
          <w:color w:val="000000"/>
          <w:sz w:val="24"/>
          <w:szCs w:val="24"/>
        </w:rPr>
        <w:t xml:space="preserve">účtovné jednotky, ktoré musia uvádzať vo výročnej správe nefinančné informácie týkajúce sa opisu politiky rozmanitosti. Zmenou a doplnením zákona o účtovníctve nastáva úprava existujúceho vymedzenia účtovných jednotiek a umožňuje sa oslobodenie od uvádzania informácií opisu politiky rozmanitosti v súlade s čl. 1 ods. 2 písm. c) Smernice Európskeho parlamentu a Rady 2014/95/EÚ z 22. októbra 2014, ktorou sa mení smernica 2013/34/EÚ pokiaľ ide o zverejňovanie nefinančných informácií týkajúcich sa rozmanitosti niektorými veľkými podnikmi a skupinami. Oslobodenie sa týka </w:t>
      </w:r>
      <w:r w:rsidR="00370108" w:rsidRPr="009157AF">
        <w:rPr>
          <w:rFonts w:ascii="Times New Roman" w:hAnsi="Times New Roman"/>
          <w:color w:val="000000"/>
          <w:sz w:val="24"/>
          <w:szCs w:val="24"/>
        </w:rPr>
        <w:t xml:space="preserve">veľkých </w:t>
      </w:r>
      <w:r w:rsidR="009A56B1" w:rsidRPr="009157AF">
        <w:rPr>
          <w:rFonts w:ascii="Times New Roman" w:hAnsi="Times New Roman"/>
          <w:color w:val="000000"/>
          <w:sz w:val="24"/>
          <w:szCs w:val="24"/>
        </w:rPr>
        <w:t>účtovných jednotiek, ktoré emitovali len iné cenné papiere než akcie prijaté na obchodovanie na regulovanom trhu, ak tieto účtovné jednotky neemitovali akcie, s ktorými sa obchoduje v mnohostrannom obchodnom systéme.</w:t>
      </w:r>
    </w:p>
    <w:p w:rsidR="00233FFE" w:rsidRPr="009157AF" w:rsidRDefault="00233FFE" w:rsidP="009A56B1">
      <w:pPr>
        <w:spacing w:after="0" w:line="240" w:lineRule="auto"/>
        <w:ind w:firstLine="708"/>
        <w:jc w:val="both"/>
        <w:rPr>
          <w:rFonts w:ascii="Times New Roman" w:hAnsi="Times New Roman"/>
          <w:color w:val="000000"/>
          <w:sz w:val="24"/>
          <w:szCs w:val="24"/>
        </w:rPr>
      </w:pPr>
    </w:p>
    <w:p w:rsidR="00233FFE" w:rsidRPr="009157AF" w:rsidRDefault="00233FFE" w:rsidP="009A56B1">
      <w:pPr>
        <w:spacing w:after="0" w:line="240" w:lineRule="auto"/>
        <w:ind w:firstLine="708"/>
        <w:jc w:val="both"/>
        <w:rPr>
          <w:rFonts w:ascii="Times New Roman" w:hAnsi="Times New Roman"/>
          <w:color w:val="000000"/>
          <w:sz w:val="24"/>
          <w:szCs w:val="24"/>
        </w:rPr>
      </w:pPr>
      <w:r w:rsidRPr="009157AF">
        <w:rPr>
          <w:rFonts w:ascii="Times New Roman" w:hAnsi="Times New Roman"/>
          <w:color w:val="000000"/>
          <w:sz w:val="24"/>
          <w:szCs w:val="24"/>
        </w:rPr>
        <w:t xml:space="preserve">V návrhu zákona na základe zodpovedného prehodnotenia veľkostných podmienok, na základe ktorých vzniká povinnosť nechať si overiť riadnu individuálnu účtovnú závierku a mimoriadnu individuálnu účtovnú závierku </w:t>
      </w:r>
      <w:r w:rsidR="00F11FA5" w:rsidRPr="009157AF">
        <w:rPr>
          <w:rFonts w:ascii="Times New Roman" w:hAnsi="Times New Roman"/>
          <w:color w:val="000000"/>
          <w:sz w:val="24"/>
          <w:szCs w:val="24"/>
        </w:rPr>
        <w:t>audítorom</w:t>
      </w:r>
      <w:r w:rsidR="00CF00A0" w:rsidRPr="009157AF">
        <w:rPr>
          <w:rFonts w:ascii="Times New Roman" w:hAnsi="Times New Roman"/>
          <w:color w:val="000000"/>
          <w:sz w:val="24"/>
          <w:szCs w:val="24"/>
        </w:rPr>
        <w:t>,</w:t>
      </w:r>
      <w:r w:rsidR="00F11FA5" w:rsidRPr="009157AF">
        <w:rPr>
          <w:rFonts w:ascii="Times New Roman" w:hAnsi="Times New Roman"/>
          <w:color w:val="000000"/>
          <w:sz w:val="24"/>
          <w:szCs w:val="24"/>
        </w:rPr>
        <w:t xml:space="preserve"> </w:t>
      </w:r>
      <w:r w:rsidRPr="009157AF">
        <w:rPr>
          <w:rFonts w:ascii="Times New Roman" w:hAnsi="Times New Roman"/>
          <w:color w:val="000000"/>
          <w:sz w:val="24"/>
          <w:szCs w:val="24"/>
        </w:rPr>
        <w:t>sa navrhuje zvýšenie veľkostných podmienok o 100 % súčasných veľkostných podmienok. Smernica požaduje minimálnu harmonizáciu a</w:t>
      </w:r>
      <w:r w:rsidR="00F25B7D" w:rsidRPr="009157AF">
        <w:rPr>
          <w:rFonts w:ascii="Times New Roman" w:hAnsi="Times New Roman"/>
          <w:color w:val="000000"/>
          <w:sz w:val="24"/>
          <w:szCs w:val="24"/>
        </w:rPr>
        <w:t> umožňuje členskému štátu stanovenie veľkostných podmienok tak, aby čo najlepšie zodpovedali veľkosti ekonomiky a subjektom v nej pôsobiacich.</w:t>
      </w:r>
    </w:p>
    <w:p w:rsidR="008254B2" w:rsidRPr="009157AF" w:rsidRDefault="008254B2" w:rsidP="009A56B1">
      <w:pPr>
        <w:spacing w:after="0" w:line="240" w:lineRule="auto"/>
        <w:ind w:firstLine="708"/>
        <w:jc w:val="both"/>
        <w:rPr>
          <w:rFonts w:ascii="Times New Roman" w:hAnsi="Times New Roman"/>
          <w:color w:val="000000"/>
          <w:sz w:val="24"/>
          <w:szCs w:val="24"/>
        </w:rPr>
      </w:pPr>
    </w:p>
    <w:p w:rsidR="008254B2" w:rsidRPr="009157AF" w:rsidRDefault="008254B2" w:rsidP="008254B2">
      <w:pPr>
        <w:spacing w:after="0" w:line="240" w:lineRule="auto"/>
        <w:ind w:firstLine="708"/>
        <w:jc w:val="both"/>
        <w:rPr>
          <w:rFonts w:ascii="Times New Roman" w:eastAsia="Times New Roman" w:hAnsi="Times New Roman"/>
          <w:sz w:val="24"/>
          <w:szCs w:val="24"/>
          <w:lang w:eastAsia="sk-SK"/>
        </w:rPr>
      </w:pPr>
      <w:r w:rsidRPr="009157AF">
        <w:rPr>
          <w:rFonts w:ascii="Times New Roman" w:eastAsia="Times New Roman" w:hAnsi="Times New Roman"/>
          <w:sz w:val="24"/>
          <w:szCs w:val="24"/>
          <w:lang w:eastAsia="sk-SK"/>
        </w:rPr>
        <w:t xml:space="preserve">Návrh zákona nemá vplyv na rozpočet verejnej správy, sociálne vplyvy, vplyvy na životné prostredie, vplyvy na manželstvo, rodičovstvo a rodinu a na informatizáciu spoločnosti. Nemá vplyv na služby verejnej správy pre občana. Má </w:t>
      </w:r>
      <w:r w:rsidR="00970ADF" w:rsidRPr="009157AF">
        <w:rPr>
          <w:rFonts w:ascii="Times New Roman" w:eastAsia="Times New Roman" w:hAnsi="Times New Roman"/>
          <w:sz w:val="24"/>
          <w:szCs w:val="24"/>
          <w:lang w:eastAsia="sk-SK"/>
        </w:rPr>
        <w:t xml:space="preserve">mierne </w:t>
      </w:r>
      <w:r w:rsidRPr="009157AF">
        <w:rPr>
          <w:rFonts w:ascii="Times New Roman" w:eastAsia="Times New Roman" w:hAnsi="Times New Roman"/>
          <w:sz w:val="24"/>
          <w:szCs w:val="24"/>
          <w:lang w:eastAsia="sk-SK"/>
        </w:rPr>
        <w:t xml:space="preserve">pozitívny vplyv na podnikateľské prostredie.  </w:t>
      </w:r>
    </w:p>
    <w:p w:rsidR="008254B2" w:rsidRPr="009157AF" w:rsidRDefault="008254B2" w:rsidP="008254B2">
      <w:pPr>
        <w:spacing w:after="0" w:line="240" w:lineRule="auto"/>
        <w:jc w:val="both"/>
        <w:rPr>
          <w:rFonts w:ascii="Times New Roman" w:eastAsia="Times New Roman" w:hAnsi="Times New Roman"/>
          <w:sz w:val="24"/>
          <w:szCs w:val="24"/>
          <w:lang w:eastAsia="sk-SK"/>
        </w:rPr>
      </w:pPr>
    </w:p>
    <w:p w:rsidR="008254B2" w:rsidRPr="009157AF" w:rsidRDefault="008254B2" w:rsidP="008254B2">
      <w:pPr>
        <w:spacing w:after="0" w:line="240" w:lineRule="auto"/>
        <w:ind w:firstLine="708"/>
        <w:jc w:val="both"/>
        <w:rPr>
          <w:rFonts w:ascii="Times New Roman" w:eastAsia="Times New Roman" w:hAnsi="Times New Roman"/>
          <w:sz w:val="24"/>
          <w:szCs w:val="24"/>
          <w:lang w:eastAsia="sk-SK"/>
        </w:rPr>
      </w:pPr>
      <w:r w:rsidRPr="009157AF">
        <w:rPr>
          <w:rFonts w:ascii="Times New Roman" w:eastAsia="Times New Roman" w:hAnsi="Times New Roman"/>
          <w:sz w:val="24"/>
          <w:szCs w:val="24"/>
          <w:lang w:eastAsia="sk-SK"/>
        </w:rPr>
        <w:t>Predkladaný návrh zákona je v súlade s Ústavou Slovenskej republiky, ústavnými zákonmi, nálezmi Ústavného súdu Slovenskej republiky a inými právnymi predpismi, medzinárodnými zmluvami a dokumentmi, ktorými je Slovenská republika viazaná, ako aj v súlade s právom Európskej únie.</w:t>
      </w:r>
    </w:p>
    <w:p w:rsidR="00F25B7D" w:rsidRPr="009157AF" w:rsidRDefault="00F25B7D" w:rsidP="008254B2">
      <w:pPr>
        <w:spacing w:after="0" w:line="240" w:lineRule="auto"/>
        <w:ind w:firstLine="708"/>
        <w:jc w:val="both"/>
        <w:rPr>
          <w:rFonts w:ascii="Times New Roman" w:eastAsia="Times New Roman" w:hAnsi="Times New Roman"/>
          <w:sz w:val="24"/>
          <w:szCs w:val="24"/>
          <w:lang w:eastAsia="sk-SK"/>
        </w:rPr>
      </w:pPr>
    </w:p>
    <w:p w:rsidR="00F25B7D" w:rsidRPr="009157AF" w:rsidRDefault="00F25B7D" w:rsidP="008254B2">
      <w:pPr>
        <w:spacing w:after="0" w:line="240" w:lineRule="auto"/>
        <w:ind w:firstLine="708"/>
        <w:jc w:val="both"/>
        <w:rPr>
          <w:rFonts w:ascii="Times New Roman" w:eastAsia="Times New Roman" w:hAnsi="Times New Roman"/>
          <w:sz w:val="24"/>
          <w:szCs w:val="24"/>
          <w:lang w:eastAsia="sk-SK"/>
        </w:rPr>
      </w:pPr>
      <w:r w:rsidRPr="009157AF">
        <w:rPr>
          <w:rFonts w:ascii="Times New Roman" w:eastAsia="Times New Roman" w:hAnsi="Times New Roman"/>
          <w:sz w:val="24"/>
          <w:szCs w:val="24"/>
          <w:lang w:eastAsia="sk-SK"/>
        </w:rPr>
        <w:t>Návrh zákona nie je predmetom vnútrokomunitárneho pripomienkového konania.</w:t>
      </w:r>
    </w:p>
    <w:p w:rsidR="007E0782" w:rsidRPr="009157AF" w:rsidRDefault="007E0782" w:rsidP="009A56B1">
      <w:pPr>
        <w:spacing w:after="0" w:line="240" w:lineRule="auto"/>
        <w:ind w:firstLine="708"/>
        <w:jc w:val="both"/>
        <w:rPr>
          <w:rFonts w:ascii="Times New Roman" w:hAnsi="Times New Roman"/>
          <w:color w:val="000000"/>
          <w:sz w:val="24"/>
          <w:szCs w:val="24"/>
        </w:rPr>
      </w:pPr>
    </w:p>
    <w:p w:rsidR="00FA7A17" w:rsidRPr="009157AF" w:rsidRDefault="00FA7A17" w:rsidP="007E0782">
      <w:pPr>
        <w:pStyle w:val="Normlnywebov"/>
        <w:spacing w:before="0" w:beforeAutospacing="0" w:after="0" w:afterAutospacing="0"/>
        <w:ind w:firstLine="720"/>
        <w:jc w:val="both"/>
      </w:pPr>
    </w:p>
    <w:p w:rsidR="00FA7A17" w:rsidRPr="009157AF" w:rsidRDefault="00FA7A17" w:rsidP="007E0782">
      <w:pPr>
        <w:pStyle w:val="Normlnywebov"/>
        <w:spacing w:before="0" w:beforeAutospacing="0" w:after="0" w:afterAutospacing="0"/>
        <w:ind w:firstLine="720"/>
        <w:jc w:val="both"/>
      </w:pPr>
      <w:r w:rsidRPr="009157AF">
        <w:t xml:space="preserve">Účinnosť zákona sa navrhuje </w:t>
      </w:r>
      <w:r w:rsidR="00F25B7D" w:rsidRPr="009157AF">
        <w:t>31. decemb</w:t>
      </w:r>
      <w:r w:rsidR="00473CAB" w:rsidRPr="009157AF">
        <w:t>ra 2019, okrem prvého až štvrtého bodu, ktoré nadobúdajú účinnosť</w:t>
      </w:r>
      <w:r w:rsidR="00F25B7D" w:rsidRPr="009157AF">
        <w:t xml:space="preserve"> 1. januára 2020.</w:t>
      </w:r>
    </w:p>
    <w:p w:rsidR="00473CAB" w:rsidRPr="009157AF" w:rsidRDefault="00473CAB" w:rsidP="00473CAB">
      <w:pPr>
        <w:pStyle w:val="Normlnywebov"/>
        <w:spacing w:before="0" w:beforeAutospacing="0" w:after="0" w:afterAutospacing="0"/>
        <w:jc w:val="both"/>
      </w:pPr>
      <w:r w:rsidRPr="009157AF">
        <w:t xml:space="preserve">Oslobodenie od uvádzania nefinančných informácií sa navrhuje pri vypracovaní výročnej správy za účtovné obdobie končiace 31. decembra 2019. Výročná správa sa zostavuje za </w:t>
      </w:r>
      <w:r w:rsidRPr="009157AF">
        <w:lastRenderedPageBreak/>
        <w:t xml:space="preserve">účtovné obdobie, pričom sa umožňuje aplikovať oslobodenie pri vypracovaní výročnej správy za účtovné obdobie končiace k 31. decembru 2019. </w:t>
      </w:r>
    </w:p>
    <w:p w:rsidR="00473CAB" w:rsidRPr="009157AF" w:rsidRDefault="00473CAB" w:rsidP="00473CAB">
      <w:pPr>
        <w:pStyle w:val="Normlnywebov"/>
        <w:spacing w:before="0" w:beforeAutospacing="0" w:after="0" w:afterAutospacing="0"/>
        <w:jc w:val="both"/>
      </w:pPr>
    </w:p>
    <w:p w:rsidR="009157AF" w:rsidRDefault="00473CAB" w:rsidP="008050F8">
      <w:pPr>
        <w:pStyle w:val="Normlnywebov"/>
        <w:spacing w:before="0" w:beforeAutospacing="0" w:after="0" w:afterAutospacing="0"/>
        <w:jc w:val="both"/>
      </w:pPr>
      <w:r w:rsidRPr="009157AF">
        <w:t>Zmena podmienok pre povinnosť overenia riadnej individuálnej účtovnej závierky a mimoriadnej individuálnej účtovnej závierky audítorom sa vzťahuje na účtovné obdobie začí</w:t>
      </w:r>
      <w:r w:rsidR="008050F8">
        <w:t>najúce najskôr 1. januára 2020.</w:t>
      </w: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Default="008050F8" w:rsidP="008050F8">
      <w:pPr>
        <w:pStyle w:val="Normlnywebov"/>
        <w:spacing w:before="0" w:beforeAutospacing="0" w:after="0" w:afterAutospacing="0"/>
        <w:jc w:val="both"/>
      </w:pPr>
    </w:p>
    <w:p w:rsidR="008050F8" w:rsidRPr="009157AF" w:rsidRDefault="008050F8" w:rsidP="008050F8">
      <w:pPr>
        <w:pStyle w:val="Normlnywebov"/>
        <w:spacing w:before="0" w:beforeAutospacing="0" w:after="0" w:afterAutospacing="0"/>
        <w:jc w:val="both"/>
      </w:pPr>
    </w:p>
    <w:p w:rsidR="009157AF" w:rsidRPr="009157AF" w:rsidRDefault="009157AF" w:rsidP="007E0782">
      <w:pPr>
        <w:pStyle w:val="Normlnywebov"/>
        <w:spacing w:before="0" w:beforeAutospacing="0" w:after="0" w:afterAutospacing="0"/>
        <w:ind w:firstLine="720"/>
        <w:jc w:val="both"/>
      </w:pPr>
    </w:p>
    <w:p w:rsidR="009157AF" w:rsidRPr="009157AF" w:rsidRDefault="009157AF" w:rsidP="007E0782">
      <w:pPr>
        <w:pStyle w:val="Normlnywebov"/>
        <w:spacing w:before="0" w:beforeAutospacing="0" w:after="0" w:afterAutospacing="0"/>
        <w:ind w:firstLine="720"/>
        <w:jc w:val="both"/>
      </w:pPr>
    </w:p>
    <w:p w:rsidR="009157AF" w:rsidRPr="009157AF" w:rsidRDefault="009157AF" w:rsidP="009157AF">
      <w:pPr>
        <w:jc w:val="center"/>
        <w:rPr>
          <w:rFonts w:ascii="Times New Roman" w:hAnsi="Times New Roman"/>
          <w:b/>
          <w:bCs/>
          <w:sz w:val="24"/>
          <w:szCs w:val="24"/>
        </w:rPr>
      </w:pPr>
      <w:r w:rsidRPr="009157AF">
        <w:rPr>
          <w:rFonts w:ascii="Times New Roman" w:hAnsi="Times New Roman"/>
          <w:b/>
          <w:bCs/>
          <w:sz w:val="24"/>
          <w:szCs w:val="24"/>
        </w:rPr>
        <w:t>Doložka vybraných vplyvov</w:t>
      </w:r>
    </w:p>
    <w:p w:rsidR="009157AF" w:rsidRPr="009157AF" w:rsidRDefault="009157AF" w:rsidP="009157AF">
      <w:pPr>
        <w:pStyle w:val="Odsekzoznamu"/>
        <w:ind w:left="426"/>
        <w:rPr>
          <w:rFonts w:ascii="Times New Roman" w:hAnsi="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9157AF" w:rsidRPr="00832D63" w:rsidTr="00832D63">
        <w:tc>
          <w:tcPr>
            <w:tcW w:w="9180" w:type="dxa"/>
            <w:gridSpan w:val="10"/>
            <w:tcBorders>
              <w:bottom w:val="single" w:sz="4" w:space="0" w:color="FFFFFF"/>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t>Základné údaje</w:t>
            </w:r>
          </w:p>
        </w:tc>
      </w:tr>
      <w:tr w:rsidR="009157AF" w:rsidRPr="00832D63" w:rsidTr="00832D63">
        <w:tc>
          <w:tcPr>
            <w:tcW w:w="9180" w:type="dxa"/>
            <w:gridSpan w:val="10"/>
            <w:tcBorders>
              <w:bottom w:val="single" w:sz="4" w:space="0" w:color="FFFFFF"/>
            </w:tcBorders>
            <w:shd w:val="clear" w:color="auto" w:fill="E2E2E2"/>
          </w:tcPr>
          <w:p w:rsidR="009157AF" w:rsidRPr="00832D63" w:rsidRDefault="009157AF" w:rsidP="00832D63">
            <w:pPr>
              <w:pStyle w:val="Odsekzoznamu"/>
              <w:ind w:left="142"/>
              <w:rPr>
                <w:rFonts w:ascii="Times New Roman" w:hAnsi="Times New Roman"/>
                <w:b/>
                <w:sz w:val="24"/>
                <w:szCs w:val="24"/>
              </w:rPr>
            </w:pPr>
            <w:r w:rsidRPr="00832D63">
              <w:rPr>
                <w:rFonts w:ascii="Times New Roman" w:hAnsi="Times New Roman"/>
                <w:b/>
                <w:sz w:val="24"/>
                <w:szCs w:val="24"/>
              </w:rPr>
              <w:t>Názov materiálu</w:t>
            </w:r>
          </w:p>
        </w:tc>
      </w:tr>
      <w:tr w:rsidR="009157AF" w:rsidRPr="00832D63" w:rsidTr="00832D63">
        <w:tc>
          <w:tcPr>
            <w:tcW w:w="9180" w:type="dxa"/>
            <w:gridSpan w:val="10"/>
            <w:tcBorders>
              <w:top w:val="single" w:sz="4" w:space="0" w:color="FFFFFF"/>
              <w:bottom w:val="single" w:sz="4" w:space="0" w:color="auto"/>
            </w:tcBorders>
            <w:shd w:val="clear" w:color="auto" w:fill="auto"/>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Návrh zákona, ktorým sa mení a dopĺňa zákon č. 431/2002 Z. z. o účtovníctve v znení neskorších predpisov</w:t>
            </w:r>
          </w:p>
        </w:tc>
      </w:tr>
      <w:tr w:rsidR="009157AF" w:rsidRPr="00832D63" w:rsidTr="00832D63">
        <w:tc>
          <w:tcPr>
            <w:tcW w:w="9180" w:type="dxa"/>
            <w:gridSpan w:val="10"/>
            <w:tcBorders>
              <w:top w:val="single" w:sz="4" w:space="0" w:color="auto"/>
              <w:left w:val="single" w:sz="4" w:space="0" w:color="auto"/>
              <w:bottom w:val="single" w:sz="4" w:space="0" w:color="FFFFFF"/>
            </w:tcBorders>
            <w:shd w:val="clear" w:color="auto" w:fill="E2E2E2"/>
          </w:tcPr>
          <w:p w:rsidR="009157AF" w:rsidRPr="00832D63" w:rsidRDefault="009157AF" w:rsidP="00832D63">
            <w:pPr>
              <w:pStyle w:val="Odsekzoznamu"/>
              <w:ind w:left="142"/>
              <w:rPr>
                <w:rFonts w:ascii="Times New Roman" w:hAnsi="Times New Roman"/>
                <w:b/>
                <w:sz w:val="24"/>
                <w:szCs w:val="24"/>
              </w:rPr>
            </w:pPr>
            <w:r w:rsidRPr="00832D63">
              <w:rPr>
                <w:rFonts w:ascii="Times New Roman" w:hAnsi="Times New Roman"/>
                <w:b/>
                <w:sz w:val="24"/>
                <w:szCs w:val="24"/>
              </w:rPr>
              <w:t>Predkladateľ (a spolupredkladateľ)</w:t>
            </w:r>
          </w:p>
        </w:tc>
      </w:tr>
      <w:tr w:rsidR="009157AF" w:rsidRPr="00832D63" w:rsidTr="00832D63">
        <w:tc>
          <w:tcPr>
            <w:tcW w:w="9180" w:type="dxa"/>
            <w:gridSpan w:val="10"/>
            <w:tcBorders>
              <w:top w:val="single" w:sz="4" w:space="0" w:color="FFFFFF"/>
              <w:left w:val="single" w:sz="4" w:space="0" w:color="auto"/>
              <w:bottom w:val="single" w:sz="4" w:space="0" w:color="auto"/>
            </w:tcBorders>
            <w:shd w:val="clear" w:color="auto" w:fill="FFFFFF"/>
          </w:tcPr>
          <w:p w:rsidR="009157AF" w:rsidRPr="00832D63" w:rsidRDefault="009157AF" w:rsidP="00832D63">
            <w:pPr>
              <w:rPr>
                <w:rFonts w:ascii="Times New Roman" w:hAnsi="Times New Roman"/>
                <w:sz w:val="24"/>
                <w:szCs w:val="24"/>
              </w:rPr>
            </w:pPr>
          </w:p>
          <w:p w:rsidR="009157AF" w:rsidRPr="00832D63" w:rsidRDefault="009157AF" w:rsidP="00832D63">
            <w:pPr>
              <w:rPr>
                <w:rFonts w:ascii="Times New Roman" w:hAnsi="Times New Roman"/>
                <w:sz w:val="24"/>
                <w:szCs w:val="24"/>
              </w:rPr>
            </w:pPr>
            <w:r w:rsidRPr="00832D63">
              <w:rPr>
                <w:rFonts w:ascii="Times New Roman" w:hAnsi="Times New Roman"/>
                <w:sz w:val="24"/>
                <w:szCs w:val="24"/>
              </w:rPr>
              <w:t>Ministerstvo financií Slovenskej republiky</w:t>
            </w:r>
          </w:p>
        </w:tc>
      </w:tr>
      <w:tr w:rsidR="009157AF" w:rsidRPr="00832D63" w:rsidTr="00832D6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9157AF" w:rsidRPr="00832D63" w:rsidRDefault="009157AF" w:rsidP="00832D63">
            <w:pPr>
              <w:pStyle w:val="Odsekzoznamu"/>
              <w:ind w:left="142"/>
              <w:rPr>
                <w:rFonts w:ascii="Times New Roman" w:hAnsi="Times New Roman"/>
                <w:b/>
                <w:sz w:val="24"/>
                <w:szCs w:val="24"/>
              </w:rPr>
            </w:pPr>
            <w:r w:rsidRPr="00832D63">
              <w:rPr>
                <w:rFonts w:ascii="Times New Roman" w:hAnsi="Times New Roman"/>
                <w:b/>
                <w:sz w:val="24"/>
                <w:szCs w:val="24"/>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cPr>
          <w:p w:rsidR="009157AF" w:rsidRPr="00832D63" w:rsidRDefault="009157AF" w:rsidP="00832D63">
            <w:pPr>
              <w:jc w:val="center"/>
              <w:rPr>
                <w:rFonts w:ascii="Times New Roman" w:hAnsi="Times New Roman"/>
                <w:sz w:val="24"/>
                <w:szCs w:val="24"/>
              </w:rPr>
            </w:pPr>
            <w:r w:rsidRPr="00832D63">
              <w:rPr>
                <w:rFonts w:ascii="Segoe UI Symbol" w:eastAsia="MS Mincho" w:hAnsi="Segoe UI Symbol" w:cs="Segoe UI Symbol"/>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Materiál nelegislatívnej povahy</w:t>
            </w:r>
          </w:p>
        </w:tc>
      </w:tr>
      <w:tr w:rsidR="009157AF" w:rsidRPr="00832D63" w:rsidTr="00832D63">
        <w:tc>
          <w:tcPr>
            <w:tcW w:w="4212" w:type="dxa"/>
            <w:gridSpan w:val="2"/>
            <w:vMerge/>
            <w:tcBorders>
              <w:top w:val="nil"/>
              <w:left w:val="single" w:sz="4" w:space="0" w:color="auto"/>
              <w:bottom w:val="single" w:sz="4" w:space="0" w:color="FFFFFF"/>
            </w:tcBorders>
            <w:shd w:val="clear" w:color="auto" w:fill="E2E2E2"/>
          </w:tcPr>
          <w:p w:rsidR="009157AF" w:rsidRPr="00832D63" w:rsidRDefault="009157AF" w:rsidP="00832D63">
            <w:pPr>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9157AF" w:rsidRPr="00832D63" w:rsidRDefault="009157AF" w:rsidP="00832D63">
            <w:pPr>
              <w:jc w:val="center"/>
              <w:rPr>
                <w:rFonts w:ascii="Times New Roman" w:hAnsi="Times New Roman"/>
                <w:sz w:val="24"/>
                <w:szCs w:val="24"/>
              </w:rPr>
            </w:pPr>
            <w:r w:rsidRPr="00832D63">
              <w:rPr>
                <w:rFonts w:ascii="Segoe UI Symbol" w:eastAsia="MS Gothic" w:hAnsi="Segoe UI Symbol" w:cs="Segoe UI Symbol"/>
                <w:sz w:val="24"/>
                <w:szCs w:val="24"/>
              </w:rPr>
              <w:t>☒</w:t>
            </w:r>
          </w:p>
        </w:tc>
        <w:tc>
          <w:tcPr>
            <w:tcW w:w="4263" w:type="dxa"/>
            <w:gridSpan w:val="6"/>
            <w:tcBorders>
              <w:top w:val="single" w:sz="4" w:space="0" w:color="auto"/>
              <w:left w:val="nil"/>
              <w:bottom w:val="single" w:sz="4" w:space="0" w:color="auto"/>
            </w:tcBorders>
            <w:shd w:val="clear" w:color="auto" w:fill="FFFFFF"/>
          </w:tcPr>
          <w:p w:rsidR="009157AF" w:rsidRPr="00832D63" w:rsidRDefault="009157AF" w:rsidP="00832D63">
            <w:pPr>
              <w:ind w:left="175" w:hanging="175"/>
              <w:rPr>
                <w:rFonts w:ascii="Times New Roman" w:hAnsi="Times New Roman"/>
                <w:sz w:val="24"/>
                <w:szCs w:val="24"/>
              </w:rPr>
            </w:pPr>
            <w:r w:rsidRPr="00832D63">
              <w:rPr>
                <w:rFonts w:ascii="Times New Roman" w:hAnsi="Times New Roman"/>
                <w:sz w:val="24"/>
                <w:szCs w:val="24"/>
              </w:rPr>
              <w:t>Materiál legislatívnej povahy</w:t>
            </w:r>
          </w:p>
        </w:tc>
      </w:tr>
      <w:tr w:rsidR="009157AF" w:rsidRPr="00832D63" w:rsidTr="00832D63">
        <w:tc>
          <w:tcPr>
            <w:tcW w:w="4212" w:type="dxa"/>
            <w:gridSpan w:val="2"/>
            <w:vMerge/>
            <w:tcBorders>
              <w:top w:val="nil"/>
              <w:left w:val="single" w:sz="4" w:space="0" w:color="auto"/>
              <w:bottom w:val="single" w:sz="4" w:space="0" w:color="auto"/>
            </w:tcBorders>
            <w:shd w:val="clear" w:color="auto" w:fill="E2E2E2"/>
          </w:tcPr>
          <w:p w:rsidR="009157AF" w:rsidRPr="00832D63" w:rsidRDefault="009157AF" w:rsidP="00832D63">
            <w:pPr>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cPr>
          <w:p w:rsidR="009157AF" w:rsidRPr="00832D63" w:rsidRDefault="009157AF" w:rsidP="00832D63">
            <w:pPr>
              <w:jc w:val="center"/>
              <w:rPr>
                <w:rFonts w:ascii="Times New Roman" w:hAnsi="Times New Roman"/>
                <w:sz w:val="24"/>
                <w:szCs w:val="24"/>
              </w:rPr>
            </w:pPr>
            <w:r w:rsidRPr="00832D63">
              <w:rPr>
                <w:rFonts w:ascii="Segoe UI Symbol" w:eastAsia="MS Mincho" w:hAnsi="Segoe UI Symbol" w:cs="Segoe UI Symbol"/>
                <w:sz w:val="24"/>
                <w:szCs w:val="24"/>
              </w:rPr>
              <w:t>☐</w:t>
            </w:r>
          </w:p>
        </w:tc>
        <w:tc>
          <w:tcPr>
            <w:tcW w:w="4263" w:type="dxa"/>
            <w:gridSpan w:val="6"/>
            <w:tcBorders>
              <w:top w:val="single" w:sz="4" w:space="0" w:color="auto"/>
              <w:left w:val="nil"/>
              <w:bottom w:val="single" w:sz="4" w:space="0" w:color="auto"/>
            </w:tcBorders>
            <w:shd w:val="clear" w:color="auto" w:fill="FFFFFF"/>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Transpozícia práva EÚ</w:t>
            </w:r>
          </w:p>
        </w:tc>
      </w:tr>
      <w:tr w:rsidR="009157AF" w:rsidRPr="00832D63" w:rsidTr="00832D63">
        <w:tc>
          <w:tcPr>
            <w:tcW w:w="9180" w:type="dxa"/>
            <w:gridSpan w:val="10"/>
            <w:tcBorders>
              <w:top w:val="single" w:sz="4" w:space="0" w:color="auto"/>
              <w:left w:val="single" w:sz="4" w:space="0" w:color="auto"/>
              <w:bottom w:val="single" w:sz="4" w:space="0" w:color="FFFFFF"/>
            </w:tcBorders>
            <w:shd w:val="clear" w:color="auto" w:fill="FFFFFF"/>
          </w:tcPr>
          <w:p w:rsidR="009157AF" w:rsidRPr="00832D63" w:rsidRDefault="009157AF" w:rsidP="00832D63">
            <w:pPr>
              <w:jc w:val="both"/>
              <w:rPr>
                <w:rFonts w:ascii="Times New Roman" w:hAnsi="Times New Roman"/>
                <w:sz w:val="24"/>
                <w:szCs w:val="24"/>
              </w:rPr>
            </w:pPr>
            <w:r w:rsidRPr="00832D63">
              <w:rPr>
                <w:rFonts w:ascii="Times New Roman" w:hAnsi="Times New Roman"/>
                <w:sz w:val="24"/>
                <w:szCs w:val="24"/>
              </w:rPr>
              <w:t xml:space="preserve">Návrhom zákona sa zákon o účtovníctve harmonizuje  s čl. </w:t>
            </w:r>
            <w:r w:rsidRPr="00832D63">
              <w:rPr>
                <w:rFonts w:ascii="Times New Roman" w:hAnsi="Times New Roman"/>
                <w:color w:val="000000"/>
                <w:sz w:val="24"/>
                <w:szCs w:val="24"/>
              </w:rPr>
              <w:t>1 ods. 2 písm. c) Smernice Európskeho parlamentu a Rady 2014/95/EÚ z 22. októbra 2014, ktorou sa mení smernica 2013/34/EÚ pokiaľ ide o zverejňovanie nefinančných informácií týkajúcich sa rozmanitosti niektorými veľkými podnikmi a skupinami.</w:t>
            </w:r>
          </w:p>
          <w:p w:rsidR="009157AF" w:rsidRPr="00832D63" w:rsidRDefault="009157AF" w:rsidP="00832D63">
            <w:pPr>
              <w:jc w:val="both"/>
              <w:rPr>
                <w:rFonts w:ascii="Times New Roman" w:hAnsi="Times New Roman"/>
                <w:sz w:val="24"/>
                <w:szCs w:val="24"/>
              </w:rPr>
            </w:pPr>
            <w:r w:rsidRPr="00832D63">
              <w:rPr>
                <w:rFonts w:ascii="Times New Roman" w:hAnsi="Times New Roman"/>
                <w:sz w:val="24"/>
                <w:szCs w:val="24"/>
              </w:rPr>
              <w:t>Návrhom zákona sa zákon o účtovníctve harmonizuje s čl. 31 ods.1 písm. a) Smernice Európskeho parlamentu a Rady</w:t>
            </w:r>
            <w:r w:rsidRPr="00832D63">
              <w:rPr>
                <w:rFonts w:ascii="Times New Roman" w:hAnsi="Times New Roman"/>
                <w:bCs/>
                <w:sz w:val="24"/>
                <w:szCs w:val="24"/>
              </w:rPr>
              <w:t xml:space="preserve"> </w:t>
            </w:r>
            <w:r w:rsidRPr="00832D63">
              <w:rPr>
                <w:rFonts w:ascii="Times New Roman" w:hAnsi="Times New Roman"/>
                <w:bCs/>
                <w:sz w:val="24"/>
                <w:szCs w:val="24"/>
                <w:u w:val="single"/>
              </w:rPr>
              <w:t>2013/34/EÚ</w:t>
            </w:r>
            <w:r w:rsidRPr="00832D63">
              <w:rPr>
                <w:rFonts w:ascii="Times New Roman" w:hAnsi="Times New Roman"/>
                <w:bCs/>
                <w:sz w:val="24"/>
                <w:szCs w:val="24"/>
              </w:rPr>
              <w:t xml:space="preserve"> z 26. júna 2013 o ročných účtovných závierkach, konsolidovaných účtovných závierkach a súvisiacich správach určitých druhov podnikov, ktorou sa mení smernica Európskeho parlamentu a Rady 2006/43/ES a zrušujú smernice Rady 78/660/EHS a 83/349/EHS</w:t>
            </w:r>
          </w:p>
          <w:p w:rsidR="009157AF" w:rsidRPr="00832D63" w:rsidRDefault="009157AF" w:rsidP="00832D63">
            <w:pPr>
              <w:rPr>
                <w:rFonts w:ascii="Times New Roman" w:hAnsi="Times New Roman"/>
                <w:sz w:val="24"/>
                <w:szCs w:val="24"/>
              </w:rPr>
            </w:pPr>
          </w:p>
        </w:tc>
      </w:tr>
      <w:tr w:rsidR="009157AF" w:rsidRPr="00832D63" w:rsidTr="00832D63">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cPr>
          <w:p w:rsidR="009157AF" w:rsidRPr="00832D63" w:rsidRDefault="009157AF" w:rsidP="00832D63">
            <w:pPr>
              <w:pStyle w:val="Odsekzoznamu"/>
              <w:ind w:left="142"/>
              <w:rPr>
                <w:rFonts w:ascii="Times New Roman" w:hAnsi="Times New Roman"/>
                <w:b/>
                <w:sz w:val="24"/>
                <w:szCs w:val="24"/>
              </w:rPr>
            </w:pPr>
            <w:r w:rsidRPr="00832D63">
              <w:rPr>
                <w:rFonts w:ascii="Times New Roman" w:hAnsi="Times New Roman"/>
                <w:b/>
                <w:sz w:val="24"/>
                <w:szCs w:val="24"/>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shd w:val="clear" w:color="auto" w:fill="auto"/>
          </w:tcPr>
          <w:p w:rsidR="009157AF" w:rsidRPr="00832D63" w:rsidRDefault="009157AF" w:rsidP="00832D63">
            <w:pPr>
              <w:rPr>
                <w:rFonts w:ascii="Times New Roman" w:hAnsi="Times New Roman"/>
                <w:sz w:val="24"/>
                <w:szCs w:val="24"/>
              </w:rPr>
            </w:pPr>
          </w:p>
        </w:tc>
      </w:tr>
      <w:tr w:rsidR="009157AF" w:rsidRPr="00832D63" w:rsidTr="00832D63">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9157AF" w:rsidRPr="00832D63" w:rsidRDefault="009157AF" w:rsidP="00832D63">
            <w:pPr>
              <w:pStyle w:val="Odsekzoznamu"/>
              <w:ind w:left="142"/>
              <w:rPr>
                <w:rFonts w:ascii="Times New Roman" w:hAnsi="Times New Roman"/>
                <w:b/>
                <w:sz w:val="24"/>
                <w:szCs w:val="24"/>
              </w:rPr>
            </w:pPr>
            <w:r w:rsidRPr="00832D63">
              <w:rPr>
                <w:rFonts w:ascii="Times New Roman" w:hAnsi="Times New Roman"/>
                <w:b/>
                <w:sz w:val="24"/>
                <w:szCs w:val="24"/>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máj 2019</w:t>
            </w:r>
          </w:p>
        </w:tc>
      </w:tr>
      <w:tr w:rsidR="009157AF" w:rsidRPr="00832D63" w:rsidTr="00832D63">
        <w:tc>
          <w:tcPr>
            <w:tcW w:w="5634" w:type="dxa"/>
            <w:gridSpan w:val="5"/>
            <w:tcBorders>
              <w:top w:val="single" w:sz="4" w:space="0" w:color="auto"/>
              <w:left w:val="single" w:sz="4" w:space="0" w:color="auto"/>
              <w:bottom w:val="single" w:sz="4" w:space="0" w:color="FFFFFF"/>
              <w:right w:val="single" w:sz="4" w:space="0" w:color="auto"/>
            </w:tcBorders>
            <w:shd w:val="clear" w:color="auto" w:fill="E2E2E2"/>
          </w:tcPr>
          <w:p w:rsidR="009157AF" w:rsidRPr="00832D63" w:rsidRDefault="009157AF" w:rsidP="00832D63">
            <w:pPr>
              <w:pStyle w:val="Odsekzoznamu"/>
              <w:ind w:left="142"/>
              <w:rPr>
                <w:rFonts w:ascii="Times New Roman" w:hAnsi="Times New Roman"/>
                <w:b/>
                <w:sz w:val="24"/>
                <w:szCs w:val="24"/>
              </w:rPr>
            </w:pPr>
            <w:r w:rsidRPr="00832D63">
              <w:rPr>
                <w:rFonts w:ascii="Times New Roman" w:hAnsi="Times New Roman"/>
                <w:b/>
                <w:sz w:val="24"/>
                <w:szCs w:val="24"/>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shd w:val="clear" w:color="auto" w:fill="auto"/>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august 2019</w:t>
            </w:r>
          </w:p>
        </w:tc>
      </w:tr>
      <w:tr w:rsidR="009157AF" w:rsidRPr="00832D63" w:rsidTr="00832D63">
        <w:tc>
          <w:tcPr>
            <w:tcW w:w="9180" w:type="dxa"/>
            <w:gridSpan w:val="10"/>
            <w:tcBorders>
              <w:top w:val="single" w:sz="4" w:space="0" w:color="auto"/>
              <w:left w:val="nil"/>
              <w:bottom w:val="single" w:sz="4" w:space="0" w:color="auto"/>
              <w:right w:val="nil"/>
            </w:tcBorders>
            <w:shd w:val="clear" w:color="auto" w:fill="FFFFFF"/>
          </w:tcPr>
          <w:p w:rsidR="009157AF" w:rsidRPr="00832D63" w:rsidRDefault="009157AF" w:rsidP="00832D63">
            <w:pPr>
              <w:rPr>
                <w:rFonts w:ascii="Times New Roman" w:hAnsi="Times New Roman"/>
                <w:sz w:val="24"/>
                <w:szCs w:val="24"/>
              </w:rPr>
            </w:pPr>
          </w:p>
        </w:tc>
      </w:tr>
      <w:tr w:rsidR="009157AF" w:rsidRPr="00832D63" w:rsidTr="00832D63">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t>Definovanie problému</w:t>
            </w:r>
          </w:p>
        </w:tc>
      </w:tr>
      <w:tr w:rsidR="009157AF" w:rsidRPr="00832D63" w:rsidTr="00832D63">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9157AF" w:rsidRPr="00832D63" w:rsidRDefault="009157AF" w:rsidP="00832D63">
            <w:pPr>
              <w:jc w:val="both"/>
              <w:rPr>
                <w:rFonts w:ascii="Times New Roman" w:hAnsi="Times New Roman"/>
                <w:color w:val="000000"/>
                <w:sz w:val="24"/>
                <w:szCs w:val="24"/>
              </w:rPr>
            </w:pPr>
            <w:r w:rsidRPr="00832D63">
              <w:rPr>
                <w:rFonts w:ascii="Times New Roman" w:hAnsi="Times New Roman"/>
                <w:sz w:val="24"/>
                <w:szCs w:val="24"/>
              </w:rPr>
              <w:t xml:space="preserve">Na základe uznesenia vlády SR č. 50 zo 6. februára 2019 k Auditu legislatívy z pohľadu goldplatingu  identifikovalo Ministerstvo financií SR  výskyt goldplatingu pri transpozícii čl. </w:t>
            </w:r>
            <w:r w:rsidRPr="00832D63">
              <w:rPr>
                <w:rFonts w:ascii="Times New Roman" w:hAnsi="Times New Roman"/>
                <w:sz w:val="24"/>
                <w:szCs w:val="24"/>
              </w:rPr>
              <w:lastRenderedPageBreak/>
              <w:t>1 ods. 2 písm. c)  Smernice</w:t>
            </w:r>
            <w:r w:rsidRPr="00832D63">
              <w:rPr>
                <w:rFonts w:ascii="Times New Roman" w:hAnsi="Times New Roman"/>
                <w:color w:val="000000"/>
                <w:sz w:val="24"/>
                <w:szCs w:val="24"/>
              </w:rPr>
              <w:t xml:space="preserve"> Európskeho parlamentu a Rady 2014/95/EÚ z 22. októbra 2014, ktorou sa mení smernica 2013/34/EÚ pokiaľ ide o zverejňovanie nefinančných informácií týkajúcich sa rozmanitosti niektorými veľkými podnikmi a skupinami, a to  v § 20 ods. 13 zákona č. 431/2002 Z. z. o účtovníctve v znení neskorších predpisov v otázke vymedzenia účtovných jednotiek, ktoré musia tieto informácie uvádzať vo výročnej správe.</w:t>
            </w:r>
          </w:p>
          <w:p w:rsidR="009157AF" w:rsidRPr="00832D63" w:rsidRDefault="009157AF" w:rsidP="00832D63">
            <w:pPr>
              <w:jc w:val="both"/>
              <w:rPr>
                <w:rFonts w:ascii="Times New Roman" w:hAnsi="Times New Roman"/>
                <w:b/>
                <w:sz w:val="24"/>
                <w:szCs w:val="24"/>
              </w:rPr>
            </w:pPr>
            <w:r w:rsidRPr="00832D63">
              <w:rPr>
                <w:rFonts w:ascii="Times New Roman" w:hAnsi="Times New Roman"/>
                <w:color w:val="000000"/>
                <w:sz w:val="24"/>
                <w:szCs w:val="24"/>
              </w:rPr>
              <w:t xml:space="preserve">Druhý podnet k odstráneniu goldplatingu prišiel z podnikateľského prostredia a týkal sa čl. 34 smernice 2013/34/EÚ a  zvýšenia podmienok na </w:t>
            </w:r>
            <w:r w:rsidRPr="00832D63">
              <w:rPr>
                <w:rFonts w:ascii="Times New Roman" w:hAnsi="Times New Roman"/>
                <w:sz w:val="24"/>
                <w:szCs w:val="24"/>
              </w:rPr>
              <w:t>povinnosť overenia účtovných závierok štatutárnym audítorom alebo audítorskou spoločnosťou.</w:t>
            </w:r>
          </w:p>
        </w:tc>
      </w:tr>
      <w:tr w:rsidR="009157AF" w:rsidRPr="00832D63" w:rsidTr="00832D63">
        <w:tc>
          <w:tcPr>
            <w:tcW w:w="9180" w:type="dxa"/>
            <w:gridSpan w:val="10"/>
            <w:tcBorders>
              <w:top w:val="single" w:sz="4" w:space="0" w:color="auto"/>
              <w:left w:val="single" w:sz="4" w:space="0" w:color="auto"/>
              <w:bottom w:val="nil"/>
              <w:right w:val="single" w:sz="4" w:space="0" w:color="auto"/>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lastRenderedPageBreak/>
              <w:t>Ciele a výsledný stav</w:t>
            </w:r>
          </w:p>
        </w:tc>
      </w:tr>
      <w:tr w:rsidR="009157AF" w:rsidRPr="00832D63" w:rsidTr="00832D63">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cPr>
          <w:p w:rsidR="009157AF" w:rsidRPr="00832D63" w:rsidRDefault="009157AF" w:rsidP="00832D63">
            <w:pPr>
              <w:pStyle w:val="Default"/>
              <w:jc w:val="both"/>
              <w:rPr>
                <w:rFonts w:ascii="Times New Roman" w:hAnsi="Times New Roman" w:cs="Times New Roman"/>
              </w:rPr>
            </w:pPr>
            <w:r w:rsidRPr="00832D63">
              <w:rPr>
                <w:rFonts w:ascii="Times New Roman" w:hAnsi="Times New Roman" w:cs="Times New Roman"/>
              </w:rPr>
              <w:t>Cieľom návrhu zákona je:</w:t>
            </w:r>
          </w:p>
          <w:p w:rsidR="009157AF" w:rsidRPr="00832D63" w:rsidRDefault="009157AF" w:rsidP="00832D63">
            <w:pPr>
              <w:pStyle w:val="Default"/>
              <w:jc w:val="both"/>
              <w:rPr>
                <w:rFonts w:ascii="Times New Roman" w:hAnsi="Times New Roman" w:cs="Times New Roman"/>
              </w:rPr>
            </w:pPr>
            <w:r w:rsidRPr="00832D63">
              <w:rPr>
                <w:rFonts w:ascii="Times New Roman" w:hAnsi="Times New Roman" w:cs="Times New Roman"/>
              </w:rPr>
              <w:t>1. na základe vypracovanej analýzy Ministerstva financií odstránenie neopodstatneného goldplatingu pri transpozícii  Smernice Európskeho parlamentu a Rady 2014/95EÚ. V súlade so stanoviskom experta z akademickej oblasti  k vypracovanej analýze  sa navrhuje zmena a doplnenie zákona o účtovníctve. Navrhuje sa v § 20 ods. 13 nové vymedzenie účtovných jednotiek, ktoré musia vo výročnej správe uvádzať nefinančné informácie týkajúce sa opisu politiky rozmanitosti. Veľké účtovné jednotky majú síce povinnosť vypracovať výročnú správu a uvádzať informácie o politike rozmanitosti, ale tie veľké účtovné jednotky, ktoré emitovali len iné cenné papiere než akcie prijaté na obchodovanie na regulovanom trhu, ak tieto účtovné jednotky neemitovali akcie, s ktorými sa obchoduje v mnohostrannom obchodnom systéme budú oslobodené od povinnosti  uvádzať vo výročnej správe nefinančné informácie týkajúce sa politiky rozmanitosti. Navrhuje sa prijať oslobodenia pre vymedzený okruh veľkých účtovných jednotiek  pri vypracovaní výročnej správy za účtovné obdobie, ktoré sa končí po 31. decembri 2019,</w:t>
            </w:r>
          </w:p>
          <w:p w:rsidR="009157AF" w:rsidRPr="00832D63" w:rsidRDefault="009157AF" w:rsidP="00832D63">
            <w:pPr>
              <w:pStyle w:val="Default"/>
              <w:jc w:val="both"/>
              <w:rPr>
                <w:rFonts w:ascii="Times New Roman" w:hAnsi="Times New Roman" w:cs="Times New Roman"/>
              </w:rPr>
            </w:pPr>
            <w:r w:rsidRPr="00832D63">
              <w:rPr>
                <w:rFonts w:ascii="Times New Roman" w:hAnsi="Times New Roman" w:cs="Times New Roman"/>
              </w:rPr>
              <w:t>2. zvýšenie veľkostných podmienok pre povinnosť overenia účtovných závierok štatutárnym audítorom alebo audítorskou spoločnosťou.</w:t>
            </w:r>
          </w:p>
          <w:p w:rsidR="009157AF" w:rsidRPr="00832D63" w:rsidRDefault="009157AF" w:rsidP="00832D63">
            <w:pPr>
              <w:pStyle w:val="Default"/>
              <w:jc w:val="both"/>
              <w:rPr>
                <w:rFonts w:ascii="Times New Roman" w:hAnsi="Times New Roman" w:cs="Times New Roman"/>
              </w:rPr>
            </w:pPr>
          </w:p>
        </w:tc>
      </w:tr>
      <w:tr w:rsidR="009157AF" w:rsidRPr="00832D63" w:rsidTr="00832D63">
        <w:tc>
          <w:tcPr>
            <w:tcW w:w="9180" w:type="dxa"/>
            <w:gridSpan w:val="10"/>
            <w:tcBorders>
              <w:top w:val="single" w:sz="4" w:space="0" w:color="auto"/>
              <w:left w:val="single" w:sz="4" w:space="0" w:color="auto"/>
              <w:bottom w:val="nil"/>
              <w:right w:val="single" w:sz="4" w:space="0" w:color="auto"/>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t>Dotknuté subjekty</w:t>
            </w:r>
          </w:p>
        </w:tc>
      </w:tr>
      <w:tr w:rsidR="009157AF" w:rsidRPr="00832D63" w:rsidTr="00832D63">
        <w:tc>
          <w:tcPr>
            <w:tcW w:w="9180" w:type="dxa"/>
            <w:gridSpan w:val="10"/>
            <w:tcBorders>
              <w:top w:val="nil"/>
              <w:left w:val="single" w:sz="4" w:space="0" w:color="auto"/>
              <w:bottom w:val="single" w:sz="4" w:space="0" w:color="auto"/>
              <w:right w:val="single" w:sz="4" w:space="0" w:color="auto"/>
            </w:tcBorders>
            <w:shd w:val="clear" w:color="auto" w:fill="FFFFFF"/>
          </w:tcPr>
          <w:p w:rsidR="009157AF" w:rsidRPr="00832D63" w:rsidRDefault="009157AF" w:rsidP="00832D63">
            <w:pPr>
              <w:jc w:val="both"/>
              <w:rPr>
                <w:rFonts w:ascii="Times New Roman" w:hAnsi="Times New Roman"/>
                <w:i/>
                <w:sz w:val="24"/>
                <w:szCs w:val="24"/>
              </w:rPr>
            </w:pPr>
            <w:r w:rsidRPr="00832D63">
              <w:rPr>
                <w:rFonts w:ascii="Times New Roman" w:hAnsi="Times New Roman"/>
                <w:sz w:val="24"/>
                <w:szCs w:val="24"/>
              </w:rPr>
              <w:t>Na základe analýzy MF SR predpokladáme mierne pozitívny vplyv na podnikateľské prostredie z titulu oslobodenia pri uvádzaní nefinančných informácií. Ďalej sa predpokladá zníženie povinnosti overenia individuálnej účtovnej závierky audítorom  cca u 2300 spoločností, pričom sa odhaduje zníženie nákladov na overenie účtovnej závierky cca vo výške 9 000 000 eur.</w:t>
            </w:r>
          </w:p>
        </w:tc>
      </w:tr>
      <w:tr w:rsidR="009157AF" w:rsidRPr="00832D63" w:rsidTr="00832D63">
        <w:tc>
          <w:tcPr>
            <w:tcW w:w="9180" w:type="dxa"/>
            <w:gridSpan w:val="10"/>
            <w:tcBorders>
              <w:top w:val="single" w:sz="4" w:space="0" w:color="auto"/>
              <w:left w:val="single" w:sz="4" w:space="0" w:color="auto"/>
              <w:bottom w:val="nil"/>
              <w:right w:val="single" w:sz="4" w:space="0" w:color="auto"/>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t>Alternatívne riešenia</w:t>
            </w:r>
          </w:p>
        </w:tc>
      </w:tr>
      <w:tr w:rsidR="009157AF" w:rsidRPr="00832D63" w:rsidTr="00832D63">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1. V nadväznosti na úpravu uvádzania informácií o politike rozmanitosti vo výročnej správe neexistuje alternatívne riešenie, buď sa informácia uvádza alebo nie.</w:t>
            </w:r>
          </w:p>
          <w:p w:rsidR="009157AF" w:rsidRPr="00832D63" w:rsidRDefault="009157AF" w:rsidP="00832D63">
            <w:pPr>
              <w:jc w:val="both"/>
              <w:rPr>
                <w:rFonts w:ascii="Times New Roman" w:hAnsi="Times New Roman"/>
                <w:i/>
                <w:sz w:val="24"/>
                <w:szCs w:val="24"/>
              </w:rPr>
            </w:pPr>
            <w:r w:rsidRPr="00832D63">
              <w:rPr>
                <w:rFonts w:ascii="Times New Roman" w:hAnsi="Times New Roman"/>
                <w:sz w:val="24"/>
                <w:szCs w:val="24"/>
              </w:rPr>
              <w:t xml:space="preserve">2. Pri rozhodovaní o zvýšení veľkostných podmienok pre povinnosť overenia účtovných závierok štatutárnym audítorom alebo audítorskou spoločnosťou boli zvažované alternatívy o 50%, 100 % alebo maximálne podmienky, ktoré umožňuje smernica. Pri stanovení povinnosti mať účtovnú závierku overenú audítorom MFSR zobralo do úvahy okrem administratívnej záťaže aj iné premenné, ako je veľkosť ekonomiky a jej rast, veľkosť spoločností v nej,  potreby spoločnosti vrátane štátu, disciplínu auditovaných spoločností a s tým spojené zníženie počtu výskytu omylov, chýb a podvodov, ktoré v konečnom dôsledku neovplyvňujú len auditovanú spoločnosť, ale jej ďalšie zainteresované </w:t>
            </w:r>
            <w:r w:rsidRPr="00832D63">
              <w:rPr>
                <w:rFonts w:ascii="Times New Roman" w:hAnsi="Times New Roman"/>
                <w:sz w:val="24"/>
                <w:szCs w:val="24"/>
              </w:rPr>
              <w:lastRenderedPageBreak/>
              <w:t>strany, ako sú dodávatelia, zamestnanci, banky a štát. V nadväznosti na uvedené navrhujeme zvýšiť kritéria o 100 %. V súčasnosti je podľa veľkostných podmienok auditovaných cca 3 % obchodných spoločností, po zvýšení veľkostných podmienok mať povinnosť overenia cca 1,6 %  obchodných spoločností.</w:t>
            </w:r>
          </w:p>
        </w:tc>
      </w:tr>
      <w:tr w:rsidR="009157AF" w:rsidRPr="00832D63" w:rsidTr="00832D63">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lastRenderedPageBreak/>
              <w:t>Vykonávacie predpisy</w:t>
            </w:r>
          </w:p>
        </w:tc>
      </w:tr>
      <w:tr w:rsidR="009157AF" w:rsidRPr="00832D63" w:rsidTr="00832D63">
        <w:tc>
          <w:tcPr>
            <w:tcW w:w="6203" w:type="dxa"/>
            <w:gridSpan w:val="6"/>
            <w:tcBorders>
              <w:top w:val="single" w:sz="4" w:space="0" w:color="FFFFFF"/>
              <w:left w:val="single" w:sz="4" w:space="0" w:color="auto"/>
              <w:bottom w:val="nil"/>
              <w:right w:val="nil"/>
            </w:tcBorders>
            <w:shd w:val="clear" w:color="auto" w:fill="FFFFFF"/>
          </w:tcPr>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9157AF" w:rsidRPr="00832D63" w:rsidRDefault="009157AF" w:rsidP="00832D63">
            <w:pPr>
              <w:jc w:val="center"/>
              <w:rPr>
                <w:rFonts w:ascii="Times New Roman" w:hAnsi="Times New Roman"/>
                <w:sz w:val="24"/>
                <w:szCs w:val="24"/>
              </w:rPr>
            </w:pPr>
            <w:r w:rsidRPr="00832D63">
              <w:rPr>
                <w:rFonts w:ascii="Segoe UI Symbol" w:eastAsia="MS Gothic" w:hAnsi="Segoe UI Symbol" w:cs="Segoe UI Symbol"/>
                <w:sz w:val="24"/>
                <w:szCs w:val="24"/>
              </w:rPr>
              <w:t>☐</w:t>
            </w:r>
            <w:r w:rsidRPr="00832D63">
              <w:rPr>
                <w:rFonts w:ascii="Times New Roman" w:hAnsi="Times New Roman"/>
                <w:sz w:val="24"/>
                <w:szCs w:val="24"/>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9157AF" w:rsidRPr="00832D63" w:rsidRDefault="009157AF" w:rsidP="00832D63">
            <w:pPr>
              <w:jc w:val="center"/>
              <w:rPr>
                <w:rFonts w:ascii="Times New Roman" w:hAnsi="Times New Roman"/>
                <w:sz w:val="24"/>
                <w:szCs w:val="24"/>
              </w:rPr>
            </w:pPr>
            <w:r w:rsidRPr="00832D63">
              <w:rPr>
                <w:rFonts w:ascii="Segoe UI Symbol" w:eastAsia="MS Gothic" w:hAnsi="Segoe UI Symbol" w:cs="Segoe UI Symbol"/>
                <w:sz w:val="24"/>
                <w:szCs w:val="24"/>
              </w:rPr>
              <w:t>☒</w:t>
            </w:r>
            <w:r w:rsidRPr="00832D63">
              <w:rPr>
                <w:rFonts w:ascii="Times New Roman" w:hAnsi="Times New Roman"/>
                <w:sz w:val="24"/>
                <w:szCs w:val="24"/>
              </w:rPr>
              <w:t xml:space="preserve">  Nie</w:t>
            </w:r>
          </w:p>
        </w:tc>
      </w:tr>
      <w:tr w:rsidR="009157AF" w:rsidRPr="00832D63" w:rsidTr="00832D63">
        <w:tc>
          <w:tcPr>
            <w:tcW w:w="9180" w:type="dxa"/>
            <w:gridSpan w:val="10"/>
            <w:tcBorders>
              <w:top w:val="nil"/>
              <w:left w:val="single" w:sz="4" w:space="0" w:color="auto"/>
              <w:bottom w:val="single" w:sz="4" w:space="0" w:color="auto"/>
              <w:right w:val="single" w:sz="4" w:space="0" w:color="auto"/>
            </w:tcBorders>
            <w:shd w:val="clear" w:color="auto" w:fill="FFFFFF"/>
          </w:tcPr>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Ak áno, uveďte ktoré oblasti budú nimi upravené, resp. ktorých vykonávacích predpisov sa zmena dotkne:</w:t>
            </w:r>
          </w:p>
          <w:p w:rsidR="009157AF" w:rsidRPr="00832D63" w:rsidRDefault="009157AF" w:rsidP="00832D63">
            <w:pPr>
              <w:rPr>
                <w:rFonts w:ascii="Times New Roman" w:hAnsi="Times New Roman"/>
                <w:sz w:val="24"/>
                <w:szCs w:val="24"/>
              </w:rPr>
            </w:pPr>
          </w:p>
        </w:tc>
      </w:tr>
      <w:tr w:rsidR="009157AF" w:rsidRPr="00832D63" w:rsidTr="00832D63">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t xml:space="preserve">Transpozícia práva EÚ </w:t>
            </w:r>
          </w:p>
        </w:tc>
      </w:tr>
      <w:tr w:rsidR="009157AF" w:rsidRPr="00832D63" w:rsidTr="00832D63">
        <w:trPr>
          <w:trHeight w:val="157"/>
        </w:trPr>
        <w:tc>
          <w:tcPr>
            <w:tcW w:w="9180" w:type="dxa"/>
            <w:gridSpan w:val="10"/>
            <w:tcBorders>
              <w:top w:val="nil"/>
              <w:left w:val="single" w:sz="4" w:space="0" w:color="000000"/>
              <w:bottom w:val="nil"/>
              <w:right w:val="single" w:sz="4" w:space="0" w:color="auto"/>
            </w:tcBorders>
            <w:shd w:val="clear" w:color="auto" w:fill="FFFFFF"/>
          </w:tcPr>
          <w:p w:rsidR="009157AF" w:rsidRPr="00832D63" w:rsidRDefault="009157AF" w:rsidP="00832D63">
            <w:pPr>
              <w:jc w:val="both"/>
              <w:rPr>
                <w:rFonts w:ascii="Times New Roman" w:hAnsi="Times New Roman"/>
                <w:color w:val="000000"/>
                <w:sz w:val="24"/>
                <w:szCs w:val="24"/>
              </w:rPr>
            </w:pPr>
            <w:r w:rsidRPr="00832D63">
              <w:rPr>
                <w:rFonts w:ascii="Times New Roman" w:hAnsi="Times New Roman"/>
                <w:sz w:val="24"/>
                <w:szCs w:val="24"/>
              </w:rPr>
              <w:t>1. Úprava uvádzania informácií o politike rozmanitosti vo výročnej správe</w:t>
            </w:r>
          </w:p>
          <w:p w:rsidR="009157AF" w:rsidRPr="00832D63" w:rsidRDefault="009157AF" w:rsidP="00832D63">
            <w:pPr>
              <w:jc w:val="both"/>
              <w:rPr>
                <w:rFonts w:ascii="Times New Roman" w:hAnsi="Times New Roman"/>
                <w:color w:val="000000"/>
                <w:sz w:val="24"/>
                <w:szCs w:val="24"/>
              </w:rPr>
            </w:pPr>
            <w:r w:rsidRPr="00832D63">
              <w:rPr>
                <w:rFonts w:ascii="Times New Roman" w:hAnsi="Times New Roman"/>
                <w:sz w:val="24"/>
                <w:szCs w:val="24"/>
              </w:rPr>
              <w:t>Návrh zákona je v súlade s minimalistickými požiadavkami EÚ pri transpozícii čl. 1 ods. 2 písm. c) Smernice</w:t>
            </w:r>
            <w:r w:rsidRPr="00832D63">
              <w:rPr>
                <w:rFonts w:ascii="Times New Roman" w:hAnsi="Times New Roman"/>
                <w:color w:val="000000"/>
                <w:sz w:val="24"/>
                <w:szCs w:val="24"/>
              </w:rPr>
              <w:t xml:space="preserve"> Európskeho parlamentu a Rady 2014/95/EÚ z 22. októbra 2014, ktorou sa mení smernica 2013/34/EÚ pokiaľ ide o zverejňovanie nefinančných informácií týkajúcich sa rozmanitosti niektorými veľkými podnikmi a skupinami.</w:t>
            </w:r>
          </w:p>
          <w:p w:rsidR="009157AF" w:rsidRPr="00832D63" w:rsidRDefault="009157AF" w:rsidP="00832D63">
            <w:pPr>
              <w:jc w:val="both"/>
              <w:rPr>
                <w:rFonts w:ascii="Times New Roman" w:hAnsi="Times New Roman"/>
                <w:bCs/>
                <w:sz w:val="24"/>
                <w:szCs w:val="24"/>
              </w:rPr>
            </w:pPr>
            <w:r w:rsidRPr="00832D63">
              <w:rPr>
                <w:rFonts w:ascii="Times New Roman" w:hAnsi="Times New Roman"/>
                <w:sz w:val="24"/>
                <w:szCs w:val="24"/>
              </w:rPr>
              <w:t>Návrhom zákona sa zákon o účtovníctve harmonizuje s čl. 31 ods.1 písm. a) Smernice Európskeho parlamentu a Rady</w:t>
            </w:r>
            <w:r w:rsidRPr="00832D63">
              <w:rPr>
                <w:rFonts w:ascii="Times New Roman" w:hAnsi="Times New Roman"/>
                <w:bCs/>
                <w:sz w:val="24"/>
                <w:szCs w:val="24"/>
              </w:rPr>
              <w:t xml:space="preserve"> 2013/34/EÚ z 26. júna 2013 o ročných účtovných závierkach, konsolidovaných účtovných závierkach a súvisiacich správach určitých druhov podnikov, ktorou sa mení smernica Európskeho parlamentu a Rady 2006/43/ES a zrušujú smernice Rady 78/660/EHS a 83/349/EHS.</w:t>
            </w:r>
          </w:p>
          <w:p w:rsidR="009157AF" w:rsidRPr="00832D63" w:rsidRDefault="009157AF" w:rsidP="00832D63">
            <w:pPr>
              <w:jc w:val="both"/>
              <w:rPr>
                <w:rFonts w:ascii="Times New Roman" w:hAnsi="Times New Roman"/>
                <w:sz w:val="24"/>
                <w:szCs w:val="24"/>
              </w:rPr>
            </w:pPr>
            <w:r w:rsidRPr="00832D63">
              <w:rPr>
                <w:rFonts w:ascii="Times New Roman" w:hAnsi="Times New Roman"/>
                <w:sz w:val="24"/>
                <w:szCs w:val="24"/>
              </w:rPr>
              <w:t>2. Zvýšenie veľkostných podmienok na overenie účtovnej závierky audítorom</w:t>
            </w:r>
          </w:p>
          <w:p w:rsidR="009157AF" w:rsidRPr="00832D63" w:rsidRDefault="009157AF" w:rsidP="00832D63">
            <w:pPr>
              <w:jc w:val="both"/>
              <w:rPr>
                <w:rFonts w:ascii="Times New Roman" w:hAnsi="Times New Roman"/>
                <w:sz w:val="24"/>
                <w:szCs w:val="24"/>
              </w:rPr>
            </w:pPr>
            <w:r w:rsidRPr="00832D63">
              <w:rPr>
                <w:rFonts w:ascii="Times New Roman" w:hAnsi="Times New Roman"/>
                <w:sz w:val="24"/>
                <w:szCs w:val="24"/>
              </w:rPr>
              <w:t>Návrh zákona je v súlade s minimalistickými požiadavkami EÚ pri transpozícii čl. 34 ods. 1 Smernice Európskeho parlamentu a Rady 2013/34/EÚ z 26 júna 2013 o ročných účtovných závierkach, konsolidovaných účtovných závierkach a súvisiacich správach určitých druhov podnikov v platnom znení.</w:t>
            </w:r>
          </w:p>
          <w:p w:rsidR="009157AF" w:rsidRPr="00832D63" w:rsidRDefault="009157AF" w:rsidP="00832D63">
            <w:pPr>
              <w:jc w:val="both"/>
              <w:rPr>
                <w:rFonts w:ascii="Times New Roman" w:hAnsi="Times New Roman"/>
                <w:i/>
                <w:sz w:val="24"/>
                <w:szCs w:val="24"/>
              </w:rPr>
            </w:pPr>
          </w:p>
          <w:p w:rsidR="009157AF" w:rsidRPr="00832D63" w:rsidRDefault="009157AF" w:rsidP="00832D63">
            <w:pPr>
              <w:rPr>
                <w:rFonts w:ascii="Times New Roman" w:hAnsi="Times New Roman"/>
                <w:i/>
                <w:sz w:val="24"/>
                <w:szCs w:val="24"/>
              </w:rPr>
            </w:pPr>
          </w:p>
        </w:tc>
      </w:tr>
      <w:tr w:rsidR="009157AF" w:rsidRPr="00832D63" w:rsidTr="00832D63">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t>Preskúmanie účelnosti**</w:t>
            </w:r>
          </w:p>
        </w:tc>
      </w:tr>
      <w:tr w:rsidR="009157AF" w:rsidRPr="00832D63" w:rsidTr="00832D63">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Uveďte termín, kedy by malo dôjsť k preskúmaniu účinnosti a účelnosti navrhovaného predpisu.</w:t>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Uveďte kritériá, na základe ktorých bude preskúmanie vykonané.</w:t>
            </w:r>
          </w:p>
          <w:p w:rsidR="009157AF" w:rsidRPr="00832D63" w:rsidRDefault="009157AF" w:rsidP="00832D63">
            <w:pPr>
              <w:rPr>
                <w:rFonts w:ascii="Times New Roman" w:hAnsi="Times New Roman"/>
                <w:i/>
                <w:sz w:val="24"/>
                <w:szCs w:val="24"/>
              </w:rPr>
            </w:pPr>
          </w:p>
        </w:tc>
      </w:tr>
      <w:tr w:rsidR="009157AF" w:rsidRPr="00832D63" w:rsidTr="00832D63">
        <w:trPr>
          <w:trHeight w:val="715"/>
        </w:trPr>
        <w:tc>
          <w:tcPr>
            <w:tcW w:w="9180" w:type="dxa"/>
            <w:gridSpan w:val="10"/>
            <w:tcBorders>
              <w:top w:val="single" w:sz="4" w:space="0" w:color="auto"/>
              <w:left w:val="nil"/>
              <w:bottom w:val="nil"/>
              <w:right w:val="nil"/>
            </w:tcBorders>
            <w:shd w:val="clear" w:color="auto" w:fill="FFFFFF"/>
          </w:tcPr>
          <w:p w:rsidR="009157AF" w:rsidRPr="00832D63" w:rsidRDefault="009157AF" w:rsidP="00832D63">
            <w:pPr>
              <w:ind w:left="142" w:hanging="142"/>
              <w:rPr>
                <w:rFonts w:ascii="Times New Roman" w:hAnsi="Times New Roman"/>
                <w:sz w:val="24"/>
                <w:szCs w:val="24"/>
              </w:rPr>
            </w:pPr>
            <w:r w:rsidRPr="00832D63">
              <w:rPr>
                <w:rFonts w:ascii="Times New Roman" w:hAnsi="Times New Roman"/>
                <w:sz w:val="24"/>
                <w:szCs w:val="24"/>
              </w:rPr>
              <w:t xml:space="preserve">* vyplniť iba v prípade, ak materiál nie je zahrnutý do Plánu práce vlády Slovenskej </w:t>
            </w:r>
            <w:r w:rsidRPr="00832D63">
              <w:rPr>
                <w:rFonts w:ascii="Times New Roman" w:hAnsi="Times New Roman"/>
                <w:sz w:val="24"/>
                <w:szCs w:val="24"/>
              </w:rPr>
              <w:lastRenderedPageBreak/>
              <w:t xml:space="preserve">republiky alebo Plánu legislatívnych úloh vlády Slovenskej republiky. </w:t>
            </w:r>
          </w:p>
          <w:p w:rsidR="009157AF" w:rsidRPr="00832D63" w:rsidRDefault="009157AF" w:rsidP="00832D63">
            <w:pPr>
              <w:rPr>
                <w:rFonts w:ascii="Times New Roman" w:hAnsi="Times New Roman"/>
                <w:sz w:val="24"/>
                <w:szCs w:val="24"/>
              </w:rPr>
            </w:pPr>
            <w:r w:rsidRPr="00832D63">
              <w:rPr>
                <w:rFonts w:ascii="Times New Roman" w:hAnsi="Times New Roman"/>
                <w:sz w:val="24"/>
                <w:szCs w:val="24"/>
              </w:rPr>
              <w:t>** nepovinné</w:t>
            </w:r>
          </w:p>
        </w:tc>
      </w:tr>
      <w:tr w:rsidR="009157AF" w:rsidRPr="00832D63" w:rsidTr="00832D63">
        <w:tc>
          <w:tcPr>
            <w:tcW w:w="9180" w:type="dxa"/>
            <w:gridSpan w:val="10"/>
            <w:tcBorders>
              <w:top w:val="nil"/>
              <w:left w:val="nil"/>
              <w:bottom w:val="single" w:sz="4" w:space="0" w:color="auto"/>
              <w:right w:val="nil"/>
            </w:tcBorders>
            <w:shd w:val="clear" w:color="auto" w:fill="FFFFFF"/>
          </w:tcPr>
          <w:p w:rsidR="009157AF" w:rsidRPr="00832D63" w:rsidRDefault="009157AF" w:rsidP="00832D63">
            <w:pPr>
              <w:rPr>
                <w:rFonts w:ascii="Times New Roman" w:hAnsi="Times New Roman"/>
                <w:b/>
                <w:sz w:val="24"/>
                <w:szCs w:val="24"/>
              </w:rPr>
            </w:pPr>
          </w:p>
        </w:tc>
      </w:tr>
      <w:tr w:rsidR="009157AF" w:rsidRPr="00832D63" w:rsidTr="00832D63">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t>Vplyvy navrhovaného materiálu</w:t>
            </w:r>
          </w:p>
        </w:tc>
      </w:tr>
      <w:tr w:rsidR="009157AF" w:rsidRPr="00832D63" w:rsidTr="00832D63">
        <w:tc>
          <w:tcPr>
            <w:tcW w:w="3812" w:type="dxa"/>
            <w:tcBorders>
              <w:top w:val="single" w:sz="4" w:space="0" w:color="auto"/>
              <w:left w:val="single" w:sz="4" w:space="0" w:color="auto"/>
              <w:bottom w:val="nil"/>
              <w:right w:val="single" w:sz="4" w:space="0" w:color="auto"/>
            </w:tcBorders>
            <w:shd w:val="clear" w:color="auto" w:fill="E2E2E2"/>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Vplyvy na rozpočet verejnej správy</w:t>
            </w:r>
          </w:p>
        </w:tc>
        <w:tc>
          <w:tcPr>
            <w:tcW w:w="541" w:type="dxa"/>
            <w:gridSpan w:val="2"/>
            <w:tcBorders>
              <w:top w:val="single" w:sz="4" w:space="0" w:color="auto"/>
              <w:left w:val="single" w:sz="4" w:space="0" w:color="auto"/>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Gothic" w:hAnsi="Segoe UI Symbol" w:cs="Segoe UI Symbol"/>
                <w:b/>
                <w:sz w:val="24"/>
                <w:szCs w:val="24"/>
              </w:rPr>
              <w:t>☐</w:t>
            </w:r>
          </w:p>
        </w:tc>
        <w:tc>
          <w:tcPr>
            <w:tcW w:w="1281"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Gothic" w:hAnsi="Segoe UI Symbol" w:cs="Segoe UI Symbol"/>
                <w:b/>
                <w:sz w:val="24"/>
                <w:szCs w:val="24"/>
              </w:rPr>
              <w:t>☒</w:t>
            </w:r>
          </w:p>
        </w:tc>
        <w:tc>
          <w:tcPr>
            <w:tcW w:w="1133" w:type="dxa"/>
            <w:tcBorders>
              <w:top w:val="single" w:sz="4" w:space="0" w:color="auto"/>
              <w:left w:val="nil"/>
              <w:bottom w:val="single" w:sz="4" w:space="0" w:color="auto"/>
              <w:right w:val="nil"/>
            </w:tcBorders>
            <w:shd w:val="clear" w:color="auto" w:fill="auto"/>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ind w:left="-107" w:right="-108"/>
              <w:jc w:val="center"/>
              <w:rPr>
                <w:rFonts w:ascii="Times New Roman" w:hAnsi="Times New Roman"/>
                <w:b/>
                <w:sz w:val="24"/>
                <w:szCs w:val="24"/>
              </w:rPr>
            </w:pPr>
            <w:r w:rsidRPr="00832D63">
              <w:rPr>
                <w:rFonts w:ascii="Segoe UI Symbol" w:eastAsia="MS Gothic" w:hAnsi="Segoe UI Symbol" w:cs="Segoe UI Symbol"/>
                <w:b/>
                <w:sz w:val="24"/>
                <w:szCs w:val="24"/>
              </w:rPr>
              <w:t>☐</w:t>
            </w:r>
          </w:p>
        </w:tc>
        <w:tc>
          <w:tcPr>
            <w:tcW w:w="1297" w:type="dxa"/>
            <w:tcBorders>
              <w:top w:val="single" w:sz="4" w:space="0" w:color="auto"/>
              <w:left w:val="nil"/>
              <w:bottom w:val="single" w:sz="4" w:space="0" w:color="auto"/>
              <w:right w:val="single" w:sz="4" w:space="0" w:color="auto"/>
            </w:tcBorders>
            <w:shd w:val="clear" w:color="auto" w:fill="auto"/>
          </w:tcPr>
          <w:p w:rsidR="009157AF" w:rsidRPr="00832D63" w:rsidRDefault="009157AF" w:rsidP="00832D63">
            <w:pPr>
              <w:ind w:left="34"/>
              <w:rPr>
                <w:rFonts w:ascii="Times New Roman" w:hAnsi="Times New Roman"/>
                <w:b/>
                <w:sz w:val="24"/>
                <w:szCs w:val="24"/>
              </w:rPr>
            </w:pPr>
            <w:r w:rsidRPr="00832D63">
              <w:rPr>
                <w:rFonts w:ascii="Times New Roman" w:hAnsi="Times New Roman"/>
                <w:b/>
                <w:sz w:val="24"/>
                <w:szCs w:val="24"/>
              </w:rPr>
              <w:t>Negatívne</w:t>
            </w:r>
          </w:p>
        </w:tc>
      </w:tr>
      <w:tr w:rsidR="009157AF" w:rsidRPr="00832D63" w:rsidTr="00832D63">
        <w:tc>
          <w:tcPr>
            <w:tcW w:w="3812" w:type="dxa"/>
            <w:tcBorders>
              <w:top w:val="nil"/>
              <w:left w:val="single" w:sz="4" w:space="0" w:color="auto"/>
              <w:bottom w:val="single" w:sz="4" w:space="0" w:color="000000"/>
              <w:right w:val="single" w:sz="4" w:space="0" w:color="auto"/>
            </w:tcBorders>
            <w:shd w:val="clear" w:color="auto" w:fill="E2E2E2"/>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shd w:val="clear" w:color="auto" w:fill="auto"/>
          </w:tcPr>
          <w:p w:rsidR="009157AF" w:rsidRPr="00832D63" w:rsidRDefault="009157AF" w:rsidP="00832D63">
            <w:pPr>
              <w:jc w:val="center"/>
              <w:rPr>
                <w:rFonts w:ascii="Times New Roman" w:hAnsi="Times New Roman"/>
                <w:sz w:val="24"/>
                <w:szCs w:val="24"/>
              </w:rPr>
            </w:pPr>
            <w:r w:rsidRPr="00832D63">
              <w:rPr>
                <w:rFonts w:ascii="Segoe UI Symbol" w:eastAsia="MS Gothic" w:hAnsi="Segoe UI Symbol" w:cs="Segoe UI Symbol"/>
                <w:sz w:val="24"/>
                <w:szCs w:val="24"/>
              </w:rPr>
              <w:t>☐</w:t>
            </w:r>
          </w:p>
        </w:tc>
        <w:tc>
          <w:tcPr>
            <w:tcW w:w="1281"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Áno</w:t>
            </w:r>
          </w:p>
        </w:tc>
        <w:tc>
          <w:tcPr>
            <w:tcW w:w="569" w:type="dxa"/>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sz w:val="24"/>
                <w:szCs w:val="24"/>
              </w:rPr>
            </w:pPr>
            <w:r w:rsidRPr="00832D63">
              <w:rPr>
                <w:rFonts w:ascii="Segoe UI Symbol" w:eastAsia="MS Gothic" w:hAnsi="Segoe UI Symbol" w:cs="Segoe UI Symbol"/>
                <w:sz w:val="24"/>
                <w:szCs w:val="24"/>
              </w:rPr>
              <w:t>☐</w:t>
            </w:r>
          </w:p>
        </w:tc>
        <w:tc>
          <w:tcPr>
            <w:tcW w:w="1133" w:type="dxa"/>
            <w:tcBorders>
              <w:top w:val="single" w:sz="4" w:space="0" w:color="auto"/>
              <w:left w:val="nil"/>
              <w:bottom w:val="single" w:sz="4" w:space="0" w:color="auto"/>
              <w:right w:val="nil"/>
            </w:tcBorders>
            <w:shd w:val="clear" w:color="auto" w:fill="auto"/>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Nie</w:t>
            </w:r>
          </w:p>
        </w:tc>
        <w:tc>
          <w:tcPr>
            <w:tcW w:w="547"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ind w:left="-107" w:right="-108"/>
              <w:jc w:val="center"/>
              <w:rPr>
                <w:rFonts w:ascii="Times New Roman" w:hAnsi="Times New Roman"/>
                <w:sz w:val="24"/>
                <w:szCs w:val="24"/>
              </w:rPr>
            </w:pPr>
            <w:r w:rsidRPr="00832D63">
              <w:rPr>
                <w:rFonts w:ascii="Segoe UI Symbol" w:eastAsia="MS Mincho" w:hAnsi="Segoe UI Symbol" w:cs="Segoe UI Symbol"/>
                <w:sz w:val="24"/>
                <w:szCs w:val="24"/>
              </w:rPr>
              <w:t>☐</w:t>
            </w:r>
          </w:p>
        </w:tc>
        <w:tc>
          <w:tcPr>
            <w:tcW w:w="1297" w:type="dxa"/>
            <w:tcBorders>
              <w:top w:val="single" w:sz="4" w:space="0" w:color="auto"/>
              <w:left w:val="nil"/>
              <w:bottom w:val="single" w:sz="4" w:space="0" w:color="auto"/>
              <w:right w:val="single" w:sz="4" w:space="0" w:color="auto"/>
            </w:tcBorders>
            <w:shd w:val="clear" w:color="auto" w:fill="auto"/>
          </w:tcPr>
          <w:p w:rsidR="009157AF" w:rsidRPr="00832D63" w:rsidRDefault="009157AF" w:rsidP="00832D63">
            <w:pPr>
              <w:ind w:left="34"/>
              <w:rPr>
                <w:rFonts w:ascii="Times New Roman" w:hAnsi="Times New Roman"/>
                <w:sz w:val="24"/>
                <w:szCs w:val="24"/>
              </w:rPr>
            </w:pPr>
            <w:r w:rsidRPr="00832D63">
              <w:rPr>
                <w:rFonts w:ascii="Times New Roman" w:hAnsi="Times New Roman"/>
                <w:sz w:val="24"/>
                <w:szCs w:val="24"/>
              </w:rPr>
              <w:t>Čiastočne</w:t>
            </w:r>
          </w:p>
        </w:tc>
      </w:tr>
      <w:tr w:rsidR="009157AF" w:rsidRPr="00832D63" w:rsidTr="00832D63">
        <w:tc>
          <w:tcPr>
            <w:tcW w:w="3812" w:type="dxa"/>
            <w:tcBorders>
              <w:top w:val="single" w:sz="4" w:space="0" w:color="000000"/>
              <w:left w:val="single" w:sz="4" w:space="0" w:color="auto"/>
              <w:bottom w:val="nil"/>
              <w:right w:val="single" w:sz="4" w:space="0" w:color="auto"/>
            </w:tcBorders>
            <w:shd w:val="clear" w:color="auto" w:fill="E2E2E2"/>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Vplyvy na podnikateľské prostredie</w:t>
            </w:r>
          </w:p>
        </w:tc>
        <w:tc>
          <w:tcPr>
            <w:tcW w:w="541" w:type="dxa"/>
            <w:gridSpan w:val="2"/>
            <w:tcBorders>
              <w:top w:val="single" w:sz="4" w:space="0" w:color="auto"/>
              <w:left w:val="single" w:sz="4" w:space="0" w:color="auto"/>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Gothic" w:hAnsi="Segoe UI Symbol" w:cs="Segoe UI Symbol"/>
                <w:b/>
                <w:sz w:val="24"/>
                <w:szCs w:val="24"/>
              </w:rPr>
              <w:t>☒</w:t>
            </w:r>
          </w:p>
        </w:tc>
        <w:tc>
          <w:tcPr>
            <w:tcW w:w="1281"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ind w:right="-108"/>
              <w:rPr>
                <w:rFonts w:ascii="Times New Roman" w:hAnsi="Times New Roman"/>
                <w:b/>
                <w:sz w:val="24"/>
                <w:szCs w:val="24"/>
              </w:rPr>
            </w:pPr>
            <w:r w:rsidRPr="00832D63">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Mincho" w:hAnsi="Segoe UI Symbol" w:cs="Segoe UI Symbol"/>
                <w:b/>
                <w:sz w:val="24"/>
                <w:szCs w:val="24"/>
              </w:rPr>
              <w:t>☐</w:t>
            </w:r>
          </w:p>
        </w:tc>
        <w:tc>
          <w:tcPr>
            <w:tcW w:w="1133" w:type="dxa"/>
            <w:tcBorders>
              <w:top w:val="single" w:sz="4" w:space="0" w:color="auto"/>
              <w:left w:val="nil"/>
              <w:bottom w:val="single" w:sz="4" w:space="0" w:color="auto"/>
              <w:right w:val="nil"/>
            </w:tcBorders>
            <w:shd w:val="clear" w:color="auto" w:fill="auto"/>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Gothic" w:hAnsi="Segoe UI Symbol" w:cs="Segoe UI Symbol"/>
                <w:b/>
                <w:sz w:val="24"/>
                <w:szCs w:val="24"/>
              </w:rPr>
              <w:t>☐</w:t>
            </w:r>
          </w:p>
        </w:tc>
        <w:tc>
          <w:tcPr>
            <w:tcW w:w="1297" w:type="dxa"/>
            <w:tcBorders>
              <w:top w:val="single" w:sz="4" w:space="0" w:color="auto"/>
              <w:left w:val="nil"/>
              <w:bottom w:val="single" w:sz="4" w:space="0" w:color="auto"/>
              <w:right w:val="single" w:sz="4" w:space="0" w:color="auto"/>
            </w:tcBorders>
            <w:shd w:val="clear" w:color="auto" w:fill="auto"/>
          </w:tcPr>
          <w:p w:rsidR="009157AF" w:rsidRPr="00832D63" w:rsidRDefault="009157AF" w:rsidP="00832D63">
            <w:pPr>
              <w:ind w:left="54"/>
              <w:rPr>
                <w:rFonts w:ascii="Times New Roman" w:hAnsi="Times New Roman"/>
                <w:b/>
                <w:sz w:val="24"/>
                <w:szCs w:val="24"/>
              </w:rPr>
            </w:pPr>
            <w:r w:rsidRPr="00832D63">
              <w:rPr>
                <w:rFonts w:ascii="Times New Roman" w:hAnsi="Times New Roman"/>
                <w:b/>
                <w:sz w:val="24"/>
                <w:szCs w:val="24"/>
              </w:rPr>
              <w:t>Negatívne</w:t>
            </w:r>
          </w:p>
        </w:tc>
      </w:tr>
      <w:tr w:rsidR="009157AF" w:rsidRPr="00832D63" w:rsidTr="00832D63">
        <w:tc>
          <w:tcPr>
            <w:tcW w:w="3812" w:type="dxa"/>
            <w:tcBorders>
              <w:top w:val="nil"/>
              <w:left w:val="single" w:sz="4" w:space="0" w:color="000000"/>
              <w:bottom w:val="single" w:sz="4" w:space="0" w:color="000000"/>
              <w:right w:val="single" w:sz="4" w:space="0" w:color="000000"/>
            </w:tcBorders>
            <w:shd w:val="clear" w:color="auto" w:fill="E2E2E2"/>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 xml:space="preserve">    z toho vplyvy na MSP</w:t>
            </w:r>
          </w:p>
        </w:tc>
        <w:tc>
          <w:tcPr>
            <w:tcW w:w="541" w:type="dxa"/>
            <w:gridSpan w:val="2"/>
            <w:tcBorders>
              <w:top w:val="single" w:sz="4" w:space="0" w:color="auto"/>
              <w:left w:val="single" w:sz="4" w:space="0" w:color="000000"/>
              <w:bottom w:val="single" w:sz="4" w:space="0" w:color="auto"/>
              <w:right w:val="nil"/>
            </w:tcBorders>
            <w:shd w:val="clear" w:color="auto" w:fill="auto"/>
          </w:tcPr>
          <w:p w:rsidR="009157AF" w:rsidRPr="00832D63" w:rsidRDefault="009157AF" w:rsidP="00832D63">
            <w:pPr>
              <w:jc w:val="center"/>
              <w:rPr>
                <w:rFonts w:ascii="Times New Roman" w:hAnsi="Times New Roman"/>
                <w:sz w:val="24"/>
                <w:szCs w:val="24"/>
              </w:rPr>
            </w:pPr>
            <w:r w:rsidRPr="00832D63">
              <w:rPr>
                <w:rFonts w:ascii="Segoe UI Symbol" w:eastAsia="MS Gothic" w:hAnsi="Segoe UI Symbol" w:cs="Segoe UI Symbol"/>
                <w:sz w:val="24"/>
                <w:szCs w:val="24"/>
              </w:rPr>
              <w:t>☒</w:t>
            </w:r>
          </w:p>
        </w:tc>
        <w:tc>
          <w:tcPr>
            <w:tcW w:w="1281"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ind w:right="-108"/>
              <w:rPr>
                <w:rFonts w:ascii="Times New Roman" w:hAnsi="Times New Roman"/>
                <w:sz w:val="24"/>
                <w:szCs w:val="24"/>
              </w:rPr>
            </w:pPr>
            <w:r w:rsidRPr="00832D63">
              <w:rPr>
                <w:rFonts w:ascii="Times New Roman" w:hAnsi="Times New Roman"/>
                <w:sz w:val="24"/>
                <w:szCs w:val="24"/>
              </w:rPr>
              <w:t>Pozitívne</w:t>
            </w:r>
          </w:p>
        </w:tc>
        <w:tc>
          <w:tcPr>
            <w:tcW w:w="569" w:type="dxa"/>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sz w:val="24"/>
                <w:szCs w:val="24"/>
              </w:rPr>
            </w:pPr>
            <w:r w:rsidRPr="00832D63">
              <w:rPr>
                <w:rFonts w:ascii="Segoe UI Symbol" w:eastAsia="MS Gothic" w:hAnsi="Segoe UI Symbol" w:cs="Segoe UI Symbol"/>
                <w:sz w:val="24"/>
                <w:szCs w:val="24"/>
              </w:rPr>
              <w:t>☐</w:t>
            </w:r>
          </w:p>
        </w:tc>
        <w:tc>
          <w:tcPr>
            <w:tcW w:w="1133" w:type="dxa"/>
            <w:tcBorders>
              <w:top w:val="single" w:sz="4" w:space="0" w:color="auto"/>
              <w:left w:val="nil"/>
              <w:bottom w:val="single" w:sz="4" w:space="0" w:color="auto"/>
              <w:right w:val="nil"/>
            </w:tcBorders>
            <w:shd w:val="clear" w:color="auto" w:fill="auto"/>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Žiadne</w:t>
            </w:r>
          </w:p>
        </w:tc>
        <w:tc>
          <w:tcPr>
            <w:tcW w:w="547"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sz w:val="24"/>
                <w:szCs w:val="24"/>
              </w:rPr>
            </w:pPr>
            <w:r w:rsidRPr="00832D63">
              <w:rPr>
                <w:rFonts w:ascii="Segoe UI Symbol" w:eastAsia="MS Gothic" w:hAnsi="Segoe UI Symbol" w:cs="Segoe UI Symbol"/>
                <w:sz w:val="24"/>
                <w:szCs w:val="24"/>
              </w:rPr>
              <w:t>☐</w:t>
            </w:r>
          </w:p>
        </w:tc>
        <w:tc>
          <w:tcPr>
            <w:tcW w:w="1297" w:type="dxa"/>
            <w:tcBorders>
              <w:top w:val="single" w:sz="4" w:space="0" w:color="auto"/>
              <w:left w:val="nil"/>
              <w:bottom w:val="single" w:sz="4" w:space="0" w:color="auto"/>
              <w:right w:val="single" w:sz="4" w:space="0" w:color="auto"/>
            </w:tcBorders>
            <w:shd w:val="clear" w:color="auto" w:fill="auto"/>
          </w:tcPr>
          <w:p w:rsidR="009157AF" w:rsidRPr="00832D63" w:rsidRDefault="009157AF" w:rsidP="00832D63">
            <w:pPr>
              <w:ind w:left="54"/>
              <w:rPr>
                <w:rFonts w:ascii="Times New Roman" w:hAnsi="Times New Roman"/>
                <w:sz w:val="24"/>
                <w:szCs w:val="24"/>
              </w:rPr>
            </w:pPr>
            <w:r w:rsidRPr="00832D63">
              <w:rPr>
                <w:rFonts w:ascii="Times New Roman" w:hAnsi="Times New Roman"/>
                <w:sz w:val="24"/>
                <w:szCs w:val="24"/>
              </w:rPr>
              <w:t>Negatívne</w:t>
            </w:r>
          </w:p>
        </w:tc>
      </w:tr>
      <w:tr w:rsidR="009157AF" w:rsidRPr="00832D63" w:rsidTr="00832D63">
        <w:tc>
          <w:tcPr>
            <w:tcW w:w="3812" w:type="dxa"/>
            <w:tcBorders>
              <w:top w:val="single" w:sz="4" w:space="0" w:color="000000"/>
              <w:left w:val="single" w:sz="4" w:space="0" w:color="auto"/>
              <w:bottom w:val="single" w:sz="4" w:space="0" w:color="auto"/>
              <w:right w:val="single" w:sz="4" w:space="0" w:color="auto"/>
            </w:tcBorders>
            <w:shd w:val="clear" w:color="auto" w:fill="E2E2E2"/>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Sociálne vplyvy</w:t>
            </w:r>
          </w:p>
        </w:tc>
        <w:tc>
          <w:tcPr>
            <w:tcW w:w="541" w:type="dxa"/>
            <w:gridSpan w:val="2"/>
            <w:tcBorders>
              <w:top w:val="single" w:sz="4" w:space="0" w:color="auto"/>
              <w:left w:val="single" w:sz="4" w:space="0" w:color="auto"/>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Mincho" w:hAnsi="Segoe UI Symbol" w:cs="Segoe UI Symbol"/>
                <w:b/>
                <w:sz w:val="24"/>
                <w:szCs w:val="24"/>
              </w:rPr>
              <w:t>☐</w:t>
            </w:r>
          </w:p>
        </w:tc>
        <w:tc>
          <w:tcPr>
            <w:tcW w:w="1281"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ind w:right="-108"/>
              <w:rPr>
                <w:rFonts w:ascii="Times New Roman" w:hAnsi="Times New Roman"/>
                <w:b/>
                <w:sz w:val="24"/>
                <w:szCs w:val="24"/>
              </w:rPr>
            </w:pPr>
            <w:r w:rsidRPr="00832D63">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Gothic" w:hAnsi="Segoe UI Symbol" w:cs="Segoe UI Symbol"/>
                <w:b/>
                <w:sz w:val="24"/>
                <w:szCs w:val="24"/>
              </w:rPr>
              <w:t>☒</w:t>
            </w:r>
          </w:p>
        </w:tc>
        <w:tc>
          <w:tcPr>
            <w:tcW w:w="1133" w:type="dxa"/>
            <w:tcBorders>
              <w:top w:val="single" w:sz="4" w:space="0" w:color="auto"/>
              <w:left w:val="nil"/>
              <w:bottom w:val="single" w:sz="4" w:space="0" w:color="auto"/>
              <w:right w:val="nil"/>
            </w:tcBorders>
            <w:shd w:val="clear" w:color="auto" w:fill="auto"/>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Mincho" w:hAnsi="Segoe UI Symbol" w:cs="Segoe UI Symbol"/>
                <w:b/>
                <w:sz w:val="24"/>
                <w:szCs w:val="24"/>
              </w:rPr>
              <w:t>☐</w:t>
            </w:r>
          </w:p>
        </w:tc>
        <w:tc>
          <w:tcPr>
            <w:tcW w:w="1297" w:type="dxa"/>
            <w:tcBorders>
              <w:top w:val="single" w:sz="4" w:space="0" w:color="auto"/>
              <w:left w:val="nil"/>
              <w:bottom w:val="single" w:sz="4" w:space="0" w:color="auto"/>
              <w:right w:val="single" w:sz="4" w:space="0" w:color="auto"/>
            </w:tcBorders>
            <w:shd w:val="clear" w:color="auto" w:fill="auto"/>
          </w:tcPr>
          <w:p w:rsidR="009157AF" w:rsidRPr="00832D63" w:rsidRDefault="009157AF" w:rsidP="00832D63">
            <w:pPr>
              <w:ind w:left="54"/>
              <w:rPr>
                <w:rFonts w:ascii="Times New Roman" w:hAnsi="Times New Roman"/>
                <w:b/>
                <w:sz w:val="24"/>
                <w:szCs w:val="24"/>
              </w:rPr>
            </w:pPr>
            <w:r w:rsidRPr="00832D63">
              <w:rPr>
                <w:rFonts w:ascii="Times New Roman" w:hAnsi="Times New Roman"/>
                <w:b/>
                <w:sz w:val="24"/>
                <w:szCs w:val="24"/>
              </w:rPr>
              <w:t>Negatívne</w:t>
            </w:r>
          </w:p>
        </w:tc>
      </w:tr>
      <w:tr w:rsidR="009157AF" w:rsidRPr="00832D63" w:rsidTr="00832D63">
        <w:tc>
          <w:tcPr>
            <w:tcW w:w="3812" w:type="dxa"/>
            <w:tcBorders>
              <w:top w:val="single" w:sz="4" w:space="0" w:color="auto"/>
              <w:left w:val="single" w:sz="4" w:space="0" w:color="auto"/>
              <w:bottom w:val="single" w:sz="4" w:space="0" w:color="auto"/>
              <w:right w:val="single" w:sz="4" w:space="0" w:color="auto"/>
            </w:tcBorders>
            <w:shd w:val="clear" w:color="auto" w:fill="E2E2E2"/>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Vplyvy na životné prostredie</w:t>
            </w:r>
          </w:p>
        </w:tc>
        <w:tc>
          <w:tcPr>
            <w:tcW w:w="541" w:type="dxa"/>
            <w:gridSpan w:val="2"/>
            <w:tcBorders>
              <w:top w:val="single" w:sz="4" w:space="0" w:color="auto"/>
              <w:left w:val="single" w:sz="4" w:space="0" w:color="auto"/>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Mincho" w:hAnsi="Segoe UI Symbol" w:cs="Segoe UI Symbol"/>
                <w:b/>
                <w:sz w:val="24"/>
                <w:szCs w:val="24"/>
              </w:rPr>
              <w:t>☐</w:t>
            </w:r>
          </w:p>
        </w:tc>
        <w:tc>
          <w:tcPr>
            <w:tcW w:w="1281"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ind w:right="-108"/>
              <w:rPr>
                <w:rFonts w:ascii="Times New Roman" w:hAnsi="Times New Roman"/>
                <w:b/>
                <w:sz w:val="24"/>
                <w:szCs w:val="24"/>
              </w:rPr>
            </w:pPr>
            <w:r w:rsidRPr="00832D63">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Gothic" w:hAnsi="Segoe UI Symbol" w:cs="Segoe UI Symbol"/>
                <w:b/>
                <w:sz w:val="24"/>
                <w:szCs w:val="24"/>
              </w:rPr>
              <w:t>☒</w:t>
            </w:r>
          </w:p>
        </w:tc>
        <w:tc>
          <w:tcPr>
            <w:tcW w:w="1133" w:type="dxa"/>
            <w:tcBorders>
              <w:top w:val="single" w:sz="4" w:space="0" w:color="auto"/>
              <w:left w:val="nil"/>
              <w:bottom w:val="single" w:sz="4" w:space="0" w:color="auto"/>
              <w:right w:val="nil"/>
            </w:tcBorders>
            <w:shd w:val="clear" w:color="auto" w:fill="auto"/>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Mincho" w:hAnsi="Segoe UI Symbol" w:cs="Segoe UI Symbol"/>
                <w:b/>
                <w:sz w:val="24"/>
                <w:szCs w:val="24"/>
              </w:rPr>
              <w:t>☐</w:t>
            </w:r>
          </w:p>
        </w:tc>
        <w:tc>
          <w:tcPr>
            <w:tcW w:w="1297" w:type="dxa"/>
            <w:tcBorders>
              <w:top w:val="single" w:sz="4" w:space="0" w:color="auto"/>
              <w:left w:val="nil"/>
              <w:bottom w:val="single" w:sz="4" w:space="0" w:color="auto"/>
              <w:right w:val="single" w:sz="4" w:space="0" w:color="auto"/>
            </w:tcBorders>
            <w:shd w:val="clear" w:color="auto" w:fill="auto"/>
          </w:tcPr>
          <w:p w:rsidR="009157AF" w:rsidRPr="00832D63" w:rsidRDefault="009157AF" w:rsidP="00832D63">
            <w:pPr>
              <w:ind w:left="54"/>
              <w:rPr>
                <w:rFonts w:ascii="Times New Roman" w:hAnsi="Times New Roman"/>
                <w:b/>
                <w:sz w:val="24"/>
                <w:szCs w:val="24"/>
              </w:rPr>
            </w:pPr>
            <w:r w:rsidRPr="00832D63">
              <w:rPr>
                <w:rFonts w:ascii="Times New Roman" w:hAnsi="Times New Roman"/>
                <w:b/>
                <w:sz w:val="24"/>
                <w:szCs w:val="24"/>
              </w:rPr>
              <w:t>Negatívne</w:t>
            </w:r>
          </w:p>
        </w:tc>
      </w:tr>
      <w:tr w:rsidR="009157AF" w:rsidRPr="00832D63" w:rsidTr="00832D63">
        <w:tc>
          <w:tcPr>
            <w:tcW w:w="3812" w:type="dxa"/>
            <w:tcBorders>
              <w:top w:val="single" w:sz="4" w:space="0" w:color="auto"/>
              <w:left w:val="single" w:sz="4" w:space="0" w:color="auto"/>
              <w:bottom w:val="single" w:sz="4" w:space="0" w:color="auto"/>
              <w:right w:val="single" w:sz="4" w:space="0" w:color="auto"/>
            </w:tcBorders>
            <w:shd w:val="clear" w:color="auto" w:fill="E2E2E2"/>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Vplyvy na informatizáciu</w:t>
            </w:r>
          </w:p>
        </w:tc>
        <w:tc>
          <w:tcPr>
            <w:tcW w:w="541" w:type="dxa"/>
            <w:gridSpan w:val="2"/>
            <w:tcBorders>
              <w:top w:val="single" w:sz="4" w:space="0" w:color="auto"/>
              <w:left w:val="single" w:sz="4" w:space="0" w:color="auto"/>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Mincho" w:hAnsi="Segoe UI Symbol" w:cs="Segoe UI Symbol"/>
                <w:b/>
                <w:sz w:val="24"/>
                <w:szCs w:val="24"/>
              </w:rPr>
              <w:t>☐</w:t>
            </w:r>
          </w:p>
        </w:tc>
        <w:tc>
          <w:tcPr>
            <w:tcW w:w="1281"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ind w:right="-108"/>
              <w:rPr>
                <w:rFonts w:ascii="Times New Roman" w:hAnsi="Times New Roman"/>
                <w:b/>
                <w:sz w:val="24"/>
                <w:szCs w:val="24"/>
              </w:rPr>
            </w:pPr>
            <w:r w:rsidRPr="00832D63">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Gothic" w:hAnsi="Segoe UI Symbol" w:cs="Segoe UI Symbol"/>
                <w:b/>
                <w:sz w:val="24"/>
                <w:szCs w:val="24"/>
              </w:rPr>
              <w:t>☒</w:t>
            </w:r>
          </w:p>
        </w:tc>
        <w:tc>
          <w:tcPr>
            <w:tcW w:w="1133" w:type="dxa"/>
            <w:tcBorders>
              <w:top w:val="single" w:sz="4" w:space="0" w:color="auto"/>
              <w:left w:val="nil"/>
              <w:bottom w:val="single" w:sz="4" w:space="0" w:color="auto"/>
              <w:right w:val="nil"/>
            </w:tcBorders>
            <w:shd w:val="clear" w:color="auto" w:fill="auto"/>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shd w:val="clear" w:color="auto" w:fill="auto"/>
          </w:tcPr>
          <w:p w:rsidR="009157AF" w:rsidRPr="00832D63" w:rsidRDefault="009157AF" w:rsidP="00832D63">
            <w:pPr>
              <w:jc w:val="center"/>
              <w:rPr>
                <w:rFonts w:ascii="Times New Roman" w:hAnsi="Times New Roman"/>
                <w:b/>
                <w:sz w:val="24"/>
                <w:szCs w:val="24"/>
              </w:rPr>
            </w:pPr>
            <w:r w:rsidRPr="00832D63">
              <w:rPr>
                <w:rFonts w:ascii="Segoe UI Symbol" w:eastAsia="MS Mincho" w:hAnsi="Segoe UI Symbol" w:cs="Segoe UI Symbol"/>
                <w:b/>
                <w:sz w:val="24"/>
                <w:szCs w:val="24"/>
              </w:rPr>
              <w:t>☐</w:t>
            </w:r>
          </w:p>
        </w:tc>
        <w:tc>
          <w:tcPr>
            <w:tcW w:w="1297" w:type="dxa"/>
            <w:tcBorders>
              <w:top w:val="single" w:sz="4" w:space="0" w:color="auto"/>
              <w:left w:val="nil"/>
              <w:bottom w:val="single" w:sz="4" w:space="0" w:color="auto"/>
              <w:right w:val="single" w:sz="4" w:space="0" w:color="auto"/>
            </w:tcBorders>
            <w:shd w:val="clear" w:color="auto" w:fill="auto"/>
          </w:tcPr>
          <w:p w:rsidR="009157AF" w:rsidRPr="00832D63" w:rsidRDefault="009157AF" w:rsidP="00832D63">
            <w:pPr>
              <w:ind w:left="54"/>
              <w:rPr>
                <w:rFonts w:ascii="Times New Roman" w:hAnsi="Times New Roman"/>
                <w:b/>
                <w:sz w:val="24"/>
                <w:szCs w:val="24"/>
              </w:rPr>
            </w:pPr>
            <w:r w:rsidRPr="00832D63">
              <w:rPr>
                <w:rFonts w:ascii="Times New Roman" w:hAnsi="Times New Roman"/>
                <w:b/>
                <w:sz w:val="24"/>
                <w:szCs w:val="24"/>
              </w:rPr>
              <w:t>Negatívne</w:t>
            </w:r>
          </w:p>
        </w:tc>
      </w:tr>
    </w:tbl>
    <w:p w:rsidR="00832D63" w:rsidRPr="00832D63" w:rsidRDefault="00832D63" w:rsidP="00832D63">
      <w:pPr>
        <w:spacing w:after="0"/>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9157AF" w:rsidRPr="009157AF" w:rsidTr="00832D63">
        <w:tc>
          <w:tcPr>
            <w:tcW w:w="3812" w:type="dxa"/>
            <w:tcBorders>
              <w:top w:val="single" w:sz="4" w:space="0" w:color="auto"/>
              <w:left w:val="single" w:sz="4" w:space="0" w:color="auto"/>
              <w:bottom w:val="nil"/>
              <w:right w:val="single" w:sz="4" w:space="0" w:color="auto"/>
            </w:tcBorders>
            <w:shd w:val="clear" w:color="auto" w:fill="E2E2E2"/>
          </w:tcPr>
          <w:p w:rsidR="009157AF" w:rsidRPr="009157AF" w:rsidRDefault="009157AF" w:rsidP="00832D63">
            <w:pPr>
              <w:rPr>
                <w:rFonts w:ascii="Times New Roman" w:hAnsi="Times New Roman"/>
                <w:b/>
                <w:sz w:val="24"/>
                <w:szCs w:val="24"/>
              </w:rPr>
            </w:pPr>
            <w:r w:rsidRPr="009157AF">
              <w:rPr>
                <w:rFonts w:ascii="Times New Roman" w:hAnsi="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9157AF" w:rsidRPr="009157AF" w:rsidRDefault="009157AF" w:rsidP="00832D63">
            <w:pPr>
              <w:jc w:val="center"/>
              <w:rPr>
                <w:rFonts w:ascii="Times New Roman" w:eastAsia="MS Mincho" w:hAnsi="Times New Roman"/>
                <w:b/>
                <w:sz w:val="24"/>
                <w:szCs w:val="24"/>
              </w:rPr>
            </w:pPr>
          </w:p>
        </w:tc>
        <w:tc>
          <w:tcPr>
            <w:tcW w:w="1281" w:type="dxa"/>
            <w:tcBorders>
              <w:top w:val="single" w:sz="4" w:space="0" w:color="auto"/>
              <w:left w:val="nil"/>
              <w:bottom w:val="nil"/>
              <w:right w:val="nil"/>
            </w:tcBorders>
            <w:shd w:val="clear" w:color="auto" w:fill="auto"/>
          </w:tcPr>
          <w:p w:rsidR="009157AF" w:rsidRPr="009157AF" w:rsidRDefault="009157AF" w:rsidP="00832D63">
            <w:pPr>
              <w:ind w:right="-108"/>
              <w:rPr>
                <w:rFonts w:ascii="Times New Roman" w:hAnsi="Times New Roman"/>
                <w:b/>
                <w:sz w:val="24"/>
                <w:szCs w:val="24"/>
              </w:rPr>
            </w:pPr>
          </w:p>
        </w:tc>
        <w:tc>
          <w:tcPr>
            <w:tcW w:w="569" w:type="dxa"/>
            <w:tcBorders>
              <w:top w:val="single" w:sz="4" w:space="0" w:color="auto"/>
              <w:left w:val="nil"/>
              <w:bottom w:val="nil"/>
              <w:right w:val="nil"/>
            </w:tcBorders>
            <w:shd w:val="clear" w:color="auto" w:fill="auto"/>
          </w:tcPr>
          <w:p w:rsidR="009157AF" w:rsidRPr="009157AF" w:rsidRDefault="009157AF" w:rsidP="00832D63">
            <w:pPr>
              <w:jc w:val="center"/>
              <w:rPr>
                <w:rFonts w:ascii="Times New Roman" w:eastAsia="MS Mincho" w:hAnsi="Times New Roman"/>
                <w:b/>
                <w:sz w:val="24"/>
                <w:szCs w:val="24"/>
              </w:rPr>
            </w:pPr>
          </w:p>
        </w:tc>
        <w:tc>
          <w:tcPr>
            <w:tcW w:w="1133" w:type="dxa"/>
            <w:tcBorders>
              <w:top w:val="single" w:sz="4" w:space="0" w:color="auto"/>
              <w:left w:val="nil"/>
              <w:bottom w:val="nil"/>
              <w:right w:val="nil"/>
            </w:tcBorders>
            <w:shd w:val="clear" w:color="auto" w:fill="auto"/>
          </w:tcPr>
          <w:p w:rsidR="009157AF" w:rsidRPr="009157AF" w:rsidRDefault="009157AF" w:rsidP="00832D63">
            <w:pPr>
              <w:rPr>
                <w:rFonts w:ascii="Times New Roman" w:hAnsi="Times New Roman"/>
                <w:b/>
                <w:sz w:val="24"/>
                <w:szCs w:val="24"/>
              </w:rPr>
            </w:pPr>
          </w:p>
        </w:tc>
        <w:tc>
          <w:tcPr>
            <w:tcW w:w="547" w:type="dxa"/>
            <w:tcBorders>
              <w:top w:val="single" w:sz="4" w:space="0" w:color="auto"/>
              <w:left w:val="nil"/>
              <w:bottom w:val="nil"/>
              <w:right w:val="nil"/>
            </w:tcBorders>
            <w:shd w:val="clear" w:color="auto" w:fill="auto"/>
          </w:tcPr>
          <w:p w:rsidR="009157AF" w:rsidRPr="009157AF" w:rsidRDefault="009157AF" w:rsidP="00832D63">
            <w:pPr>
              <w:jc w:val="center"/>
              <w:rPr>
                <w:rFonts w:ascii="Times New Roman" w:eastAsia="MS Mincho" w:hAnsi="Times New Roman"/>
                <w:b/>
                <w:sz w:val="24"/>
                <w:szCs w:val="24"/>
              </w:rPr>
            </w:pPr>
          </w:p>
        </w:tc>
        <w:tc>
          <w:tcPr>
            <w:tcW w:w="1297" w:type="dxa"/>
            <w:tcBorders>
              <w:top w:val="single" w:sz="4" w:space="0" w:color="auto"/>
              <w:left w:val="nil"/>
              <w:bottom w:val="nil"/>
              <w:right w:val="single" w:sz="4" w:space="0" w:color="auto"/>
            </w:tcBorders>
            <w:shd w:val="clear" w:color="auto" w:fill="auto"/>
          </w:tcPr>
          <w:p w:rsidR="009157AF" w:rsidRPr="009157AF" w:rsidRDefault="009157AF" w:rsidP="00832D63">
            <w:pPr>
              <w:ind w:left="54"/>
              <w:rPr>
                <w:rFonts w:ascii="Times New Roman" w:hAnsi="Times New Roman"/>
                <w:b/>
                <w:sz w:val="24"/>
                <w:szCs w:val="24"/>
              </w:rPr>
            </w:pPr>
          </w:p>
        </w:tc>
      </w:tr>
      <w:tr w:rsidR="009157AF" w:rsidRPr="009157AF" w:rsidTr="00832D63">
        <w:tc>
          <w:tcPr>
            <w:tcW w:w="3812" w:type="dxa"/>
            <w:tcBorders>
              <w:top w:val="nil"/>
              <w:left w:val="single" w:sz="4" w:space="0" w:color="auto"/>
              <w:bottom w:val="nil"/>
              <w:right w:val="single" w:sz="4" w:space="0" w:color="auto"/>
            </w:tcBorders>
            <w:shd w:val="clear" w:color="auto" w:fill="E2E2E2"/>
          </w:tcPr>
          <w:p w:rsidR="009157AF" w:rsidRPr="009157AF" w:rsidRDefault="009157AF" w:rsidP="00832D63">
            <w:pPr>
              <w:ind w:left="708"/>
              <w:rPr>
                <w:rFonts w:ascii="Times New Roman" w:hAnsi="Times New Roman"/>
                <w:b/>
                <w:sz w:val="24"/>
                <w:szCs w:val="24"/>
              </w:rPr>
            </w:pPr>
            <w:r w:rsidRPr="009157AF">
              <w:rPr>
                <w:rFonts w:ascii="Times New Roman" w:hAnsi="Times New Roman"/>
                <w:b/>
                <w:sz w:val="24"/>
                <w:szCs w:val="24"/>
              </w:rPr>
              <w:t>vplyvy služieb verejnej správy na občana</w:t>
            </w:r>
          </w:p>
        </w:tc>
        <w:tc>
          <w:tcPr>
            <w:tcW w:w="541" w:type="dxa"/>
            <w:tcBorders>
              <w:top w:val="nil"/>
              <w:left w:val="single" w:sz="4" w:space="0" w:color="auto"/>
              <w:bottom w:val="nil"/>
              <w:right w:val="nil"/>
            </w:tcBorders>
            <w:shd w:val="clear" w:color="auto" w:fill="auto"/>
          </w:tcPr>
          <w:p w:rsidR="009157AF" w:rsidRPr="009157AF" w:rsidRDefault="009157AF" w:rsidP="00832D63">
            <w:pPr>
              <w:jc w:val="center"/>
              <w:rPr>
                <w:rFonts w:ascii="Times New Roman" w:hAnsi="Times New Roman"/>
                <w:b/>
                <w:sz w:val="24"/>
                <w:szCs w:val="24"/>
              </w:rPr>
            </w:pPr>
            <w:r w:rsidRPr="009157AF">
              <w:rPr>
                <w:rFonts w:ascii="Segoe UI Symbol" w:eastAsia="MS Gothic" w:hAnsi="Segoe UI Symbol" w:cs="Segoe UI Symbol"/>
                <w:b/>
                <w:sz w:val="24"/>
                <w:szCs w:val="24"/>
              </w:rPr>
              <w:t>☐</w:t>
            </w:r>
          </w:p>
        </w:tc>
        <w:tc>
          <w:tcPr>
            <w:tcW w:w="1281" w:type="dxa"/>
            <w:tcBorders>
              <w:top w:val="nil"/>
              <w:left w:val="nil"/>
              <w:bottom w:val="nil"/>
              <w:right w:val="nil"/>
            </w:tcBorders>
            <w:shd w:val="clear" w:color="auto" w:fill="auto"/>
          </w:tcPr>
          <w:p w:rsidR="009157AF" w:rsidRPr="009157AF" w:rsidRDefault="009157AF" w:rsidP="00832D63">
            <w:pPr>
              <w:ind w:right="-108"/>
              <w:rPr>
                <w:rFonts w:ascii="Times New Roman" w:hAnsi="Times New Roman"/>
                <w:b/>
                <w:sz w:val="24"/>
                <w:szCs w:val="24"/>
              </w:rPr>
            </w:pPr>
            <w:r w:rsidRPr="009157AF">
              <w:rPr>
                <w:rFonts w:ascii="Times New Roman" w:hAnsi="Times New Roman"/>
                <w:b/>
                <w:sz w:val="24"/>
                <w:szCs w:val="24"/>
              </w:rPr>
              <w:t>Pozitívne</w:t>
            </w:r>
          </w:p>
        </w:tc>
        <w:tc>
          <w:tcPr>
            <w:tcW w:w="569" w:type="dxa"/>
            <w:tcBorders>
              <w:top w:val="nil"/>
              <w:left w:val="nil"/>
              <w:bottom w:val="nil"/>
              <w:right w:val="nil"/>
            </w:tcBorders>
            <w:shd w:val="clear" w:color="auto" w:fill="auto"/>
          </w:tcPr>
          <w:p w:rsidR="009157AF" w:rsidRPr="009157AF" w:rsidRDefault="009157AF" w:rsidP="00832D63">
            <w:pPr>
              <w:jc w:val="center"/>
              <w:rPr>
                <w:rFonts w:ascii="Times New Roman" w:hAnsi="Times New Roman"/>
                <w:b/>
                <w:sz w:val="24"/>
                <w:szCs w:val="24"/>
              </w:rPr>
            </w:pPr>
            <w:r w:rsidRPr="009157AF">
              <w:rPr>
                <w:rFonts w:ascii="Segoe UI Symbol" w:eastAsia="MS Gothic" w:hAnsi="Segoe UI Symbol" w:cs="Segoe UI Symbol"/>
                <w:b/>
                <w:sz w:val="24"/>
                <w:szCs w:val="24"/>
              </w:rPr>
              <w:t>☒</w:t>
            </w:r>
          </w:p>
        </w:tc>
        <w:tc>
          <w:tcPr>
            <w:tcW w:w="1133" w:type="dxa"/>
            <w:tcBorders>
              <w:top w:val="nil"/>
              <w:left w:val="nil"/>
              <w:bottom w:val="nil"/>
              <w:right w:val="nil"/>
            </w:tcBorders>
            <w:shd w:val="clear" w:color="auto" w:fill="auto"/>
          </w:tcPr>
          <w:p w:rsidR="009157AF" w:rsidRPr="009157AF" w:rsidRDefault="009157AF" w:rsidP="00832D63">
            <w:pPr>
              <w:rPr>
                <w:rFonts w:ascii="Times New Roman" w:hAnsi="Times New Roman"/>
                <w:b/>
                <w:sz w:val="24"/>
                <w:szCs w:val="24"/>
              </w:rPr>
            </w:pPr>
            <w:r w:rsidRPr="009157AF">
              <w:rPr>
                <w:rFonts w:ascii="Times New Roman" w:hAnsi="Times New Roman"/>
                <w:b/>
                <w:sz w:val="24"/>
                <w:szCs w:val="24"/>
              </w:rPr>
              <w:t>Žiadne</w:t>
            </w:r>
          </w:p>
        </w:tc>
        <w:tc>
          <w:tcPr>
            <w:tcW w:w="547" w:type="dxa"/>
            <w:tcBorders>
              <w:top w:val="nil"/>
              <w:left w:val="nil"/>
              <w:bottom w:val="nil"/>
              <w:right w:val="nil"/>
            </w:tcBorders>
            <w:shd w:val="clear" w:color="auto" w:fill="auto"/>
          </w:tcPr>
          <w:p w:rsidR="009157AF" w:rsidRPr="009157AF" w:rsidRDefault="009157AF" w:rsidP="00832D63">
            <w:pPr>
              <w:jc w:val="center"/>
              <w:rPr>
                <w:rFonts w:ascii="Times New Roman" w:hAnsi="Times New Roman"/>
                <w:b/>
                <w:sz w:val="24"/>
                <w:szCs w:val="24"/>
              </w:rPr>
            </w:pPr>
            <w:r w:rsidRPr="009157AF">
              <w:rPr>
                <w:rFonts w:ascii="Segoe UI Symbol" w:eastAsia="MS Mincho" w:hAnsi="Segoe UI Symbol" w:cs="Segoe UI Symbol"/>
                <w:b/>
                <w:sz w:val="24"/>
                <w:szCs w:val="24"/>
              </w:rPr>
              <w:t>☐</w:t>
            </w:r>
          </w:p>
        </w:tc>
        <w:tc>
          <w:tcPr>
            <w:tcW w:w="1297" w:type="dxa"/>
            <w:tcBorders>
              <w:top w:val="nil"/>
              <w:left w:val="nil"/>
              <w:bottom w:val="nil"/>
              <w:right w:val="single" w:sz="4" w:space="0" w:color="auto"/>
            </w:tcBorders>
            <w:shd w:val="clear" w:color="auto" w:fill="auto"/>
          </w:tcPr>
          <w:p w:rsidR="009157AF" w:rsidRPr="009157AF" w:rsidRDefault="009157AF" w:rsidP="00832D63">
            <w:pPr>
              <w:ind w:left="54"/>
              <w:rPr>
                <w:rFonts w:ascii="Times New Roman" w:hAnsi="Times New Roman"/>
                <w:b/>
                <w:sz w:val="24"/>
                <w:szCs w:val="24"/>
              </w:rPr>
            </w:pPr>
            <w:r w:rsidRPr="009157AF">
              <w:rPr>
                <w:rFonts w:ascii="Times New Roman" w:hAnsi="Times New Roman"/>
                <w:b/>
                <w:sz w:val="24"/>
                <w:szCs w:val="24"/>
              </w:rPr>
              <w:t>Negatívne</w:t>
            </w:r>
          </w:p>
        </w:tc>
      </w:tr>
      <w:tr w:rsidR="009157AF" w:rsidRPr="009157AF" w:rsidTr="00832D63">
        <w:tc>
          <w:tcPr>
            <w:tcW w:w="3812" w:type="dxa"/>
            <w:tcBorders>
              <w:top w:val="nil"/>
              <w:left w:val="single" w:sz="4" w:space="0" w:color="auto"/>
              <w:bottom w:val="nil"/>
              <w:right w:val="single" w:sz="4" w:space="0" w:color="auto"/>
            </w:tcBorders>
            <w:shd w:val="clear" w:color="auto" w:fill="E2E2E2"/>
          </w:tcPr>
          <w:p w:rsidR="009157AF" w:rsidRPr="009157AF" w:rsidRDefault="009157AF" w:rsidP="00832D63">
            <w:pPr>
              <w:ind w:left="708"/>
              <w:rPr>
                <w:rFonts w:ascii="Times New Roman" w:hAnsi="Times New Roman"/>
                <w:b/>
                <w:sz w:val="24"/>
                <w:szCs w:val="24"/>
              </w:rPr>
            </w:pPr>
            <w:r w:rsidRPr="009157AF">
              <w:rPr>
                <w:rFonts w:ascii="Times New Roman" w:hAnsi="Times New Roman"/>
                <w:b/>
                <w:sz w:val="24"/>
                <w:szCs w:val="24"/>
              </w:rPr>
              <w:t>vplyvy na procesy služieb vo verejnej správe</w:t>
            </w:r>
          </w:p>
        </w:tc>
        <w:tc>
          <w:tcPr>
            <w:tcW w:w="541" w:type="dxa"/>
            <w:tcBorders>
              <w:top w:val="nil"/>
              <w:left w:val="single" w:sz="4" w:space="0" w:color="auto"/>
              <w:bottom w:val="nil"/>
              <w:right w:val="nil"/>
            </w:tcBorders>
            <w:shd w:val="clear" w:color="auto" w:fill="auto"/>
          </w:tcPr>
          <w:p w:rsidR="009157AF" w:rsidRPr="009157AF" w:rsidRDefault="009157AF" w:rsidP="00832D63">
            <w:pPr>
              <w:jc w:val="center"/>
              <w:rPr>
                <w:rFonts w:ascii="Times New Roman" w:hAnsi="Times New Roman"/>
                <w:b/>
                <w:sz w:val="24"/>
                <w:szCs w:val="24"/>
              </w:rPr>
            </w:pPr>
            <w:r w:rsidRPr="009157AF">
              <w:rPr>
                <w:rFonts w:ascii="Segoe UI Symbol" w:eastAsia="MS Gothic" w:hAnsi="Segoe UI Symbol" w:cs="Segoe UI Symbol"/>
                <w:b/>
                <w:sz w:val="24"/>
                <w:szCs w:val="24"/>
              </w:rPr>
              <w:t>☐</w:t>
            </w:r>
          </w:p>
        </w:tc>
        <w:tc>
          <w:tcPr>
            <w:tcW w:w="1281" w:type="dxa"/>
            <w:tcBorders>
              <w:top w:val="nil"/>
              <w:left w:val="nil"/>
              <w:bottom w:val="nil"/>
              <w:right w:val="nil"/>
            </w:tcBorders>
            <w:shd w:val="clear" w:color="auto" w:fill="auto"/>
          </w:tcPr>
          <w:p w:rsidR="009157AF" w:rsidRPr="009157AF" w:rsidRDefault="009157AF" w:rsidP="00832D63">
            <w:pPr>
              <w:ind w:right="-108"/>
              <w:rPr>
                <w:rFonts w:ascii="Times New Roman" w:hAnsi="Times New Roman"/>
                <w:b/>
                <w:sz w:val="24"/>
                <w:szCs w:val="24"/>
              </w:rPr>
            </w:pPr>
            <w:r w:rsidRPr="009157AF">
              <w:rPr>
                <w:rFonts w:ascii="Times New Roman" w:hAnsi="Times New Roman"/>
                <w:b/>
                <w:sz w:val="24"/>
                <w:szCs w:val="24"/>
              </w:rPr>
              <w:t>Pozitívne</w:t>
            </w:r>
          </w:p>
        </w:tc>
        <w:tc>
          <w:tcPr>
            <w:tcW w:w="569" w:type="dxa"/>
            <w:tcBorders>
              <w:top w:val="nil"/>
              <w:left w:val="nil"/>
              <w:bottom w:val="nil"/>
              <w:right w:val="nil"/>
            </w:tcBorders>
            <w:shd w:val="clear" w:color="auto" w:fill="auto"/>
          </w:tcPr>
          <w:p w:rsidR="009157AF" w:rsidRPr="009157AF" w:rsidRDefault="009157AF" w:rsidP="00832D63">
            <w:pPr>
              <w:jc w:val="center"/>
              <w:rPr>
                <w:rFonts w:ascii="Times New Roman" w:hAnsi="Times New Roman"/>
                <w:b/>
                <w:sz w:val="24"/>
                <w:szCs w:val="24"/>
              </w:rPr>
            </w:pPr>
            <w:r w:rsidRPr="009157AF">
              <w:rPr>
                <w:rFonts w:ascii="Segoe UI Symbol" w:eastAsia="MS Gothic" w:hAnsi="Segoe UI Symbol" w:cs="Segoe UI Symbol"/>
                <w:b/>
                <w:sz w:val="24"/>
                <w:szCs w:val="24"/>
              </w:rPr>
              <w:t>☒</w:t>
            </w:r>
          </w:p>
        </w:tc>
        <w:tc>
          <w:tcPr>
            <w:tcW w:w="1133" w:type="dxa"/>
            <w:tcBorders>
              <w:top w:val="nil"/>
              <w:left w:val="nil"/>
              <w:bottom w:val="nil"/>
              <w:right w:val="nil"/>
            </w:tcBorders>
            <w:shd w:val="clear" w:color="auto" w:fill="auto"/>
          </w:tcPr>
          <w:p w:rsidR="009157AF" w:rsidRPr="009157AF" w:rsidRDefault="009157AF" w:rsidP="00832D63">
            <w:pPr>
              <w:rPr>
                <w:rFonts w:ascii="Times New Roman" w:hAnsi="Times New Roman"/>
                <w:b/>
                <w:sz w:val="24"/>
                <w:szCs w:val="24"/>
              </w:rPr>
            </w:pPr>
            <w:r w:rsidRPr="009157AF">
              <w:rPr>
                <w:rFonts w:ascii="Times New Roman" w:hAnsi="Times New Roman"/>
                <w:b/>
                <w:sz w:val="24"/>
                <w:szCs w:val="24"/>
              </w:rPr>
              <w:t>Žiadne</w:t>
            </w:r>
          </w:p>
        </w:tc>
        <w:tc>
          <w:tcPr>
            <w:tcW w:w="547" w:type="dxa"/>
            <w:tcBorders>
              <w:top w:val="nil"/>
              <w:left w:val="nil"/>
              <w:bottom w:val="nil"/>
              <w:right w:val="nil"/>
            </w:tcBorders>
            <w:shd w:val="clear" w:color="auto" w:fill="auto"/>
          </w:tcPr>
          <w:p w:rsidR="009157AF" w:rsidRPr="009157AF" w:rsidRDefault="009157AF" w:rsidP="00832D63">
            <w:pPr>
              <w:jc w:val="center"/>
              <w:rPr>
                <w:rFonts w:ascii="Times New Roman" w:hAnsi="Times New Roman"/>
                <w:b/>
                <w:sz w:val="24"/>
                <w:szCs w:val="24"/>
              </w:rPr>
            </w:pPr>
            <w:r w:rsidRPr="009157AF">
              <w:rPr>
                <w:rFonts w:ascii="Segoe UI Symbol" w:eastAsia="MS Mincho" w:hAnsi="Segoe UI Symbol" w:cs="Segoe UI Symbol"/>
                <w:b/>
                <w:sz w:val="24"/>
                <w:szCs w:val="24"/>
              </w:rPr>
              <w:t>☐</w:t>
            </w:r>
          </w:p>
        </w:tc>
        <w:tc>
          <w:tcPr>
            <w:tcW w:w="1297" w:type="dxa"/>
            <w:tcBorders>
              <w:top w:val="nil"/>
              <w:left w:val="nil"/>
              <w:bottom w:val="nil"/>
              <w:right w:val="single" w:sz="4" w:space="0" w:color="auto"/>
            </w:tcBorders>
            <w:shd w:val="clear" w:color="auto" w:fill="auto"/>
          </w:tcPr>
          <w:p w:rsidR="009157AF" w:rsidRPr="009157AF" w:rsidRDefault="009157AF" w:rsidP="00832D63">
            <w:pPr>
              <w:ind w:left="54"/>
              <w:rPr>
                <w:rFonts w:ascii="Times New Roman" w:hAnsi="Times New Roman"/>
                <w:b/>
                <w:sz w:val="24"/>
                <w:szCs w:val="24"/>
              </w:rPr>
            </w:pPr>
            <w:r w:rsidRPr="009157AF">
              <w:rPr>
                <w:rFonts w:ascii="Times New Roman" w:hAnsi="Times New Roman"/>
                <w:b/>
                <w:sz w:val="24"/>
                <w:szCs w:val="24"/>
              </w:rPr>
              <w:t>Negatívne</w:t>
            </w:r>
          </w:p>
        </w:tc>
      </w:tr>
      <w:tr w:rsidR="009157AF" w:rsidRPr="009157AF" w:rsidTr="00832D63">
        <w:tc>
          <w:tcPr>
            <w:tcW w:w="3812" w:type="dxa"/>
            <w:tcBorders>
              <w:top w:val="nil"/>
              <w:left w:val="single" w:sz="4" w:space="0" w:color="auto"/>
              <w:bottom w:val="single" w:sz="4" w:space="0" w:color="auto"/>
              <w:right w:val="single" w:sz="4" w:space="0" w:color="auto"/>
            </w:tcBorders>
            <w:shd w:val="clear" w:color="auto" w:fill="E2E2E2"/>
          </w:tcPr>
          <w:p w:rsidR="009157AF" w:rsidRPr="009157AF" w:rsidRDefault="009157AF" w:rsidP="00832D63">
            <w:pPr>
              <w:rPr>
                <w:rFonts w:ascii="Times New Roman" w:hAnsi="Times New Roman"/>
                <w:b/>
                <w:sz w:val="24"/>
                <w:szCs w:val="24"/>
              </w:rPr>
            </w:pPr>
            <w:r w:rsidRPr="009157AF">
              <w:rPr>
                <w:rFonts w:ascii="Times New Roman" w:hAnsi="Times New Roman"/>
                <w:b/>
                <w:sz w:val="24"/>
                <w:szCs w:val="24"/>
              </w:rPr>
              <w:t>Vplyvy na manželstvo, rodičovstvo a  rodinu</w:t>
            </w:r>
          </w:p>
        </w:tc>
        <w:tc>
          <w:tcPr>
            <w:tcW w:w="541" w:type="dxa"/>
            <w:tcBorders>
              <w:top w:val="nil"/>
              <w:left w:val="single" w:sz="4" w:space="0" w:color="auto"/>
              <w:bottom w:val="single" w:sz="4" w:space="0" w:color="auto"/>
              <w:right w:val="nil"/>
            </w:tcBorders>
            <w:shd w:val="clear" w:color="auto" w:fill="auto"/>
          </w:tcPr>
          <w:p w:rsidR="009157AF" w:rsidRPr="009157AF" w:rsidRDefault="009157AF" w:rsidP="00832D63">
            <w:pPr>
              <w:jc w:val="center"/>
              <w:rPr>
                <w:rFonts w:ascii="Times New Roman" w:hAnsi="Times New Roman"/>
                <w:b/>
                <w:sz w:val="24"/>
                <w:szCs w:val="24"/>
              </w:rPr>
            </w:pPr>
            <w:r w:rsidRPr="009157AF">
              <w:rPr>
                <w:rFonts w:ascii="Segoe UI Symbol" w:eastAsia="MS Gothic" w:hAnsi="Segoe UI Symbol" w:cs="Segoe UI Symbol"/>
                <w:b/>
                <w:sz w:val="24"/>
                <w:szCs w:val="24"/>
              </w:rPr>
              <w:t>☐</w:t>
            </w:r>
          </w:p>
        </w:tc>
        <w:tc>
          <w:tcPr>
            <w:tcW w:w="1281" w:type="dxa"/>
            <w:tcBorders>
              <w:top w:val="nil"/>
              <w:left w:val="nil"/>
              <w:bottom w:val="single" w:sz="4" w:space="0" w:color="auto"/>
              <w:right w:val="nil"/>
            </w:tcBorders>
            <w:shd w:val="clear" w:color="auto" w:fill="auto"/>
          </w:tcPr>
          <w:p w:rsidR="009157AF" w:rsidRPr="009157AF" w:rsidRDefault="009157AF" w:rsidP="00832D63">
            <w:pPr>
              <w:ind w:right="-108"/>
              <w:rPr>
                <w:rFonts w:ascii="Times New Roman" w:hAnsi="Times New Roman"/>
                <w:b/>
                <w:sz w:val="24"/>
                <w:szCs w:val="24"/>
              </w:rPr>
            </w:pPr>
            <w:r w:rsidRPr="009157AF">
              <w:rPr>
                <w:rFonts w:ascii="Times New Roman" w:hAnsi="Times New Roman"/>
                <w:b/>
                <w:sz w:val="24"/>
                <w:szCs w:val="24"/>
              </w:rPr>
              <w:t>Pozitívne</w:t>
            </w:r>
          </w:p>
        </w:tc>
        <w:tc>
          <w:tcPr>
            <w:tcW w:w="569" w:type="dxa"/>
            <w:tcBorders>
              <w:top w:val="nil"/>
              <w:left w:val="nil"/>
              <w:bottom w:val="single" w:sz="4" w:space="0" w:color="auto"/>
              <w:right w:val="nil"/>
            </w:tcBorders>
            <w:shd w:val="clear" w:color="auto" w:fill="auto"/>
          </w:tcPr>
          <w:p w:rsidR="009157AF" w:rsidRPr="009157AF" w:rsidRDefault="009157AF" w:rsidP="00832D63">
            <w:pPr>
              <w:jc w:val="center"/>
              <w:rPr>
                <w:rFonts w:ascii="Times New Roman" w:hAnsi="Times New Roman"/>
                <w:b/>
                <w:sz w:val="24"/>
                <w:szCs w:val="24"/>
              </w:rPr>
            </w:pPr>
            <w:r w:rsidRPr="009157AF">
              <w:rPr>
                <w:rFonts w:ascii="Segoe UI Symbol" w:hAnsi="Segoe UI Symbol" w:cs="Segoe UI Symbol"/>
                <w:b/>
                <w:sz w:val="24"/>
                <w:szCs w:val="24"/>
              </w:rPr>
              <w:t>☒</w:t>
            </w:r>
          </w:p>
        </w:tc>
        <w:tc>
          <w:tcPr>
            <w:tcW w:w="1133" w:type="dxa"/>
            <w:tcBorders>
              <w:top w:val="nil"/>
              <w:left w:val="nil"/>
              <w:bottom w:val="single" w:sz="4" w:space="0" w:color="auto"/>
              <w:right w:val="nil"/>
            </w:tcBorders>
            <w:shd w:val="clear" w:color="auto" w:fill="auto"/>
          </w:tcPr>
          <w:p w:rsidR="009157AF" w:rsidRPr="009157AF" w:rsidRDefault="009157AF" w:rsidP="00832D63">
            <w:pPr>
              <w:rPr>
                <w:rFonts w:ascii="Times New Roman" w:hAnsi="Times New Roman"/>
                <w:b/>
                <w:sz w:val="24"/>
                <w:szCs w:val="24"/>
              </w:rPr>
            </w:pPr>
            <w:r w:rsidRPr="009157AF">
              <w:rPr>
                <w:rFonts w:ascii="Times New Roman" w:hAnsi="Times New Roman"/>
                <w:b/>
                <w:sz w:val="24"/>
                <w:szCs w:val="24"/>
              </w:rPr>
              <w:t>Žiadne</w:t>
            </w:r>
          </w:p>
        </w:tc>
        <w:tc>
          <w:tcPr>
            <w:tcW w:w="547" w:type="dxa"/>
            <w:tcBorders>
              <w:top w:val="nil"/>
              <w:left w:val="nil"/>
              <w:bottom w:val="single" w:sz="4" w:space="0" w:color="auto"/>
              <w:right w:val="nil"/>
            </w:tcBorders>
            <w:shd w:val="clear" w:color="auto" w:fill="auto"/>
          </w:tcPr>
          <w:p w:rsidR="009157AF" w:rsidRPr="009157AF" w:rsidRDefault="009157AF" w:rsidP="00832D63">
            <w:pPr>
              <w:jc w:val="center"/>
              <w:rPr>
                <w:rFonts w:ascii="Times New Roman" w:hAnsi="Times New Roman"/>
                <w:b/>
                <w:sz w:val="24"/>
                <w:szCs w:val="24"/>
              </w:rPr>
            </w:pPr>
            <w:r w:rsidRPr="009157AF">
              <w:rPr>
                <w:rFonts w:ascii="Segoe UI Symbol" w:hAnsi="Segoe UI Symbol" w:cs="Segoe UI Symbol"/>
                <w:b/>
                <w:sz w:val="24"/>
                <w:szCs w:val="24"/>
              </w:rPr>
              <w:t>☐</w:t>
            </w:r>
          </w:p>
        </w:tc>
        <w:tc>
          <w:tcPr>
            <w:tcW w:w="1297" w:type="dxa"/>
            <w:tcBorders>
              <w:top w:val="nil"/>
              <w:left w:val="nil"/>
              <w:bottom w:val="single" w:sz="4" w:space="0" w:color="auto"/>
              <w:right w:val="single" w:sz="4" w:space="0" w:color="auto"/>
            </w:tcBorders>
            <w:shd w:val="clear" w:color="auto" w:fill="auto"/>
          </w:tcPr>
          <w:p w:rsidR="009157AF" w:rsidRPr="009157AF" w:rsidRDefault="009157AF" w:rsidP="00832D63">
            <w:pPr>
              <w:ind w:left="54"/>
              <w:rPr>
                <w:rFonts w:ascii="Times New Roman" w:hAnsi="Times New Roman"/>
                <w:b/>
                <w:sz w:val="24"/>
                <w:szCs w:val="24"/>
              </w:rPr>
            </w:pPr>
            <w:r w:rsidRPr="009157AF">
              <w:rPr>
                <w:rFonts w:ascii="Times New Roman" w:hAnsi="Times New Roman"/>
                <w:b/>
                <w:sz w:val="24"/>
                <w:szCs w:val="24"/>
              </w:rPr>
              <w:t>Negatívne</w:t>
            </w:r>
          </w:p>
        </w:tc>
      </w:tr>
    </w:tbl>
    <w:p w:rsidR="009157AF" w:rsidRPr="009157AF" w:rsidRDefault="009157AF" w:rsidP="009157AF">
      <w:pPr>
        <w:ind w:right="141"/>
        <w:rPr>
          <w:rFonts w:ascii="Times New Roman" w:hAnsi="Times New Roman"/>
          <w:b/>
          <w:sz w:val="24"/>
          <w:szCs w:val="24"/>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6"/>
      </w:tblGrid>
      <w:tr w:rsidR="009157AF" w:rsidRPr="00832D63" w:rsidTr="00832D63">
        <w:tc>
          <w:tcPr>
            <w:tcW w:w="9176" w:type="dxa"/>
            <w:tcBorders>
              <w:top w:val="single" w:sz="4" w:space="0" w:color="auto"/>
              <w:left w:val="single" w:sz="4" w:space="0" w:color="auto"/>
              <w:bottom w:val="nil"/>
              <w:right w:val="single" w:sz="4" w:space="0" w:color="auto"/>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t>Poznámky</w:t>
            </w:r>
          </w:p>
        </w:tc>
      </w:tr>
      <w:tr w:rsidR="009157AF" w:rsidRPr="00832D63" w:rsidTr="00832D63">
        <w:trPr>
          <w:trHeight w:val="713"/>
        </w:trPr>
        <w:tc>
          <w:tcPr>
            <w:tcW w:w="9176" w:type="dxa"/>
            <w:tcBorders>
              <w:top w:val="nil"/>
              <w:left w:val="single" w:sz="4" w:space="0" w:color="auto"/>
              <w:bottom w:val="single" w:sz="4" w:space="0" w:color="FFFFFF"/>
              <w:right w:val="single" w:sz="4" w:space="0" w:color="auto"/>
            </w:tcBorders>
            <w:shd w:val="clear" w:color="auto" w:fill="auto"/>
          </w:tcPr>
          <w:p w:rsidR="009157AF" w:rsidRPr="00832D63" w:rsidRDefault="009157AF" w:rsidP="00832D63">
            <w:pPr>
              <w:rPr>
                <w:rFonts w:ascii="Times New Roman" w:hAnsi="Times New Roman"/>
                <w:sz w:val="24"/>
                <w:szCs w:val="24"/>
              </w:rPr>
            </w:pPr>
          </w:p>
        </w:tc>
      </w:tr>
      <w:tr w:rsidR="009157AF" w:rsidRPr="00832D63" w:rsidTr="00832D63">
        <w:tc>
          <w:tcPr>
            <w:tcW w:w="9176" w:type="dxa"/>
            <w:tcBorders>
              <w:top w:val="single" w:sz="4" w:space="0" w:color="auto"/>
              <w:left w:val="single" w:sz="4" w:space="0" w:color="auto"/>
              <w:bottom w:val="single" w:sz="4" w:space="0" w:color="FFFFFF"/>
              <w:right w:val="single" w:sz="4" w:space="0" w:color="auto"/>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t>Kontakt na spracovateľa</w:t>
            </w:r>
          </w:p>
        </w:tc>
      </w:tr>
      <w:tr w:rsidR="009157AF" w:rsidRPr="00832D63" w:rsidTr="00832D6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 xml:space="preserve">Ing. Viera Laszová, riaditeľka Odboru pre legislatívu a metodiku účtovníctva, </w:t>
            </w:r>
          </w:p>
          <w:p w:rsidR="009157AF" w:rsidRPr="00832D63" w:rsidRDefault="009157AF" w:rsidP="00832D63">
            <w:pPr>
              <w:rPr>
                <w:rFonts w:ascii="Times New Roman" w:hAnsi="Times New Roman"/>
                <w:i/>
                <w:sz w:val="24"/>
                <w:szCs w:val="24"/>
              </w:rPr>
            </w:pPr>
            <w:r w:rsidRPr="00832D63">
              <w:rPr>
                <w:rFonts w:ascii="Times New Roman" w:hAnsi="Times New Roman"/>
                <w:sz w:val="24"/>
                <w:szCs w:val="24"/>
              </w:rPr>
              <w:t xml:space="preserve">e-mail: </w:t>
            </w:r>
            <w:hyperlink r:id="rId7" w:history="1">
              <w:r w:rsidRPr="00832D63">
                <w:rPr>
                  <w:rStyle w:val="Hypertextovprepojenie"/>
                  <w:rFonts w:ascii="Times New Roman" w:hAnsi="Times New Roman"/>
                  <w:sz w:val="24"/>
                  <w:szCs w:val="24"/>
                </w:rPr>
                <w:t>viera.laszova@mfsr.sk</w:t>
              </w:r>
            </w:hyperlink>
            <w:r w:rsidRPr="00832D63">
              <w:rPr>
                <w:rFonts w:ascii="Times New Roman" w:hAnsi="Times New Roman"/>
                <w:sz w:val="24"/>
                <w:szCs w:val="24"/>
              </w:rPr>
              <w:t>, tel.: 02/59583499</w:t>
            </w:r>
          </w:p>
        </w:tc>
      </w:tr>
      <w:tr w:rsidR="009157AF" w:rsidRPr="00832D63" w:rsidTr="00832D63">
        <w:tc>
          <w:tcPr>
            <w:tcW w:w="9176" w:type="dxa"/>
            <w:tcBorders>
              <w:top w:val="single" w:sz="4" w:space="0" w:color="auto"/>
              <w:left w:val="single" w:sz="4" w:space="0" w:color="auto"/>
              <w:bottom w:val="single" w:sz="4" w:space="0" w:color="FFFFFF"/>
              <w:right w:val="single" w:sz="4" w:space="0" w:color="auto"/>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t>Zdroje</w:t>
            </w:r>
          </w:p>
        </w:tc>
      </w:tr>
      <w:tr w:rsidR="009157AF" w:rsidRPr="00832D63" w:rsidTr="00832D6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lastRenderedPageBreak/>
              <w:t>Údaje boli poskytnuté DataCentrom z účtovných závierok dostupných v roku 2017.</w:t>
            </w:r>
          </w:p>
          <w:p w:rsidR="009157AF" w:rsidRPr="00832D63" w:rsidRDefault="009157AF" w:rsidP="00832D63">
            <w:pPr>
              <w:rPr>
                <w:rFonts w:ascii="Times New Roman" w:hAnsi="Times New Roman"/>
                <w:sz w:val="24"/>
                <w:szCs w:val="24"/>
              </w:rPr>
            </w:pPr>
            <w:r w:rsidRPr="00832D63">
              <w:rPr>
                <w:rFonts w:ascii="Times New Roman" w:hAnsi="Times New Roman"/>
                <w:sz w:val="24"/>
                <w:szCs w:val="24"/>
              </w:rPr>
              <w:t>Súčasný právny stav – 5 414 subjektov má povinnosť overenia účtovnej závierky audítorom</w:t>
            </w:r>
          </w:p>
          <w:p w:rsidR="009157AF" w:rsidRPr="00832D63" w:rsidRDefault="009157AF" w:rsidP="00832D63">
            <w:pPr>
              <w:jc w:val="both"/>
              <w:rPr>
                <w:rFonts w:ascii="Times New Roman" w:hAnsi="Times New Roman"/>
                <w:i/>
                <w:sz w:val="24"/>
                <w:szCs w:val="24"/>
              </w:rPr>
            </w:pPr>
            <w:r w:rsidRPr="00832D63">
              <w:rPr>
                <w:rFonts w:ascii="Times New Roman" w:hAnsi="Times New Roman"/>
                <w:sz w:val="24"/>
                <w:szCs w:val="24"/>
              </w:rPr>
              <w:t>Navrhované zvýšenie veľkostných podmienok – 3 064 subjektov bude mať povinnosť overenia účtovnej závierky audítorom.</w:t>
            </w:r>
            <w:r w:rsidRPr="00832D63">
              <w:rPr>
                <w:rFonts w:ascii="Times New Roman" w:hAnsi="Times New Roman"/>
                <w:bCs/>
                <w:sz w:val="24"/>
                <w:szCs w:val="24"/>
              </w:rPr>
              <w:t xml:space="preserve"> Pri zisťovaní  nákladov na audit boli využité informácie z účtovných závierok uložených v Registri účtovných závierok.</w:t>
            </w:r>
          </w:p>
        </w:tc>
      </w:tr>
      <w:tr w:rsidR="009157AF" w:rsidRPr="00832D63" w:rsidTr="00832D63">
        <w:tc>
          <w:tcPr>
            <w:tcW w:w="9176" w:type="dxa"/>
            <w:tcBorders>
              <w:top w:val="single" w:sz="4" w:space="0" w:color="auto"/>
              <w:left w:val="single" w:sz="4" w:space="0" w:color="auto"/>
              <w:bottom w:val="single" w:sz="4" w:space="0" w:color="FFFFFF"/>
              <w:right w:val="single" w:sz="4" w:space="0" w:color="auto"/>
            </w:tcBorders>
            <w:shd w:val="clear" w:color="auto" w:fill="E2E2E2"/>
          </w:tcPr>
          <w:p w:rsidR="009157AF" w:rsidRPr="00832D63" w:rsidRDefault="009157AF" w:rsidP="00832D63">
            <w:pPr>
              <w:pStyle w:val="Odsekzoznamu"/>
              <w:numPr>
                <w:ilvl w:val="0"/>
                <w:numId w:val="1"/>
              </w:numPr>
              <w:spacing w:after="0" w:line="240" w:lineRule="auto"/>
              <w:ind w:left="426"/>
              <w:rPr>
                <w:rFonts w:ascii="Times New Roman" w:hAnsi="Times New Roman"/>
                <w:b/>
                <w:sz w:val="24"/>
                <w:szCs w:val="24"/>
              </w:rPr>
            </w:pPr>
            <w:r w:rsidRPr="00832D63">
              <w:rPr>
                <w:rFonts w:ascii="Times New Roman" w:hAnsi="Times New Roman"/>
                <w:b/>
                <w:sz w:val="24"/>
                <w:szCs w:val="24"/>
              </w:rPr>
              <w:t>Stanovisko Komisie pre posudzovanie vybraných vplyvov z PPK</w:t>
            </w:r>
          </w:p>
        </w:tc>
      </w:tr>
      <w:tr w:rsidR="009157AF" w:rsidRPr="00832D63" w:rsidTr="00832D63">
        <w:tc>
          <w:tcPr>
            <w:tcW w:w="9176" w:type="dxa"/>
            <w:tcBorders>
              <w:top w:val="single" w:sz="4" w:space="0" w:color="FFFFFF"/>
              <w:left w:val="single" w:sz="4" w:space="0" w:color="auto"/>
              <w:bottom w:val="single" w:sz="4" w:space="0" w:color="auto"/>
              <w:right w:val="single" w:sz="4" w:space="0" w:color="auto"/>
            </w:tcBorders>
            <w:shd w:val="clear" w:color="auto" w:fill="FFFFFF"/>
          </w:tcPr>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Uveďte stanovisko Komisie pre posudzovanie vybraných vplyvov, ktoré Vám bolo zaslané v rámci predbežného pripomienkového konania</w:t>
            </w:r>
          </w:p>
          <w:p w:rsidR="009157AF" w:rsidRPr="00832D63" w:rsidRDefault="009157AF" w:rsidP="00832D63">
            <w:pPr>
              <w:rPr>
                <w:rFonts w:ascii="Times New Roman" w:hAnsi="Times New Roman"/>
                <w:sz w:val="24"/>
                <w:szCs w:val="24"/>
              </w:rPr>
            </w:pPr>
            <w:r w:rsidRPr="00832D63">
              <w:rPr>
                <w:rFonts w:ascii="Times New Roman" w:hAnsi="Times New Roman"/>
                <w:sz w:val="24"/>
                <w:szCs w:val="24"/>
              </w:rPr>
              <w:t xml:space="preserve"> Stála pracovná komisia na posudzovanie vybraných vplyvov vyjadruje </w:t>
            </w:r>
            <w:r w:rsidRPr="00832D63">
              <w:rPr>
                <w:rFonts w:ascii="Times New Roman" w:hAnsi="Times New Roman"/>
                <w:b/>
                <w:sz w:val="24"/>
                <w:szCs w:val="24"/>
              </w:rPr>
              <w:t>súhlasné stanovisko s návrhom na dopracovanie materiálu</w:t>
            </w:r>
            <w:r w:rsidRPr="00832D63">
              <w:rPr>
                <w:rFonts w:ascii="Times New Roman" w:hAnsi="Times New Roman"/>
                <w:sz w:val="24"/>
                <w:szCs w:val="24"/>
              </w:rPr>
              <w:t xml:space="preserve">, ktorý bol predložený na záverečné posúdenie a odporúča  jeho dopracovanie podľa pripomienok, ktoré sú navrhované v stanovisku komisie. </w:t>
            </w:r>
          </w:p>
          <w:p w:rsidR="009157AF" w:rsidRPr="00832D63" w:rsidRDefault="009157AF" w:rsidP="00832D63">
            <w:pPr>
              <w:rPr>
                <w:rFonts w:ascii="Times New Roman" w:hAnsi="Times New Roman"/>
                <w:sz w:val="24"/>
                <w:szCs w:val="24"/>
              </w:rPr>
            </w:pPr>
            <w:r w:rsidRPr="00832D63">
              <w:rPr>
                <w:rFonts w:ascii="Times New Roman" w:hAnsi="Times New Roman"/>
                <w:sz w:val="24"/>
                <w:szCs w:val="24"/>
              </w:rPr>
              <w:t xml:space="preserve">Pripomienky MF SR zapracovalo do analýzy vplyvov na podnikateľské prostredie. </w:t>
            </w:r>
          </w:p>
        </w:tc>
      </w:tr>
    </w:tbl>
    <w:p w:rsidR="009157AF" w:rsidRPr="009157AF" w:rsidRDefault="009157AF" w:rsidP="009157AF">
      <w:pPr>
        <w:rPr>
          <w:rFonts w:ascii="Times New Roman" w:hAnsi="Times New Roman"/>
          <w:b/>
          <w:sz w:val="24"/>
          <w:szCs w:val="24"/>
        </w:rPr>
      </w:pPr>
    </w:p>
    <w:p w:rsidR="009157AF" w:rsidRPr="009157AF" w:rsidRDefault="009157AF" w:rsidP="009157AF">
      <w:pPr>
        <w:pStyle w:val="Normlnywebov"/>
        <w:spacing w:before="0" w:beforeAutospacing="0" w:after="0" w:afterAutospacing="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157AF" w:rsidRPr="00832D63" w:rsidTr="00832D63">
        <w:trPr>
          <w:trHeight w:val="567"/>
        </w:trPr>
        <w:tc>
          <w:tcPr>
            <w:tcW w:w="9212" w:type="dxa"/>
            <w:shd w:val="clear" w:color="auto" w:fill="D9D9D9"/>
          </w:tcPr>
          <w:p w:rsidR="009157AF" w:rsidRPr="00832D63" w:rsidRDefault="009157AF" w:rsidP="00832D63">
            <w:pPr>
              <w:jc w:val="center"/>
              <w:rPr>
                <w:rFonts w:ascii="Times New Roman" w:hAnsi="Times New Roman"/>
                <w:b/>
                <w:sz w:val="24"/>
                <w:szCs w:val="24"/>
              </w:rPr>
            </w:pPr>
            <w:r w:rsidRPr="00832D63">
              <w:rPr>
                <w:rFonts w:ascii="Times New Roman" w:hAnsi="Times New Roman"/>
                <w:b/>
                <w:sz w:val="24"/>
                <w:szCs w:val="24"/>
              </w:rPr>
              <w:t xml:space="preserve">Analýza vplyvov na podnikateľské prostredie </w:t>
            </w:r>
          </w:p>
          <w:p w:rsidR="009157AF" w:rsidRPr="00832D63" w:rsidRDefault="009157AF" w:rsidP="00832D63">
            <w:pPr>
              <w:jc w:val="center"/>
              <w:rPr>
                <w:rFonts w:ascii="Times New Roman" w:hAnsi="Times New Roman"/>
                <w:b/>
                <w:sz w:val="24"/>
                <w:szCs w:val="24"/>
              </w:rPr>
            </w:pPr>
            <w:r w:rsidRPr="00832D63">
              <w:rPr>
                <w:rFonts w:ascii="Times New Roman" w:hAnsi="Times New Roman"/>
                <w:b/>
                <w:sz w:val="24"/>
                <w:szCs w:val="24"/>
              </w:rPr>
              <w:t>(vrátane testu MSP)</w:t>
            </w:r>
          </w:p>
        </w:tc>
      </w:tr>
      <w:tr w:rsidR="009157AF" w:rsidRPr="00832D63" w:rsidTr="00832D63">
        <w:trPr>
          <w:trHeight w:val="567"/>
        </w:trPr>
        <w:tc>
          <w:tcPr>
            <w:tcW w:w="9212" w:type="dxa"/>
            <w:shd w:val="clear" w:color="auto" w:fill="D9D9D9"/>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Materiál bude mať vplyv s ohľadom na veľkostnú kategóriu podnikov:</w:t>
            </w:r>
          </w:p>
        </w:tc>
      </w:tr>
      <w:tr w:rsidR="009157AF" w:rsidRPr="00832D63" w:rsidTr="00832D63">
        <w:trPr>
          <w:trHeight w:val="567"/>
        </w:trPr>
        <w:tc>
          <w:tcPr>
            <w:tcW w:w="9212" w:type="dxa"/>
            <w:shd w:val="clear" w:color="auto" w:fill="auto"/>
          </w:tcPr>
          <w:tbl>
            <w:tblPr>
              <w:tblW w:w="0" w:type="auto"/>
              <w:tblLook w:val="04A0" w:firstRow="1" w:lastRow="0" w:firstColumn="1" w:lastColumn="0" w:noHBand="0" w:noVBand="1"/>
            </w:tblPr>
            <w:tblGrid>
              <w:gridCol w:w="436"/>
              <w:gridCol w:w="8545"/>
            </w:tblGrid>
            <w:tr w:rsidR="009157AF" w:rsidRPr="00832D63" w:rsidTr="00832D63">
              <w:tc>
                <w:tcPr>
                  <w:tcW w:w="436" w:type="dxa"/>
                  <w:shd w:val="clear" w:color="auto" w:fill="auto"/>
                </w:tcPr>
                <w:p w:rsidR="009157AF" w:rsidRPr="00832D63" w:rsidRDefault="009157AF" w:rsidP="00832D63">
                  <w:pPr>
                    <w:jc w:val="center"/>
                    <w:rPr>
                      <w:rFonts w:ascii="Times New Roman" w:hAnsi="Times New Roman"/>
                      <w:sz w:val="24"/>
                      <w:szCs w:val="24"/>
                    </w:rPr>
                  </w:pPr>
                  <w:r w:rsidRPr="00832D63">
                    <w:rPr>
                      <w:rFonts w:ascii="Segoe UI Symbol" w:eastAsia="MS Gothic" w:hAnsi="Segoe UI Symbol" w:cs="Segoe UI Symbol"/>
                      <w:sz w:val="24"/>
                      <w:szCs w:val="24"/>
                    </w:rPr>
                    <w:t>☐</w:t>
                  </w:r>
                </w:p>
              </w:tc>
              <w:tc>
                <w:tcPr>
                  <w:tcW w:w="8545" w:type="dxa"/>
                  <w:shd w:val="clear" w:color="auto" w:fill="auto"/>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 xml:space="preserve">iba na MSP (0 - 249 zamestnancov) </w:t>
                  </w:r>
                </w:p>
              </w:tc>
            </w:tr>
            <w:tr w:rsidR="009157AF" w:rsidRPr="00832D63" w:rsidTr="00832D63">
              <w:tc>
                <w:tcPr>
                  <w:tcW w:w="436" w:type="dxa"/>
                  <w:shd w:val="clear" w:color="auto" w:fill="auto"/>
                </w:tcPr>
                <w:p w:rsidR="009157AF" w:rsidRPr="00832D63" w:rsidRDefault="009157AF" w:rsidP="00832D63">
                  <w:pPr>
                    <w:jc w:val="center"/>
                    <w:rPr>
                      <w:rFonts w:ascii="Times New Roman" w:hAnsi="Times New Roman"/>
                      <w:sz w:val="24"/>
                      <w:szCs w:val="24"/>
                    </w:rPr>
                  </w:pPr>
                  <w:r w:rsidRPr="00832D63">
                    <w:rPr>
                      <w:rFonts w:ascii="Segoe UI Symbol" w:eastAsia="MS Gothic" w:hAnsi="Segoe UI Symbol" w:cs="Segoe UI Symbol"/>
                      <w:sz w:val="24"/>
                      <w:szCs w:val="24"/>
                    </w:rPr>
                    <w:t>☐</w:t>
                  </w:r>
                </w:p>
              </w:tc>
              <w:tc>
                <w:tcPr>
                  <w:tcW w:w="8545" w:type="dxa"/>
                  <w:shd w:val="clear" w:color="auto" w:fill="auto"/>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iba na veľké podniky (250 a viac zamestnancov)</w:t>
                  </w:r>
                </w:p>
              </w:tc>
            </w:tr>
            <w:tr w:rsidR="009157AF" w:rsidRPr="00832D63" w:rsidTr="00832D63">
              <w:tc>
                <w:tcPr>
                  <w:tcW w:w="436" w:type="dxa"/>
                  <w:shd w:val="clear" w:color="auto" w:fill="auto"/>
                </w:tcPr>
                <w:p w:rsidR="009157AF" w:rsidRPr="00832D63" w:rsidRDefault="009157AF" w:rsidP="00832D63">
                  <w:pPr>
                    <w:jc w:val="center"/>
                    <w:rPr>
                      <w:rFonts w:ascii="Times New Roman" w:hAnsi="Times New Roman"/>
                      <w:sz w:val="24"/>
                      <w:szCs w:val="24"/>
                    </w:rPr>
                  </w:pPr>
                  <w:r w:rsidRPr="00832D63">
                    <w:rPr>
                      <w:rFonts w:ascii="Segoe UI Symbol" w:eastAsia="MS Gothic" w:hAnsi="Segoe UI Symbol" w:cs="Segoe UI Symbol"/>
                      <w:sz w:val="24"/>
                      <w:szCs w:val="24"/>
                    </w:rPr>
                    <w:t>☒</w:t>
                  </w:r>
                </w:p>
              </w:tc>
              <w:tc>
                <w:tcPr>
                  <w:tcW w:w="8545" w:type="dxa"/>
                  <w:shd w:val="clear" w:color="auto" w:fill="auto"/>
                </w:tcPr>
                <w:p w:rsidR="009157AF" w:rsidRPr="00832D63" w:rsidRDefault="009157AF" w:rsidP="00832D63">
                  <w:pPr>
                    <w:rPr>
                      <w:rFonts w:ascii="Times New Roman" w:hAnsi="Times New Roman"/>
                      <w:sz w:val="24"/>
                      <w:szCs w:val="24"/>
                    </w:rPr>
                  </w:pPr>
                  <w:r w:rsidRPr="00832D63">
                    <w:rPr>
                      <w:rFonts w:ascii="Times New Roman" w:hAnsi="Times New Roman"/>
                      <w:b/>
                      <w:sz w:val="24"/>
                      <w:szCs w:val="24"/>
                    </w:rPr>
                    <w:t>na všetky kategórie podnikov</w:t>
                  </w:r>
                </w:p>
              </w:tc>
            </w:tr>
          </w:tbl>
          <w:p w:rsidR="009157AF" w:rsidRPr="00832D63" w:rsidRDefault="009157AF" w:rsidP="00832D63">
            <w:pPr>
              <w:rPr>
                <w:rFonts w:ascii="Times New Roman" w:hAnsi="Times New Roman"/>
                <w:b/>
                <w:sz w:val="24"/>
                <w:szCs w:val="24"/>
              </w:rPr>
            </w:pPr>
          </w:p>
        </w:tc>
      </w:tr>
      <w:tr w:rsidR="009157AF" w:rsidRPr="00832D63" w:rsidTr="00832D63">
        <w:tc>
          <w:tcPr>
            <w:tcW w:w="9212" w:type="dxa"/>
            <w:shd w:val="clear" w:color="auto" w:fill="D9D9D9"/>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3.1 Dotknuté podnikateľské subjekty</w:t>
            </w:r>
          </w:p>
          <w:p w:rsidR="009157AF" w:rsidRPr="00832D63" w:rsidRDefault="009157AF" w:rsidP="00832D63">
            <w:pPr>
              <w:ind w:left="284"/>
              <w:rPr>
                <w:rFonts w:ascii="Times New Roman" w:hAnsi="Times New Roman"/>
                <w:b/>
                <w:sz w:val="24"/>
                <w:szCs w:val="24"/>
              </w:rPr>
            </w:pPr>
            <w:r w:rsidRPr="00832D63">
              <w:rPr>
                <w:rFonts w:ascii="Times New Roman" w:hAnsi="Times New Roman"/>
                <w:sz w:val="24"/>
                <w:szCs w:val="24"/>
              </w:rPr>
              <w:t xml:space="preserve"> - </w:t>
            </w:r>
            <w:r w:rsidRPr="00832D63">
              <w:rPr>
                <w:rFonts w:ascii="Times New Roman" w:hAnsi="Times New Roman"/>
                <w:b/>
                <w:sz w:val="24"/>
                <w:szCs w:val="24"/>
              </w:rPr>
              <w:t>z toho MSP</w:t>
            </w:r>
          </w:p>
        </w:tc>
      </w:tr>
      <w:tr w:rsidR="009157AF" w:rsidRPr="00832D63" w:rsidTr="00832D63">
        <w:tc>
          <w:tcPr>
            <w:tcW w:w="9212" w:type="dxa"/>
            <w:tcBorders>
              <w:bottom w:val="single" w:sz="4" w:space="0" w:color="auto"/>
            </w:tcBorders>
            <w:shd w:val="clear" w:color="auto" w:fill="auto"/>
          </w:tcPr>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Uveďte, aké podnikateľské subjekty budú predkladaným návrhom ovplyvnené.</w:t>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Aký je ich počet?</w:t>
            </w:r>
          </w:p>
        </w:tc>
      </w:tr>
      <w:tr w:rsidR="009157AF" w:rsidRPr="00832D63" w:rsidTr="00832D63">
        <w:trPr>
          <w:trHeight w:val="1440"/>
        </w:trPr>
        <w:tc>
          <w:tcPr>
            <w:tcW w:w="9212" w:type="dxa"/>
            <w:tcBorders>
              <w:bottom w:val="single" w:sz="4" w:space="0" w:color="auto"/>
            </w:tcBorders>
            <w:shd w:val="clear" w:color="auto" w:fill="auto"/>
          </w:tcPr>
          <w:p w:rsidR="009157AF" w:rsidRPr="00832D63" w:rsidRDefault="009157AF" w:rsidP="00832D63">
            <w:pPr>
              <w:jc w:val="both"/>
              <w:rPr>
                <w:rFonts w:ascii="Times New Roman" w:hAnsi="Times New Roman"/>
                <w:i/>
                <w:sz w:val="24"/>
                <w:szCs w:val="24"/>
              </w:rPr>
            </w:pPr>
            <w:r w:rsidRPr="00832D63">
              <w:rPr>
                <w:rFonts w:ascii="Times New Roman" w:hAnsi="Times New Roman"/>
                <w:sz w:val="24"/>
                <w:szCs w:val="24"/>
              </w:rPr>
              <w:t xml:space="preserve">Návrhom sú dotknuté tie podnikateľské subjekty, ktoré emitovali len iné cenné papiere než akcie prijaté na obchodovanie na regulovanom trhu, ak tieto účtovné jednotky neemitovali akcie, s ktorými sa obchoduje v mnohostrannom obchodnom systéme. Ďalej sú návrhom dotknuté podnikateľské subjekty, ktoré spĺňali kritéria pre povinnosť overenia účtovnej závierky a výročnej správy štatutárnym audítorom. Časť týchto spoločností tvoria aj MSP. Predpokladá sa zníženie povinnosti overenia individuálnej účtovnej závierky cca u 2300 </w:t>
            </w:r>
            <w:r w:rsidRPr="00832D63">
              <w:rPr>
                <w:rFonts w:ascii="Times New Roman" w:hAnsi="Times New Roman"/>
                <w:sz w:val="24"/>
                <w:szCs w:val="24"/>
              </w:rPr>
              <w:lastRenderedPageBreak/>
              <w:t>spoločností, pričom sa odhaduje zníženie nákladov na overenie účtovnej závierky cca vo výške 9 000 000 eur.</w:t>
            </w:r>
          </w:p>
        </w:tc>
      </w:tr>
      <w:tr w:rsidR="009157AF" w:rsidRPr="00832D63" w:rsidTr="00832D63">
        <w:trPr>
          <w:trHeight w:val="339"/>
        </w:trPr>
        <w:tc>
          <w:tcPr>
            <w:tcW w:w="9212" w:type="dxa"/>
            <w:tcBorders>
              <w:bottom w:val="single" w:sz="4" w:space="0" w:color="auto"/>
            </w:tcBorders>
            <w:shd w:val="clear" w:color="auto" w:fill="D9D9D9"/>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lastRenderedPageBreak/>
              <w:t>3.2 Vyhodnotenie konzultácií</w:t>
            </w:r>
          </w:p>
          <w:p w:rsidR="009157AF" w:rsidRPr="00832D63" w:rsidRDefault="009157AF" w:rsidP="00832D63">
            <w:pPr>
              <w:rPr>
                <w:rFonts w:ascii="Times New Roman" w:hAnsi="Times New Roman"/>
                <w:b/>
                <w:sz w:val="24"/>
                <w:szCs w:val="24"/>
              </w:rPr>
            </w:pPr>
            <w:r w:rsidRPr="00832D63">
              <w:rPr>
                <w:rFonts w:ascii="Times New Roman" w:hAnsi="Times New Roman"/>
                <w:sz w:val="24"/>
                <w:szCs w:val="24"/>
              </w:rPr>
              <w:t xml:space="preserve">       - </w:t>
            </w:r>
            <w:r w:rsidRPr="00832D63">
              <w:rPr>
                <w:rFonts w:ascii="Times New Roman" w:hAnsi="Times New Roman"/>
                <w:b/>
                <w:sz w:val="24"/>
                <w:szCs w:val="24"/>
              </w:rPr>
              <w:t>z toho MSP</w:t>
            </w:r>
          </w:p>
        </w:tc>
      </w:tr>
      <w:tr w:rsidR="009157AF" w:rsidRPr="00832D63" w:rsidTr="00832D63">
        <w:trPr>
          <w:trHeight w:val="557"/>
        </w:trPr>
        <w:tc>
          <w:tcPr>
            <w:tcW w:w="9212" w:type="dxa"/>
            <w:tcBorders>
              <w:bottom w:val="single" w:sz="4" w:space="0" w:color="auto"/>
            </w:tcBorders>
            <w:shd w:val="clear" w:color="auto" w:fill="auto"/>
          </w:tcPr>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Uveďte, akou formou (verejné alebo cielené konzultácie a prečo) a s kým bol návrh konzultovaný.</w:t>
            </w:r>
          </w:p>
          <w:p w:rsidR="009157AF" w:rsidRPr="00832D63" w:rsidRDefault="009157AF" w:rsidP="00832D63">
            <w:pPr>
              <w:tabs>
                <w:tab w:val="center" w:pos="4423"/>
              </w:tabs>
              <w:rPr>
                <w:rFonts w:ascii="Times New Roman" w:hAnsi="Times New Roman"/>
                <w:i/>
                <w:sz w:val="24"/>
                <w:szCs w:val="24"/>
              </w:rPr>
            </w:pPr>
            <w:r w:rsidRPr="00832D63">
              <w:rPr>
                <w:rFonts w:ascii="Times New Roman" w:hAnsi="Times New Roman"/>
                <w:i/>
                <w:sz w:val="24"/>
                <w:szCs w:val="24"/>
              </w:rPr>
              <w:t>Ako dlho trvali konzultácie?</w:t>
            </w:r>
            <w:r w:rsidRPr="00832D63">
              <w:rPr>
                <w:rFonts w:ascii="Times New Roman" w:hAnsi="Times New Roman"/>
                <w:i/>
                <w:sz w:val="24"/>
                <w:szCs w:val="24"/>
              </w:rPr>
              <w:tab/>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 xml:space="preserve">Uveďte hlavné body konzultácií a výsledky konzultácií. </w:t>
            </w:r>
          </w:p>
        </w:tc>
      </w:tr>
      <w:tr w:rsidR="009157AF" w:rsidRPr="00832D63" w:rsidTr="00832D63">
        <w:trPr>
          <w:trHeight w:val="1440"/>
        </w:trPr>
        <w:tc>
          <w:tcPr>
            <w:tcW w:w="9212" w:type="dxa"/>
            <w:tcBorders>
              <w:bottom w:val="single" w:sz="4" w:space="0" w:color="auto"/>
            </w:tcBorders>
            <w:shd w:val="clear" w:color="auto" w:fill="auto"/>
          </w:tcPr>
          <w:p w:rsidR="009157AF" w:rsidRPr="00832D63" w:rsidRDefault="009157AF" w:rsidP="00832D63">
            <w:pPr>
              <w:jc w:val="both"/>
              <w:rPr>
                <w:rFonts w:ascii="Times New Roman" w:hAnsi="Times New Roman"/>
                <w:sz w:val="24"/>
                <w:szCs w:val="24"/>
              </w:rPr>
            </w:pPr>
            <w:r w:rsidRPr="00832D63">
              <w:rPr>
                <w:rFonts w:ascii="Times New Roman" w:hAnsi="Times New Roman"/>
                <w:sz w:val="24"/>
                <w:szCs w:val="24"/>
              </w:rPr>
              <w:t>Uvedeným návrhom sa odstraňuje identifikovaný goldplating, ktorý nadväzuje na prijaté uznesenie vlády č. 50/2019 a materiál o goldplatingu, ktorý predkladalo MH SR bol konzultovaný v rámci procesu prijímania uznesenia. Na základe analýzy právnych predpisov v pôsobnosti MF SR z pohľadu transpozície sa vykonala konzultácia k odstráneniu goldplatingu pri transpozícii Smernice Európskeho parlamentu a Rady 2014/95EÚ s hodnotiteľom z  Fakulty hospodárskej informatiky Ekonomickej univerzity v Bratislave.</w:t>
            </w:r>
          </w:p>
          <w:p w:rsidR="009157AF" w:rsidRPr="00832D63" w:rsidRDefault="009157AF" w:rsidP="00832D63">
            <w:pPr>
              <w:rPr>
                <w:rFonts w:ascii="Times New Roman" w:hAnsi="Times New Roman"/>
                <w:i/>
                <w:sz w:val="24"/>
                <w:szCs w:val="24"/>
              </w:rPr>
            </w:pPr>
          </w:p>
        </w:tc>
      </w:tr>
      <w:tr w:rsidR="009157AF" w:rsidRPr="00832D63" w:rsidTr="00832D63">
        <w:tc>
          <w:tcPr>
            <w:tcW w:w="9212" w:type="dxa"/>
            <w:shd w:val="clear" w:color="auto" w:fill="D9D9D9"/>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3.3 Náklady regulácie</w:t>
            </w:r>
          </w:p>
          <w:p w:rsidR="009157AF" w:rsidRPr="00832D63" w:rsidRDefault="009157AF" w:rsidP="00832D63">
            <w:pPr>
              <w:rPr>
                <w:rFonts w:ascii="Times New Roman" w:hAnsi="Times New Roman"/>
                <w:b/>
                <w:sz w:val="24"/>
                <w:szCs w:val="24"/>
              </w:rPr>
            </w:pPr>
            <w:r w:rsidRPr="00832D63">
              <w:rPr>
                <w:rFonts w:ascii="Times New Roman" w:hAnsi="Times New Roman"/>
                <w:sz w:val="24"/>
                <w:szCs w:val="24"/>
              </w:rPr>
              <w:t xml:space="preserve">      - </w:t>
            </w:r>
            <w:r w:rsidRPr="00832D63">
              <w:rPr>
                <w:rFonts w:ascii="Times New Roman" w:hAnsi="Times New Roman"/>
                <w:b/>
                <w:sz w:val="24"/>
                <w:szCs w:val="24"/>
              </w:rPr>
              <w:t>z toho MSP</w:t>
            </w:r>
          </w:p>
        </w:tc>
      </w:tr>
      <w:tr w:rsidR="009157AF" w:rsidRPr="00832D63" w:rsidTr="00832D63">
        <w:tc>
          <w:tcPr>
            <w:tcW w:w="9212" w:type="dxa"/>
            <w:tcBorders>
              <w:bottom w:val="single" w:sz="4" w:space="0" w:color="auto"/>
            </w:tcBorders>
            <w:shd w:val="clear" w:color="auto" w:fill="auto"/>
          </w:tcPr>
          <w:p w:rsidR="009157AF" w:rsidRPr="00832D63" w:rsidRDefault="009157AF" w:rsidP="00832D63">
            <w:pPr>
              <w:rPr>
                <w:rFonts w:ascii="Times New Roman" w:hAnsi="Times New Roman"/>
                <w:b/>
                <w:i/>
                <w:sz w:val="24"/>
                <w:szCs w:val="24"/>
              </w:rPr>
            </w:pPr>
            <w:r w:rsidRPr="00832D63">
              <w:rPr>
                <w:rFonts w:ascii="Times New Roman" w:hAnsi="Times New Roman"/>
                <w:b/>
                <w:i/>
                <w:sz w:val="24"/>
                <w:szCs w:val="24"/>
              </w:rPr>
              <w:t>3.3.1 Priame finančné náklady</w:t>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9157AF" w:rsidRPr="00832D63" w:rsidTr="00832D63">
        <w:tc>
          <w:tcPr>
            <w:tcW w:w="9212" w:type="dxa"/>
            <w:tcBorders>
              <w:bottom w:val="single" w:sz="4" w:space="0" w:color="auto"/>
            </w:tcBorders>
            <w:shd w:val="clear" w:color="auto" w:fill="auto"/>
          </w:tcPr>
          <w:p w:rsidR="009157AF" w:rsidRPr="00832D63" w:rsidRDefault="009157AF" w:rsidP="00832D63">
            <w:pPr>
              <w:jc w:val="both"/>
              <w:rPr>
                <w:rFonts w:ascii="Times New Roman" w:hAnsi="Times New Roman"/>
                <w:b/>
                <w:i/>
                <w:sz w:val="24"/>
                <w:szCs w:val="24"/>
              </w:rPr>
            </w:pPr>
            <w:r w:rsidRPr="00832D63">
              <w:rPr>
                <w:rFonts w:ascii="Times New Roman" w:hAnsi="Times New Roman"/>
                <w:sz w:val="24"/>
                <w:szCs w:val="24"/>
              </w:rPr>
              <w:t>Podľa dostupných informácií z účtovných závierok uložených v registri účtovných závierok boli vyčíslené priame finančné náklady na jedného podnikateľa v súvislosti s povinnosťou overenia účtovnej závierky a výročnej správy štatutárnym audítorom. V priemere boli vyčíslené na 3 700 eur, čo podľa kalkulačky pre podnikateľov predstavuje na celé podnikateľské prostredie 8 695 000 eur. Ide o priemernú cenu za 1 audit vyrátanú prepočtom z internej analýzy z účtovných závierok, ktorých sa dotýkajú.</w:t>
            </w:r>
          </w:p>
        </w:tc>
      </w:tr>
      <w:tr w:rsidR="009157AF" w:rsidRPr="00832D63" w:rsidTr="00832D63">
        <w:tc>
          <w:tcPr>
            <w:tcW w:w="9212" w:type="dxa"/>
            <w:tcBorders>
              <w:bottom w:val="single" w:sz="4" w:space="0" w:color="auto"/>
            </w:tcBorders>
            <w:shd w:val="clear" w:color="auto" w:fill="auto"/>
          </w:tcPr>
          <w:p w:rsidR="009157AF" w:rsidRPr="00832D63" w:rsidRDefault="009157AF" w:rsidP="00832D63">
            <w:pPr>
              <w:rPr>
                <w:rFonts w:ascii="Times New Roman" w:hAnsi="Times New Roman"/>
                <w:b/>
                <w:i/>
                <w:sz w:val="24"/>
                <w:szCs w:val="24"/>
              </w:rPr>
            </w:pPr>
            <w:r w:rsidRPr="00832D63">
              <w:rPr>
                <w:rFonts w:ascii="Times New Roman" w:hAnsi="Times New Roman"/>
                <w:b/>
                <w:i/>
                <w:sz w:val="24"/>
                <w:szCs w:val="24"/>
              </w:rPr>
              <w:t>3.3.2 Nepriame finančné náklady</w:t>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9157AF" w:rsidRPr="00832D63" w:rsidTr="00832D63">
        <w:tc>
          <w:tcPr>
            <w:tcW w:w="9212" w:type="dxa"/>
            <w:tcBorders>
              <w:bottom w:val="single" w:sz="4" w:space="0" w:color="auto"/>
            </w:tcBorders>
            <w:shd w:val="clear" w:color="auto" w:fill="auto"/>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lastRenderedPageBreak/>
              <w:t>Neboli identifikované a následne ani vyčíslené.</w:t>
            </w:r>
          </w:p>
          <w:p w:rsidR="009157AF" w:rsidRPr="00832D63" w:rsidRDefault="009157AF" w:rsidP="00832D63">
            <w:pPr>
              <w:rPr>
                <w:rFonts w:ascii="Times New Roman" w:hAnsi="Times New Roman"/>
                <w:b/>
                <w:i/>
                <w:sz w:val="24"/>
                <w:szCs w:val="24"/>
              </w:rPr>
            </w:pPr>
          </w:p>
        </w:tc>
      </w:tr>
      <w:tr w:rsidR="009157AF" w:rsidRPr="00832D63" w:rsidTr="00832D63">
        <w:tc>
          <w:tcPr>
            <w:tcW w:w="9212" w:type="dxa"/>
            <w:tcBorders>
              <w:bottom w:val="single" w:sz="4" w:space="0" w:color="auto"/>
            </w:tcBorders>
            <w:shd w:val="clear" w:color="auto" w:fill="auto"/>
          </w:tcPr>
          <w:p w:rsidR="009157AF" w:rsidRPr="00832D63" w:rsidRDefault="009157AF" w:rsidP="00832D63">
            <w:pPr>
              <w:rPr>
                <w:rFonts w:ascii="Times New Roman" w:hAnsi="Times New Roman"/>
                <w:b/>
                <w:i/>
                <w:sz w:val="24"/>
                <w:szCs w:val="24"/>
              </w:rPr>
            </w:pPr>
            <w:r w:rsidRPr="00832D63">
              <w:rPr>
                <w:rFonts w:ascii="Times New Roman" w:hAnsi="Times New Roman"/>
                <w:b/>
                <w:i/>
                <w:sz w:val="24"/>
                <w:szCs w:val="24"/>
              </w:rPr>
              <w:t>3.3.3 Administratívne náklady</w:t>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9157AF" w:rsidRPr="00832D63" w:rsidTr="00832D63">
        <w:tc>
          <w:tcPr>
            <w:tcW w:w="9212" w:type="dxa"/>
            <w:tcBorders>
              <w:bottom w:val="single" w:sz="4" w:space="0" w:color="auto"/>
            </w:tcBorders>
            <w:shd w:val="clear" w:color="auto" w:fill="auto"/>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K zavedeniu nových informačných povinností nedochádza.  Administratívne náklady na splnenie povinnosti (napr. spojených s výberom audítora a následným uložením správy audítora) boli vyčíslené podľa kalkulačky pre podnikateľov na cca 229 eur čo predstavuje na celé podnikateľské prostredie 538 150 eur. Expertný odhad doby trvania týchto úkonov 2400 min, overenie súčinnosti a predloženie dokumentu elektronicky v príslušnej frekvencii jedenkrát ročne.</w:t>
            </w:r>
          </w:p>
          <w:p w:rsidR="009157AF" w:rsidRPr="00832D63" w:rsidRDefault="009157AF" w:rsidP="00832D63">
            <w:pPr>
              <w:rPr>
                <w:rFonts w:ascii="Times New Roman" w:hAnsi="Times New Roman"/>
                <w:i/>
                <w:sz w:val="24"/>
                <w:szCs w:val="24"/>
              </w:rPr>
            </w:pPr>
          </w:p>
        </w:tc>
      </w:tr>
      <w:tr w:rsidR="009157AF" w:rsidRPr="00832D63" w:rsidTr="00832D63">
        <w:trPr>
          <w:trHeight w:val="2584"/>
        </w:trPr>
        <w:tc>
          <w:tcPr>
            <w:tcW w:w="9212" w:type="dxa"/>
            <w:tcBorders>
              <w:bottom w:val="single" w:sz="4" w:space="0" w:color="auto"/>
            </w:tcBorders>
            <w:shd w:val="clear" w:color="auto" w:fill="auto"/>
          </w:tcPr>
          <w:p w:rsidR="009157AF" w:rsidRPr="00832D63" w:rsidRDefault="009157AF" w:rsidP="00832D63">
            <w:pPr>
              <w:rPr>
                <w:rFonts w:ascii="Times New Roman" w:hAnsi="Times New Roman"/>
                <w:i/>
                <w:sz w:val="24"/>
                <w:szCs w:val="24"/>
              </w:rPr>
            </w:pPr>
            <w:r w:rsidRPr="00832D63">
              <w:rPr>
                <w:rFonts w:ascii="Times New Roman" w:hAnsi="Times New Roman"/>
                <w:b/>
                <w:i/>
                <w:sz w:val="24"/>
                <w:szCs w:val="24"/>
              </w:rPr>
              <w:t>3.3.4 Súhrnná tabuľka nákladov regulácie</w:t>
            </w:r>
          </w:p>
          <w:p w:rsidR="009157AF" w:rsidRPr="00832D63" w:rsidRDefault="009157AF" w:rsidP="00832D63">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94"/>
              <w:gridCol w:w="2994"/>
            </w:tblGrid>
            <w:tr w:rsidR="009157AF" w:rsidRPr="00832D63" w:rsidTr="00832D63">
              <w:tc>
                <w:tcPr>
                  <w:tcW w:w="2993" w:type="dxa"/>
                  <w:shd w:val="clear" w:color="auto" w:fill="auto"/>
                </w:tcPr>
                <w:p w:rsidR="009157AF" w:rsidRPr="00832D63" w:rsidRDefault="009157AF" w:rsidP="00832D63">
                  <w:pPr>
                    <w:rPr>
                      <w:rFonts w:ascii="Times New Roman" w:hAnsi="Times New Roman"/>
                      <w:i/>
                      <w:sz w:val="24"/>
                      <w:szCs w:val="24"/>
                    </w:rPr>
                  </w:pPr>
                </w:p>
              </w:tc>
              <w:tc>
                <w:tcPr>
                  <w:tcW w:w="2994" w:type="dxa"/>
                  <w:shd w:val="clear" w:color="auto" w:fill="auto"/>
                </w:tcPr>
                <w:p w:rsidR="009157AF" w:rsidRPr="00832D63" w:rsidRDefault="009157AF" w:rsidP="00832D63">
                  <w:pPr>
                    <w:jc w:val="center"/>
                    <w:rPr>
                      <w:rFonts w:ascii="Times New Roman" w:hAnsi="Times New Roman"/>
                      <w:i/>
                      <w:sz w:val="24"/>
                      <w:szCs w:val="24"/>
                    </w:rPr>
                  </w:pPr>
                  <w:r w:rsidRPr="00832D63">
                    <w:rPr>
                      <w:rFonts w:ascii="Times New Roman" w:hAnsi="Times New Roman"/>
                      <w:i/>
                      <w:sz w:val="24"/>
                      <w:szCs w:val="24"/>
                    </w:rPr>
                    <w:t>Náklady na 1 podnikateľa</w:t>
                  </w:r>
                </w:p>
              </w:tc>
              <w:tc>
                <w:tcPr>
                  <w:tcW w:w="2994" w:type="dxa"/>
                  <w:shd w:val="clear" w:color="auto" w:fill="auto"/>
                </w:tcPr>
                <w:p w:rsidR="009157AF" w:rsidRPr="00832D63" w:rsidRDefault="009157AF" w:rsidP="00832D63">
                  <w:pPr>
                    <w:jc w:val="center"/>
                    <w:rPr>
                      <w:rFonts w:ascii="Times New Roman" w:hAnsi="Times New Roman"/>
                      <w:i/>
                      <w:sz w:val="24"/>
                      <w:szCs w:val="24"/>
                    </w:rPr>
                  </w:pPr>
                  <w:r w:rsidRPr="00832D63">
                    <w:rPr>
                      <w:rFonts w:ascii="Times New Roman" w:hAnsi="Times New Roman"/>
                      <w:i/>
                      <w:sz w:val="24"/>
                      <w:szCs w:val="24"/>
                    </w:rPr>
                    <w:t>Náklady na celé podnikateľské prostredie</w:t>
                  </w:r>
                </w:p>
              </w:tc>
            </w:tr>
            <w:tr w:rsidR="009157AF" w:rsidRPr="00832D63" w:rsidTr="00832D63">
              <w:tc>
                <w:tcPr>
                  <w:tcW w:w="2993" w:type="dxa"/>
                  <w:shd w:val="clear" w:color="auto" w:fill="auto"/>
                </w:tcPr>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Priame finančné náklady</w:t>
                  </w:r>
                </w:p>
              </w:tc>
              <w:tc>
                <w:tcPr>
                  <w:tcW w:w="2994" w:type="dxa"/>
                  <w:shd w:val="clear" w:color="auto" w:fill="auto"/>
                </w:tcPr>
                <w:p w:rsidR="009157AF" w:rsidRPr="00832D63" w:rsidRDefault="009157AF" w:rsidP="00832D63">
                  <w:pPr>
                    <w:jc w:val="center"/>
                    <w:rPr>
                      <w:rFonts w:ascii="Times New Roman" w:hAnsi="Times New Roman"/>
                      <w:i/>
                      <w:sz w:val="24"/>
                      <w:szCs w:val="24"/>
                    </w:rPr>
                  </w:pPr>
                  <w:r w:rsidRPr="00832D63">
                    <w:rPr>
                      <w:rFonts w:ascii="Times New Roman" w:hAnsi="Times New Roman"/>
                      <w:i/>
                      <w:sz w:val="24"/>
                      <w:szCs w:val="24"/>
                    </w:rPr>
                    <w:t>3 700</w:t>
                  </w:r>
                </w:p>
              </w:tc>
              <w:tc>
                <w:tcPr>
                  <w:tcW w:w="2994" w:type="dxa"/>
                  <w:shd w:val="clear" w:color="auto" w:fill="auto"/>
                </w:tcPr>
                <w:p w:rsidR="009157AF" w:rsidRPr="00832D63" w:rsidRDefault="009157AF" w:rsidP="00832D63">
                  <w:pPr>
                    <w:jc w:val="center"/>
                    <w:rPr>
                      <w:rFonts w:ascii="Times New Roman" w:hAnsi="Times New Roman"/>
                      <w:i/>
                      <w:sz w:val="24"/>
                      <w:szCs w:val="24"/>
                    </w:rPr>
                  </w:pPr>
                  <w:r w:rsidRPr="00832D63">
                    <w:rPr>
                      <w:rFonts w:ascii="Times New Roman" w:hAnsi="Times New Roman"/>
                      <w:i/>
                      <w:sz w:val="24"/>
                      <w:szCs w:val="24"/>
                    </w:rPr>
                    <w:t>8 695 000</w:t>
                  </w:r>
                </w:p>
              </w:tc>
            </w:tr>
            <w:tr w:rsidR="009157AF" w:rsidRPr="00832D63" w:rsidTr="00832D63">
              <w:tc>
                <w:tcPr>
                  <w:tcW w:w="2993" w:type="dxa"/>
                  <w:shd w:val="clear" w:color="auto" w:fill="auto"/>
                </w:tcPr>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Nepriame finančné náklady</w:t>
                  </w:r>
                </w:p>
              </w:tc>
              <w:tc>
                <w:tcPr>
                  <w:tcW w:w="2994" w:type="dxa"/>
                  <w:shd w:val="clear" w:color="auto" w:fill="auto"/>
                </w:tcPr>
                <w:p w:rsidR="009157AF" w:rsidRPr="00832D63" w:rsidRDefault="009157AF" w:rsidP="00832D63">
                  <w:pPr>
                    <w:jc w:val="center"/>
                    <w:rPr>
                      <w:rFonts w:ascii="Times New Roman" w:hAnsi="Times New Roman"/>
                      <w:i/>
                      <w:sz w:val="24"/>
                      <w:szCs w:val="24"/>
                    </w:rPr>
                  </w:pPr>
                  <w:r w:rsidRPr="00832D63">
                    <w:rPr>
                      <w:rFonts w:ascii="Times New Roman" w:hAnsi="Times New Roman"/>
                      <w:i/>
                      <w:sz w:val="24"/>
                      <w:szCs w:val="24"/>
                    </w:rPr>
                    <w:t>0</w:t>
                  </w:r>
                </w:p>
              </w:tc>
              <w:tc>
                <w:tcPr>
                  <w:tcW w:w="2994" w:type="dxa"/>
                  <w:shd w:val="clear" w:color="auto" w:fill="auto"/>
                </w:tcPr>
                <w:p w:rsidR="009157AF" w:rsidRPr="00832D63" w:rsidRDefault="009157AF" w:rsidP="00832D63">
                  <w:pPr>
                    <w:jc w:val="center"/>
                    <w:rPr>
                      <w:rFonts w:ascii="Times New Roman" w:hAnsi="Times New Roman"/>
                      <w:i/>
                      <w:sz w:val="24"/>
                      <w:szCs w:val="24"/>
                    </w:rPr>
                  </w:pPr>
                  <w:r w:rsidRPr="00832D63">
                    <w:rPr>
                      <w:rFonts w:ascii="Times New Roman" w:hAnsi="Times New Roman"/>
                      <w:i/>
                      <w:sz w:val="24"/>
                      <w:szCs w:val="24"/>
                    </w:rPr>
                    <w:t>0</w:t>
                  </w:r>
                </w:p>
              </w:tc>
            </w:tr>
            <w:tr w:rsidR="009157AF" w:rsidRPr="00832D63" w:rsidTr="00832D63">
              <w:tc>
                <w:tcPr>
                  <w:tcW w:w="2993" w:type="dxa"/>
                  <w:shd w:val="clear" w:color="auto" w:fill="auto"/>
                </w:tcPr>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Administratívne náklady</w:t>
                  </w:r>
                </w:p>
              </w:tc>
              <w:tc>
                <w:tcPr>
                  <w:tcW w:w="2994" w:type="dxa"/>
                  <w:shd w:val="clear" w:color="auto" w:fill="auto"/>
                </w:tcPr>
                <w:p w:rsidR="009157AF" w:rsidRPr="00832D63" w:rsidRDefault="009157AF" w:rsidP="00832D63">
                  <w:pPr>
                    <w:jc w:val="center"/>
                    <w:rPr>
                      <w:rFonts w:ascii="Times New Roman" w:hAnsi="Times New Roman"/>
                      <w:i/>
                      <w:sz w:val="24"/>
                      <w:szCs w:val="24"/>
                    </w:rPr>
                  </w:pPr>
                  <w:r w:rsidRPr="00832D63">
                    <w:rPr>
                      <w:rFonts w:ascii="Times New Roman" w:hAnsi="Times New Roman"/>
                      <w:i/>
                      <w:sz w:val="24"/>
                      <w:szCs w:val="24"/>
                    </w:rPr>
                    <w:t>229</w:t>
                  </w:r>
                </w:p>
              </w:tc>
              <w:tc>
                <w:tcPr>
                  <w:tcW w:w="2994" w:type="dxa"/>
                  <w:shd w:val="clear" w:color="auto" w:fill="auto"/>
                </w:tcPr>
                <w:p w:rsidR="009157AF" w:rsidRPr="00832D63" w:rsidRDefault="009157AF" w:rsidP="00832D63">
                  <w:pPr>
                    <w:jc w:val="center"/>
                    <w:rPr>
                      <w:rFonts w:ascii="Times New Roman" w:hAnsi="Times New Roman"/>
                      <w:i/>
                      <w:sz w:val="24"/>
                      <w:szCs w:val="24"/>
                    </w:rPr>
                  </w:pPr>
                  <w:r w:rsidRPr="00832D63">
                    <w:rPr>
                      <w:rFonts w:ascii="Times New Roman" w:hAnsi="Times New Roman"/>
                      <w:i/>
                      <w:sz w:val="24"/>
                      <w:szCs w:val="24"/>
                    </w:rPr>
                    <w:t>538 150</w:t>
                  </w:r>
                </w:p>
              </w:tc>
            </w:tr>
            <w:tr w:rsidR="009157AF" w:rsidRPr="00832D63" w:rsidTr="00832D63">
              <w:tc>
                <w:tcPr>
                  <w:tcW w:w="2993" w:type="dxa"/>
                  <w:shd w:val="clear" w:color="auto" w:fill="auto"/>
                </w:tcPr>
                <w:p w:rsidR="009157AF" w:rsidRPr="00832D63" w:rsidRDefault="009157AF" w:rsidP="00832D63">
                  <w:pPr>
                    <w:rPr>
                      <w:rFonts w:ascii="Times New Roman" w:hAnsi="Times New Roman"/>
                      <w:b/>
                      <w:i/>
                      <w:sz w:val="24"/>
                      <w:szCs w:val="24"/>
                    </w:rPr>
                  </w:pPr>
                  <w:r w:rsidRPr="00832D63">
                    <w:rPr>
                      <w:rFonts w:ascii="Times New Roman" w:hAnsi="Times New Roman"/>
                      <w:b/>
                      <w:i/>
                      <w:sz w:val="24"/>
                      <w:szCs w:val="24"/>
                    </w:rPr>
                    <w:t>Celkové náklady regulácie</w:t>
                  </w:r>
                </w:p>
              </w:tc>
              <w:tc>
                <w:tcPr>
                  <w:tcW w:w="2994" w:type="dxa"/>
                  <w:shd w:val="clear" w:color="auto" w:fill="auto"/>
                </w:tcPr>
                <w:p w:rsidR="009157AF" w:rsidRPr="00832D63" w:rsidRDefault="009157AF" w:rsidP="00832D63">
                  <w:pPr>
                    <w:jc w:val="center"/>
                    <w:rPr>
                      <w:rFonts w:ascii="Times New Roman" w:hAnsi="Times New Roman"/>
                      <w:b/>
                      <w:i/>
                      <w:sz w:val="24"/>
                      <w:szCs w:val="24"/>
                    </w:rPr>
                  </w:pPr>
                  <w:r w:rsidRPr="00832D63">
                    <w:rPr>
                      <w:rFonts w:ascii="Times New Roman" w:hAnsi="Times New Roman"/>
                      <w:b/>
                      <w:i/>
                      <w:sz w:val="24"/>
                      <w:szCs w:val="24"/>
                    </w:rPr>
                    <w:t>3 929*</w:t>
                  </w:r>
                </w:p>
              </w:tc>
              <w:tc>
                <w:tcPr>
                  <w:tcW w:w="2994" w:type="dxa"/>
                  <w:shd w:val="clear" w:color="auto" w:fill="auto"/>
                </w:tcPr>
                <w:p w:rsidR="009157AF" w:rsidRPr="00832D63" w:rsidRDefault="009157AF" w:rsidP="00832D63">
                  <w:pPr>
                    <w:jc w:val="center"/>
                    <w:rPr>
                      <w:rFonts w:ascii="Times New Roman" w:hAnsi="Times New Roman"/>
                      <w:b/>
                      <w:i/>
                      <w:sz w:val="24"/>
                      <w:szCs w:val="24"/>
                    </w:rPr>
                  </w:pPr>
                  <w:r w:rsidRPr="00832D63">
                    <w:rPr>
                      <w:rFonts w:ascii="Times New Roman" w:hAnsi="Times New Roman"/>
                      <w:b/>
                      <w:i/>
                      <w:sz w:val="24"/>
                      <w:szCs w:val="24"/>
                    </w:rPr>
                    <w:t>9 233 150*</w:t>
                  </w:r>
                </w:p>
              </w:tc>
            </w:tr>
          </w:tbl>
          <w:p w:rsidR="009157AF" w:rsidRPr="00832D63" w:rsidRDefault="009157AF" w:rsidP="00832D63">
            <w:pPr>
              <w:pStyle w:val="Odsekzoznamu"/>
              <w:ind w:left="0"/>
              <w:rPr>
                <w:rFonts w:ascii="Times New Roman" w:hAnsi="Times New Roman"/>
                <w:sz w:val="24"/>
                <w:szCs w:val="24"/>
              </w:rPr>
            </w:pPr>
            <w:r w:rsidRPr="00832D63">
              <w:rPr>
                <w:rFonts w:ascii="Times New Roman" w:hAnsi="Times New Roman"/>
                <w:i/>
                <w:sz w:val="24"/>
                <w:szCs w:val="24"/>
              </w:rPr>
              <w:t>*</w:t>
            </w:r>
            <w:r w:rsidRPr="00832D63">
              <w:rPr>
                <w:rFonts w:ascii="Times New Roman" w:hAnsi="Times New Roman"/>
                <w:sz w:val="24"/>
                <w:szCs w:val="24"/>
              </w:rPr>
              <w:t>ide o zníženie nákladov týkajúce sa cca 2300 podnikateľských subjektov.</w:t>
            </w:r>
          </w:p>
        </w:tc>
      </w:tr>
      <w:tr w:rsidR="009157AF" w:rsidRPr="00832D63" w:rsidTr="00832D63">
        <w:tc>
          <w:tcPr>
            <w:tcW w:w="9212" w:type="dxa"/>
            <w:shd w:val="clear" w:color="auto" w:fill="D9D9D9"/>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3.4 Konkurencieschopnosť a správanie sa podnikov na trhu</w:t>
            </w:r>
          </w:p>
          <w:p w:rsidR="009157AF" w:rsidRPr="00832D63" w:rsidRDefault="009157AF" w:rsidP="00832D63">
            <w:pPr>
              <w:rPr>
                <w:rFonts w:ascii="Times New Roman" w:hAnsi="Times New Roman"/>
                <w:sz w:val="24"/>
                <w:szCs w:val="24"/>
              </w:rPr>
            </w:pPr>
            <w:r w:rsidRPr="00832D63">
              <w:rPr>
                <w:rFonts w:ascii="Times New Roman" w:hAnsi="Times New Roman"/>
                <w:b/>
                <w:sz w:val="24"/>
                <w:szCs w:val="24"/>
              </w:rPr>
              <w:t xml:space="preserve">       </w:t>
            </w:r>
            <w:r w:rsidRPr="00832D63">
              <w:rPr>
                <w:rFonts w:ascii="Times New Roman" w:hAnsi="Times New Roman"/>
                <w:sz w:val="24"/>
                <w:szCs w:val="24"/>
              </w:rPr>
              <w:t xml:space="preserve">- </w:t>
            </w:r>
            <w:r w:rsidRPr="00832D63">
              <w:rPr>
                <w:rFonts w:ascii="Times New Roman" w:hAnsi="Times New Roman"/>
                <w:b/>
                <w:sz w:val="24"/>
                <w:szCs w:val="24"/>
              </w:rPr>
              <w:t>z toho MSP</w:t>
            </w:r>
          </w:p>
        </w:tc>
      </w:tr>
      <w:tr w:rsidR="009157AF" w:rsidRPr="00832D63" w:rsidTr="00832D63">
        <w:tc>
          <w:tcPr>
            <w:tcW w:w="9212" w:type="dxa"/>
            <w:tcBorders>
              <w:bottom w:val="single" w:sz="4" w:space="0" w:color="auto"/>
            </w:tcBorders>
            <w:shd w:val="clear" w:color="auto" w:fill="auto"/>
          </w:tcPr>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 xml:space="preserve">Aký vplyv bude mať navrhovaná zmena na obchodné bariéry? Bude mať vplyv na vyvolanie cezhraničných investícií (príliv /odliv zahraničných investícií resp. uplatnenie slovenských </w:t>
            </w:r>
            <w:r w:rsidRPr="00832D63">
              <w:rPr>
                <w:rFonts w:ascii="Times New Roman" w:hAnsi="Times New Roman"/>
                <w:i/>
                <w:sz w:val="24"/>
                <w:szCs w:val="24"/>
              </w:rPr>
              <w:lastRenderedPageBreak/>
              <w:t>podnikov na zahraničných trhoch)? Ak áno, popíšte.</w:t>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Ako ovplyvní cenu alebo dostupnosť základných zdrojov (suroviny, mechanizmy, pracovná sila, energie atď.)?</w:t>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Ovplyvňuje prístup k financiám? Ak áno, ako?</w:t>
            </w:r>
          </w:p>
        </w:tc>
      </w:tr>
      <w:tr w:rsidR="009157AF" w:rsidRPr="00832D63" w:rsidTr="00832D63">
        <w:trPr>
          <w:trHeight w:val="1282"/>
        </w:trPr>
        <w:tc>
          <w:tcPr>
            <w:tcW w:w="9212" w:type="dxa"/>
            <w:tcBorders>
              <w:bottom w:val="single" w:sz="4" w:space="0" w:color="auto"/>
            </w:tcBorders>
            <w:shd w:val="clear" w:color="auto" w:fill="auto"/>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lastRenderedPageBreak/>
              <w:t>Nie, nedochádza k vytvoreniu bariér pre vstup na trh pre nových dodávateľov alebo poskytovateľov služieb, ani nebude mať vplyv na vyvolanie cezhraničných investícií. MSP sa navrhovaná zmena nedotkne, nakoľko sa na nich uvedená povinnosť nevzťahovala.</w:t>
            </w:r>
          </w:p>
        </w:tc>
      </w:tr>
      <w:tr w:rsidR="009157AF" w:rsidRPr="00832D63" w:rsidTr="00832D63">
        <w:tc>
          <w:tcPr>
            <w:tcW w:w="9212" w:type="dxa"/>
            <w:shd w:val="clear" w:color="auto" w:fill="D9D9D9"/>
          </w:tcPr>
          <w:p w:rsidR="009157AF" w:rsidRPr="00832D63" w:rsidRDefault="009157AF" w:rsidP="00832D63">
            <w:pPr>
              <w:rPr>
                <w:rFonts w:ascii="Times New Roman" w:hAnsi="Times New Roman"/>
                <w:b/>
                <w:sz w:val="24"/>
                <w:szCs w:val="24"/>
              </w:rPr>
            </w:pPr>
            <w:r w:rsidRPr="00832D63">
              <w:rPr>
                <w:rFonts w:ascii="Times New Roman" w:hAnsi="Times New Roman"/>
                <w:b/>
                <w:sz w:val="24"/>
                <w:szCs w:val="24"/>
              </w:rPr>
              <w:t xml:space="preserve">3.5 Inovácie </w:t>
            </w:r>
          </w:p>
          <w:p w:rsidR="009157AF" w:rsidRPr="00832D63" w:rsidRDefault="009157AF" w:rsidP="00832D63">
            <w:pPr>
              <w:rPr>
                <w:rFonts w:ascii="Times New Roman" w:hAnsi="Times New Roman"/>
                <w:b/>
                <w:sz w:val="24"/>
                <w:szCs w:val="24"/>
              </w:rPr>
            </w:pPr>
            <w:r w:rsidRPr="00832D63">
              <w:rPr>
                <w:rFonts w:ascii="Times New Roman" w:hAnsi="Times New Roman"/>
                <w:sz w:val="24"/>
                <w:szCs w:val="24"/>
              </w:rPr>
              <w:t xml:space="preserve">       - </w:t>
            </w:r>
            <w:r w:rsidRPr="00832D63">
              <w:rPr>
                <w:rFonts w:ascii="Times New Roman" w:hAnsi="Times New Roman"/>
                <w:b/>
                <w:sz w:val="24"/>
                <w:szCs w:val="24"/>
              </w:rPr>
              <w:t>z toho MSP</w:t>
            </w:r>
          </w:p>
        </w:tc>
      </w:tr>
      <w:tr w:rsidR="009157AF" w:rsidRPr="00832D63" w:rsidTr="00832D63">
        <w:tc>
          <w:tcPr>
            <w:tcW w:w="9212" w:type="dxa"/>
            <w:shd w:val="clear" w:color="auto" w:fill="auto"/>
          </w:tcPr>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Uveďte, ako podporuje navrhovaná zmena inovácie.</w:t>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Zjednodušuje uvedenie alebo rozšírenie nových výrobných metód, technológií a výrobkov na trh?</w:t>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Uveďte, ako vplýva navrhovaná zmena na jednotlivé práva duševného vlastníctva (napr. patenty, ochranné známky, autorské práva, vlastníctvo know-how).</w:t>
            </w:r>
          </w:p>
          <w:p w:rsidR="009157AF" w:rsidRPr="00832D63" w:rsidRDefault="009157AF" w:rsidP="00832D63">
            <w:pPr>
              <w:rPr>
                <w:rFonts w:ascii="Times New Roman" w:hAnsi="Times New Roman"/>
                <w:i/>
                <w:sz w:val="24"/>
                <w:szCs w:val="24"/>
              </w:rPr>
            </w:pPr>
            <w:r w:rsidRPr="00832D63">
              <w:rPr>
                <w:rFonts w:ascii="Times New Roman" w:hAnsi="Times New Roman"/>
                <w:i/>
                <w:sz w:val="24"/>
                <w:szCs w:val="24"/>
              </w:rPr>
              <w:t>Podporuje vyššiu efektivitu výroby/využívania zdrojov? Ak áno, ako?</w:t>
            </w:r>
          </w:p>
          <w:p w:rsidR="009157AF" w:rsidRPr="00832D63" w:rsidRDefault="009157AF" w:rsidP="00832D63">
            <w:pPr>
              <w:rPr>
                <w:rFonts w:ascii="Times New Roman" w:hAnsi="Times New Roman"/>
                <w:sz w:val="24"/>
                <w:szCs w:val="24"/>
              </w:rPr>
            </w:pPr>
            <w:r w:rsidRPr="00832D63">
              <w:rPr>
                <w:rFonts w:ascii="Times New Roman" w:hAnsi="Times New Roman"/>
                <w:i/>
                <w:sz w:val="24"/>
                <w:szCs w:val="24"/>
              </w:rPr>
              <w:t>Vytvorí zmena nové pracovné miesta pre zamestnancov výskumu a vývoja v SR?</w:t>
            </w:r>
          </w:p>
        </w:tc>
      </w:tr>
      <w:tr w:rsidR="009157AF" w:rsidRPr="00832D63" w:rsidTr="00832D63">
        <w:trPr>
          <w:trHeight w:val="1747"/>
        </w:trPr>
        <w:tc>
          <w:tcPr>
            <w:tcW w:w="9212" w:type="dxa"/>
            <w:shd w:val="clear" w:color="auto" w:fill="auto"/>
          </w:tcPr>
          <w:p w:rsidR="009157AF" w:rsidRPr="00832D63" w:rsidRDefault="009157AF" w:rsidP="00832D63">
            <w:pPr>
              <w:rPr>
                <w:rFonts w:ascii="Times New Roman" w:hAnsi="Times New Roman"/>
                <w:sz w:val="24"/>
                <w:szCs w:val="24"/>
              </w:rPr>
            </w:pPr>
            <w:r w:rsidRPr="00832D63">
              <w:rPr>
                <w:rFonts w:ascii="Times New Roman" w:hAnsi="Times New Roman"/>
                <w:sz w:val="24"/>
                <w:szCs w:val="24"/>
              </w:rPr>
              <w:t>Návrh zákona sa netýka oblasti inovácií, nových výrobných metód ani technológií.</w:t>
            </w:r>
          </w:p>
        </w:tc>
      </w:tr>
    </w:tbl>
    <w:p w:rsidR="009157AF" w:rsidRPr="009157AF" w:rsidRDefault="009157AF" w:rsidP="009157AF">
      <w:pPr>
        <w:rPr>
          <w:rFonts w:ascii="Times New Roman" w:hAnsi="Times New Roman"/>
          <w:sz w:val="24"/>
          <w:szCs w:val="24"/>
        </w:rPr>
      </w:pPr>
    </w:p>
    <w:p w:rsidR="009157AF" w:rsidRPr="009157AF" w:rsidRDefault="009157AF" w:rsidP="009157AF">
      <w:pPr>
        <w:rPr>
          <w:rFonts w:ascii="Times New Roman" w:hAnsi="Times New Roman"/>
          <w:sz w:val="24"/>
          <w:szCs w:val="24"/>
        </w:rPr>
      </w:pPr>
    </w:p>
    <w:p w:rsidR="009157AF" w:rsidRPr="009157AF" w:rsidRDefault="009157AF" w:rsidP="009157AF">
      <w:pPr>
        <w:pStyle w:val="Normlnywebov"/>
        <w:spacing w:before="0" w:beforeAutospacing="0" w:after="0" w:afterAutospacing="0"/>
        <w:rPr>
          <w:bCs/>
        </w:rPr>
      </w:pPr>
    </w:p>
    <w:p w:rsidR="009157AF" w:rsidRPr="009157AF" w:rsidRDefault="009157AF" w:rsidP="009157AF">
      <w:pPr>
        <w:rPr>
          <w:rFonts w:ascii="Times New Roman" w:hAnsi="Times New Roman"/>
          <w:b/>
          <w:sz w:val="24"/>
          <w:szCs w:val="24"/>
        </w:rPr>
      </w:pPr>
    </w:p>
    <w:p w:rsidR="009157AF" w:rsidRPr="009157AF" w:rsidRDefault="009157AF" w:rsidP="009157AF">
      <w:pPr>
        <w:rPr>
          <w:rFonts w:ascii="Times New Roman" w:hAnsi="Times New Roman"/>
          <w:sz w:val="24"/>
          <w:szCs w:val="24"/>
        </w:rPr>
      </w:pPr>
    </w:p>
    <w:p w:rsidR="009157AF" w:rsidRPr="009157AF" w:rsidRDefault="009157AF" w:rsidP="007E0782">
      <w:pPr>
        <w:pStyle w:val="Normlnywebov"/>
        <w:spacing w:before="0" w:beforeAutospacing="0" w:after="0" w:afterAutospacing="0"/>
        <w:ind w:firstLine="720"/>
        <w:jc w:val="both"/>
      </w:pPr>
    </w:p>
    <w:p w:rsidR="009157AF" w:rsidRPr="009157AF" w:rsidRDefault="009157AF" w:rsidP="007E0782">
      <w:pPr>
        <w:pStyle w:val="Normlnywebov"/>
        <w:spacing w:before="0" w:beforeAutospacing="0" w:after="0" w:afterAutospacing="0"/>
        <w:ind w:firstLine="720"/>
        <w:jc w:val="both"/>
      </w:pPr>
    </w:p>
    <w:p w:rsidR="009157AF" w:rsidRPr="009157AF" w:rsidRDefault="009157AF" w:rsidP="007E0782">
      <w:pPr>
        <w:pStyle w:val="Normlnywebov"/>
        <w:spacing w:before="0" w:beforeAutospacing="0" w:after="0" w:afterAutospacing="0"/>
        <w:ind w:firstLine="720"/>
        <w:jc w:val="both"/>
      </w:pPr>
    </w:p>
    <w:p w:rsidR="009157AF" w:rsidRPr="009157AF" w:rsidRDefault="009157AF" w:rsidP="007E0782">
      <w:pPr>
        <w:pStyle w:val="Normlnywebov"/>
        <w:spacing w:before="0" w:beforeAutospacing="0" w:after="0" w:afterAutospacing="0"/>
        <w:ind w:firstLine="720"/>
        <w:jc w:val="both"/>
      </w:pPr>
    </w:p>
    <w:p w:rsidR="009157AF" w:rsidRPr="009157AF" w:rsidRDefault="009157AF" w:rsidP="007E0782">
      <w:pPr>
        <w:pStyle w:val="Normlnywebov"/>
        <w:spacing w:before="0" w:beforeAutospacing="0" w:after="0" w:afterAutospacing="0"/>
        <w:ind w:firstLine="720"/>
        <w:jc w:val="both"/>
      </w:pPr>
    </w:p>
    <w:p w:rsidR="000E6CF3" w:rsidRDefault="000E6CF3" w:rsidP="009B6011">
      <w:pPr>
        <w:pStyle w:val="Normlnywebov"/>
        <w:spacing w:before="0" w:beforeAutospacing="0" w:after="0" w:afterAutospacing="0"/>
        <w:jc w:val="both"/>
      </w:pPr>
    </w:p>
    <w:p w:rsidR="000E6CF3" w:rsidRPr="009157AF" w:rsidRDefault="000E6CF3" w:rsidP="009B6011">
      <w:pPr>
        <w:pStyle w:val="Normlnywebov"/>
        <w:spacing w:before="0" w:beforeAutospacing="0" w:after="0" w:afterAutospacing="0"/>
        <w:jc w:val="both"/>
      </w:pPr>
    </w:p>
    <w:p w:rsidR="009157AF" w:rsidRPr="009157AF" w:rsidRDefault="009157AF" w:rsidP="007E0782">
      <w:pPr>
        <w:pStyle w:val="Normlnywebov"/>
        <w:spacing w:before="0" w:beforeAutospacing="0" w:after="0" w:afterAutospacing="0"/>
        <w:ind w:firstLine="720"/>
        <w:jc w:val="both"/>
      </w:pPr>
    </w:p>
    <w:p w:rsidR="009157AF" w:rsidRPr="009157AF" w:rsidRDefault="009157AF" w:rsidP="007E0782">
      <w:pPr>
        <w:pStyle w:val="Normlnywebov"/>
        <w:spacing w:before="0" w:beforeAutospacing="0" w:after="0" w:afterAutospacing="0"/>
        <w:ind w:firstLine="720"/>
        <w:jc w:val="both"/>
      </w:pPr>
    </w:p>
    <w:p w:rsidR="009157AF" w:rsidRPr="009157AF" w:rsidRDefault="009157AF" w:rsidP="009157AF">
      <w:pPr>
        <w:jc w:val="center"/>
        <w:rPr>
          <w:rFonts w:ascii="Times New Roman" w:hAnsi="Times New Roman"/>
          <w:b/>
          <w:bCs/>
          <w:sz w:val="24"/>
          <w:szCs w:val="24"/>
        </w:rPr>
      </w:pPr>
      <w:r w:rsidRPr="009157AF">
        <w:rPr>
          <w:rFonts w:ascii="Times New Roman" w:hAnsi="Times New Roman"/>
          <w:b/>
          <w:bCs/>
          <w:sz w:val="24"/>
          <w:szCs w:val="24"/>
        </w:rPr>
        <w:t>DOLOŽKA ZLUČITEĽNOSTI</w:t>
      </w:r>
    </w:p>
    <w:p w:rsidR="009157AF" w:rsidRPr="009157AF" w:rsidRDefault="009157AF" w:rsidP="009157AF">
      <w:pPr>
        <w:pBdr>
          <w:bottom w:val="single" w:sz="12" w:space="1" w:color="auto"/>
        </w:pBdr>
        <w:jc w:val="center"/>
        <w:rPr>
          <w:rFonts w:ascii="Times New Roman" w:hAnsi="Times New Roman"/>
          <w:b/>
          <w:bCs/>
          <w:sz w:val="24"/>
          <w:szCs w:val="24"/>
        </w:rPr>
      </w:pPr>
      <w:r w:rsidRPr="009157AF">
        <w:rPr>
          <w:rFonts w:ascii="Times New Roman" w:hAnsi="Times New Roman"/>
          <w:b/>
          <w:bCs/>
          <w:sz w:val="24"/>
          <w:szCs w:val="24"/>
        </w:rPr>
        <w:t xml:space="preserve">návrhu zákona, ktorým sa mení a dopĺňa zákon č. 431/2002  Z. z. o účtovníctve </w:t>
      </w:r>
    </w:p>
    <w:p w:rsidR="009157AF" w:rsidRPr="009157AF" w:rsidRDefault="009157AF" w:rsidP="009157AF">
      <w:pPr>
        <w:pBdr>
          <w:bottom w:val="single" w:sz="12" w:space="1" w:color="auto"/>
        </w:pBdr>
        <w:jc w:val="center"/>
        <w:rPr>
          <w:rFonts w:ascii="Times New Roman" w:hAnsi="Times New Roman"/>
          <w:b/>
          <w:bCs/>
          <w:sz w:val="24"/>
          <w:szCs w:val="24"/>
        </w:rPr>
      </w:pPr>
      <w:r w:rsidRPr="009157AF">
        <w:rPr>
          <w:rFonts w:ascii="Times New Roman" w:hAnsi="Times New Roman"/>
          <w:b/>
          <w:bCs/>
          <w:sz w:val="24"/>
          <w:szCs w:val="24"/>
        </w:rPr>
        <w:t xml:space="preserve">v znení neskorších predpisov </w:t>
      </w:r>
    </w:p>
    <w:p w:rsidR="009157AF" w:rsidRPr="009157AF" w:rsidRDefault="009157AF" w:rsidP="009157AF">
      <w:pPr>
        <w:pBdr>
          <w:bottom w:val="single" w:sz="12" w:space="1" w:color="auto"/>
        </w:pBdr>
        <w:jc w:val="center"/>
        <w:rPr>
          <w:rFonts w:ascii="Times New Roman" w:hAnsi="Times New Roman"/>
          <w:b/>
          <w:bCs/>
          <w:sz w:val="24"/>
          <w:szCs w:val="24"/>
        </w:rPr>
      </w:pPr>
      <w:r w:rsidRPr="009157AF">
        <w:rPr>
          <w:rFonts w:ascii="Times New Roman" w:hAnsi="Times New Roman"/>
          <w:bCs/>
          <w:sz w:val="24"/>
          <w:szCs w:val="24"/>
        </w:rPr>
        <w:t xml:space="preserve"> </w:t>
      </w:r>
      <w:r w:rsidRPr="009157AF">
        <w:rPr>
          <w:rFonts w:ascii="Times New Roman" w:hAnsi="Times New Roman"/>
          <w:b/>
          <w:bCs/>
          <w:sz w:val="24"/>
          <w:szCs w:val="24"/>
        </w:rPr>
        <w:t>s právom Európskej únie</w:t>
      </w:r>
    </w:p>
    <w:p w:rsidR="009157AF" w:rsidRPr="009157AF" w:rsidRDefault="009157AF" w:rsidP="009157AF">
      <w:pPr>
        <w:jc w:val="center"/>
        <w:rPr>
          <w:rFonts w:ascii="Times New Roman" w:hAnsi="Times New Roman"/>
          <w:b/>
          <w:bCs/>
          <w:sz w:val="24"/>
          <w:szCs w:val="24"/>
        </w:rPr>
      </w:pPr>
    </w:p>
    <w:p w:rsidR="009157AF" w:rsidRPr="009157AF" w:rsidRDefault="009157AF" w:rsidP="009157AF">
      <w:pPr>
        <w:numPr>
          <w:ilvl w:val="0"/>
          <w:numId w:val="3"/>
        </w:numPr>
        <w:tabs>
          <w:tab w:val="clear" w:pos="0"/>
        </w:tabs>
        <w:spacing w:after="120" w:line="240" w:lineRule="auto"/>
        <w:jc w:val="both"/>
        <w:rPr>
          <w:rFonts w:ascii="Times New Roman" w:hAnsi="Times New Roman"/>
          <w:sz w:val="24"/>
          <w:szCs w:val="24"/>
        </w:rPr>
      </w:pPr>
      <w:r w:rsidRPr="009157AF">
        <w:rPr>
          <w:rFonts w:ascii="Times New Roman" w:hAnsi="Times New Roman"/>
          <w:b/>
          <w:bCs/>
          <w:sz w:val="24"/>
          <w:szCs w:val="24"/>
        </w:rPr>
        <w:t>Navrhovateľ zákona:</w:t>
      </w:r>
    </w:p>
    <w:p w:rsidR="009157AF" w:rsidRPr="009157AF" w:rsidRDefault="009157AF" w:rsidP="009157AF">
      <w:pPr>
        <w:ind w:firstLine="425"/>
        <w:jc w:val="both"/>
        <w:rPr>
          <w:rFonts w:ascii="Times New Roman" w:hAnsi="Times New Roman"/>
          <w:sz w:val="24"/>
          <w:szCs w:val="24"/>
        </w:rPr>
      </w:pPr>
      <w:r w:rsidRPr="009157AF">
        <w:rPr>
          <w:rFonts w:ascii="Times New Roman" w:hAnsi="Times New Roman"/>
          <w:sz w:val="24"/>
          <w:szCs w:val="24"/>
        </w:rPr>
        <w:t>Vláda Slovenskej republiky.</w:t>
      </w:r>
    </w:p>
    <w:p w:rsidR="009157AF" w:rsidRPr="009157AF" w:rsidRDefault="009157AF" w:rsidP="009157AF">
      <w:pPr>
        <w:ind w:firstLine="425"/>
        <w:jc w:val="both"/>
        <w:rPr>
          <w:rFonts w:ascii="Times New Roman" w:hAnsi="Times New Roman"/>
          <w:sz w:val="24"/>
          <w:szCs w:val="24"/>
        </w:rPr>
      </w:pPr>
    </w:p>
    <w:p w:rsidR="009157AF" w:rsidRPr="009157AF" w:rsidRDefault="009157AF" w:rsidP="009157AF">
      <w:pPr>
        <w:numPr>
          <w:ilvl w:val="0"/>
          <w:numId w:val="3"/>
        </w:numPr>
        <w:tabs>
          <w:tab w:val="clear" w:pos="0"/>
        </w:tabs>
        <w:spacing w:after="120" w:line="240" w:lineRule="auto"/>
        <w:jc w:val="both"/>
        <w:rPr>
          <w:rFonts w:ascii="Times New Roman" w:hAnsi="Times New Roman"/>
          <w:b/>
          <w:bCs/>
          <w:sz w:val="24"/>
          <w:szCs w:val="24"/>
        </w:rPr>
      </w:pPr>
      <w:r w:rsidRPr="009157AF">
        <w:rPr>
          <w:rFonts w:ascii="Times New Roman" w:hAnsi="Times New Roman"/>
          <w:b/>
          <w:bCs/>
          <w:sz w:val="24"/>
          <w:szCs w:val="24"/>
        </w:rPr>
        <w:t>Názov návrhu zákona:</w:t>
      </w:r>
    </w:p>
    <w:p w:rsidR="009157AF" w:rsidRPr="009157AF" w:rsidRDefault="009157AF" w:rsidP="009157AF">
      <w:pPr>
        <w:ind w:left="426"/>
        <w:jc w:val="both"/>
        <w:rPr>
          <w:rFonts w:ascii="Times New Roman" w:hAnsi="Times New Roman"/>
          <w:sz w:val="24"/>
          <w:szCs w:val="24"/>
        </w:rPr>
      </w:pPr>
      <w:r w:rsidRPr="009157AF">
        <w:rPr>
          <w:rFonts w:ascii="Times New Roman" w:hAnsi="Times New Roman"/>
          <w:sz w:val="24"/>
          <w:szCs w:val="24"/>
        </w:rPr>
        <w:t xml:space="preserve">Návrh zákona, ktorým sa mení a dopĺňa zákon č. 431/2002 Z. z. </w:t>
      </w:r>
      <w:r w:rsidRPr="009157AF">
        <w:rPr>
          <w:rFonts w:ascii="Times New Roman" w:hAnsi="Times New Roman"/>
          <w:bCs/>
          <w:sz w:val="24"/>
          <w:szCs w:val="24"/>
        </w:rPr>
        <w:t>o účtovníctve v znení neskorších predpisov</w:t>
      </w:r>
      <w:r w:rsidRPr="009157AF">
        <w:rPr>
          <w:rFonts w:ascii="Times New Roman" w:hAnsi="Times New Roman"/>
          <w:sz w:val="24"/>
          <w:szCs w:val="24"/>
        </w:rPr>
        <w:t>.</w:t>
      </w:r>
    </w:p>
    <w:p w:rsidR="009157AF" w:rsidRPr="009157AF" w:rsidRDefault="009157AF" w:rsidP="009157AF">
      <w:pPr>
        <w:ind w:left="426"/>
        <w:jc w:val="both"/>
        <w:rPr>
          <w:rFonts w:ascii="Times New Roman" w:hAnsi="Times New Roman"/>
          <w:sz w:val="24"/>
          <w:szCs w:val="24"/>
        </w:rPr>
      </w:pPr>
    </w:p>
    <w:p w:rsidR="009157AF" w:rsidRPr="009157AF" w:rsidRDefault="009157AF" w:rsidP="009157AF">
      <w:pPr>
        <w:pStyle w:val="Odsekzoznamu"/>
        <w:numPr>
          <w:ilvl w:val="0"/>
          <w:numId w:val="3"/>
        </w:numPr>
        <w:spacing w:after="120" w:line="240" w:lineRule="auto"/>
        <w:jc w:val="both"/>
        <w:rPr>
          <w:rFonts w:ascii="Times New Roman" w:hAnsi="Times New Roman"/>
          <w:sz w:val="24"/>
          <w:szCs w:val="24"/>
        </w:rPr>
      </w:pPr>
      <w:r w:rsidRPr="009157AF">
        <w:rPr>
          <w:rFonts w:ascii="Times New Roman" w:hAnsi="Times New Roman"/>
          <w:b/>
          <w:bCs/>
          <w:sz w:val="24"/>
          <w:szCs w:val="24"/>
        </w:rPr>
        <w:t xml:space="preserve">Predmet návrhu zákona </w:t>
      </w:r>
      <w:r w:rsidRPr="009157AF">
        <w:rPr>
          <w:rFonts w:ascii="Times New Roman" w:hAnsi="Times New Roman"/>
          <w:b/>
          <w:sz w:val="24"/>
          <w:szCs w:val="24"/>
        </w:rPr>
        <w:t>je upravený v práve Európskej únie:</w:t>
      </w:r>
    </w:p>
    <w:p w:rsidR="009157AF" w:rsidRPr="009157AF" w:rsidRDefault="009157AF" w:rsidP="009157AF">
      <w:pPr>
        <w:spacing w:after="120"/>
        <w:ind w:left="896" w:hanging="470"/>
        <w:jc w:val="both"/>
        <w:rPr>
          <w:rFonts w:ascii="Times New Roman" w:hAnsi="Times New Roman"/>
          <w:b/>
          <w:bCs/>
          <w:iCs/>
          <w:sz w:val="24"/>
          <w:szCs w:val="24"/>
        </w:rPr>
      </w:pPr>
      <w:r w:rsidRPr="009157AF">
        <w:rPr>
          <w:rFonts w:ascii="Times New Roman" w:hAnsi="Times New Roman"/>
          <w:b/>
          <w:bCs/>
          <w:iCs/>
          <w:sz w:val="24"/>
          <w:szCs w:val="24"/>
        </w:rPr>
        <w:t xml:space="preserve">a) Primárne právo: </w:t>
      </w:r>
    </w:p>
    <w:p w:rsidR="009157AF" w:rsidRPr="009157AF" w:rsidRDefault="009157AF" w:rsidP="009157AF">
      <w:pPr>
        <w:numPr>
          <w:ilvl w:val="0"/>
          <w:numId w:val="4"/>
        </w:numPr>
        <w:spacing w:after="120" w:line="240" w:lineRule="auto"/>
        <w:ind w:left="782" w:hanging="357"/>
        <w:contextualSpacing/>
        <w:jc w:val="both"/>
        <w:rPr>
          <w:rFonts w:ascii="Times New Roman" w:hAnsi="Times New Roman"/>
          <w:sz w:val="24"/>
          <w:szCs w:val="24"/>
          <w:lang w:eastAsia="cs-CZ"/>
        </w:rPr>
      </w:pPr>
      <w:r w:rsidRPr="009157AF">
        <w:rPr>
          <w:rFonts w:ascii="Times New Roman" w:hAnsi="Times New Roman"/>
          <w:sz w:val="24"/>
          <w:szCs w:val="24"/>
          <w:lang w:eastAsia="cs-CZ"/>
        </w:rPr>
        <w:t>čl. 4 ods. 2 Zmluvy o fungovaní Európskej únie (Ú. v. EÚ C 202, 7.6.2016) v platnom znení</w:t>
      </w:r>
      <w:r w:rsidRPr="009157AF">
        <w:rPr>
          <w:rFonts w:ascii="Times New Roman" w:hAnsi="Times New Roman"/>
          <w:sz w:val="24"/>
          <w:szCs w:val="24"/>
        </w:rPr>
        <w:t>.</w:t>
      </w:r>
    </w:p>
    <w:p w:rsidR="009157AF" w:rsidRPr="009157AF" w:rsidRDefault="009157AF" w:rsidP="009157AF">
      <w:pPr>
        <w:spacing w:after="120"/>
        <w:ind w:left="782"/>
        <w:contextualSpacing/>
        <w:jc w:val="both"/>
        <w:rPr>
          <w:rFonts w:ascii="Times New Roman" w:hAnsi="Times New Roman"/>
          <w:sz w:val="24"/>
          <w:szCs w:val="24"/>
          <w:lang w:eastAsia="cs-CZ"/>
        </w:rPr>
      </w:pPr>
    </w:p>
    <w:p w:rsidR="009157AF" w:rsidRPr="009157AF" w:rsidRDefault="009157AF" w:rsidP="009157AF">
      <w:pPr>
        <w:spacing w:after="120"/>
        <w:ind w:left="426"/>
        <w:jc w:val="both"/>
        <w:rPr>
          <w:rFonts w:ascii="Times New Roman" w:hAnsi="Times New Roman"/>
          <w:sz w:val="24"/>
          <w:szCs w:val="24"/>
        </w:rPr>
      </w:pPr>
      <w:r w:rsidRPr="009157AF">
        <w:rPr>
          <w:rFonts w:ascii="Times New Roman" w:hAnsi="Times New Roman"/>
          <w:b/>
          <w:bCs/>
          <w:iCs/>
          <w:sz w:val="24"/>
          <w:szCs w:val="24"/>
        </w:rPr>
        <w:t>b) Sekundárne právo</w:t>
      </w:r>
      <w:r w:rsidRPr="009157AF">
        <w:rPr>
          <w:rFonts w:ascii="Times New Roman" w:hAnsi="Times New Roman"/>
          <w:sz w:val="24"/>
          <w:szCs w:val="24"/>
        </w:rPr>
        <w:t xml:space="preserve">: </w:t>
      </w:r>
    </w:p>
    <w:p w:rsidR="009157AF" w:rsidRPr="009157AF" w:rsidRDefault="009157AF" w:rsidP="009157AF">
      <w:pPr>
        <w:pStyle w:val="Odsekzoznamu"/>
        <w:widowControl w:val="0"/>
        <w:numPr>
          <w:ilvl w:val="0"/>
          <w:numId w:val="4"/>
        </w:numPr>
        <w:adjustRightInd w:val="0"/>
        <w:spacing w:after="120" w:line="240" w:lineRule="auto"/>
        <w:jc w:val="both"/>
        <w:rPr>
          <w:rFonts w:ascii="Times New Roman" w:hAnsi="Times New Roman"/>
          <w:sz w:val="24"/>
          <w:szCs w:val="24"/>
        </w:rPr>
      </w:pPr>
      <w:r w:rsidRPr="009157AF">
        <w:rPr>
          <w:rFonts w:ascii="Times New Roman" w:hAnsi="Times New Roman"/>
          <w:sz w:val="24"/>
          <w:szCs w:val="24"/>
        </w:rPr>
        <w:t>smernica Európskeho parlamentu a Rady 2014/95/EÚ z 22. októbra 2014, ktorou sa mení smernica 2013/34/EÚ, pokiaľ ide o zverejňovanie nefinančných informácií a informácií týkajúcich sa rozmanitosti niektorými veľkými podnikmi a skupinami (Ú.v.EÚ L 330, 15.11.2014), gestor: MF SR, spolugestor: MS SR,</w:t>
      </w:r>
    </w:p>
    <w:p w:rsidR="009157AF" w:rsidRPr="009157AF" w:rsidRDefault="009157AF" w:rsidP="009157AF">
      <w:pPr>
        <w:pStyle w:val="Odsekzoznamu"/>
        <w:spacing w:after="120"/>
        <w:jc w:val="both"/>
        <w:rPr>
          <w:rFonts w:ascii="Times New Roman" w:hAnsi="Times New Roman"/>
          <w:sz w:val="24"/>
          <w:szCs w:val="24"/>
        </w:rPr>
      </w:pPr>
    </w:p>
    <w:p w:rsidR="009157AF" w:rsidRPr="009157AF" w:rsidRDefault="009157AF" w:rsidP="009157AF">
      <w:pPr>
        <w:pStyle w:val="Odsekzoznamu"/>
        <w:widowControl w:val="0"/>
        <w:numPr>
          <w:ilvl w:val="0"/>
          <w:numId w:val="4"/>
        </w:numPr>
        <w:adjustRightInd w:val="0"/>
        <w:spacing w:after="120" w:line="240" w:lineRule="auto"/>
        <w:jc w:val="both"/>
        <w:rPr>
          <w:rFonts w:ascii="Times New Roman" w:hAnsi="Times New Roman"/>
          <w:sz w:val="24"/>
          <w:szCs w:val="24"/>
        </w:rPr>
      </w:pPr>
      <w:r w:rsidRPr="009157AF">
        <w:rPr>
          <w:rFonts w:ascii="Times New Roman" w:hAnsi="Times New Roman"/>
          <w:bCs/>
          <w:iCs/>
          <w:sz w:val="24"/>
          <w:szCs w:val="24"/>
        </w:rPr>
        <w:t xml:space="preserve">smernica Európskeho </w:t>
      </w:r>
      <w:r w:rsidRPr="009157AF">
        <w:rPr>
          <w:rFonts w:ascii="Times New Roman" w:hAnsi="Times New Roman"/>
          <w:sz w:val="24"/>
          <w:szCs w:val="24"/>
        </w:rPr>
        <w:t xml:space="preserve">parlamentu a Rady </w:t>
      </w:r>
      <w:r w:rsidRPr="009157AF">
        <w:rPr>
          <w:rFonts w:ascii="Times New Roman" w:hAnsi="Times New Roman"/>
          <w:sz w:val="24"/>
          <w:szCs w:val="24"/>
          <w:u w:val="single"/>
        </w:rPr>
        <w:t>2013/34/EÚ</w:t>
      </w:r>
      <w:r w:rsidRPr="009157AF">
        <w:rPr>
          <w:rFonts w:ascii="Times New Roman" w:hAnsi="Times New Roman"/>
          <w:sz w:val="24"/>
          <w:szCs w:val="24"/>
        </w:rPr>
        <w:t xml:space="preserve"> z 26. júna 2013 o ročných účtovných závierkach, konsolidovaných účtovných závierkach a súvisiacich správach určitých druhov podnikov, ktorou sa mení smernica Európskeho parlamentu a Rady 2006/43/ES a zrušujú smernice Rady 78/660/EHS a 83/349/EHS (</w:t>
      </w:r>
      <w:r w:rsidRPr="009157AF">
        <w:rPr>
          <w:rFonts w:ascii="Times New Roman" w:hAnsi="Times New Roman"/>
          <w:iCs/>
          <w:sz w:val="24"/>
          <w:szCs w:val="24"/>
        </w:rPr>
        <w:t>Ú. v. EÚ L 182, 29.6.2013) v platnom znení, gestor: MF SR,</w:t>
      </w:r>
    </w:p>
    <w:p w:rsidR="009157AF" w:rsidRPr="009157AF" w:rsidRDefault="009157AF" w:rsidP="009157AF">
      <w:pPr>
        <w:numPr>
          <w:ilvl w:val="0"/>
          <w:numId w:val="2"/>
        </w:numPr>
        <w:tabs>
          <w:tab w:val="num" w:pos="0"/>
        </w:tabs>
        <w:autoSpaceDE w:val="0"/>
        <w:autoSpaceDN w:val="0"/>
        <w:spacing w:after="120" w:line="240" w:lineRule="auto"/>
        <w:ind w:left="709" w:hanging="284"/>
        <w:jc w:val="both"/>
        <w:rPr>
          <w:rFonts w:ascii="Times New Roman" w:hAnsi="Times New Roman"/>
          <w:bCs/>
          <w:iCs/>
          <w:sz w:val="24"/>
          <w:szCs w:val="24"/>
          <w:lang w:eastAsia="cs-CZ"/>
        </w:rPr>
      </w:pPr>
      <w:r w:rsidRPr="009157AF">
        <w:rPr>
          <w:rFonts w:ascii="Times New Roman" w:hAnsi="Times New Roman"/>
          <w:bCs/>
          <w:iCs/>
          <w:sz w:val="24"/>
          <w:szCs w:val="24"/>
          <w:lang w:eastAsia="cs-CZ"/>
        </w:rPr>
        <w:t>smernica Rady z 8. decembra 1986 o ročnej účtovnej závierke a konsolidovaných účtoch bánk a iných finančných inštitúcií (</w:t>
      </w:r>
      <w:r w:rsidRPr="009157AF">
        <w:rPr>
          <w:rFonts w:ascii="Times New Roman" w:hAnsi="Times New Roman"/>
          <w:bCs/>
          <w:iCs/>
          <w:sz w:val="24"/>
          <w:szCs w:val="24"/>
          <w:u w:val="single"/>
          <w:lang w:eastAsia="cs-CZ"/>
        </w:rPr>
        <w:t>1986/635/EHS)</w:t>
      </w:r>
      <w:r w:rsidRPr="009157AF">
        <w:rPr>
          <w:rFonts w:ascii="Times New Roman" w:hAnsi="Times New Roman"/>
          <w:bCs/>
          <w:iCs/>
          <w:sz w:val="24"/>
          <w:szCs w:val="24"/>
          <w:lang w:eastAsia="cs-CZ"/>
        </w:rPr>
        <w:t xml:space="preserve"> (Mimoriadne vydanie Ú. v. EÚ kap. 6/zv. 1, Ú. v. ES L 372, 31.12.1986) v platnom znení, gestor: MF SR,</w:t>
      </w:r>
    </w:p>
    <w:p w:rsidR="009157AF" w:rsidRPr="009157AF" w:rsidRDefault="009157AF" w:rsidP="009157AF">
      <w:pPr>
        <w:numPr>
          <w:ilvl w:val="0"/>
          <w:numId w:val="2"/>
        </w:numPr>
        <w:tabs>
          <w:tab w:val="num" w:pos="0"/>
        </w:tabs>
        <w:autoSpaceDE w:val="0"/>
        <w:autoSpaceDN w:val="0"/>
        <w:spacing w:after="120" w:line="240" w:lineRule="auto"/>
        <w:ind w:left="709" w:hanging="284"/>
        <w:jc w:val="both"/>
        <w:rPr>
          <w:rFonts w:ascii="Times New Roman" w:hAnsi="Times New Roman"/>
          <w:bCs/>
          <w:iCs/>
          <w:sz w:val="24"/>
          <w:szCs w:val="24"/>
          <w:lang w:eastAsia="cs-CZ"/>
        </w:rPr>
      </w:pPr>
      <w:r w:rsidRPr="009157AF">
        <w:rPr>
          <w:rFonts w:ascii="Times New Roman" w:hAnsi="Times New Roman"/>
          <w:bCs/>
          <w:iCs/>
          <w:sz w:val="24"/>
          <w:szCs w:val="24"/>
          <w:lang w:eastAsia="cs-CZ"/>
        </w:rPr>
        <w:t>smernica Rady z 19. decembra 1991 o ročných účtovných závierkach a konsolidovaných účtovných závierkach poisťovní (</w:t>
      </w:r>
      <w:r w:rsidRPr="009157AF">
        <w:rPr>
          <w:rFonts w:ascii="Times New Roman" w:hAnsi="Times New Roman"/>
          <w:bCs/>
          <w:iCs/>
          <w:sz w:val="24"/>
          <w:szCs w:val="24"/>
          <w:u w:val="single"/>
          <w:lang w:eastAsia="cs-CZ"/>
        </w:rPr>
        <w:t>1991/674/EHS)</w:t>
      </w:r>
      <w:r w:rsidRPr="009157AF">
        <w:rPr>
          <w:rFonts w:ascii="Times New Roman" w:hAnsi="Times New Roman"/>
          <w:bCs/>
          <w:iCs/>
          <w:sz w:val="24"/>
          <w:szCs w:val="24"/>
          <w:lang w:eastAsia="cs-CZ"/>
        </w:rPr>
        <w:t xml:space="preserve"> (Mimoriadne vydanie Ú. v. EÚ kap. 6/zv. 1, Ú. v. ES L 374, 31.12.1991) v platnom znení, </w:t>
      </w:r>
      <w:r w:rsidRPr="009157AF">
        <w:rPr>
          <w:rFonts w:ascii="Times New Roman" w:hAnsi="Times New Roman"/>
          <w:iCs/>
          <w:sz w:val="24"/>
          <w:szCs w:val="24"/>
        </w:rPr>
        <w:t>gestor: MF SR,</w:t>
      </w:r>
    </w:p>
    <w:p w:rsidR="009157AF" w:rsidRPr="009157AF" w:rsidRDefault="009157AF" w:rsidP="009157AF">
      <w:pPr>
        <w:numPr>
          <w:ilvl w:val="0"/>
          <w:numId w:val="2"/>
        </w:numPr>
        <w:tabs>
          <w:tab w:val="num" w:pos="0"/>
        </w:tabs>
        <w:autoSpaceDE w:val="0"/>
        <w:autoSpaceDN w:val="0"/>
        <w:spacing w:after="120" w:line="240" w:lineRule="auto"/>
        <w:ind w:left="709" w:hanging="284"/>
        <w:jc w:val="both"/>
        <w:rPr>
          <w:rFonts w:ascii="Times New Roman" w:hAnsi="Times New Roman"/>
          <w:bCs/>
          <w:iCs/>
          <w:sz w:val="24"/>
          <w:szCs w:val="24"/>
          <w:lang w:eastAsia="cs-CZ"/>
        </w:rPr>
      </w:pPr>
      <w:r w:rsidRPr="009157AF">
        <w:rPr>
          <w:rFonts w:ascii="Times New Roman" w:hAnsi="Times New Roman"/>
          <w:bCs/>
          <w:iCs/>
          <w:sz w:val="24"/>
          <w:szCs w:val="24"/>
          <w:lang w:eastAsia="cs-CZ"/>
        </w:rPr>
        <w:lastRenderedPageBreak/>
        <w:t xml:space="preserve">smernica Európskeho parlamentu a Rady </w:t>
      </w:r>
      <w:r w:rsidRPr="009157AF">
        <w:rPr>
          <w:rFonts w:ascii="Times New Roman" w:hAnsi="Times New Roman"/>
          <w:bCs/>
          <w:iCs/>
          <w:sz w:val="24"/>
          <w:szCs w:val="24"/>
          <w:u w:val="single"/>
          <w:lang w:eastAsia="cs-CZ"/>
        </w:rPr>
        <w:t>2004/25/ES</w:t>
      </w:r>
      <w:r w:rsidRPr="009157AF">
        <w:rPr>
          <w:rFonts w:ascii="Times New Roman" w:hAnsi="Times New Roman"/>
          <w:bCs/>
          <w:iCs/>
          <w:sz w:val="24"/>
          <w:szCs w:val="24"/>
          <w:lang w:eastAsia="cs-CZ"/>
        </w:rPr>
        <w:t xml:space="preserve"> z 21. apríla 2004 o ponukách na prevzatie (Mimoriadne vydanie Ú. v. EÚ kap. 17/zv. 2, Ú. v. EÚ L 142, 30.4.2004) v platnom znení,</w:t>
      </w:r>
      <w:r w:rsidRPr="009157AF">
        <w:rPr>
          <w:rFonts w:ascii="Times New Roman" w:hAnsi="Times New Roman"/>
          <w:iCs/>
          <w:sz w:val="24"/>
          <w:szCs w:val="24"/>
        </w:rPr>
        <w:t xml:space="preserve"> gestor: MF SR, spolugestor: MS SR,</w:t>
      </w:r>
    </w:p>
    <w:p w:rsidR="009157AF" w:rsidRPr="009157AF" w:rsidRDefault="009157AF" w:rsidP="009157AF">
      <w:pPr>
        <w:numPr>
          <w:ilvl w:val="0"/>
          <w:numId w:val="2"/>
        </w:numPr>
        <w:tabs>
          <w:tab w:val="num" w:pos="0"/>
        </w:tabs>
        <w:autoSpaceDE w:val="0"/>
        <w:autoSpaceDN w:val="0"/>
        <w:spacing w:after="120" w:line="240" w:lineRule="auto"/>
        <w:ind w:left="709" w:hanging="284"/>
        <w:jc w:val="both"/>
        <w:rPr>
          <w:rFonts w:ascii="Times New Roman" w:hAnsi="Times New Roman"/>
          <w:bCs/>
          <w:iCs/>
          <w:sz w:val="24"/>
          <w:szCs w:val="24"/>
          <w:lang w:eastAsia="cs-CZ"/>
        </w:rPr>
      </w:pPr>
      <w:r w:rsidRPr="009157AF">
        <w:rPr>
          <w:rFonts w:ascii="Times New Roman" w:hAnsi="Times New Roman"/>
          <w:bCs/>
          <w:iCs/>
          <w:sz w:val="24"/>
          <w:szCs w:val="24"/>
          <w:lang w:eastAsia="cs-CZ"/>
        </w:rPr>
        <w:t xml:space="preserve">smernica Európskeho parlamentu a Rady </w:t>
      </w:r>
      <w:r w:rsidRPr="009157AF">
        <w:rPr>
          <w:rFonts w:ascii="Times New Roman" w:hAnsi="Times New Roman"/>
          <w:bCs/>
          <w:iCs/>
          <w:sz w:val="24"/>
          <w:szCs w:val="24"/>
          <w:u w:val="single"/>
          <w:lang w:eastAsia="cs-CZ"/>
        </w:rPr>
        <w:t>2006/43/ES</w:t>
      </w:r>
      <w:r w:rsidRPr="009157AF">
        <w:rPr>
          <w:rFonts w:ascii="Times New Roman" w:hAnsi="Times New Roman"/>
          <w:bCs/>
          <w:iCs/>
          <w:sz w:val="24"/>
          <w:szCs w:val="24"/>
          <w:lang w:eastAsia="cs-CZ"/>
        </w:rPr>
        <w:t xml:space="preserve"> zo 17. mája 2006 o štatutárnom audite ročných účtovných závierok a konsolidovaných účtovných závierok, ktorou sa menia a dopĺňajú smernice Rady 78/660/EHS a 83/349/EHS a ktorou sa zrušuje smernica Rady 84/253/EHS (Ú. v. EÚ L 157, 9. 6. 2006) v platnom znení, </w:t>
      </w:r>
      <w:r w:rsidRPr="009157AF">
        <w:rPr>
          <w:rFonts w:ascii="Times New Roman" w:hAnsi="Times New Roman"/>
          <w:iCs/>
          <w:sz w:val="24"/>
          <w:szCs w:val="24"/>
        </w:rPr>
        <w:t>gestor: MF SR,</w:t>
      </w:r>
    </w:p>
    <w:p w:rsidR="009157AF" w:rsidRPr="009157AF" w:rsidRDefault="009157AF" w:rsidP="009157AF">
      <w:pPr>
        <w:numPr>
          <w:ilvl w:val="0"/>
          <w:numId w:val="6"/>
        </w:numPr>
        <w:autoSpaceDE w:val="0"/>
        <w:autoSpaceDN w:val="0"/>
        <w:spacing w:after="120" w:line="240" w:lineRule="auto"/>
        <w:ind w:left="709" w:hanging="283"/>
        <w:jc w:val="both"/>
        <w:rPr>
          <w:rFonts w:ascii="Times New Roman" w:hAnsi="Times New Roman"/>
          <w:bCs/>
          <w:iCs/>
          <w:sz w:val="24"/>
          <w:szCs w:val="24"/>
          <w:lang w:eastAsia="cs-CZ"/>
        </w:rPr>
      </w:pPr>
      <w:r w:rsidRPr="009157AF">
        <w:rPr>
          <w:rFonts w:ascii="Times New Roman" w:hAnsi="Times New Roman"/>
          <w:bCs/>
          <w:iCs/>
          <w:sz w:val="24"/>
          <w:szCs w:val="24"/>
          <w:lang w:eastAsia="cs-CZ"/>
        </w:rPr>
        <w:t xml:space="preserve"> smernica Komisie </w:t>
      </w:r>
      <w:r w:rsidRPr="009157AF">
        <w:rPr>
          <w:rFonts w:ascii="Times New Roman" w:hAnsi="Times New Roman"/>
          <w:bCs/>
          <w:iCs/>
          <w:sz w:val="24"/>
          <w:szCs w:val="24"/>
          <w:u w:val="single"/>
          <w:lang w:eastAsia="cs-CZ"/>
        </w:rPr>
        <w:t>2006/111/ES</w:t>
      </w:r>
      <w:r w:rsidRPr="009157AF">
        <w:rPr>
          <w:rFonts w:ascii="Times New Roman" w:hAnsi="Times New Roman"/>
          <w:bCs/>
          <w:iCs/>
          <w:sz w:val="24"/>
          <w:szCs w:val="24"/>
          <w:lang w:eastAsia="cs-CZ"/>
        </w:rPr>
        <w:t xml:space="preserve"> zo 16. novembra 2006 o transparentnosti finančných vzťahov členských štátov a verejných podnikov a o finančnej transparentnosti v niektorých podnikoch (kodifikované znenie) (Ú. v. EÚ L 318, 17.11.2006), </w:t>
      </w:r>
      <w:r w:rsidRPr="009157AF">
        <w:rPr>
          <w:rFonts w:ascii="Times New Roman" w:hAnsi="Times New Roman"/>
          <w:iCs/>
          <w:sz w:val="24"/>
          <w:szCs w:val="24"/>
        </w:rPr>
        <w:t>gestor: MF SR,</w:t>
      </w:r>
      <w:r w:rsidRPr="009157AF">
        <w:rPr>
          <w:rFonts w:ascii="Times New Roman" w:hAnsi="Times New Roman"/>
          <w:bCs/>
          <w:i/>
          <w:iCs/>
          <w:sz w:val="24"/>
          <w:szCs w:val="24"/>
          <w:lang w:eastAsia="cs-CZ"/>
        </w:rPr>
        <w:t xml:space="preserve"> </w:t>
      </w:r>
    </w:p>
    <w:p w:rsidR="009157AF" w:rsidRPr="009157AF" w:rsidRDefault="009157AF" w:rsidP="009157AF">
      <w:pPr>
        <w:numPr>
          <w:ilvl w:val="0"/>
          <w:numId w:val="2"/>
        </w:numPr>
        <w:tabs>
          <w:tab w:val="num" w:pos="0"/>
        </w:tabs>
        <w:autoSpaceDE w:val="0"/>
        <w:autoSpaceDN w:val="0"/>
        <w:spacing w:after="120" w:line="240" w:lineRule="auto"/>
        <w:ind w:left="709" w:hanging="284"/>
        <w:jc w:val="both"/>
        <w:rPr>
          <w:rFonts w:ascii="Times New Roman" w:hAnsi="Times New Roman"/>
          <w:bCs/>
          <w:iCs/>
          <w:sz w:val="24"/>
          <w:szCs w:val="24"/>
          <w:lang w:eastAsia="cs-CZ"/>
        </w:rPr>
      </w:pPr>
      <w:r w:rsidRPr="009157AF">
        <w:rPr>
          <w:rFonts w:ascii="Times New Roman" w:hAnsi="Times New Roman"/>
          <w:bCs/>
          <w:iCs/>
          <w:sz w:val="24"/>
          <w:szCs w:val="24"/>
          <w:lang w:eastAsia="cs-CZ"/>
        </w:rPr>
        <w:t xml:space="preserve">smernica Európskeho parlamentu a Rady </w:t>
      </w:r>
      <w:r w:rsidRPr="009157AF">
        <w:rPr>
          <w:rFonts w:ascii="Times New Roman" w:hAnsi="Times New Roman"/>
          <w:bCs/>
          <w:iCs/>
          <w:sz w:val="24"/>
          <w:szCs w:val="24"/>
          <w:u w:val="single"/>
          <w:lang w:eastAsia="cs-CZ"/>
        </w:rPr>
        <w:t>2009/101/ES</w:t>
      </w:r>
      <w:r w:rsidRPr="009157AF">
        <w:rPr>
          <w:rFonts w:ascii="Times New Roman" w:hAnsi="Times New Roman"/>
          <w:bCs/>
          <w:iCs/>
          <w:sz w:val="24"/>
          <w:szCs w:val="24"/>
          <w:lang w:eastAsia="cs-CZ"/>
        </w:rPr>
        <w:t xml:space="preserve"> z 16. septembra 2009 o koordinácii záruk, ktoré sa od obchodných spoločností v zmysle článku 48 druhého odseku zmluvy vyžadujú v členských štátoch na ochranu záujmov spoločníkov a tretích osôb s cieľom zabezpečiť rovnocennosť týchto záruk (kodifikované znenie) (Ú. v. EÚ L 258, 1. 10. 2009) v platnom znení,</w:t>
      </w:r>
      <w:r w:rsidRPr="009157AF">
        <w:rPr>
          <w:rFonts w:ascii="Times New Roman" w:hAnsi="Times New Roman"/>
          <w:iCs/>
          <w:sz w:val="24"/>
          <w:szCs w:val="24"/>
        </w:rPr>
        <w:t xml:space="preserve"> gestor: MF SR,</w:t>
      </w:r>
    </w:p>
    <w:p w:rsidR="009157AF" w:rsidRPr="009157AF" w:rsidRDefault="009157AF" w:rsidP="009157AF">
      <w:pPr>
        <w:numPr>
          <w:ilvl w:val="0"/>
          <w:numId w:val="2"/>
        </w:numPr>
        <w:tabs>
          <w:tab w:val="num" w:pos="0"/>
        </w:tabs>
        <w:autoSpaceDE w:val="0"/>
        <w:autoSpaceDN w:val="0"/>
        <w:spacing w:after="120" w:line="240" w:lineRule="auto"/>
        <w:ind w:left="709" w:hanging="284"/>
        <w:jc w:val="both"/>
        <w:rPr>
          <w:rFonts w:ascii="Times New Roman" w:hAnsi="Times New Roman"/>
          <w:bCs/>
          <w:iCs/>
          <w:sz w:val="24"/>
          <w:szCs w:val="24"/>
          <w:lang w:eastAsia="cs-CZ"/>
        </w:rPr>
      </w:pPr>
      <w:r w:rsidRPr="009157AF">
        <w:rPr>
          <w:rFonts w:ascii="Times New Roman" w:hAnsi="Times New Roman"/>
          <w:bCs/>
          <w:iCs/>
          <w:sz w:val="24"/>
          <w:szCs w:val="24"/>
          <w:lang w:eastAsia="cs-CZ"/>
        </w:rPr>
        <w:t>nariadenie Európskeho parlamentu a Rady (ES) č. </w:t>
      </w:r>
      <w:r w:rsidRPr="009157AF">
        <w:rPr>
          <w:rFonts w:ascii="Times New Roman" w:hAnsi="Times New Roman"/>
          <w:bCs/>
          <w:iCs/>
          <w:sz w:val="24"/>
          <w:szCs w:val="24"/>
          <w:u w:val="single"/>
          <w:lang w:eastAsia="cs-CZ"/>
        </w:rPr>
        <w:t>1606/2002</w:t>
      </w:r>
      <w:r w:rsidRPr="009157AF">
        <w:rPr>
          <w:rFonts w:ascii="Times New Roman" w:hAnsi="Times New Roman"/>
          <w:bCs/>
          <w:iCs/>
          <w:sz w:val="24"/>
          <w:szCs w:val="24"/>
          <w:lang w:eastAsia="cs-CZ"/>
        </w:rPr>
        <w:t xml:space="preserve"> z 19. júla 2002 o uplatňovaní medzinárodných účtovných noriem (M</w:t>
      </w:r>
      <w:r w:rsidRPr="009157AF">
        <w:rPr>
          <w:rFonts w:ascii="Times New Roman" w:hAnsi="Times New Roman"/>
          <w:iCs/>
          <w:sz w:val="24"/>
          <w:szCs w:val="24"/>
          <w:lang w:eastAsia="cs-CZ"/>
        </w:rPr>
        <w:t xml:space="preserve">imoriadne vydanie Ú. v. EÚ, kap. 13/zv. 29, </w:t>
      </w:r>
      <w:r w:rsidRPr="009157AF">
        <w:rPr>
          <w:rFonts w:ascii="Times New Roman" w:hAnsi="Times New Roman"/>
          <w:bCs/>
          <w:iCs/>
          <w:sz w:val="24"/>
          <w:szCs w:val="24"/>
          <w:lang w:eastAsia="cs-CZ"/>
        </w:rPr>
        <w:t>Ú. v. ES L 243, 11.9.2002) v platnom znení,</w:t>
      </w:r>
      <w:r w:rsidRPr="009157AF">
        <w:rPr>
          <w:rFonts w:ascii="Times New Roman" w:hAnsi="Times New Roman"/>
          <w:iCs/>
          <w:sz w:val="24"/>
          <w:szCs w:val="24"/>
        </w:rPr>
        <w:t xml:space="preserve"> </w:t>
      </w:r>
    </w:p>
    <w:p w:rsidR="009157AF" w:rsidRPr="009157AF" w:rsidRDefault="009157AF" w:rsidP="009157AF">
      <w:pPr>
        <w:numPr>
          <w:ilvl w:val="0"/>
          <w:numId w:val="2"/>
        </w:numPr>
        <w:tabs>
          <w:tab w:val="num" w:pos="0"/>
        </w:tabs>
        <w:autoSpaceDE w:val="0"/>
        <w:autoSpaceDN w:val="0"/>
        <w:spacing w:after="120" w:line="240" w:lineRule="auto"/>
        <w:ind w:left="709" w:hanging="284"/>
        <w:jc w:val="both"/>
        <w:rPr>
          <w:rFonts w:ascii="Times New Roman" w:hAnsi="Times New Roman"/>
          <w:bCs/>
          <w:iCs/>
          <w:sz w:val="24"/>
          <w:szCs w:val="24"/>
          <w:lang w:eastAsia="cs-CZ"/>
        </w:rPr>
      </w:pPr>
      <w:r w:rsidRPr="009157AF">
        <w:rPr>
          <w:rFonts w:ascii="Times New Roman" w:hAnsi="Times New Roman"/>
          <w:bCs/>
          <w:iCs/>
          <w:sz w:val="24"/>
          <w:szCs w:val="24"/>
          <w:lang w:eastAsia="cs-CZ"/>
        </w:rPr>
        <w:t xml:space="preserve">nariadenie Komisie (ES) č. </w:t>
      </w:r>
      <w:r w:rsidRPr="009157AF">
        <w:rPr>
          <w:rFonts w:ascii="Times New Roman" w:hAnsi="Times New Roman"/>
          <w:bCs/>
          <w:iCs/>
          <w:sz w:val="24"/>
          <w:szCs w:val="24"/>
          <w:u w:val="single"/>
          <w:lang w:eastAsia="cs-CZ"/>
        </w:rPr>
        <w:t>1126/2008</w:t>
      </w:r>
      <w:r w:rsidRPr="009157AF">
        <w:rPr>
          <w:rFonts w:ascii="Times New Roman" w:hAnsi="Times New Roman"/>
          <w:bCs/>
          <w:iCs/>
          <w:sz w:val="24"/>
          <w:szCs w:val="24"/>
          <w:lang w:eastAsia="cs-CZ"/>
        </w:rPr>
        <w:t xml:space="preserve"> z 3. novembra 2008, ktorým sa v súlade s nariadením Európskeho parlamentu a Rady (ES) č. 1606/2002 prijímajú určité medzinárodné účtovné štandardy (Ú. v. EÚ L 320, 29.11.2008) v platnom znení,</w:t>
      </w:r>
      <w:r w:rsidRPr="009157AF">
        <w:rPr>
          <w:rFonts w:ascii="Times New Roman" w:hAnsi="Times New Roman"/>
          <w:iCs/>
          <w:sz w:val="24"/>
          <w:szCs w:val="24"/>
        </w:rPr>
        <w:t xml:space="preserve"> gestor: MF SR.</w:t>
      </w:r>
    </w:p>
    <w:p w:rsidR="009157AF" w:rsidRPr="009157AF" w:rsidRDefault="009157AF" w:rsidP="009157AF">
      <w:pPr>
        <w:numPr>
          <w:ilvl w:val="1"/>
          <w:numId w:val="7"/>
        </w:numPr>
        <w:spacing w:before="240" w:after="120" w:line="240" w:lineRule="auto"/>
        <w:jc w:val="both"/>
        <w:rPr>
          <w:rFonts w:ascii="Times New Roman" w:hAnsi="Times New Roman"/>
          <w:b/>
          <w:sz w:val="24"/>
          <w:szCs w:val="24"/>
        </w:rPr>
      </w:pPr>
      <w:r w:rsidRPr="009157AF">
        <w:rPr>
          <w:rFonts w:ascii="Times New Roman" w:hAnsi="Times New Roman"/>
          <w:b/>
          <w:sz w:val="24"/>
          <w:szCs w:val="24"/>
        </w:rPr>
        <w:t>Judikatúra Súdneho dvora Európskej únie:</w:t>
      </w:r>
    </w:p>
    <w:p w:rsidR="009157AF" w:rsidRPr="009157AF" w:rsidRDefault="009157AF" w:rsidP="009157AF">
      <w:pPr>
        <w:pStyle w:val="Odsekzoznamu"/>
        <w:numPr>
          <w:ilvl w:val="0"/>
          <w:numId w:val="8"/>
        </w:numPr>
        <w:spacing w:after="120" w:line="240" w:lineRule="auto"/>
        <w:jc w:val="both"/>
        <w:rPr>
          <w:rFonts w:ascii="Times New Roman" w:hAnsi="Times New Roman"/>
          <w:noProof/>
          <w:sz w:val="24"/>
          <w:szCs w:val="24"/>
          <w:lang w:eastAsia="cs-CZ"/>
        </w:rPr>
      </w:pPr>
      <w:r w:rsidRPr="009157AF">
        <w:rPr>
          <w:rFonts w:ascii="Times New Roman" w:hAnsi="Times New Roman"/>
          <w:noProof/>
          <w:sz w:val="24"/>
          <w:szCs w:val="24"/>
          <w:lang w:eastAsia="cs-CZ"/>
        </w:rPr>
        <w:t xml:space="preserve">rozhodnutie Súdneho dvora vo veci C - 306/1999, Banque internationale pour l'Afrique occidentale SA (BIAO) v. Finanzamt für Großunternehmen in Hamburg, [2003], </w:t>
      </w:r>
    </w:p>
    <w:p w:rsidR="009157AF" w:rsidRPr="009157AF" w:rsidRDefault="009157AF" w:rsidP="009157AF">
      <w:pPr>
        <w:pStyle w:val="c02alineaalta"/>
        <w:spacing w:after="0"/>
        <w:ind w:left="900"/>
        <w:rPr>
          <w:rFonts w:ascii="Times New Roman" w:hAnsi="Times New Roman" w:cs="Times New Roman"/>
          <w:sz w:val="24"/>
          <w:szCs w:val="24"/>
        </w:rPr>
      </w:pPr>
      <w:r w:rsidRPr="009157AF">
        <w:rPr>
          <w:rFonts w:ascii="Times New Roman" w:hAnsi="Times New Roman" w:cs="Times New Roman"/>
          <w:sz w:val="24"/>
          <w:szCs w:val="24"/>
        </w:rPr>
        <w:t xml:space="preserve">Výrok rozhodnutia: </w:t>
      </w:r>
    </w:p>
    <w:p w:rsidR="009157AF" w:rsidRPr="009157AF" w:rsidRDefault="009157AF" w:rsidP="009157AF">
      <w:pPr>
        <w:pStyle w:val="c02alineaalta"/>
        <w:spacing w:after="0"/>
        <w:ind w:left="900"/>
        <w:rPr>
          <w:rFonts w:ascii="Times New Roman" w:hAnsi="Times New Roman" w:cs="Times New Roman"/>
          <w:color w:val="222222"/>
          <w:sz w:val="24"/>
          <w:szCs w:val="24"/>
        </w:rPr>
      </w:pPr>
      <w:r w:rsidRPr="009157AF">
        <w:rPr>
          <w:rFonts w:ascii="Times New Roman" w:hAnsi="Times New Roman" w:cs="Times New Roman"/>
          <w:color w:val="222222"/>
          <w:sz w:val="24"/>
          <w:szCs w:val="24"/>
        </w:rPr>
        <w:t>1. Otázky uvedené v druhej a tretej časti návrhu na začatie prejudiciálneho konania týkajúcich sa výkladu štvrtej smernice Rady 78/660/EHS z 25. júla 1978   o ročnej účtovnej závierke niektorých typov spoločností, vychádzajúca z článku 54 ods. 3 písm. g) zmluvy sú prípustné.</w:t>
      </w:r>
    </w:p>
    <w:p w:rsidR="009157AF" w:rsidRPr="009157AF" w:rsidRDefault="009157AF" w:rsidP="009157AF">
      <w:pPr>
        <w:pStyle w:val="c02alineaalta"/>
        <w:spacing w:after="0"/>
        <w:ind w:left="900"/>
        <w:rPr>
          <w:rFonts w:ascii="Times New Roman" w:hAnsi="Times New Roman" w:cs="Times New Roman"/>
          <w:sz w:val="24"/>
          <w:szCs w:val="24"/>
        </w:rPr>
      </w:pPr>
      <w:r w:rsidRPr="009157AF">
        <w:rPr>
          <w:rFonts w:ascii="Times New Roman" w:hAnsi="Times New Roman" w:cs="Times New Roman"/>
          <w:color w:val="222222"/>
          <w:sz w:val="24"/>
          <w:szCs w:val="24"/>
        </w:rPr>
        <w:br/>
      </w:r>
      <w:r w:rsidRPr="009157AF">
        <w:rPr>
          <w:rFonts w:ascii="Times New Roman" w:hAnsi="Times New Roman" w:cs="Times New Roman"/>
          <w:sz w:val="24"/>
          <w:szCs w:val="24"/>
        </w:rPr>
        <w:t>2. Štvrtá smernica 78/660 nebráni tomu, aby ustanovenie určené na pokrytie možných strát alebo pohľadávok vyplývajúcich zo záväzku nachádzajúceho sa v účtovnej závierke podľa článku 14 uvedenej smernice bolo zapísané na strane pasív súvahy podľa článku 20 ods. 1 za predpokladu, že daná strata alebo dlh možno charakterizovať ako pravdepodobné alebo isté k súvahovému dňu. Článok 31 ods. 1 písm. e) tejto smernice nevylučuje možnosť, že na zabezpečenie dodržiavania zásady obozretnosti a zásady pravdivého zobrazenia aktív a pasív by mohlo byť  najvhodnejšou metódou ocenenia by mohlo byť vykonanie globalizovaného hodnotenia všetkých relevantných faktorov.</w:t>
      </w:r>
    </w:p>
    <w:p w:rsidR="009157AF" w:rsidRPr="009157AF" w:rsidRDefault="009157AF" w:rsidP="009157AF">
      <w:pPr>
        <w:pStyle w:val="c02alineaalta"/>
        <w:spacing w:after="0"/>
        <w:ind w:left="900"/>
        <w:rPr>
          <w:rFonts w:ascii="Times New Roman" w:hAnsi="Times New Roman" w:cs="Times New Roman"/>
          <w:color w:val="222222"/>
          <w:sz w:val="24"/>
          <w:szCs w:val="24"/>
        </w:rPr>
      </w:pPr>
    </w:p>
    <w:p w:rsidR="009157AF" w:rsidRPr="009157AF" w:rsidRDefault="009157AF" w:rsidP="009157AF">
      <w:pPr>
        <w:pStyle w:val="Odsekzoznamu"/>
        <w:spacing w:after="120"/>
        <w:ind w:left="900"/>
        <w:jc w:val="both"/>
        <w:rPr>
          <w:rFonts w:ascii="Times New Roman" w:hAnsi="Times New Roman"/>
          <w:noProof/>
          <w:sz w:val="24"/>
          <w:szCs w:val="24"/>
          <w:lang w:eastAsia="cs-CZ"/>
        </w:rPr>
      </w:pPr>
      <w:r w:rsidRPr="009157AF">
        <w:rPr>
          <w:rFonts w:ascii="Times New Roman" w:hAnsi="Times New Roman"/>
          <w:sz w:val="24"/>
          <w:szCs w:val="24"/>
        </w:rPr>
        <w:lastRenderedPageBreak/>
        <w:t>3. Za takých okolností, ako sú okolnosti vo veci samej, vrátenie pôžičky, ku ktorému došlo po súvahovom dni (ktorý je relevantným dátumom oceňovania súvahových položiek), nepredstavuje skutočnosť, ktorá si vyžaduje retroaktívne prehodnotenie rezervy týkajúcej sa tejto pôžičky uvedenej na strane pasív súvahy. Súlad so zásadou pravdivého a verného zobrazenia aktív a pasív si však vyžaduje, aby sa v ročnej účtovnej závierke uviedlo zaniknutie rizika, na ktoré sa vzťahuje toto ustanovenie.</w:t>
      </w:r>
    </w:p>
    <w:p w:rsidR="009157AF" w:rsidRPr="009157AF" w:rsidRDefault="009157AF" w:rsidP="009157AF">
      <w:pPr>
        <w:numPr>
          <w:ilvl w:val="0"/>
          <w:numId w:val="2"/>
        </w:numPr>
        <w:spacing w:after="120" w:line="240" w:lineRule="auto"/>
        <w:ind w:left="709" w:hanging="284"/>
        <w:jc w:val="both"/>
        <w:rPr>
          <w:rFonts w:ascii="Times New Roman" w:hAnsi="Times New Roman"/>
          <w:noProof/>
          <w:sz w:val="24"/>
          <w:szCs w:val="24"/>
          <w:lang w:eastAsia="cs-CZ"/>
        </w:rPr>
      </w:pPr>
      <w:r w:rsidRPr="009157AF">
        <w:rPr>
          <w:rFonts w:ascii="Times New Roman" w:hAnsi="Times New Roman"/>
          <w:noProof/>
          <w:sz w:val="24"/>
          <w:szCs w:val="24"/>
          <w:lang w:eastAsia="cs-CZ"/>
        </w:rPr>
        <w:t>rozhodnutie Súdneho dvora vo veci C – 528/12, Mömax Logistik GmbH proti Bundesamt für Justiz [2014].</w:t>
      </w:r>
    </w:p>
    <w:p w:rsidR="009157AF" w:rsidRPr="009157AF" w:rsidRDefault="009157AF" w:rsidP="009157AF">
      <w:pPr>
        <w:ind w:left="851"/>
        <w:jc w:val="both"/>
        <w:rPr>
          <w:rFonts w:ascii="Times New Roman" w:hAnsi="Times New Roman"/>
          <w:sz w:val="24"/>
          <w:szCs w:val="24"/>
        </w:rPr>
      </w:pPr>
      <w:r w:rsidRPr="009157AF">
        <w:rPr>
          <w:rFonts w:ascii="Times New Roman" w:hAnsi="Times New Roman"/>
          <w:sz w:val="24"/>
          <w:szCs w:val="24"/>
        </w:rPr>
        <w:t>Výrok rozhodnutia: Článok 57 štvrtej smernice Rady 78/660/EHS z 25. júla 1978 o ročnej účtovnej závierke niektorých typov spoločností, vychádzajúcej z článku 54 ods. 3 písm. g) zmluvy, zmenenej a doplnenej smernicou Európskeho Parlamentu a Rady 2006/46/ES zo 14. júna 2006, sa má vykladať v tom zmysle, že bráni vnútroštátnej právnej úprave členského štátu, podľa ktorej sa na dcérsku spoločnosť, ktorá sa spravuje právnymi predpismi tohto členského štátu, neuplatňujú ustanovenia uvedenej smernice týkajúce sa obsahu, auditu a zverejnenia ročných účtovných závierok, iba ak sa materská spoločnosť tiež spravuje právnymi predpismi uvedeného štátu.</w:t>
      </w:r>
    </w:p>
    <w:p w:rsidR="009157AF" w:rsidRPr="009157AF" w:rsidRDefault="009157AF" w:rsidP="009157AF">
      <w:pPr>
        <w:ind w:left="851"/>
        <w:jc w:val="both"/>
        <w:rPr>
          <w:rFonts w:ascii="Times New Roman" w:hAnsi="Times New Roman"/>
          <w:sz w:val="24"/>
          <w:szCs w:val="24"/>
        </w:rPr>
      </w:pPr>
    </w:p>
    <w:p w:rsidR="009157AF" w:rsidRPr="009157AF" w:rsidRDefault="009157AF" w:rsidP="009157AF">
      <w:pPr>
        <w:ind w:left="851"/>
        <w:jc w:val="both"/>
        <w:rPr>
          <w:rFonts w:ascii="Times New Roman" w:hAnsi="Times New Roman"/>
          <w:b/>
          <w:bCs/>
          <w:sz w:val="24"/>
          <w:szCs w:val="24"/>
        </w:rPr>
      </w:pPr>
      <w:r w:rsidRPr="009157AF">
        <w:rPr>
          <w:rFonts w:ascii="Times New Roman" w:hAnsi="Times New Roman"/>
          <w:b/>
          <w:bCs/>
          <w:sz w:val="24"/>
          <w:szCs w:val="24"/>
        </w:rPr>
        <w:t>Záväzky Slovenskej republiky vo vzťahu k Európskej únii:</w:t>
      </w:r>
    </w:p>
    <w:p w:rsidR="009157AF" w:rsidRPr="009157AF" w:rsidRDefault="009157AF" w:rsidP="009157AF">
      <w:pPr>
        <w:numPr>
          <w:ilvl w:val="0"/>
          <w:numId w:val="5"/>
        </w:numPr>
        <w:tabs>
          <w:tab w:val="left" w:pos="360"/>
          <w:tab w:val="left" w:pos="540"/>
        </w:tabs>
        <w:spacing w:after="120" w:line="240" w:lineRule="auto"/>
        <w:ind w:left="782" w:hanging="357"/>
        <w:jc w:val="both"/>
        <w:rPr>
          <w:rFonts w:ascii="Times New Roman" w:hAnsi="Times New Roman"/>
          <w:sz w:val="24"/>
          <w:szCs w:val="24"/>
        </w:rPr>
      </w:pPr>
      <w:r w:rsidRPr="009157AF">
        <w:rPr>
          <w:rFonts w:ascii="Times New Roman" w:hAnsi="Times New Roman"/>
          <w:sz w:val="24"/>
          <w:szCs w:val="24"/>
        </w:rPr>
        <w:t>Lehota na prebratie smernice Európskeho parlamentu a Rady 2014/95/ EÚ bola určená do 6. decembra 2016.</w:t>
      </w:r>
    </w:p>
    <w:p w:rsidR="009157AF" w:rsidRPr="009157AF" w:rsidRDefault="009157AF" w:rsidP="009157AF">
      <w:pPr>
        <w:pStyle w:val="Odsekzoznamu"/>
        <w:widowControl w:val="0"/>
        <w:numPr>
          <w:ilvl w:val="0"/>
          <w:numId w:val="5"/>
        </w:numPr>
        <w:adjustRightInd w:val="0"/>
        <w:spacing w:after="0" w:line="240" w:lineRule="auto"/>
        <w:rPr>
          <w:rFonts w:ascii="Times New Roman" w:hAnsi="Times New Roman"/>
          <w:sz w:val="24"/>
          <w:szCs w:val="24"/>
        </w:rPr>
      </w:pPr>
      <w:r w:rsidRPr="009157AF">
        <w:rPr>
          <w:rFonts w:ascii="Times New Roman" w:hAnsi="Times New Roman"/>
          <w:sz w:val="24"/>
          <w:szCs w:val="24"/>
        </w:rPr>
        <w:t>Proti Slovenskej republike nebolo začaté konanie v rámci „EÚ Pilot“, ani nebol začatý postup EK ako aj nebolo začaté konanie Súdneho dvora EÚ proti SR podľa čl. 258 až 260 Zmluvy o fungovaní Európskej únie.</w:t>
      </w:r>
    </w:p>
    <w:p w:rsidR="009157AF" w:rsidRPr="009157AF" w:rsidRDefault="009157AF" w:rsidP="009157AF">
      <w:pPr>
        <w:numPr>
          <w:ilvl w:val="0"/>
          <w:numId w:val="5"/>
        </w:numPr>
        <w:tabs>
          <w:tab w:val="left" w:pos="360"/>
          <w:tab w:val="left" w:pos="540"/>
        </w:tabs>
        <w:spacing w:after="120" w:line="240" w:lineRule="auto"/>
        <w:jc w:val="both"/>
        <w:rPr>
          <w:rFonts w:ascii="Times New Roman" w:hAnsi="Times New Roman"/>
          <w:sz w:val="24"/>
          <w:szCs w:val="24"/>
        </w:rPr>
      </w:pPr>
      <w:r w:rsidRPr="009157AF">
        <w:rPr>
          <w:rFonts w:ascii="Times New Roman" w:hAnsi="Times New Roman"/>
          <w:sz w:val="24"/>
          <w:szCs w:val="24"/>
        </w:rPr>
        <w:t>Smernica Európskeho parlamentu a Rady 2014/95/EÚ bola prebratá do zákona č. 431/2002 Z. z. o účtovníctve v znení neskorších predpisov.</w:t>
      </w:r>
    </w:p>
    <w:p w:rsidR="009157AF" w:rsidRPr="009157AF" w:rsidRDefault="009157AF" w:rsidP="009157AF">
      <w:pPr>
        <w:overflowPunct w:val="0"/>
        <w:autoSpaceDE w:val="0"/>
        <w:autoSpaceDN w:val="0"/>
        <w:jc w:val="both"/>
        <w:textAlignment w:val="baseline"/>
        <w:rPr>
          <w:rFonts w:ascii="Times New Roman" w:hAnsi="Times New Roman"/>
          <w:sz w:val="24"/>
          <w:szCs w:val="24"/>
        </w:rPr>
      </w:pPr>
    </w:p>
    <w:p w:rsidR="009157AF" w:rsidRPr="009157AF" w:rsidRDefault="009157AF" w:rsidP="009157AF">
      <w:pPr>
        <w:tabs>
          <w:tab w:val="left" w:pos="360"/>
        </w:tabs>
        <w:spacing w:after="120"/>
        <w:jc w:val="both"/>
        <w:rPr>
          <w:rFonts w:ascii="Times New Roman" w:hAnsi="Times New Roman"/>
          <w:b/>
          <w:bCs/>
          <w:sz w:val="24"/>
          <w:szCs w:val="24"/>
        </w:rPr>
      </w:pPr>
      <w:r w:rsidRPr="009157AF">
        <w:rPr>
          <w:rFonts w:ascii="Times New Roman" w:hAnsi="Times New Roman"/>
          <w:b/>
          <w:bCs/>
          <w:sz w:val="24"/>
          <w:szCs w:val="24"/>
        </w:rPr>
        <w:t>5.</w:t>
      </w:r>
      <w:r w:rsidRPr="009157AF">
        <w:rPr>
          <w:rFonts w:ascii="Times New Roman" w:hAnsi="Times New Roman"/>
          <w:b/>
          <w:bCs/>
          <w:sz w:val="24"/>
          <w:szCs w:val="24"/>
        </w:rPr>
        <w:tab/>
        <w:t>Návrh zákona je zlučiteľný s právom Európskej únie:</w:t>
      </w:r>
    </w:p>
    <w:p w:rsidR="00800C14" w:rsidRDefault="009157AF" w:rsidP="006F43F7">
      <w:pPr>
        <w:ind w:left="360"/>
        <w:jc w:val="both"/>
        <w:rPr>
          <w:rFonts w:ascii="Times New Roman" w:hAnsi="Times New Roman"/>
          <w:sz w:val="24"/>
          <w:szCs w:val="24"/>
        </w:rPr>
      </w:pPr>
      <w:r w:rsidRPr="009157AF">
        <w:rPr>
          <w:rFonts w:ascii="Times New Roman" w:hAnsi="Times New Roman"/>
          <w:sz w:val="24"/>
          <w:szCs w:val="24"/>
        </w:rPr>
        <w:t>Úplne.</w:t>
      </w:r>
    </w:p>
    <w:p w:rsidR="00832D63" w:rsidRPr="00C60595" w:rsidRDefault="00832D63" w:rsidP="00832D63">
      <w:pPr>
        <w:pStyle w:val="Normlnywebov"/>
        <w:spacing w:before="0" w:beforeAutospacing="0" w:after="0" w:afterAutospacing="0"/>
        <w:ind w:firstLine="708"/>
        <w:jc w:val="both"/>
        <w:rPr>
          <w:b/>
        </w:rPr>
      </w:pPr>
      <w:r w:rsidRPr="00C60595">
        <w:rPr>
          <w:b/>
        </w:rPr>
        <w:t xml:space="preserve">B. Osobitná časť </w:t>
      </w:r>
    </w:p>
    <w:p w:rsidR="00832D63" w:rsidRDefault="00832D63" w:rsidP="00832D63">
      <w:pPr>
        <w:pStyle w:val="Normlnywebov"/>
        <w:spacing w:before="0" w:beforeAutospacing="0" w:after="0" w:afterAutospacing="0"/>
        <w:jc w:val="both"/>
      </w:pPr>
    </w:p>
    <w:p w:rsidR="00832D63" w:rsidRPr="00B45613" w:rsidRDefault="00832D63" w:rsidP="00832D63">
      <w:pPr>
        <w:pStyle w:val="Normlnywebov"/>
        <w:spacing w:before="0" w:beforeAutospacing="0" w:after="0" w:afterAutospacing="0"/>
        <w:ind w:firstLine="720"/>
        <w:jc w:val="both"/>
        <w:rPr>
          <w:b/>
        </w:rPr>
      </w:pPr>
      <w:r>
        <w:rPr>
          <w:b/>
        </w:rPr>
        <w:t>K č</w:t>
      </w:r>
      <w:r w:rsidRPr="00B45613">
        <w:rPr>
          <w:b/>
        </w:rPr>
        <w:t>l. I</w:t>
      </w:r>
    </w:p>
    <w:p w:rsidR="00832D63" w:rsidRPr="00C60595" w:rsidRDefault="00832D63" w:rsidP="00832D63">
      <w:pPr>
        <w:pStyle w:val="Normlnywebov"/>
        <w:spacing w:before="0" w:beforeAutospacing="0" w:after="0" w:afterAutospacing="0"/>
        <w:ind w:firstLine="720"/>
        <w:jc w:val="both"/>
        <w:rPr>
          <w:b/>
        </w:rPr>
      </w:pPr>
      <w:r w:rsidRPr="00C60595">
        <w:rPr>
          <w:b/>
        </w:rPr>
        <w:t xml:space="preserve">K bodom </w:t>
      </w:r>
      <w:r>
        <w:rPr>
          <w:b/>
        </w:rPr>
        <w:t>1 až 4</w:t>
      </w:r>
      <w:r w:rsidRPr="00C60595">
        <w:rPr>
          <w:b/>
        </w:rPr>
        <w:t xml:space="preserve">  (§ 19)</w:t>
      </w:r>
    </w:p>
    <w:p w:rsidR="00832D63" w:rsidRPr="00C60595" w:rsidRDefault="00832D63" w:rsidP="00832D63">
      <w:pPr>
        <w:pStyle w:val="Normlnywebov"/>
        <w:spacing w:before="0" w:beforeAutospacing="0" w:after="0" w:afterAutospacing="0"/>
        <w:ind w:firstLine="720"/>
        <w:jc w:val="both"/>
        <w:rPr>
          <w:b/>
        </w:rPr>
      </w:pPr>
    </w:p>
    <w:p w:rsidR="00832D63" w:rsidRDefault="00832D63" w:rsidP="00832D63">
      <w:pPr>
        <w:pStyle w:val="Normlnywebov"/>
        <w:spacing w:before="0" w:beforeAutospacing="0" w:after="0" w:afterAutospacing="0"/>
        <w:ind w:firstLine="720"/>
        <w:jc w:val="both"/>
      </w:pPr>
      <w:r w:rsidRPr="00C60595">
        <w:t xml:space="preserve">Predmetom úpravy v § 19 je úprava podmienok, na základe ktorých vzniká povinnosť nechať si overiť riadnu individuálnu účtovnú závierku a mimoriadnu individuálnu účtovnú závierku štatutárnym audítorom alebo audítorskou spoločnosťou. </w:t>
      </w:r>
      <w:r>
        <w:t>Na jednej strane v</w:t>
      </w:r>
      <w:r w:rsidRPr="00C60595">
        <w:t> záujme  odstránenia administratívnej záťaže</w:t>
      </w:r>
      <w:r>
        <w:t xml:space="preserve">, ale na druhej strane vzhľadom na </w:t>
      </w:r>
      <w:r w:rsidRPr="00C60595">
        <w:t xml:space="preserve">celospoločenský význam auditu, pristúpilo sa k zvýšeniu veľkostných podmienok o 100 % súčasných rozhodujúcich podmienok, ktorými sú celkový majetok a čistý obrat účtovnej jednotky.  </w:t>
      </w:r>
      <w:r w:rsidRPr="00C60595">
        <w:lastRenderedPageBreak/>
        <w:t>Veľkostné podmienky sú navrhnuté na základe zhodnotenia</w:t>
      </w:r>
      <w:r>
        <w:t xml:space="preserve"> veľkosti ekonomiky a jej rastu a  potrieb</w:t>
      </w:r>
      <w:r w:rsidRPr="00C60595">
        <w:t xml:space="preserve"> spoločnosti</w:t>
      </w:r>
      <w:r>
        <w:t xml:space="preserve">, </w:t>
      </w:r>
      <w:r w:rsidRPr="00C60595">
        <w:t xml:space="preserve"> vrátane štátu.</w:t>
      </w:r>
    </w:p>
    <w:p w:rsidR="00832D63" w:rsidRPr="00C60595" w:rsidRDefault="00832D63" w:rsidP="00832D63">
      <w:pPr>
        <w:pStyle w:val="Normlnywebov"/>
        <w:spacing w:before="0" w:beforeAutospacing="0" w:after="0" w:afterAutospacing="0"/>
        <w:ind w:firstLine="720"/>
        <w:jc w:val="both"/>
      </w:pPr>
      <w:r w:rsidRPr="00C60595">
        <w:t xml:space="preserve"> </w:t>
      </w:r>
      <w:r>
        <w:t>Predmetom overenia audítorom je výkaz vybraných údajov z riadnej individuálnej účtovnej závierky a z mimoriadnej individuálnej účtovnej závierky, ktorý je zostavený k auditovanej  účtovnej závierke podľa Medzinárodných štandardov finančného výkazníctva (IAS/IFRS). Výkaz vybraných údajov z účtovnej závierky je podkladom na spracovanie finančných informácií z Registra účtovných závierok. Prijatím tejto povinnosti budú auditované všetky dokumenty predkladané do Registra účtovných závierok, ktoré nadväzujú na auditovanú účtovnú závierku, a to  okrem vybraných údajov z účtovnej závierky tých účtovných jednotiek, ktoré podľa zákona č. 747/2004 Z. z. o dohľade nad finančným trhom a o zmene a doplnení niektorých zákonov v znení neskorších predpisov spadajú pod dohľad Národnej banky Slovenska.</w:t>
      </w:r>
    </w:p>
    <w:p w:rsidR="00832D63" w:rsidRPr="00C60595" w:rsidRDefault="00832D63" w:rsidP="00832D63">
      <w:pPr>
        <w:pStyle w:val="Normlnywebov"/>
        <w:spacing w:before="0" w:beforeAutospacing="0" w:after="0" w:afterAutospacing="0"/>
        <w:ind w:firstLine="720"/>
        <w:jc w:val="both"/>
        <w:rPr>
          <w:b/>
        </w:rPr>
      </w:pPr>
    </w:p>
    <w:p w:rsidR="00832D63" w:rsidRPr="00C60595" w:rsidRDefault="00832D63" w:rsidP="00832D63">
      <w:pPr>
        <w:pStyle w:val="Normlnywebov"/>
        <w:spacing w:before="0" w:beforeAutospacing="0" w:after="0" w:afterAutospacing="0"/>
        <w:ind w:firstLine="720"/>
        <w:jc w:val="both"/>
        <w:rPr>
          <w:b/>
        </w:rPr>
      </w:pPr>
      <w:r>
        <w:rPr>
          <w:b/>
        </w:rPr>
        <w:t>K bodu 5</w:t>
      </w:r>
      <w:r w:rsidRPr="00C60595">
        <w:rPr>
          <w:b/>
        </w:rPr>
        <w:t xml:space="preserve"> (§ 20 ods. 13)</w:t>
      </w:r>
    </w:p>
    <w:p w:rsidR="00832D63" w:rsidRDefault="00832D63" w:rsidP="00832D63">
      <w:pPr>
        <w:spacing w:after="0" w:line="240" w:lineRule="auto"/>
        <w:ind w:firstLine="708"/>
        <w:jc w:val="both"/>
        <w:rPr>
          <w:rFonts w:ascii="Times New Roman" w:hAnsi="Times New Roman"/>
          <w:color w:val="000000"/>
          <w:sz w:val="24"/>
          <w:szCs w:val="24"/>
        </w:rPr>
      </w:pPr>
      <w:r w:rsidRPr="00C60595">
        <w:rPr>
          <w:rFonts w:ascii="Times New Roman" w:hAnsi="Times New Roman"/>
          <w:sz w:val="24"/>
          <w:szCs w:val="24"/>
        </w:rPr>
        <w:t>V predmetnom ustanovení § 20 ods. 13 sa ods</w:t>
      </w:r>
      <w:r>
        <w:rPr>
          <w:rFonts w:ascii="Times New Roman" w:hAnsi="Times New Roman"/>
          <w:sz w:val="24"/>
          <w:szCs w:val="24"/>
        </w:rPr>
        <w:t>traňuje identifikovaný goldplating pri transpozícii</w:t>
      </w:r>
      <w:r w:rsidRPr="00C60595">
        <w:rPr>
          <w:rFonts w:ascii="Times New Roman" w:hAnsi="Times New Roman"/>
          <w:color w:val="000000"/>
          <w:sz w:val="24"/>
          <w:szCs w:val="24"/>
        </w:rPr>
        <w:t xml:space="preserve"> čl. 1 ods. 2 písm. c) Smernice Európskeho parlamentu a Rady 2014/95/EÚ z 22. októbra 2014, ktorou sa mení smernica 2013/34/EÚ pokiaľ ide o zverejňovanie nefinančných informácií týkajúcich sa rozmanitosti niektorými veľkými podnikmi a skupinami. Prijíma sa minimalistická povinnosť predkladania nefinančný</w:t>
      </w:r>
      <w:r>
        <w:rPr>
          <w:rFonts w:ascii="Times New Roman" w:hAnsi="Times New Roman"/>
          <w:color w:val="000000"/>
          <w:sz w:val="24"/>
          <w:szCs w:val="24"/>
        </w:rPr>
        <w:t>ch informácií vo výročnej správe</w:t>
      </w:r>
      <w:r w:rsidRPr="00C60595">
        <w:rPr>
          <w:rFonts w:ascii="Times New Roman" w:hAnsi="Times New Roman"/>
          <w:color w:val="000000"/>
          <w:sz w:val="24"/>
          <w:szCs w:val="24"/>
        </w:rPr>
        <w:t>, ktoré sa týkajú opisu politiky rozmanitosti. Oslobodenie sa týka veľkých účtovných jednotiek, ktoré emitovali len iné cenné papiere než akcie prijaté na obchodovanie na regulovanom trhu, ak tieto účtovné jednotky neemitovali akcie, s ktorými sa obchoduje v mnohostrannom o</w:t>
      </w:r>
      <w:r>
        <w:rPr>
          <w:rFonts w:ascii="Times New Roman" w:hAnsi="Times New Roman"/>
          <w:color w:val="000000"/>
          <w:sz w:val="24"/>
          <w:szCs w:val="24"/>
        </w:rPr>
        <w:t>bchodnom systéme. Podľa súčasnej právnej úpravy</w:t>
      </w:r>
      <w:r w:rsidRPr="00C60595">
        <w:rPr>
          <w:rFonts w:ascii="Times New Roman" w:hAnsi="Times New Roman"/>
          <w:color w:val="000000"/>
          <w:sz w:val="24"/>
          <w:szCs w:val="24"/>
        </w:rPr>
        <w:t xml:space="preserve"> museli predmetné nefinančné informácie uvádzať vo výročnej správe </w:t>
      </w:r>
      <w:r>
        <w:rPr>
          <w:rFonts w:ascii="Times New Roman" w:hAnsi="Times New Roman"/>
          <w:color w:val="000000"/>
          <w:sz w:val="24"/>
          <w:szCs w:val="24"/>
        </w:rPr>
        <w:t>všetky</w:t>
      </w:r>
      <w:r w:rsidRPr="00C60595">
        <w:rPr>
          <w:rFonts w:ascii="Times New Roman" w:hAnsi="Times New Roman"/>
          <w:color w:val="000000"/>
          <w:sz w:val="24"/>
          <w:szCs w:val="24"/>
        </w:rPr>
        <w:t xml:space="preserve"> veľké účtovné jednotky, ktoré emitovali aj iné cenné papiere ako akcie.</w:t>
      </w:r>
    </w:p>
    <w:p w:rsidR="00832D63" w:rsidRDefault="00832D63" w:rsidP="00832D63">
      <w:pPr>
        <w:spacing w:after="0" w:line="240" w:lineRule="auto"/>
        <w:ind w:firstLine="708"/>
        <w:jc w:val="both"/>
        <w:rPr>
          <w:rFonts w:ascii="Times New Roman" w:hAnsi="Times New Roman"/>
          <w:color w:val="000000"/>
          <w:sz w:val="24"/>
          <w:szCs w:val="24"/>
        </w:rPr>
      </w:pPr>
    </w:p>
    <w:p w:rsidR="00832D63" w:rsidRDefault="00832D63" w:rsidP="00832D63">
      <w:pPr>
        <w:spacing w:after="0" w:line="240" w:lineRule="auto"/>
        <w:ind w:firstLine="708"/>
        <w:jc w:val="both"/>
        <w:rPr>
          <w:rFonts w:ascii="Times New Roman" w:hAnsi="Times New Roman"/>
          <w:b/>
          <w:color w:val="000000"/>
          <w:sz w:val="24"/>
          <w:szCs w:val="24"/>
        </w:rPr>
      </w:pPr>
      <w:r w:rsidRPr="009409CB">
        <w:rPr>
          <w:rFonts w:ascii="Times New Roman" w:hAnsi="Times New Roman"/>
          <w:b/>
          <w:color w:val="000000"/>
          <w:sz w:val="24"/>
          <w:szCs w:val="24"/>
        </w:rPr>
        <w:t>K bodu 6</w:t>
      </w:r>
    </w:p>
    <w:p w:rsidR="00832D63" w:rsidRPr="009409CB" w:rsidRDefault="00832D63" w:rsidP="00832D63">
      <w:pPr>
        <w:spacing w:after="0" w:line="240" w:lineRule="auto"/>
        <w:ind w:firstLine="708"/>
        <w:jc w:val="both"/>
        <w:rPr>
          <w:rFonts w:ascii="Times New Roman" w:hAnsi="Times New Roman"/>
          <w:color w:val="000000"/>
          <w:sz w:val="24"/>
          <w:szCs w:val="24"/>
        </w:rPr>
      </w:pPr>
      <w:r w:rsidRPr="009409CB">
        <w:rPr>
          <w:rFonts w:ascii="Times New Roman" w:hAnsi="Times New Roman"/>
          <w:color w:val="000000"/>
          <w:sz w:val="24"/>
          <w:szCs w:val="24"/>
        </w:rPr>
        <w:t>Ide o</w:t>
      </w:r>
      <w:r>
        <w:rPr>
          <w:rFonts w:ascii="Times New Roman" w:hAnsi="Times New Roman"/>
          <w:color w:val="000000"/>
          <w:sz w:val="24"/>
          <w:szCs w:val="24"/>
        </w:rPr>
        <w:t> </w:t>
      </w:r>
      <w:r w:rsidRPr="009409CB">
        <w:rPr>
          <w:rFonts w:ascii="Times New Roman" w:hAnsi="Times New Roman"/>
          <w:color w:val="000000"/>
          <w:sz w:val="24"/>
          <w:szCs w:val="24"/>
        </w:rPr>
        <w:t>legislatívno</w:t>
      </w:r>
      <w:r>
        <w:rPr>
          <w:rFonts w:ascii="Times New Roman" w:hAnsi="Times New Roman"/>
          <w:color w:val="000000"/>
          <w:sz w:val="24"/>
          <w:szCs w:val="24"/>
        </w:rPr>
        <w:t xml:space="preserve"> </w:t>
      </w:r>
      <w:r w:rsidRPr="009409CB">
        <w:rPr>
          <w:rFonts w:ascii="Times New Roman" w:hAnsi="Times New Roman"/>
          <w:color w:val="000000"/>
          <w:sz w:val="24"/>
          <w:szCs w:val="24"/>
        </w:rPr>
        <w:t>technickú úpravu v nadväznosti</w:t>
      </w:r>
      <w:r>
        <w:rPr>
          <w:rFonts w:ascii="Times New Roman" w:hAnsi="Times New Roman"/>
          <w:color w:val="000000"/>
          <w:sz w:val="24"/>
          <w:szCs w:val="24"/>
        </w:rPr>
        <w:t xml:space="preserve"> na Legislatívne pravidlá vlády SR.</w:t>
      </w:r>
    </w:p>
    <w:p w:rsidR="00832D63" w:rsidRPr="00C60595" w:rsidRDefault="00832D63" w:rsidP="00832D63">
      <w:pPr>
        <w:spacing w:after="0" w:line="240" w:lineRule="auto"/>
        <w:ind w:firstLine="708"/>
        <w:jc w:val="both"/>
        <w:rPr>
          <w:rFonts w:ascii="Times New Roman" w:hAnsi="Times New Roman"/>
          <w:color w:val="000000"/>
          <w:sz w:val="24"/>
          <w:szCs w:val="24"/>
        </w:rPr>
      </w:pPr>
    </w:p>
    <w:p w:rsidR="00832D63" w:rsidRDefault="00832D63" w:rsidP="00832D63">
      <w:pPr>
        <w:spacing w:after="0" w:line="240" w:lineRule="auto"/>
        <w:ind w:firstLine="708"/>
        <w:jc w:val="both"/>
        <w:rPr>
          <w:rFonts w:ascii="Times New Roman" w:hAnsi="Times New Roman"/>
          <w:b/>
          <w:color w:val="000000"/>
          <w:sz w:val="24"/>
          <w:szCs w:val="24"/>
        </w:rPr>
      </w:pPr>
      <w:r w:rsidRPr="00C60595">
        <w:rPr>
          <w:rFonts w:ascii="Times New Roman" w:hAnsi="Times New Roman"/>
          <w:b/>
          <w:color w:val="000000"/>
          <w:sz w:val="24"/>
          <w:szCs w:val="24"/>
        </w:rPr>
        <w:t xml:space="preserve">K bodu </w:t>
      </w:r>
      <w:r>
        <w:rPr>
          <w:rFonts w:ascii="Times New Roman" w:hAnsi="Times New Roman"/>
          <w:b/>
          <w:color w:val="000000"/>
          <w:sz w:val="24"/>
          <w:szCs w:val="24"/>
        </w:rPr>
        <w:t>7 (§ 39r a  39s</w:t>
      </w:r>
      <w:r w:rsidRPr="00C60595">
        <w:rPr>
          <w:rFonts w:ascii="Times New Roman" w:hAnsi="Times New Roman"/>
          <w:b/>
          <w:color w:val="000000"/>
          <w:sz w:val="24"/>
          <w:szCs w:val="24"/>
        </w:rPr>
        <w:t>)</w:t>
      </w:r>
    </w:p>
    <w:p w:rsidR="00832D63" w:rsidRPr="00B45613" w:rsidRDefault="00832D63" w:rsidP="00832D63">
      <w:pPr>
        <w:spacing w:after="0" w:line="240" w:lineRule="auto"/>
        <w:ind w:firstLine="709"/>
        <w:jc w:val="both"/>
        <w:rPr>
          <w:rFonts w:ascii="Times New Roman" w:hAnsi="Times New Roman"/>
          <w:b/>
          <w:color w:val="000000"/>
          <w:sz w:val="24"/>
          <w:szCs w:val="24"/>
        </w:rPr>
      </w:pPr>
      <w:r w:rsidRPr="00B45613">
        <w:rPr>
          <w:rFonts w:ascii="Times New Roman" w:hAnsi="Times New Roman"/>
          <w:sz w:val="24"/>
          <w:szCs w:val="24"/>
        </w:rPr>
        <w:t xml:space="preserve">Oslobodenie od zverejňovania nefinančných informácií týkajúcich sa rozmanitosti sa prvýkrát umožňuje pri vypracovaní výročnej správy za účtovné obdobie končiace k 31.decembru 2019. </w:t>
      </w:r>
    </w:p>
    <w:p w:rsidR="00832D63" w:rsidRDefault="00832D63" w:rsidP="00832D63">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Splnenie nových podmienok</w:t>
      </w:r>
      <w:r w:rsidRPr="00C60595">
        <w:rPr>
          <w:rFonts w:ascii="Times New Roman" w:hAnsi="Times New Roman"/>
          <w:color w:val="000000"/>
          <w:sz w:val="24"/>
          <w:szCs w:val="24"/>
        </w:rPr>
        <w:t xml:space="preserve"> na povinnosť overenia účtovných závierok štatutárnym audítorom alebo audítorskou spoločnosť</w:t>
      </w:r>
      <w:r>
        <w:rPr>
          <w:rFonts w:ascii="Times New Roman" w:hAnsi="Times New Roman"/>
          <w:color w:val="000000"/>
          <w:sz w:val="24"/>
          <w:szCs w:val="24"/>
        </w:rPr>
        <w:t>ou sa prvýkrát bude aplikovať</w:t>
      </w:r>
      <w:r w:rsidRPr="00C60595">
        <w:rPr>
          <w:rFonts w:ascii="Times New Roman" w:hAnsi="Times New Roman"/>
          <w:color w:val="000000"/>
          <w:sz w:val="24"/>
          <w:szCs w:val="24"/>
        </w:rPr>
        <w:t xml:space="preserve"> za účtovné obdobie, ktoré sa začína 1. januára 2020.</w:t>
      </w:r>
      <w:r>
        <w:rPr>
          <w:rFonts w:ascii="Times New Roman" w:hAnsi="Times New Roman"/>
          <w:color w:val="000000"/>
          <w:sz w:val="24"/>
          <w:szCs w:val="24"/>
        </w:rPr>
        <w:t xml:space="preserve"> Týmto nebude zasahované do prebiehajúceho auditu za rok 2019.</w:t>
      </w:r>
    </w:p>
    <w:p w:rsidR="00832D63" w:rsidRDefault="00832D63" w:rsidP="009B6011">
      <w:pPr>
        <w:spacing w:after="0" w:line="240" w:lineRule="auto"/>
        <w:jc w:val="both"/>
        <w:rPr>
          <w:rFonts w:ascii="Times New Roman" w:hAnsi="Times New Roman"/>
          <w:color w:val="000000"/>
          <w:sz w:val="24"/>
          <w:szCs w:val="24"/>
        </w:rPr>
      </w:pPr>
    </w:p>
    <w:p w:rsidR="009B6011" w:rsidRDefault="009B6011" w:rsidP="009B6011">
      <w:pPr>
        <w:spacing w:after="0" w:line="240" w:lineRule="auto"/>
        <w:jc w:val="both"/>
        <w:rPr>
          <w:rFonts w:ascii="Times New Roman" w:hAnsi="Times New Roman"/>
          <w:color w:val="000000"/>
          <w:sz w:val="24"/>
          <w:szCs w:val="24"/>
        </w:rPr>
      </w:pPr>
    </w:p>
    <w:p w:rsidR="009B6011" w:rsidRDefault="009B6011" w:rsidP="009B6011">
      <w:pPr>
        <w:spacing w:after="0" w:line="240" w:lineRule="auto"/>
        <w:jc w:val="both"/>
        <w:rPr>
          <w:rFonts w:ascii="Times New Roman" w:hAnsi="Times New Roman"/>
          <w:color w:val="000000"/>
          <w:sz w:val="24"/>
          <w:szCs w:val="24"/>
        </w:rPr>
      </w:pPr>
    </w:p>
    <w:p w:rsidR="009B6011" w:rsidRDefault="009B6011" w:rsidP="009B6011">
      <w:pPr>
        <w:spacing w:after="0" w:line="240" w:lineRule="auto"/>
        <w:jc w:val="both"/>
        <w:rPr>
          <w:rFonts w:ascii="Times New Roman" w:hAnsi="Times New Roman"/>
          <w:color w:val="000000"/>
          <w:sz w:val="24"/>
          <w:szCs w:val="24"/>
        </w:rPr>
      </w:pPr>
    </w:p>
    <w:p w:rsidR="009B6011" w:rsidRDefault="009B6011" w:rsidP="009B6011">
      <w:pPr>
        <w:spacing w:after="0" w:line="240" w:lineRule="auto"/>
        <w:jc w:val="both"/>
        <w:rPr>
          <w:rFonts w:ascii="Times New Roman" w:hAnsi="Times New Roman"/>
          <w:color w:val="000000"/>
          <w:sz w:val="24"/>
          <w:szCs w:val="24"/>
        </w:rPr>
      </w:pPr>
    </w:p>
    <w:p w:rsidR="009B6011" w:rsidRDefault="009B6011" w:rsidP="009B6011">
      <w:pPr>
        <w:spacing w:after="0" w:line="240" w:lineRule="auto"/>
        <w:jc w:val="both"/>
        <w:rPr>
          <w:rFonts w:ascii="Times New Roman" w:hAnsi="Times New Roman"/>
          <w:color w:val="000000"/>
          <w:sz w:val="24"/>
          <w:szCs w:val="24"/>
        </w:rPr>
      </w:pPr>
    </w:p>
    <w:p w:rsidR="009B6011" w:rsidRDefault="009B6011" w:rsidP="009B6011">
      <w:pPr>
        <w:spacing w:after="0" w:line="240" w:lineRule="auto"/>
        <w:jc w:val="both"/>
        <w:rPr>
          <w:rFonts w:ascii="Times New Roman" w:hAnsi="Times New Roman"/>
          <w:color w:val="000000"/>
          <w:sz w:val="24"/>
          <w:szCs w:val="24"/>
        </w:rPr>
      </w:pPr>
    </w:p>
    <w:p w:rsidR="009B6011" w:rsidRDefault="009B6011" w:rsidP="009B6011">
      <w:pPr>
        <w:spacing w:after="0" w:line="240" w:lineRule="auto"/>
        <w:jc w:val="both"/>
        <w:rPr>
          <w:rFonts w:ascii="Times New Roman" w:hAnsi="Times New Roman"/>
          <w:color w:val="000000"/>
          <w:sz w:val="24"/>
          <w:szCs w:val="24"/>
        </w:rPr>
      </w:pPr>
    </w:p>
    <w:p w:rsidR="009B6011" w:rsidRDefault="009B6011" w:rsidP="009B6011">
      <w:pPr>
        <w:spacing w:after="0" w:line="240" w:lineRule="auto"/>
        <w:jc w:val="both"/>
        <w:rPr>
          <w:rFonts w:ascii="Times New Roman" w:hAnsi="Times New Roman"/>
          <w:color w:val="000000"/>
          <w:sz w:val="24"/>
          <w:szCs w:val="24"/>
        </w:rPr>
      </w:pPr>
    </w:p>
    <w:p w:rsidR="009B6011" w:rsidRDefault="009B6011" w:rsidP="009B6011">
      <w:pPr>
        <w:spacing w:after="0" w:line="240" w:lineRule="auto"/>
        <w:jc w:val="both"/>
        <w:rPr>
          <w:rFonts w:ascii="Times New Roman" w:hAnsi="Times New Roman"/>
          <w:color w:val="000000"/>
          <w:sz w:val="24"/>
          <w:szCs w:val="24"/>
        </w:rPr>
      </w:pPr>
    </w:p>
    <w:p w:rsidR="00832D63" w:rsidRDefault="00832D63" w:rsidP="00832D63">
      <w:pPr>
        <w:spacing w:after="0" w:line="240" w:lineRule="auto"/>
        <w:ind w:firstLine="708"/>
        <w:jc w:val="both"/>
        <w:rPr>
          <w:rFonts w:ascii="Times New Roman" w:hAnsi="Times New Roman"/>
          <w:color w:val="000000"/>
          <w:sz w:val="24"/>
          <w:szCs w:val="24"/>
        </w:rPr>
      </w:pPr>
    </w:p>
    <w:p w:rsidR="00832D63" w:rsidRDefault="00832D63" w:rsidP="00832D63">
      <w:pPr>
        <w:spacing w:after="0" w:line="240" w:lineRule="auto"/>
        <w:ind w:firstLine="708"/>
        <w:jc w:val="both"/>
        <w:rPr>
          <w:rFonts w:ascii="Times New Roman" w:hAnsi="Times New Roman"/>
          <w:color w:val="000000"/>
          <w:sz w:val="24"/>
          <w:szCs w:val="24"/>
        </w:rPr>
      </w:pPr>
    </w:p>
    <w:p w:rsidR="009B6011" w:rsidRDefault="009B6011" w:rsidP="00832D63">
      <w:pPr>
        <w:spacing w:after="0" w:line="240" w:lineRule="auto"/>
        <w:ind w:firstLine="708"/>
        <w:jc w:val="both"/>
        <w:rPr>
          <w:rFonts w:ascii="Times New Roman" w:hAnsi="Times New Roman"/>
          <w:b/>
          <w:color w:val="000000"/>
          <w:sz w:val="24"/>
          <w:szCs w:val="24"/>
        </w:rPr>
      </w:pPr>
    </w:p>
    <w:p w:rsidR="00832D63" w:rsidRPr="00B45613" w:rsidRDefault="00832D63" w:rsidP="00832D63">
      <w:pPr>
        <w:spacing w:after="0" w:line="240" w:lineRule="auto"/>
        <w:ind w:firstLine="708"/>
        <w:jc w:val="both"/>
        <w:rPr>
          <w:rFonts w:ascii="Times New Roman" w:hAnsi="Times New Roman"/>
          <w:b/>
          <w:color w:val="000000"/>
          <w:sz w:val="24"/>
          <w:szCs w:val="24"/>
        </w:rPr>
      </w:pPr>
      <w:r>
        <w:rPr>
          <w:rFonts w:ascii="Times New Roman" w:hAnsi="Times New Roman"/>
          <w:b/>
          <w:color w:val="000000"/>
          <w:sz w:val="24"/>
          <w:szCs w:val="24"/>
        </w:rPr>
        <w:t>K č</w:t>
      </w:r>
      <w:r w:rsidRPr="00B45613">
        <w:rPr>
          <w:rFonts w:ascii="Times New Roman" w:hAnsi="Times New Roman"/>
          <w:b/>
          <w:color w:val="000000"/>
          <w:sz w:val="24"/>
          <w:szCs w:val="24"/>
        </w:rPr>
        <w:t>l. II</w:t>
      </w:r>
    </w:p>
    <w:p w:rsidR="00832D63" w:rsidRPr="00C60595" w:rsidRDefault="00832D63" w:rsidP="00832D63">
      <w:pPr>
        <w:pStyle w:val="Normlnywebov"/>
        <w:spacing w:before="0" w:beforeAutospacing="0" w:after="0" w:afterAutospacing="0"/>
        <w:ind w:firstLine="708"/>
        <w:jc w:val="both"/>
      </w:pPr>
      <w:r>
        <w:t>Navrhuje sa delená účinnosť zákona, a to na 31. decembra 2019, okrem novelizačných bodov 1 a 4, ktoré nadobúdajú účinnosť 1. januára 2020. Účinnosť 31. decembru 2019 sa vzťahuje na uvádzanie vybraných nefinančných informácií vo výročnej správe. Oslobodenie od uvádzania vybraných nefinančných informácií sa umožňuje už vo výročnej správe za rok 2019, ktorá sa vypracúva v priebehu roka 2020. S účinnosťou od 1. januára 2020 sa navrhuje úprava povinnosti overenia účtovnej závierky audítorom.</w:t>
      </w:r>
    </w:p>
    <w:p w:rsidR="00832D63" w:rsidRPr="00C60595" w:rsidRDefault="00832D63" w:rsidP="00832D63">
      <w:pPr>
        <w:spacing w:after="0" w:line="240" w:lineRule="auto"/>
        <w:ind w:firstLine="708"/>
        <w:jc w:val="both"/>
        <w:rPr>
          <w:rFonts w:ascii="Times New Roman" w:hAnsi="Times New Roman"/>
          <w:color w:val="000000"/>
          <w:sz w:val="24"/>
          <w:szCs w:val="24"/>
        </w:rPr>
      </w:pPr>
    </w:p>
    <w:p w:rsidR="00832D63" w:rsidRPr="00C60595" w:rsidRDefault="00832D63" w:rsidP="00832D63">
      <w:pPr>
        <w:spacing w:after="0" w:line="240" w:lineRule="auto"/>
        <w:ind w:firstLine="720"/>
        <w:jc w:val="both"/>
        <w:rPr>
          <w:rFonts w:ascii="Times New Roman" w:hAnsi="Times New Roman"/>
          <w:color w:val="000000"/>
          <w:sz w:val="24"/>
          <w:szCs w:val="24"/>
        </w:rPr>
      </w:pPr>
    </w:p>
    <w:p w:rsidR="00832D63" w:rsidRDefault="000E6CF3" w:rsidP="00832D63">
      <w:pPr>
        <w:spacing w:after="0" w:line="240" w:lineRule="auto"/>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Schválené vládou Slovenskej republiky</w:t>
      </w:r>
      <w:r w:rsidR="00832D63">
        <w:rPr>
          <w:rFonts w:ascii="Times New Roman" w:eastAsia="Times New Roman" w:hAnsi="Times New Roman"/>
          <w:color w:val="000000"/>
          <w:sz w:val="24"/>
          <w:szCs w:val="24"/>
          <w:lang w:eastAsia="sk-SK"/>
        </w:rPr>
        <w:t xml:space="preserve"> dňa 21. augusta</w:t>
      </w:r>
      <w:r w:rsidR="00832D63" w:rsidRPr="00832D63">
        <w:rPr>
          <w:rFonts w:ascii="Times New Roman" w:eastAsia="Times New Roman" w:hAnsi="Times New Roman"/>
          <w:color w:val="000000"/>
          <w:sz w:val="24"/>
          <w:szCs w:val="24"/>
          <w:lang w:eastAsia="sk-SK"/>
        </w:rPr>
        <w:t xml:space="preserve"> 2019.</w:t>
      </w:r>
    </w:p>
    <w:p w:rsidR="00832D63" w:rsidRPr="00832D63" w:rsidRDefault="00832D63" w:rsidP="00832D63">
      <w:pPr>
        <w:spacing w:after="0" w:line="240" w:lineRule="auto"/>
        <w:rPr>
          <w:rFonts w:ascii="Times New Roman" w:eastAsia="Times New Roman" w:hAnsi="Times New Roman"/>
          <w:sz w:val="24"/>
          <w:szCs w:val="24"/>
          <w:lang w:eastAsia="sk-SK"/>
        </w:rPr>
      </w:pPr>
    </w:p>
    <w:p w:rsidR="00832D63" w:rsidRDefault="00832D63" w:rsidP="00832D63">
      <w:pPr>
        <w:spacing w:after="0" w:line="240" w:lineRule="auto"/>
        <w:rPr>
          <w:rFonts w:ascii="Times New Roman" w:eastAsia="Times New Roman" w:hAnsi="Times New Roman"/>
          <w:color w:val="000000"/>
          <w:sz w:val="24"/>
          <w:szCs w:val="24"/>
          <w:lang w:eastAsia="sk-SK"/>
        </w:rPr>
      </w:pPr>
    </w:p>
    <w:p w:rsidR="00206D88" w:rsidRDefault="00206D88" w:rsidP="00832D63">
      <w:pPr>
        <w:spacing w:after="0" w:line="240" w:lineRule="auto"/>
        <w:rPr>
          <w:rFonts w:ascii="Times New Roman" w:eastAsia="Times New Roman" w:hAnsi="Times New Roman"/>
          <w:color w:val="000000"/>
          <w:sz w:val="24"/>
          <w:szCs w:val="24"/>
          <w:lang w:eastAsia="sk-SK"/>
        </w:rPr>
      </w:pPr>
    </w:p>
    <w:p w:rsidR="00206D88" w:rsidRDefault="00206D88" w:rsidP="00832D63">
      <w:pPr>
        <w:spacing w:after="0" w:line="240" w:lineRule="auto"/>
        <w:rPr>
          <w:rFonts w:ascii="Times New Roman" w:eastAsia="Times New Roman" w:hAnsi="Times New Roman"/>
          <w:color w:val="000000"/>
          <w:sz w:val="24"/>
          <w:szCs w:val="24"/>
          <w:lang w:eastAsia="sk-SK"/>
        </w:rPr>
      </w:pPr>
    </w:p>
    <w:p w:rsidR="00206D88" w:rsidRDefault="00206D88" w:rsidP="00832D63">
      <w:pPr>
        <w:spacing w:after="0" w:line="240" w:lineRule="auto"/>
        <w:rPr>
          <w:rFonts w:ascii="Times New Roman" w:eastAsia="Times New Roman" w:hAnsi="Times New Roman"/>
          <w:color w:val="000000"/>
          <w:sz w:val="24"/>
          <w:szCs w:val="24"/>
          <w:lang w:eastAsia="sk-SK"/>
        </w:rPr>
      </w:pPr>
    </w:p>
    <w:p w:rsidR="00206D88" w:rsidRDefault="00206D88" w:rsidP="00832D63">
      <w:pPr>
        <w:spacing w:after="0" w:line="240" w:lineRule="auto"/>
        <w:rPr>
          <w:rFonts w:ascii="Times New Roman" w:eastAsia="Times New Roman" w:hAnsi="Times New Roman"/>
          <w:color w:val="000000"/>
          <w:sz w:val="24"/>
          <w:szCs w:val="24"/>
          <w:lang w:eastAsia="sk-SK"/>
        </w:rPr>
      </w:pPr>
    </w:p>
    <w:p w:rsidR="00206D88" w:rsidRDefault="00206D88" w:rsidP="00832D63">
      <w:pPr>
        <w:spacing w:after="0" w:line="240" w:lineRule="auto"/>
        <w:rPr>
          <w:rFonts w:ascii="Times New Roman" w:eastAsia="Times New Roman" w:hAnsi="Times New Roman"/>
          <w:color w:val="000000"/>
          <w:sz w:val="24"/>
          <w:szCs w:val="24"/>
          <w:lang w:eastAsia="sk-SK"/>
        </w:rPr>
      </w:pPr>
    </w:p>
    <w:p w:rsidR="00206D88" w:rsidRDefault="00206D88" w:rsidP="00832D63">
      <w:pPr>
        <w:spacing w:after="0" w:line="240" w:lineRule="auto"/>
        <w:rPr>
          <w:rFonts w:ascii="Times New Roman" w:eastAsia="Times New Roman" w:hAnsi="Times New Roman"/>
          <w:color w:val="000000"/>
          <w:sz w:val="24"/>
          <w:szCs w:val="24"/>
          <w:lang w:eastAsia="sk-SK"/>
        </w:rPr>
      </w:pPr>
    </w:p>
    <w:p w:rsidR="00832D63" w:rsidRPr="00832D63" w:rsidRDefault="00206D88" w:rsidP="0088719F">
      <w:pPr>
        <w:spacing w:after="0" w:line="240" w:lineRule="auto"/>
        <w:ind w:left="2832" w:firstLine="708"/>
        <w:rPr>
          <w:rFonts w:ascii="Times New Roman" w:eastAsia="Times New Roman" w:hAnsi="Times New Roman"/>
          <w:sz w:val="24"/>
          <w:szCs w:val="24"/>
          <w:lang w:eastAsia="sk-SK"/>
        </w:rPr>
      </w:pPr>
      <w:r>
        <w:rPr>
          <w:rFonts w:ascii="Times New Roman" w:eastAsia="Times New Roman" w:hAnsi="Times New Roman"/>
          <w:b/>
          <w:color w:val="000000"/>
          <w:sz w:val="24"/>
          <w:szCs w:val="24"/>
          <w:lang w:eastAsia="sk-SK"/>
        </w:rPr>
        <w:t>Peter Pellegrini</w:t>
      </w:r>
      <w:r w:rsidR="00800C14">
        <w:rPr>
          <w:rFonts w:ascii="Times New Roman" w:eastAsia="Times New Roman" w:hAnsi="Times New Roman"/>
          <w:b/>
          <w:color w:val="000000"/>
          <w:sz w:val="24"/>
          <w:szCs w:val="24"/>
          <w:lang w:eastAsia="sk-SK"/>
        </w:rPr>
        <w:t xml:space="preserve"> v.r.</w:t>
      </w:r>
    </w:p>
    <w:p w:rsidR="00832D63" w:rsidRDefault="00832D63" w:rsidP="0088719F">
      <w:pPr>
        <w:spacing w:after="0" w:line="240" w:lineRule="auto"/>
        <w:ind w:left="2124" w:firstLine="708"/>
        <w:rPr>
          <w:rFonts w:ascii="Times New Roman" w:eastAsia="Times New Roman" w:hAnsi="Times New Roman"/>
          <w:color w:val="000000"/>
          <w:sz w:val="24"/>
          <w:szCs w:val="24"/>
          <w:lang w:eastAsia="sk-SK"/>
        </w:rPr>
      </w:pPr>
      <w:r w:rsidRPr="00832D63">
        <w:rPr>
          <w:rFonts w:ascii="Times New Roman" w:eastAsia="Times New Roman" w:hAnsi="Times New Roman"/>
          <w:color w:val="000000"/>
          <w:sz w:val="24"/>
          <w:szCs w:val="24"/>
          <w:lang w:eastAsia="sk-SK"/>
        </w:rPr>
        <w:t>predseda vlády Slovenskej republiky</w:t>
      </w:r>
    </w:p>
    <w:p w:rsidR="00832D63" w:rsidRDefault="00832D63" w:rsidP="0088719F">
      <w:pPr>
        <w:spacing w:after="0" w:line="240" w:lineRule="auto"/>
        <w:ind w:left="2124" w:firstLine="708"/>
        <w:rPr>
          <w:rFonts w:ascii="Times New Roman" w:eastAsia="Times New Roman" w:hAnsi="Times New Roman"/>
          <w:sz w:val="24"/>
          <w:szCs w:val="24"/>
          <w:lang w:eastAsia="sk-SK"/>
        </w:rPr>
      </w:pPr>
    </w:p>
    <w:p w:rsidR="00832D63" w:rsidRDefault="00832D63" w:rsidP="0088719F">
      <w:pPr>
        <w:spacing w:after="0" w:line="240" w:lineRule="auto"/>
        <w:ind w:left="2124" w:firstLine="708"/>
        <w:rPr>
          <w:rFonts w:ascii="Times New Roman" w:eastAsia="Times New Roman" w:hAnsi="Times New Roman"/>
          <w:sz w:val="24"/>
          <w:szCs w:val="24"/>
          <w:lang w:eastAsia="sk-SK"/>
        </w:rPr>
      </w:pPr>
    </w:p>
    <w:p w:rsidR="00206D88" w:rsidRDefault="00206D88" w:rsidP="0088719F">
      <w:pPr>
        <w:spacing w:after="0" w:line="240" w:lineRule="auto"/>
        <w:ind w:left="2124" w:firstLine="708"/>
        <w:rPr>
          <w:rFonts w:ascii="Times New Roman" w:eastAsia="Times New Roman" w:hAnsi="Times New Roman"/>
          <w:sz w:val="24"/>
          <w:szCs w:val="24"/>
          <w:lang w:eastAsia="sk-SK"/>
        </w:rPr>
      </w:pPr>
    </w:p>
    <w:p w:rsidR="00206D88" w:rsidRDefault="00206D88" w:rsidP="00832D63">
      <w:pPr>
        <w:spacing w:after="0" w:line="240" w:lineRule="auto"/>
        <w:ind w:left="2124" w:firstLine="708"/>
        <w:rPr>
          <w:rFonts w:ascii="Times New Roman" w:eastAsia="Times New Roman" w:hAnsi="Times New Roman"/>
          <w:sz w:val="24"/>
          <w:szCs w:val="24"/>
          <w:lang w:eastAsia="sk-SK"/>
        </w:rPr>
      </w:pPr>
    </w:p>
    <w:p w:rsidR="00206D88" w:rsidRDefault="00206D88" w:rsidP="00832D63">
      <w:pPr>
        <w:spacing w:after="0" w:line="240" w:lineRule="auto"/>
        <w:ind w:left="2124" w:firstLine="708"/>
        <w:rPr>
          <w:rFonts w:ascii="Times New Roman" w:eastAsia="Times New Roman" w:hAnsi="Times New Roman"/>
          <w:sz w:val="24"/>
          <w:szCs w:val="24"/>
          <w:lang w:eastAsia="sk-SK"/>
        </w:rPr>
      </w:pPr>
    </w:p>
    <w:p w:rsidR="00206D88" w:rsidRDefault="00206D88" w:rsidP="00832D63">
      <w:pPr>
        <w:spacing w:after="0" w:line="240" w:lineRule="auto"/>
        <w:ind w:left="2124" w:firstLine="708"/>
        <w:rPr>
          <w:rFonts w:ascii="Times New Roman" w:eastAsia="Times New Roman" w:hAnsi="Times New Roman"/>
          <w:sz w:val="24"/>
          <w:szCs w:val="24"/>
          <w:lang w:eastAsia="sk-SK"/>
        </w:rPr>
      </w:pPr>
    </w:p>
    <w:p w:rsidR="00832D63" w:rsidRPr="00832D63" w:rsidRDefault="00832D63" w:rsidP="00832D63">
      <w:pPr>
        <w:spacing w:after="0" w:line="240" w:lineRule="auto"/>
        <w:ind w:left="2124" w:firstLine="708"/>
        <w:rPr>
          <w:rFonts w:ascii="Times New Roman" w:eastAsia="Times New Roman" w:hAnsi="Times New Roman"/>
          <w:sz w:val="24"/>
          <w:szCs w:val="24"/>
          <w:lang w:eastAsia="sk-SK"/>
        </w:rPr>
      </w:pPr>
    </w:p>
    <w:p w:rsidR="00832D63" w:rsidRPr="00832D63" w:rsidRDefault="00206D88" w:rsidP="0088719F">
      <w:pPr>
        <w:spacing w:after="0" w:line="240" w:lineRule="auto"/>
        <w:ind w:left="2832" w:firstLine="708"/>
        <w:rPr>
          <w:rFonts w:ascii="Times New Roman" w:eastAsia="Times New Roman" w:hAnsi="Times New Roman"/>
          <w:b/>
          <w:sz w:val="24"/>
          <w:szCs w:val="24"/>
          <w:lang w:eastAsia="sk-SK"/>
        </w:rPr>
      </w:pPr>
      <w:r>
        <w:rPr>
          <w:rFonts w:ascii="Times New Roman" w:eastAsia="Times New Roman" w:hAnsi="Times New Roman"/>
          <w:b/>
          <w:color w:val="000000"/>
          <w:sz w:val="24"/>
          <w:szCs w:val="24"/>
          <w:lang w:eastAsia="sk-SK"/>
        </w:rPr>
        <w:t>Ladislav Kamenický</w:t>
      </w:r>
      <w:r w:rsidR="00800C14">
        <w:rPr>
          <w:rFonts w:ascii="Times New Roman" w:eastAsia="Times New Roman" w:hAnsi="Times New Roman"/>
          <w:b/>
          <w:color w:val="000000"/>
          <w:sz w:val="24"/>
          <w:szCs w:val="24"/>
          <w:lang w:eastAsia="sk-SK"/>
        </w:rPr>
        <w:t xml:space="preserve"> v.r.</w:t>
      </w:r>
    </w:p>
    <w:p w:rsidR="00832D63" w:rsidRPr="00832D63" w:rsidRDefault="00832D63" w:rsidP="0088719F">
      <w:pPr>
        <w:spacing w:after="0" w:line="240" w:lineRule="auto"/>
        <w:ind w:left="2124" w:firstLine="708"/>
        <w:rPr>
          <w:rFonts w:ascii="Times New Roman" w:eastAsia="Times New Roman" w:hAnsi="Times New Roman"/>
          <w:sz w:val="24"/>
          <w:szCs w:val="24"/>
          <w:lang w:eastAsia="sk-SK"/>
        </w:rPr>
      </w:pPr>
      <w:r w:rsidRPr="00832D63">
        <w:rPr>
          <w:rFonts w:ascii="Times New Roman" w:eastAsia="Times New Roman" w:hAnsi="Times New Roman"/>
          <w:color w:val="000000"/>
          <w:sz w:val="24"/>
          <w:szCs w:val="24"/>
          <w:lang w:eastAsia="sk-SK"/>
        </w:rPr>
        <w:t>minister financií Slovenskej republiky</w:t>
      </w:r>
    </w:p>
    <w:p w:rsidR="00832D63" w:rsidRPr="00C60595" w:rsidRDefault="00832D63" w:rsidP="0088719F">
      <w:pPr>
        <w:rPr>
          <w:rFonts w:ascii="Times New Roman" w:hAnsi="Times New Roman"/>
          <w:sz w:val="24"/>
          <w:szCs w:val="24"/>
        </w:rPr>
      </w:pPr>
    </w:p>
    <w:p w:rsidR="009157AF" w:rsidRPr="009157AF" w:rsidRDefault="009157AF" w:rsidP="0088719F">
      <w:pPr>
        <w:rPr>
          <w:rFonts w:ascii="Times New Roman" w:hAnsi="Times New Roman"/>
          <w:sz w:val="24"/>
          <w:szCs w:val="24"/>
        </w:rPr>
      </w:pPr>
    </w:p>
    <w:p w:rsidR="009157AF" w:rsidRPr="009157AF" w:rsidRDefault="009157AF" w:rsidP="007E0782">
      <w:pPr>
        <w:pStyle w:val="Normlnywebov"/>
        <w:spacing w:before="0" w:beforeAutospacing="0" w:after="0" w:afterAutospacing="0"/>
        <w:ind w:firstLine="720"/>
        <w:jc w:val="both"/>
      </w:pPr>
    </w:p>
    <w:p w:rsidR="009157AF" w:rsidRPr="009157AF" w:rsidRDefault="009157AF">
      <w:pPr>
        <w:pStyle w:val="Normlnywebov"/>
        <w:spacing w:before="0" w:beforeAutospacing="0" w:after="0" w:afterAutospacing="0"/>
        <w:ind w:firstLine="720"/>
        <w:jc w:val="both"/>
      </w:pPr>
    </w:p>
    <w:sectPr w:rsidR="009157AF" w:rsidRPr="009157AF" w:rsidSect="002B40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CB9" w:rsidRDefault="00EB0CB9" w:rsidP="006F43F7">
      <w:pPr>
        <w:spacing w:after="0" w:line="240" w:lineRule="auto"/>
      </w:pPr>
      <w:r>
        <w:separator/>
      </w:r>
    </w:p>
  </w:endnote>
  <w:endnote w:type="continuationSeparator" w:id="0">
    <w:p w:rsidR="00EB0CB9" w:rsidRDefault="00EB0CB9" w:rsidP="006F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3F7" w:rsidRDefault="006F43F7">
    <w:pPr>
      <w:pStyle w:val="Pta"/>
      <w:jc w:val="center"/>
    </w:pPr>
    <w:r>
      <w:fldChar w:fldCharType="begin"/>
    </w:r>
    <w:r>
      <w:instrText>PAGE   \* MERGEFORMAT</w:instrText>
    </w:r>
    <w:r>
      <w:fldChar w:fldCharType="separate"/>
    </w:r>
    <w:r w:rsidR="00B34D81">
      <w:rPr>
        <w:noProof/>
      </w:rPr>
      <w:t>4</w:t>
    </w:r>
    <w:r>
      <w:fldChar w:fldCharType="end"/>
    </w:r>
  </w:p>
  <w:p w:rsidR="006F43F7" w:rsidRDefault="006F43F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CB9" w:rsidRDefault="00EB0CB9" w:rsidP="006F43F7">
      <w:pPr>
        <w:spacing w:after="0" w:line="240" w:lineRule="auto"/>
      </w:pPr>
      <w:r>
        <w:separator/>
      </w:r>
    </w:p>
  </w:footnote>
  <w:footnote w:type="continuationSeparator" w:id="0">
    <w:p w:rsidR="00EB0CB9" w:rsidRDefault="00EB0CB9" w:rsidP="006F4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B08A6"/>
    <w:multiLevelType w:val="hybridMultilevel"/>
    <w:tmpl w:val="A06496DE"/>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5BFEAE76">
      <w:start w:val="1"/>
      <w:numFmt w:val="lowerLetter"/>
      <w:lvlText w:val="%2)"/>
      <w:lvlJc w:val="left"/>
      <w:pPr>
        <w:tabs>
          <w:tab w:val="num" w:pos="1620"/>
        </w:tabs>
        <w:ind w:left="1620" w:hanging="360"/>
      </w:pPr>
      <w:rPr>
        <w:rFonts w:ascii="Times New Roman" w:eastAsia="Times New Roman" w:hAnsi="Times New Roman" w:cs="Times New Roman"/>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8070695"/>
    <w:multiLevelType w:val="multilevel"/>
    <w:tmpl w:val="E0D044DE"/>
    <w:lvl w:ilvl="0">
      <w:start w:val="3"/>
      <w:numFmt w:val="decimal"/>
      <w:lvlText w:val="%1."/>
      <w:lvlJc w:val="left"/>
      <w:pPr>
        <w:tabs>
          <w:tab w:val="num" w:pos="0"/>
        </w:tabs>
        <w:ind w:left="425" w:hanging="425"/>
      </w:pPr>
      <w:rPr>
        <w:rFonts w:cs="Times New Roman" w:hint="default"/>
        <w:b/>
        <w:bCs/>
      </w:rPr>
    </w:lvl>
    <w:lvl w:ilvl="1">
      <w:start w:val="3"/>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2" w15:restartNumberingAfterBreak="0">
    <w:nsid w:val="4EAF4367"/>
    <w:multiLevelType w:val="hybridMultilevel"/>
    <w:tmpl w:val="C4626CDA"/>
    <w:lvl w:ilvl="0" w:tplc="9E9E7A36">
      <w:start w:val="3"/>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C9B77D4"/>
    <w:multiLevelType w:val="multilevel"/>
    <w:tmpl w:val="4FC83E9A"/>
    <w:lvl w:ilvl="0">
      <w:start w:val="1"/>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4" w15:restartNumberingAfterBreak="0">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5" w15:restartNumberingAfterBreak="0">
    <w:nsid w:val="6ACF6104"/>
    <w:multiLevelType w:val="hybridMultilevel"/>
    <w:tmpl w:val="3A924DA6"/>
    <w:lvl w:ilvl="0" w:tplc="CCCEB200">
      <w:start w:val="6"/>
      <w:numFmt w:val="bullet"/>
      <w:lvlText w:val="-"/>
      <w:lvlJc w:val="left"/>
      <w:pPr>
        <w:ind w:left="785" w:hanging="360"/>
      </w:pPr>
      <w:rPr>
        <w:rFonts w:ascii="Times New Roman" w:eastAsia="Times New Roman" w:hAnsi="Times New Roman"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 w15:restartNumberingAfterBreak="0">
    <w:nsid w:val="7C411896"/>
    <w:multiLevelType w:val="hybridMultilevel"/>
    <w:tmpl w:val="4DA41C74"/>
    <w:lvl w:ilvl="0" w:tplc="041B0017">
      <w:start w:val="1"/>
      <w:numFmt w:val="lowerLetter"/>
      <w:lvlText w:val="%1)"/>
      <w:lvlJc w:val="left"/>
      <w:pPr>
        <w:tabs>
          <w:tab w:val="num" w:pos="785"/>
        </w:tabs>
        <w:ind w:left="785" w:hanging="360"/>
      </w:pPr>
      <w:rPr>
        <w:rFonts w:hint="default"/>
      </w:rPr>
    </w:lvl>
    <w:lvl w:ilvl="1" w:tplc="041B0019">
      <w:start w:val="1"/>
      <w:numFmt w:val="lowerLetter"/>
      <w:lvlText w:val="%2."/>
      <w:lvlJc w:val="left"/>
      <w:pPr>
        <w:tabs>
          <w:tab w:val="num" w:pos="1505"/>
        </w:tabs>
        <w:ind w:left="1505" w:hanging="360"/>
      </w:pPr>
      <w:rPr>
        <w:rFonts w:cs="Times New Roman"/>
      </w:rPr>
    </w:lvl>
    <w:lvl w:ilvl="2" w:tplc="041B001B" w:tentative="1">
      <w:start w:val="1"/>
      <w:numFmt w:val="lowerRoman"/>
      <w:lvlText w:val="%3."/>
      <w:lvlJc w:val="right"/>
      <w:pPr>
        <w:tabs>
          <w:tab w:val="num" w:pos="2225"/>
        </w:tabs>
        <w:ind w:left="2225" w:hanging="180"/>
      </w:pPr>
      <w:rPr>
        <w:rFonts w:cs="Times New Roman"/>
      </w:rPr>
    </w:lvl>
    <w:lvl w:ilvl="3" w:tplc="041B000F" w:tentative="1">
      <w:start w:val="1"/>
      <w:numFmt w:val="decimal"/>
      <w:lvlText w:val="%4."/>
      <w:lvlJc w:val="left"/>
      <w:pPr>
        <w:tabs>
          <w:tab w:val="num" w:pos="2945"/>
        </w:tabs>
        <w:ind w:left="2945" w:hanging="360"/>
      </w:pPr>
      <w:rPr>
        <w:rFonts w:cs="Times New Roman"/>
      </w:rPr>
    </w:lvl>
    <w:lvl w:ilvl="4" w:tplc="041B0019" w:tentative="1">
      <w:start w:val="1"/>
      <w:numFmt w:val="lowerLetter"/>
      <w:lvlText w:val="%5."/>
      <w:lvlJc w:val="left"/>
      <w:pPr>
        <w:tabs>
          <w:tab w:val="num" w:pos="3665"/>
        </w:tabs>
        <w:ind w:left="3665" w:hanging="360"/>
      </w:pPr>
      <w:rPr>
        <w:rFonts w:cs="Times New Roman"/>
      </w:rPr>
    </w:lvl>
    <w:lvl w:ilvl="5" w:tplc="041B001B" w:tentative="1">
      <w:start w:val="1"/>
      <w:numFmt w:val="lowerRoman"/>
      <w:lvlText w:val="%6."/>
      <w:lvlJc w:val="right"/>
      <w:pPr>
        <w:tabs>
          <w:tab w:val="num" w:pos="4385"/>
        </w:tabs>
        <w:ind w:left="4385" w:hanging="180"/>
      </w:pPr>
      <w:rPr>
        <w:rFonts w:cs="Times New Roman"/>
      </w:rPr>
    </w:lvl>
    <w:lvl w:ilvl="6" w:tplc="041B000F" w:tentative="1">
      <w:start w:val="1"/>
      <w:numFmt w:val="decimal"/>
      <w:lvlText w:val="%7."/>
      <w:lvlJc w:val="left"/>
      <w:pPr>
        <w:tabs>
          <w:tab w:val="num" w:pos="5105"/>
        </w:tabs>
        <w:ind w:left="5105" w:hanging="360"/>
      </w:pPr>
      <w:rPr>
        <w:rFonts w:cs="Times New Roman"/>
      </w:rPr>
    </w:lvl>
    <w:lvl w:ilvl="7" w:tplc="041B0019" w:tentative="1">
      <w:start w:val="1"/>
      <w:numFmt w:val="lowerLetter"/>
      <w:lvlText w:val="%8."/>
      <w:lvlJc w:val="left"/>
      <w:pPr>
        <w:tabs>
          <w:tab w:val="num" w:pos="5825"/>
        </w:tabs>
        <w:ind w:left="5825" w:hanging="360"/>
      </w:pPr>
      <w:rPr>
        <w:rFonts w:cs="Times New Roman"/>
      </w:rPr>
    </w:lvl>
    <w:lvl w:ilvl="8" w:tplc="041B001B" w:tentative="1">
      <w:start w:val="1"/>
      <w:numFmt w:val="lowerRoman"/>
      <w:lvlText w:val="%9."/>
      <w:lvlJc w:val="right"/>
      <w:pPr>
        <w:tabs>
          <w:tab w:val="num" w:pos="6545"/>
        </w:tabs>
        <w:ind w:left="6545" w:hanging="180"/>
      </w:pPr>
      <w:rPr>
        <w:rFonts w:cs="Times New Roman"/>
      </w:rPr>
    </w:lvl>
  </w:abstractNum>
  <w:num w:numId="1">
    <w:abstractNumId w:val="6"/>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B1"/>
    <w:rsid w:val="000E6CF3"/>
    <w:rsid w:val="00206D88"/>
    <w:rsid w:val="00233FFE"/>
    <w:rsid w:val="002B40EB"/>
    <w:rsid w:val="00313FE6"/>
    <w:rsid w:val="003333A4"/>
    <w:rsid w:val="00370108"/>
    <w:rsid w:val="003936F5"/>
    <w:rsid w:val="003E1147"/>
    <w:rsid w:val="00473CAB"/>
    <w:rsid w:val="005404BA"/>
    <w:rsid w:val="005B16E9"/>
    <w:rsid w:val="00617841"/>
    <w:rsid w:val="006F43F7"/>
    <w:rsid w:val="00702ACB"/>
    <w:rsid w:val="007E0782"/>
    <w:rsid w:val="00800C14"/>
    <w:rsid w:val="008050F8"/>
    <w:rsid w:val="008254B2"/>
    <w:rsid w:val="00832D63"/>
    <w:rsid w:val="00843BFB"/>
    <w:rsid w:val="00855C2A"/>
    <w:rsid w:val="0088719F"/>
    <w:rsid w:val="009157AF"/>
    <w:rsid w:val="0094033D"/>
    <w:rsid w:val="00970ADF"/>
    <w:rsid w:val="009A56B1"/>
    <w:rsid w:val="009B6011"/>
    <w:rsid w:val="009D7BB0"/>
    <w:rsid w:val="00B04C44"/>
    <w:rsid w:val="00B34D81"/>
    <w:rsid w:val="00B64708"/>
    <w:rsid w:val="00BD7CC5"/>
    <w:rsid w:val="00CC2865"/>
    <w:rsid w:val="00CD72F1"/>
    <w:rsid w:val="00CF00A0"/>
    <w:rsid w:val="00DE0BE3"/>
    <w:rsid w:val="00DF4F2E"/>
    <w:rsid w:val="00E357D5"/>
    <w:rsid w:val="00E63153"/>
    <w:rsid w:val="00EB0CB9"/>
    <w:rsid w:val="00EF3724"/>
    <w:rsid w:val="00F11FA5"/>
    <w:rsid w:val="00F1255F"/>
    <w:rsid w:val="00F25B7D"/>
    <w:rsid w:val="00F83A02"/>
    <w:rsid w:val="00FA7A17"/>
    <w:rsid w:val="00FD129F"/>
    <w:rsid w:val="00FD202A"/>
    <w:rsid w:val="00FD3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5F615-BF72-4E12-8747-58960C50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A56B1"/>
    <w:rPr>
      <w:sz w:val="22"/>
      <w:szCs w:val="22"/>
      <w:lang w:eastAsia="en-US"/>
    </w:rPr>
  </w:style>
  <w:style w:type="character" w:styleId="Textzstupnhosymbolu">
    <w:name w:val="Text zástupného symbolu"/>
    <w:uiPriority w:val="99"/>
    <w:semiHidden/>
    <w:rsid w:val="009A56B1"/>
    <w:rPr>
      <w:color w:val="808080"/>
    </w:rPr>
  </w:style>
  <w:style w:type="paragraph" w:styleId="Normlnywebov">
    <w:name w:val="Normal (Web)"/>
    <w:basedOn w:val="Normlny"/>
    <w:uiPriority w:val="99"/>
    <w:unhideWhenUsed/>
    <w:rsid w:val="009A56B1"/>
    <w:pPr>
      <w:spacing w:before="100" w:beforeAutospacing="1" w:after="100" w:afterAutospacing="1" w:line="240" w:lineRule="auto"/>
    </w:pPr>
    <w:rPr>
      <w:rFonts w:ascii="Times New Roman" w:eastAsia="Times New Roman" w:hAnsi="Times New Roman"/>
      <w:sz w:val="24"/>
      <w:szCs w:val="24"/>
      <w:lang w:eastAsia="sk-SK"/>
    </w:rPr>
  </w:style>
  <w:style w:type="table" w:styleId="Mriekatabuky">
    <w:name w:val="Table Grid"/>
    <w:basedOn w:val="Normlnatabuka"/>
    <w:uiPriority w:val="59"/>
    <w:rsid w:val="009157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157AF"/>
    <w:pPr>
      <w:ind w:left="720"/>
      <w:contextualSpacing/>
    </w:pPr>
  </w:style>
  <w:style w:type="paragraph" w:customStyle="1" w:styleId="Default">
    <w:name w:val="Default"/>
    <w:rsid w:val="009157AF"/>
    <w:pPr>
      <w:autoSpaceDE w:val="0"/>
      <w:autoSpaceDN w:val="0"/>
      <w:adjustRightInd w:val="0"/>
    </w:pPr>
    <w:rPr>
      <w:rFonts w:ascii="Arial" w:hAnsi="Arial" w:cs="Arial"/>
      <w:color w:val="000000"/>
      <w:sz w:val="24"/>
      <w:szCs w:val="24"/>
      <w:lang w:eastAsia="en-US"/>
    </w:rPr>
  </w:style>
  <w:style w:type="character" w:styleId="Hypertextovprepojenie">
    <w:name w:val="Hyperlink"/>
    <w:uiPriority w:val="99"/>
    <w:unhideWhenUsed/>
    <w:rsid w:val="009157AF"/>
    <w:rPr>
      <w:color w:val="0000FF"/>
      <w:u w:val="single"/>
    </w:rPr>
  </w:style>
  <w:style w:type="paragraph" w:customStyle="1" w:styleId="c02alineaalta">
    <w:name w:val="c02alineaalta"/>
    <w:basedOn w:val="Normlny"/>
    <w:rsid w:val="009157AF"/>
    <w:pPr>
      <w:spacing w:after="240" w:line="240" w:lineRule="auto"/>
      <w:ind w:left="567"/>
      <w:jc w:val="both"/>
    </w:pPr>
    <w:rPr>
      <w:rFonts w:ascii="Arial" w:eastAsia="Times New Roman" w:hAnsi="Arial" w:cs="Arial"/>
      <w:lang w:eastAsia="sk-SK"/>
    </w:rPr>
  </w:style>
  <w:style w:type="paragraph" w:styleId="Hlavika">
    <w:name w:val="header"/>
    <w:basedOn w:val="Normlny"/>
    <w:link w:val="HlavikaChar"/>
    <w:uiPriority w:val="99"/>
    <w:unhideWhenUsed/>
    <w:rsid w:val="006F43F7"/>
    <w:pPr>
      <w:tabs>
        <w:tab w:val="center" w:pos="4536"/>
        <w:tab w:val="right" w:pos="9072"/>
      </w:tabs>
    </w:pPr>
  </w:style>
  <w:style w:type="character" w:customStyle="1" w:styleId="HlavikaChar">
    <w:name w:val="Hlavička Char"/>
    <w:link w:val="Hlavika"/>
    <w:uiPriority w:val="99"/>
    <w:rsid w:val="006F43F7"/>
    <w:rPr>
      <w:sz w:val="22"/>
      <w:szCs w:val="22"/>
      <w:lang w:eastAsia="en-US"/>
    </w:rPr>
  </w:style>
  <w:style w:type="paragraph" w:styleId="Pta">
    <w:name w:val="footer"/>
    <w:basedOn w:val="Normlny"/>
    <w:link w:val="PtaChar"/>
    <w:uiPriority w:val="99"/>
    <w:unhideWhenUsed/>
    <w:rsid w:val="006F43F7"/>
    <w:pPr>
      <w:tabs>
        <w:tab w:val="center" w:pos="4536"/>
        <w:tab w:val="right" w:pos="9072"/>
      </w:tabs>
    </w:pPr>
  </w:style>
  <w:style w:type="character" w:customStyle="1" w:styleId="PtaChar">
    <w:name w:val="Päta Char"/>
    <w:link w:val="Pta"/>
    <w:uiPriority w:val="99"/>
    <w:rsid w:val="006F43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88573">
      <w:bodyDiv w:val="1"/>
      <w:marLeft w:val="0"/>
      <w:marRight w:val="0"/>
      <w:marTop w:val="0"/>
      <w:marBottom w:val="0"/>
      <w:divBdr>
        <w:top w:val="none" w:sz="0" w:space="0" w:color="auto"/>
        <w:left w:val="none" w:sz="0" w:space="0" w:color="auto"/>
        <w:bottom w:val="none" w:sz="0" w:space="0" w:color="auto"/>
        <w:right w:val="none" w:sz="0" w:space="0" w:color="auto"/>
      </w:divBdr>
      <w:divsChild>
        <w:div w:id="943415555">
          <w:marLeft w:val="0"/>
          <w:marRight w:val="0"/>
          <w:marTop w:val="0"/>
          <w:marBottom w:val="0"/>
          <w:divBdr>
            <w:top w:val="none" w:sz="0" w:space="0" w:color="auto"/>
            <w:left w:val="none" w:sz="0" w:space="0" w:color="auto"/>
            <w:bottom w:val="none" w:sz="0" w:space="0" w:color="auto"/>
            <w:right w:val="none" w:sz="0" w:space="0" w:color="auto"/>
          </w:divBdr>
          <w:divsChild>
            <w:div w:id="898631638">
              <w:marLeft w:val="0"/>
              <w:marRight w:val="0"/>
              <w:marTop w:val="0"/>
              <w:marBottom w:val="0"/>
              <w:divBdr>
                <w:top w:val="none" w:sz="0" w:space="0" w:color="auto"/>
                <w:left w:val="none" w:sz="0" w:space="0" w:color="auto"/>
                <w:bottom w:val="none" w:sz="0" w:space="0" w:color="auto"/>
                <w:right w:val="none" w:sz="0" w:space="0" w:color="auto"/>
              </w:divBdr>
              <w:divsChild>
                <w:div w:id="387337746">
                  <w:marLeft w:val="0"/>
                  <w:marRight w:val="0"/>
                  <w:marTop w:val="0"/>
                  <w:marBottom w:val="0"/>
                  <w:divBdr>
                    <w:top w:val="none" w:sz="0" w:space="0" w:color="auto"/>
                    <w:left w:val="none" w:sz="0" w:space="0" w:color="auto"/>
                    <w:bottom w:val="none" w:sz="0" w:space="0" w:color="auto"/>
                    <w:right w:val="none" w:sz="0" w:space="0" w:color="auto"/>
                  </w:divBdr>
                </w:div>
                <w:div w:id="703166738">
                  <w:marLeft w:val="0"/>
                  <w:marRight w:val="0"/>
                  <w:marTop w:val="0"/>
                  <w:marBottom w:val="0"/>
                  <w:divBdr>
                    <w:top w:val="none" w:sz="0" w:space="0" w:color="auto"/>
                    <w:left w:val="none" w:sz="0" w:space="0" w:color="auto"/>
                    <w:bottom w:val="none" w:sz="0" w:space="0" w:color="auto"/>
                    <w:right w:val="none" w:sz="0" w:space="0" w:color="auto"/>
                  </w:divBdr>
                </w:div>
                <w:div w:id="820392160">
                  <w:marLeft w:val="0"/>
                  <w:marRight w:val="0"/>
                  <w:marTop w:val="0"/>
                  <w:marBottom w:val="0"/>
                  <w:divBdr>
                    <w:top w:val="none" w:sz="0" w:space="0" w:color="auto"/>
                    <w:left w:val="none" w:sz="0" w:space="0" w:color="auto"/>
                    <w:bottom w:val="none" w:sz="0" w:space="0" w:color="auto"/>
                    <w:right w:val="none" w:sz="0" w:space="0" w:color="auto"/>
                  </w:divBdr>
                </w:div>
                <w:div w:id="923535782">
                  <w:marLeft w:val="0"/>
                  <w:marRight w:val="0"/>
                  <w:marTop w:val="0"/>
                  <w:marBottom w:val="0"/>
                  <w:divBdr>
                    <w:top w:val="none" w:sz="0" w:space="0" w:color="auto"/>
                    <w:left w:val="none" w:sz="0" w:space="0" w:color="auto"/>
                    <w:bottom w:val="none" w:sz="0" w:space="0" w:color="auto"/>
                    <w:right w:val="none" w:sz="0" w:space="0" w:color="auto"/>
                  </w:divBdr>
                </w:div>
                <w:div w:id="1139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era.laszova@mfs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4049</Words>
  <Characters>23081</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27076</CharactersWithSpaces>
  <SharedDoc>false</SharedDoc>
  <HLinks>
    <vt:vector size="6" baseType="variant">
      <vt:variant>
        <vt:i4>5898293</vt:i4>
      </vt:variant>
      <vt:variant>
        <vt:i4>0</vt:i4>
      </vt:variant>
      <vt:variant>
        <vt:i4>0</vt:i4>
      </vt:variant>
      <vt:variant>
        <vt:i4>5</vt:i4>
      </vt:variant>
      <vt:variant>
        <vt:lpwstr>mailto:viera.laszova@mfsr.sk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cp:lastModifiedBy>Horvathova Maria</cp:lastModifiedBy>
  <cp:revision>2</cp:revision>
  <dcterms:created xsi:type="dcterms:W3CDTF">2019-08-23T12:51:00Z</dcterms:created>
  <dcterms:modified xsi:type="dcterms:W3CDTF">2019-08-23T12:51:00Z</dcterms:modified>
</cp:coreProperties>
</file>