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34" w:rsidRDefault="00594F34" w:rsidP="00594F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  <w:bookmarkStart w:id="0" w:name="_GoBack"/>
      <w:bookmarkEnd w:id="0"/>
    </w:p>
    <w:p w:rsidR="00BD2A0A" w:rsidRPr="00BD2A0A" w:rsidRDefault="00BD2A0A" w:rsidP="001E09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0A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A707C2" w:rsidRDefault="00A707C2" w:rsidP="001E091A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7C2">
        <w:rPr>
          <w:rFonts w:ascii="Times New Roman" w:hAnsi="Times New Roman" w:cs="Times New Roman"/>
          <w:bCs/>
          <w:sz w:val="24"/>
          <w:szCs w:val="24"/>
        </w:rPr>
        <w:t xml:space="preserve">Návrh zákona, ktorým sa mení a dopĺňa zákon </w:t>
      </w:r>
      <w:r>
        <w:rPr>
          <w:rFonts w:ascii="Times New Roman" w:hAnsi="Times New Roman" w:cs="Times New Roman"/>
          <w:bCs/>
          <w:sz w:val="24"/>
          <w:szCs w:val="24"/>
        </w:rPr>
        <w:t>NR SR č. 182/1993 Z. z. o vlastníctve bytov a nebytových priestorov v znení neskorších predpisov</w:t>
      </w:r>
      <w:r w:rsidRPr="00A707C2">
        <w:rPr>
          <w:rFonts w:ascii="Times New Roman" w:hAnsi="Times New Roman" w:cs="Times New Roman"/>
          <w:bCs/>
          <w:sz w:val="24"/>
          <w:szCs w:val="24"/>
        </w:rPr>
        <w:t xml:space="preserve"> a ktorým sa menia a dopĺňajú niektoré zákony predkladá na </w:t>
      </w:r>
      <w:r>
        <w:rPr>
          <w:rFonts w:ascii="Times New Roman" w:hAnsi="Times New Roman" w:cs="Times New Roman"/>
          <w:bCs/>
          <w:sz w:val="24"/>
          <w:szCs w:val="24"/>
        </w:rPr>
        <w:t>schôdzu Národnej rady</w:t>
      </w:r>
      <w:r w:rsidRPr="00A707C2">
        <w:rPr>
          <w:rFonts w:ascii="Times New Roman" w:hAnsi="Times New Roman" w:cs="Times New Roman"/>
          <w:bCs/>
          <w:sz w:val="24"/>
          <w:szCs w:val="24"/>
        </w:rPr>
        <w:t xml:space="preserve"> Slovenskej republiky </w:t>
      </w:r>
      <w:r>
        <w:rPr>
          <w:rFonts w:ascii="Times New Roman" w:hAnsi="Times New Roman" w:cs="Times New Roman"/>
          <w:bCs/>
          <w:sz w:val="24"/>
          <w:szCs w:val="24"/>
        </w:rPr>
        <w:t xml:space="preserve">poslanec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Pamula</w:t>
      </w:r>
      <w:proofErr w:type="spellEnd"/>
      <w:r w:rsidRPr="00A707C2">
        <w:rPr>
          <w:rFonts w:ascii="Times New Roman" w:hAnsi="Times New Roman" w:cs="Times New Roman"/>
          <w:bCs/>
          <w:sz w:val="24"/>
          <w:szCs w:val="24"/>
        </w:rPr>
        <w:t>.</w:t>
      </w:r>
    </w:p>
    <w:p w:rsidR="00BD2A0A" w:rsidRDefault="00BD2A0A" w:rsidP="001E091A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A0A">
        <w:rPr>
          <w:rFonts w:ascii="Times New Roman" w:hAnsi="Times New Roman" w:cs="Times New Roman"/>
          <w:bCs/>
          <w:sz w:val="24"/>
          <w:szCs w:val="24"/>
        </w:rPr>
        <w:t xml:space="preserve">Zákon </w:t>
      </w:r>
      <w:r>
        <w:rPr>
          <w:rFonts w:ascii="Times New Roman" w:hAnsi="Times New Roman" w:cs="Times New Roman"/>
          <w:bCs/>
          <w:sz w:val="24"/>
          <w:szCs w:val="24"/>
        </w:rPr>
        <w:t xml:space="preserve">NR SR č. 182/1993 Z. z. o vlastníctve bytov a nebytových priestorov je účinný už 25 rokov a prešiel mnohými novelizáciami. Aktuálne sa väčšina jeho paragrafov venuje správe bytového fondu, ktorej úprava nie je stále ucelená v jednom všeobecnom právnom predpise. Aj keď uvedený zákon prešiel rozsiahlou zmenou prijatím zákona NR SR  č. 283/2018 Z. z., nevyriešil mnohé v praxi sa objavujúce problémy. </w:t>
      </w:r>
      <w:r w:rsidR="008748BB">
        <w:rPr>
          <w:rFonts w:ascii="Times New Roman" w:hAnsi="Times New Roman" w:cs="Times New Roman"/>
          <w:bCs/>
          <w:sz w:val="24"/>
          <w:szCs w:val="24"/>
        </w:rPr>
        <w:t xml:space="preserve">Navrhované zmeny sledujú </w:t>
      </w:r>
      <w:r>
        <w:rPr>
          <w:rFonts w:ascii="Times New Roman" w:hAnsi="Times New Roman" w:cs="Times New Roman"/>
          <w:bCs/>
          <w:sz w:val="24"/>
          <w:szCs w:val="24"/>
        </w:rPr>
        <w:t>snah</w:t>
      </w:r>
      <w:r w:rsidR="008748BB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vyriešiť spoločensky nežiadúce otázky pri výkone správy bytového fondu a prispieť k zdravej finančnej kondícií bytových domov na Slovensku</w:t>
      </w:r>
      <w:r w:rsidR="008748BB">
        <w:rPr>
          <w:rFonts w:ascii="Times New Roman" w:hAnsi="Times New Roman" w:cs="Times New Roman"/>
          <w:bCs/>
          <w:sz w:val="24"/>
          <w:szCs w:val="24"/>
        </w:rPr>
        <w:t>.</w:t>
      </w:r>
    </w:p>
    <w:p w:rsidR="00A707C2" w:rsidRDefault="00E55799" w:rsidP="001E091A">
      <w:pPr>
        <w:spacing w:line="276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Vzhľadom na zmenu niektorých ustanovení zákona NR SR č. 182/1993 Z. z. o vlastníctve bytov a nebytových priestorov, je potrebné upraviť aj niektoré ustanovenia súvisiacich predpisov, najmä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2F1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ákon č. 527/2002 Z. z. </w:t>
      </w:r>
      <w:r w:rsidRPr="002F1321">
        <w:rPr>
          <w:rFonts w:ascii="Times New Roman" w:hAnsi="Times New Roman" w:cs="Times New Roman"/>
          <w:sz w:val="24"/>
          <w:szCs w:val="24"/>
        </w:rPr>
        <w:t xml:space="preserve">o dobrovoľných dražbách a o doplnení zákona Slovenskej národnej rady č. 323/1992 Zb. </w:t>
      </w:r>
      <w:r w:rsidRPr="002F1321">
        <w:rPr>
          <w:rFonts w:ascii="Times New Roman" w:hAnsi="Times New Roman" w:cs="Times New Roman"/>
          <w:kern w:val="1"/>
          <w:sz w:val="24"/>
          <w:szCs w:val="24"/>
        </w:rPr>
        <w:t>o notároch a notárskej činnosti (Notársky poriadok) v znení neskorších predpisov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, ktorý obsahuje </w:t>
      </w:r>
      <w:r w:rsidR="003E56CB">
        <w:rPr>
          <w:rFonts w:ascii="Times New Roman" w:hAnsi="Times New Roman" w:cs="Times New Roman"/>
          <w:kern w:val="1"/>
          <w:sz w:val="24"/>
          <w:szCs w:val="24"/>
        </w:rPr>
        <w:t>inštitút fixne viazanej výšky istiny nedoplatku v prípade výkonu záložného práva.</w:t>
      </w:r>
    </w:p>
    <w:p w:rsidR="00745C1C" w:rsidRDefault="00745C1C" w:rsidP="001E091A">
      <w:pPr>
        <w:spacing w:line="276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Navrhovaná právna úprava má zjednodušiť a sprehľadniť spôsob zverejňovania údajov o dlžníkoch na úhradách v bytovom dome. Zároveň sa pri zákonnom záložnom práve zavádza </w:t>
      </w:r>
      <w:r>
        <w:rPr>
          <w:rFonts w:ascii="Times New Roman" w:hAnsi="Times New Roman" w:cs="Times New Roman"/>
          <w:bCs/>
          <w:sz w:val="24"/>
          <w:szCs w:val="24"/>
        </w:rPr>
        <w:t>jednotné rovné pravidlo postavené na porušení povinnosti vlastníka uhradiť preddavky za aspoň pätnásť mesiacov, pričom nemusí ísť o porušenie povinnosti pätnásť mesiacov za sebou</w:t>
      </w:r>
    </w:p>
    <w:p w:rsidR="00745C1C" w:rsidRDefault="00745C1C" w:rsidP="00745C1C">
      <w:pPr>
        <w:pStyle w:val="Zkladntext"/>
        <w:widowControl/>
        <w:spacing w:line="276" w:lineRule="auto"/>
        <w:ind w:firstLine="633"/>
        <w:jc w:val="both"/>
        <w:rPr>
          <w:sz w:val="24"/>
        </w:rPr>
      </w:pPr>
      <w:r>
        <w:rPr>
          <w:sz w:val="24"/>
        </w:rPr>
        <w:t>Predkladaný návrh zákona nezakladá žiadne vplyvy na štátny rozpočet, rozpočet verejnej správy a na podnikateľské prostredie, nevyvoláva sociálne vplyvy, ani vplyvy na životné prostredie a ani na informatizáciu spoločnosti.</w:t>
      </w:r>
    </w:p>
    <w:p w:rsidR="00745C1C" w:rsidRDefault="00745C1C" w:rsidP="00745C1C">
      <w:pPr>
        <w:pStyle w:val="Zkladntext"/>
        <w:widowControl/>
        <w:spacing w:line="276" w:lineRule="auto"/>
        <w:ind w:left="360" w:firstLine="633"/>
        <w:jc w:val="both"/>
        <w:rPr>
          <w:sz w:val="24"/>
        </w:rPr>
      </w:pPr>
    </w:p>
    <w:p w:rsidR="00745C1C" w:rsidRDefault="00745C1C" w:rsidP="00745C1C">
      <w:pPr>
        <w:pStyle w:val="Zkladntext"/>
        <w:widowControl/>
        <w:spacing w:line="276" w:lineRule="auto"/>
        <w:ind w:firstLine="633"/>
        <w:jc w:val="both"/>
        <w:rPr>
          <w:sz w:val="24"/>
        </w:rPr>
      </w:pPr>
      <w:r>
        <w:rPr>
          <w:sz w:val="24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 </w:t>
      </w:r>
    </w:p>
    <w:p w:rsidR="00A707C2" w:rsidRDefault="00745C1C" w:rsidP="00745C1C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A707C2">
        <w:rPr>
          <w:rFonts w:ascii="Times New Roman" w:hAnsi="Times New Roman" w:cs="Times New Roman"/>
          <w:kern w:val="1"/>
          <w:sz w:val="24"/>
          <w:szCs w:val="24"/>
        </w:rPr>
        <w:br w:type="page"/>
      </w:r>
    </w:p>
    <w:p w:rsidR="005F5E1E" w:rsidRDefault="00582540" w:rsidP="001E09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8748BB" w:rsidRPr="00BD2A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48BB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5F5E1E" w:rsidRDefault="00A707C2" w:rsidP="00A707C2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5F5E1E" w:rsidRPr="004660A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F5E1E">
        <w:rPr>
          <w:rFonts w:ascii="Times New Roman" w:hAnsi="Times New Roman" w:cs="Times New Roman"/>
          <w:b/>
          <w:sz w:val="24"/>
          <w:szCs w:val="24"/>
        </w:rPr>
        <w:t>I</w:t>
      </w:r>
    </w:p>
    <w:p w:rsidR="008748BB" w:rsidRPr="008748BB" w:rsidRDefault="008748BB" w:rsidP="001E091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8BB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1</w:t>
      </w:r>
    </w:p>
    <w:p w:rsidR="008748BB" w:rsidRDefault="008748BB" w:rsidP="001E091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Informovanie vlastníkov bytov a nebytových priestorov o výške nedoplatkoch má účinné psychologické dôvody. Striktné viazanie možnosti uplatnenia práva na zverejnenie dlžníkov v bytovom dome na sumu 500 eur predstavuje nelogické a zbytočné pravidlo, najmä vzhľadom na vysokú variabilitu možností výkonu úhrad samotnými vlastníkmi bytov a nebytových priestorov. Výška zálohových úhrad je priamo naviazaná na to, akým spôsobom „funguje“ bytový dom, či </w:t>
      </w:r>
      <w:r w:rsidR="00FA2F8F">
        <w:rPr>
          <w:rFonts w:ascii="Times New Roman" w:hAnsi="Times New Roman" w:cs="Times New Roman"/>
          <w:bCs/>
          <w:sz w:val="24"/>
          <w:szCs w:val="24"/>
        </w:rPr>
        <w:t>vlastníci bytov a nebytových priestorov rozhodli o čerpaní úveru, o aplikovaní obnoviteľných zdrojov energie, a pod. Každý vlastník bytu alebo nebytového priestoru vykonáva úhrady v inej výške a z rôznych dôvodov. Dosiahnuť stav nedoplatku vo výške 500 eur je pre niektorého vlastníka otázkou desiatok mesiacov a pre iného len niekedy dvoch alebo troch mesiacov. Zabrániť tejto variabilite je možné uplatnením jednotného rovného pravidla postaveného na porušení povinnosti</w:t>
      </w:r>
      <w:r w:rsidR="00582540">
        <w:rPr>
          <w:rFonts w:ascii="Times New Roman" w:hAnsi="Times New Roman" w:cs="Times New Roman"/>
          <w:bCs/>
          <w:sz w:val="24"/>
          <w:szCs w:val="24"/>
        </w:rPr>
        <w:t xml:space="preserve"> vlastníka uhradiť preddavky</w:t>
      </w:r>
      <w:r w:rsidR="00FA2F8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582540">
        <w:rPr>
          <w:rFonts w:ascii="Times New Roman" w:hAnsi="Times New Roman" w:cs="Times New Roman"/>
          <w:bCs/>
          <w:sz w:val="24"/>
          <w:szCs w:val="24"/>
        </w:rPr>
        <w:t xml:space="preserve">aspoň </w:t>
      </w:r>
      <w:r w:rsidR="00FA2F8F">
        <w:rPr>
          <w:rFonts w:ascii="Times New Roman" w:hAnsi="Times New Roman" w:cs="Times New Roman"/>
          <w:bCs/>
          <w:sz w:val="24"/>
          <w:szCs w:val="24"/>
        </w:rPr>
        <w:t>tri mesiace, pričom nemusí ísť o porušenie povinnosti tri mesiace za sebou.</w:t>
      </w:r>
    </w:p>
    <w:p w:rsidR="008748BB" w:rsidRDefault="008748BB" w:rsidP="001E09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40" w:rsidRPr="0048169E" w:rsidRDefault="00582540" w:rsidP="001E091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8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9369EE" w:rsidRDefault="002B2B2D" w:rsidP="001E09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Domový poriadok predstavuje súbor pravidiel, ktorý upravuje práva a povinnosti vlastníkov bytov a nebytových priestorov v bytovom dome. Vzhľadom na to, že aktuálna legislatíva mu nepriznáva právny význam, dohodnuté pravidlá majú pre konkrétnych vlastníkov len odporúčací charakter a v prípade porušenia dohodnutých pravidiel sa sankcie stávajú takmer nevymožiteľné. Na prijatie domového poriadku a nadobudnutie právnej záväznosti pre všetkých vlastníkov neexistuje právny základ a zavedením kvóra potrebného na jeho prijatie sa z domového poriadku stáva </w:t>
      </w:r>
      <w:r w:rsidR="00E55799">
        <w:rPr>
          <w:rFonts w:ascii="Times New Roman" w:hAnsi="Times New Roman" w:cs="Times New Roman"/>
          <w:bCs/>
          <w:sz w:val="24"/>
          <w:szCs w:val="24"/>
        </w:rPr>
        <w:t>záväzný dokument pre každého vlastníka bytu a nebytového priestoru, prípadne pre ich užívateľov.</w:t>
      </w:r>
    </w:p>
    <w:p w:rsidR="005F5E1E" w:rsidRDefault="005F5E1E" w:rsidP="001E09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E1E" w:rsidRDefault="00A707C2" w:rsidP="00A707C2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5F5E1E" w:rsidRPr="004660A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F5E1E">
        <w:rPr>
          <w:rFonts w:ascii="Times New Roman" w:hAnsi="Times New Roman" w:cs="Times New Roman"/>
          <w:b/>
          <w:sz w:val="24"/>
          <w:szCs w:val="24"/>
        </w:rPr>
        <w:t>II</w:t>
      </w:r>
    </w:p>
    <w:p w:rsidR="005F5E1E" w:rsidRPr="008748BB" w:rsidRDefault="005F5E1E" w:rsidP="001E091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8BB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1</w:t>
      </w:r>
    </w:p>
    <w:p w:rsidR="00A707C2" w:rsidRDefault="005F5E1E" w:rsidP="001E091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1A">
        <w:rPr>
          <w:rFonts w:ascii="Times New Roman" w:hAnsi="Times New Roman" w:cs="Times New Roman"/>
          <w:bCs/>
          <w:sz w:val="24"/>
          <w:szCs w:val="24"/>
        </w:rPr>
        <w:tab/>
      </w:r>
      <w:r w:rsidR="001E091A" w:rsidRPr="001E091A">
        <w:rPr>
          <w:rFonts w:ascii="Times New Roman" w:hAnsi="Times New Roman" w:cs="Times New Roman"/>
          <w:bCs/>
          <w:sz w:val="24"/>
          <w:szCs w:val="24"/>
        </w:rPr>
        <w:t xml:space="preserve">Zmena tohto ustanovenia súvisí so zmenou fixne určenej výšky nedoplatku vlastníka bytu alebo </w:t>
      </w:r>
      <w:r w:rsidR="001E091A" w:rsidRPr="001E09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nebytového priestoru v bode I. článku I. z výšky 500 eur na </w:t>
      </w:r>
      <w:r w:rsidR="001E091A" w:rsidRPr="001E0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trojnásobok ich mesačného určenia. Aktuálne presné určenie </w:t>
      </w:r>
      <w:r w:rsidR="001E091A" w:rsidRPr="001E09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hodnot</w:t>
      </w:r>
      <w:r w:rsidR="00EC2C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y</w:t>
      </w:r>
      <w:r w:rsidR="001E091A" w:rsidRPr="001E09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 xml:space="preserve"> pohľadávky bez jej príslušenstva zabezpečenej záložným právom ku dňu oznámenia o začatí výkonu záložného práva </w:t>
      </w:r>
      <w:r w:rsidR="00EC2C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na sumu aspoň</w:t>
      </w:r>
      <w:r w:rsidR="001E091A" w:rsidRPr="001E09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 xml:space="preserve"> 2 000 eur</w:t>
      </w:r>
      <w:r w:rsidR="00EC2C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 xml:space="preserve"> má za následok niekoľko mesačné tolerovanie vlastníka v pozícií dlžníka v bytových domoch s nízkymi výškami preddavkov. Neplnenie základnej povinnosti vlastníka nemôže mať obmedzujúce a diskriminačné dôsledky pre ostatných vlastníkov len z dôvodu, že výška preddavkov niekoľko násobne kolíše len z dôvodu regionálnych rozdielov, prípadne rozdielov spôsobených</w:t>
      </w:r>
      <w:r w:rsidR="0040201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 xml:space="preserve"> </w:t>
      </w:r>
      <w:r w:rsidR="00EC2C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charakterom bytového domu.</w:t>
      </w:r>
      <w:r w:rsidR="0040201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 xml:space="preserve"> </w:t>
      </w:r>
      <w:r w:rsidR="00402012">
        <w:rPr>
          <w:rFonts w:ascii="Times New Roman" w:hAnsi="Times New Roman" w:cs="Times New Roman"/>
          <w:bCs/>
          <w:sz w:val="24"/>
          <w:szCs w:val="24"/>
        </w:rPr>
        <w:t>Zabrániť tejto variabilite je možné uplatnením jednotného rovného pravidla postaveného na porušení povinnosti vlastníka uhradiť preddavky za aspoň pätnásť mesiacov, pričom nemusí ísť o porušenie povinnosti pätnásť mesiacov za sebou.</w:t>
      </w:r>
    </w:p>
    <w:p w:rsidR="00745C1C" w:rsidRDefault="00745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5C1C" w:rsidRPr="00745C1C" w:rsidRDefault="00745C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C1C">
        <w:rPr>
          <w:rFonts w:ascii="Times New Roman" w:hAnsi="Times New Roman" w:cs="Times New Roman"/>
          <w:b/>
          <w:bCs/>
          <w:sz w:val="24"/>
          <w:szCs w:val="24"/>
        </w:rPr>
        <w:t>K Čl. III</w:t>
      </w:r>
    </w:p>
    <w:p w:rsidR="00745C1C" w:rsidRDefault="00745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Účinnosť zákona sa stanovuje od 1.</w:t>
      </w:r>
      <w:r w:rsidR="007A7BC0">
        <w:rPr>
          <w:rFonts w:ascii="Times New Roman" w:hAnsi="Times New Roman" w:cs="Times New Roman"/>
          <w:bCs/>
          <w:sz w:val="24"/>
          <w:szCs w:val="24"/>
        </w:rPr>
        <w:t>januára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A707C2" w:rsidRDefault="00A707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707C2" w:rsidRPr="004B2AC9" w:rsidRDefault="00A707C2" w:rsidP="00A707C2">
      <w:pPr>
        <w:jc w:val="both"/>
        <w:rPr>
          <w:rFonts w:ascii="Times New Roman" w:hAnsi="Times New Roman"/>
          <w:b/>
          <w:sz w:val="24"/>
          <w:szCs w:val="24"/>
        </w:rPr>
      </w:pPr>
      <w:r w:rsidRPr="004B2AC9">
        <w:rPr>
          <w:rFonts w:ascii="Times New Roman" w:hAnsi="Times New Roman"/>
          <w:b/>
          <w:sz w:val="24"/>
          <w:szCs w:val="24"/>
        </w:rPr>
        <w:t>DOLOŽKA ZLUČITEĽNOSTI</w:t>
      </w:r>
    </w:p>
    <w:p w:rsidR="00A707C2" w:rsidRPr="004B2AC9" w:rsidRDefault="00A707C2" w:rsidP="00A707C2">
      <w:pPr>
        <w:jc w:val="both"/>
        <w:rPr>
          <w:rFonts w:ascii="Times New Roman" w:hAnsi="Times New Roman"/>
          <w:b/>
          <w:sz w:val="24"/>
          <w:szCs w:val="24"/>
        </w:rPr>
      </w:pPr>
      <w:r w:rsidRPr="004B2AC9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A707C2" w:rsidRPr="004B2AC9" w:rsidRDefault="00A707C2" w:rsidP="00A707C2">
      <w:pPr>
        <w:jc w:val="both"/>
        <w:rPr>
          <w:rFonts w:ascii="Times New Roman" w:hAnsi="Times New Roman"/>
          <w:b/>
          <w:sz w:val="24"/>
          <w:szCs w:val="24"/>
        </w:rPr>
      </w:pPr>
    </w:p>
    <w:p w:rsidR="00A707C2" w:rsidRPr="004B2AC9" w:rsidRDefault="00A707C2" w:rsidP="00A707C2">
      <w:pPr>
        <w:jc w:val="both"/>
        <w:rPr>
          <w:rFonts w:ascii="Times New Roman" w:hAnsi="Times New Roman"/>
          <w:b/>
          <w:sz w:val="24"/>
          <w:szCs w:val="24"/>
        </w:rPr>
      </w:pPr>
      <w:r w:rsidRPr="004B2AC9">
        <w:rPr>
          <w:rFonts w:ascii="Times New Roman" w:hAnsi="Times New Roman"/>
          <w:b/>
          <w:sz w:val="24"/>
          <w:szCs w:val="24"/>
        </w:rPr>
        <w:t>1</w:t>
      </w:r>
      <w:r w:rsidRPr="004B2AC9">
        <w:rPr>
          <w:rFonts w:ascii="Times New Roman" w:hAnsi="Times New Roman"/>
          <w:sz w:val="24"/>
          <w:szCs w:val="24"/>
        </w:rPr>
        <w:t xml:space="preserve">.  </w:t>
      </w:r>
      <w:r w:rsidRPr="004B2AC9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A707C2" w:rsidRPr="004B2AC9" w:rsidRDefault="00A707C2" w:rsidP="00A707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Poslanec</w:t>
      </w:r>
      <w:r w:rsidRPr="004B2AC9">
        <w:rPr>
          <w:rFonts w:ascii="Times New Roman" w:hAnsi="Times New Roman"/>
          <w:sz w:val="24"/>
          <w:szCs w:val="24"/>
        </w:rPr>
        <w:t xml:space="preserve"> Národnej rady Slovenskej republiky </w:t>
      </w:r>
      <w:r>
        <w:rPr>
          <w:rFonts w:ascii="Times New Roman" w:hAnsi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/>
          <w:sz w:val="24"/>
          <w:szCs w:val="24"/>
        </w:rPr>
        <w:t>Pamula</w:t>
      </w:r>
      <w:proofErr w:type="spellEnd"/>
      <w:r w:rsidRPr="004B2AC9">
        <w:rPr>
          <w:rFonts w:ascii="Times New Roman" w:hAnsi="Times New Roman"/>
          <w:sz w:val="24"/>
          <w:szCs w:val="24"/>
        </w:rPr>
        <w:t>.</w:t>
      </w:r>
    </w:p>
    <w:p w:rsidR="00A707C2" w:rsidRPr="004B2AC9" w:rsidRDefault="00A707C2" w:rsidP="00A707C2">
      <w:pPr>
        <w:jc w:val="both"/>
        <w:rPr>
          <w:rFonts w:ascii="Times New Roman" w:hAnsi="Times New Roman"/>
          <w:sz w:val="24"/>
          <w:szCs w:val="24"/>
        </w:rPr>
      </w:pPr>
      <w:r w:rsidRPr="004B2AC9">
        <w:rPr>
          <w:rFonts w:ascii="Times New Roman" w:hAnsi="Times New Roman"/>
          <w:b/>
          <w:sz w:val="24"/>
          <w:szCs w:val="24"/>
        </w:rPr>
        <w:t>2.</w:t>
      </w:r>
      <w:r w:rsidRPr="004B2AC9">
        <w:rPr>
          <w:rFonts w:ascii="Times New Roman" w:hAnsi="Times New Roman"/>
          <w:sz w:val="24"/>
          <w:szCs w:val="24"/>
        </w:rPr>
        <w:t xml:space="preserve">  </w:t>
      </w:r>
      <w:r w:rsidRPr="004B2AC9">
        <w:rPr>
          <w:rFonts w:ascii="Times New Roman" w:hAnsi="Times New Roman"/>
          <w:b/>
          <w:sz w:val="24"/>
          <w:szCs w:val="24"/>
        </w:rPr>
        <w:t>Názov návrhu právneho predpisu</w:t>
      </w:r>
      <w:r w:rsidRPr="004B2AC9">
        <w:rPr>
          <w:rFonts w:ascii="Times New Roman" w:hAnsi="Times New Roman"/>
          <w:sz w:val="24"/>
          <w:szCs w:val="24"/>
        </w:rPr>
        <w:t xml:space="preserve">: </w:t>
      </w:r>
    </w:p>
    <w:p w:rsidR="00A707C2" w:rsidRPr="004B2AC9" w:rsidRDefault="00A707C2" w:rsidP="00A707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2AC9">
        <w:rPr>
          <w:rFonts w:ascii="Times New Roman" w:hAnsi="Times New Roman"/>
          <w:sz w:val="24"/>
          <w:szCs w:val="24"/>
        </w:rPr>
        <w:t xml:space="preserve">Návrh zákona, ktorým sa mení a dopĺňa zákon Národnej rady Slovenskej republiky č. 182/1993 Z. z. </w:t>
      </w:r>
      <w:r w:rsidRPr="004B2AC9">
        <w:rPr>
          <w:rFonts w:ascii="Times New Roman" w:hAnsi="Times New Roman"/>
          <w:bCs/>
          <w:sz w:val="24"/>
          <w:szCs w:val="24"/>
        </w:rPr>
        <w:t xml:space="preserve">o vlastníctve bytov a nebytových priestorov </w:t>
      </w:r>
      <w:r w:rsidRPr="004B2AC9">
        <w:rPr>
          <w:rFonts w:ascii="Times New Roman" w:hAnsi="Times New Roman"/>
          <w:sz w:val="24"/>
          <w:szCs w:val="24"/>
        </w:rPr>
        <w:t>a o zmene a doplnení niektorých zákonov</w:t>
      </w:r>
      <w:r w:rsidRPr="004B2AC9">
        <w:rPr>
          <w:rFonts w:ascii="Times New Roman" w:hAnsi="Times New Roman"/>
          <w:b/>
          <w:sz w:val="24"/>
          <w:szCs w:val="24"/>
        </w:rPr>
        <w:t xml:space="preserve"> </w:t>
      </w:r>
      <w:r w:rsidRPr="004B2AC9">
        <w:rPr>
          <w:rFonts w:ascii="Times New Roman" w:hAnsi="Times New Roman"/>
          <w:sz w:val="24"/>
          <w:szCs w:val="24"/>
        </w:rPr>
        <w:t xml:space="preserve">v znení neskorších predpisov.        </w:t>
      </w:r>
    </w:p>
    <w:p w:rsidR="00A707C2" w:rsidRPr="004B2AC9" w:rsidRDefault="00A707C2" w:rsidP="00A707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2AC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A707C2" w:rsidRPr="004B2AC9" w:rsidRDefault="00A707C2" w:rsidP="00A707C2">
      <w:pPr>
        <w:jc w:val="both"/>
        <w:rPr>
          <w:rFonts w:ascii="Times New Roman" w:hAnsi="Times New Roman"/>
          <w:sz w:val="24"/>
          <w:szCs w:val="24"/>
        </w:rPr>
      </w:pPr>
      <w:r w:rsidRPr="004B2AC9">
        <w:rPr>
          <w:rFonts w:ascii="Times New Roman" w:hAnsi="Times New Roman"/>
          <w:b/>
          <w:sz w:val="24"/>
          <w:szCs w:val="24"/>
        </w:rPr>
        <w:t>3.</w:t>
      </w:r>
      <w:r w:rsidRPr="004B2AC9">
        <w:rPr>
          <w:rFonts w:ascii="Times New Roman" w:hAnsi="Times New Roman"/>
          <w:sz w:val="24"/>
          <w:szCs w:val="24"/>
        </w:rPr>
        <w:t xml:space="preserve"> </w:t>
      </w:r>
      <w:r w:rsidRPr="004B2AC9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A707C2" w:rsidRPr="004B2AC9" w:rsidRDefault="00A707C2" w:rsidP="00A707C2">
      <w:pPr>
        <w:pStyle w:val="odsek"/>
        <w:keepNext w:val="0"/>
        <w:widowControl w:val="0"/>
        <w:ind w:firstLine="0"/>
      </w:pPr>
      <w:r w:rsidRPr="004B2AC9">
        <w:t>Je v súlade s právnou úpravou Európskej únie.</w:t>
      </w:r>
    </w:p>
    <w:p w:rsidR="00A707C2" w:rsidRPr="004B2AC9" w:rsidRDefault="00A707C2" w:rsidP="00A707C2">
      <w:pPr>
        <w:pStyle w:val="odsek"/>
        <w:keepNext w:val="0"/>
        <w:widowControl w:val="0"/>
        <w:ind w:firstLine="0"/>
      </w:pPr>
    </w:p>
    <w:p w:rsidR="00A707C2" w:rsidRPr="004B2AC9" w:rsidRDefault="00A707C2" w:rsidP="00A707C2">
      <w:pPr>
        <w:pStyle w:val="odsek"/>
        <w:keepNext w:val="0"/>
        <w:widowControl w:val="0"/>
        <w:ind w:firstLine="0"/>
        <w:rPr>
          <w:b/>
        </w:rPr>
      </w:pPr>
      <w:r w:rsidRPr="004B2AC9">
        <w:rPr>
          <w:b/>
        </w:rPr>
        <w:t>4. Záväzky Slovenskej republiky vo vzťahu k Európskej únii:</w:t>
      </w:r>
    </w:p>
    <w:p w:rsidR="00A707C2" w:rsidRPr="004B2AC9" w:rsidRDefault="00A707C2" w:rsidP="00A707C2">
      <w:pPr>
        <w:pStyle w:val="odsek"/>
        <w:keepNext w:val="0"/>
        <w:widowControl w:val="0"/>
        <w:ind w:firstLine="0"/>
        <w:rPr>
          <w:b/>
        </w:rPr>
      </w:pPr>
    </w:p>
    <w:p w:rsidR="00A707C2" w:rsidRPr="004B2AC9" w:rsidRDefault="00A707C2" w:rsidP="00A707C2">
      <w:pPr>
        <w:pStyle w:val="odsek"/>
        <w:keepNext w:val="0"/>
        <w:widowControl w:val="0"/>
        <w:ind w:firstLine="0"/>
      </w:pPr>
      <w:r w:rsidRPr="004B2AC9">
        <w:t>Nie sú predkladaným návrhom dotknuté.</w:t>
      </w:r>
    </w:p>
    <w:p w:rsidR="00A707C2" w:rsidRPr="004B2AC9" w:rsidRDefault="00A707C2" w:rsidP="00A707C2">
      <w:pPr>
        <w:pStyle w:val="odsek"/>
        <w:keepNext w:val="0"/>
        <w:widowControl w:val="0"/>
        <w:ind w:firstLine="0"/>
      </w:pPr>
    </w:p>
    <w:p w:rsidR="00A707C2" w:rsidRPr="004B2AC9" w:rsidRDefault="00A707C2" w:rsidP="00A707C2">
      <w:pPr>
        <w:pStyle w:val="odsek"/>
        <w:keepNext w:val="0"/>
        <w:widowControl w:val="0"/>
        <w:ind w:firstLine="0"/>
        <w:rPr>
          <w:b/>
        </w:rPr>
      </w:pPr>
      <w:r w:rsidRPr="004B2AC9">
        <w:rPr>
          <w:b/>
        </w:rPr>
        <w:t>5. Stupeň zlučiteľnosti návrhu právneho predpisu s právom Európskej únie:</w:t>
      </w:r>
    </w:p>
    <w:p w:rsidR="00A707C2" w:rsidRPr="004B2AC9" w:rsidRDefault="00A707C2" w:rsidP="00A707C2">
      <w:pPr>
        <w:pStyle w:val="odsek"/>
        <w:keepNext w:val="0"/>
        <w:widowControl w:val="0"/>
        <w:ind w:firstLine="0"/>
      </w:pPr>
    </w:p>
    <w:p w:rsidR="00A707C2" w:rsidRPr="004B2AC9" w:rsidRDefault="00A707C2" w:rsidP="00A707C2">
      <w:pPr>
        <w:pStyle w:val="odsek"/>
        <w:keepNext w:val="0"/>
        <w:widowControl w:val="0"/>
        <w:ind w:firstLine="0"/>
      </w:pPr>
      <w:r w:rsidRPr="004B2AC9">
        <w:t>Stupeň zlučiteľnosti – úplný</w:t>
      </w:r>
    </w:p>
    <w:p w:rsidR="00A707C2" w:rsidRPr="00635FFD" w:rsidRDefault="00A707C2" w:rsidP="00A707C2">
      <w:pPr>
        <w:spacing w:after="0" w:line="240" w:lineRule="auto"/>
        <w:jc w:val="both"/>
        <w:rPr>
          <w:rFonts w:ascii="Times New Roman" w:hAnsi="Times New Roman"/>
        </w:rPr>
      </w:pPr>
      <w:r w:rsidRPr="00635FFD">
        <w:rPr>
          <w:rFonts w:ascii="Times New Roman" w:hAnsi="Times New Roman"/>
        </w:rPr>
        <w:br w:type="page"/>
      </w:r>
    </w:p>
    <w:p w:rsidR="00A707C2" w:rsidRPr="004B2AC9" w:rsidRDefault="00A707C2" w:rsidP="00A707C2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4B2AC9">
        <w:rPr>
          <w:rFonts w:ascii="Times New Roman" w:hAnsi="Times New Roman"/>
          <w:b/>
          <w:bCs/>
          <w:sz w:val="24"/>
        </w:rPr>
        <w:lastRenderedPageBreak/>
        <w:t>Doložka vybraných vplyvov</w:t>
      </w:r>
    </w:p>
    <w:p w:rsidR="00A707C2" w:rsidRPr="00635FFD" w:rsidRDefault="00A707C2" w:rsidP="00A707C2">
      <w:pPr>
        <w:pStyle w:val="odsek"/>
        <w:keepNext w:val="0"/>
        <w:widowControl w:val="0"/>
        <w:ind w:firstLine="0"/>
        <w:rPr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A707C2" w:rsidTr="00FE2FA4"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 xml:space="preserve">  1.  Základné údaje</w:t>
            </w:r>
          </w:p>
        </w:tc>
      </w:tr>
      <w:tr w:rsidR="00A707C2" w:rsidTr="00FE2FA4"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A707C2" w:rsidRPr="00635FFD" w:rsidRDefault="00A707C2" w:rsidP="00FE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Názov materiálu</w:t>
            </w:r>
            <w:r w:rsidRPr="00635FFD">
              <w:rPr>
                <w:rFonts w:ascii="Times New Roman" w:hAnsi="Times New Roman"/>
              </w:rPr>
              <w:t xml:space="preserve"> </w:t>
            </w:r>
          </w:p>
          <w:p w:rsidR="00A707C2" w:rsidRPr="00635FFD" w:rsidRDefault="00A707C2" w:rsidP="00FE2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707C2" w:rsidTr="00FE2FA4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 Návrh zákona, ktorým sa mení a dopĺňa zákon Národnej rady Slovenskej republiky č. 182/1993 Z. z. </w:t>
            </w:r>
            <w:r w:rsidRPr="00635FFD">
              <w:rPr>
                <w:rFonts w:ascii="Times New Roman" w:hAnsi="Times New Roman"/>
                <w:bCs/>
              </w:rPr>
              <w:t xml:space="preserve">o vlastníctve bytov a nebytových priestorov </w:t>
            </w:r>
            <w:r w:rsidRPr="00635FFD">
              <w:rPr>
                <w:rFonts w:ascii="Times New Roman" w:hAnsi="Times New Roman"/>
              </w:rPr>
              <w:t>a o zmene a doplnení niektorých zákonov</w:t>
            </w:r>
            <w:r w:rsidRPr="00635FFD">
              <w:rPr>
                <w:rFonts w:ascii="Times New Roman" w:hAnsi="Times New Roman"/>
                <w:b/>
              </w:rPr>
              <w:t xml:space="preserve"> </w:t>
            </w:r>
            <w:r w:rsidRPr="00635FFD">
              <w:rPr>
                <w:rFonts w:ascii="Times New Roman" w:hAnsi="Times New Roman"/>
              </w:rPr>
              <w:t>v znení neskorších predpisov.</w:t>
            </w:r>
          </w:p>
        </w:tc>
      </w:tr>
      <w:tr w:rsidR="00A707C2" w:rsidTr="00FE2FA4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Predkladateľ (a spolupredkladateľ)</w:t>
            </w:r>
          </w:p>
        </w:tc>
      </w:tr>
      <w:tr w:rsidR="00A707C2" w:rsidTr="00FE2FA4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A707C2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Peter </w:t>
            </w:r>
            <w:proofErr w:type="spellStart"/>
            <w:r>
              <w:rPr>
                <w:rFonts w:ascii="Times New Roman" w:hAnsi="Times New Roman"/>
              </w:rPr>
              <w:t>Pamula</w:t>
            </w:r>
            <w:proofErr w:type="spellEnd"/>
          </w:p>
        </w:tc>
      </w:tr>
      <w:tr w:rsidR="00A707C2" w:rsidTr="00FE2FA4"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</w:t>
            </w:r>
            <w:r w:rsidRPr="00635FFD">
              <w:rPr>
                <w:rFonts w:ascii="Times New Roman" w:hAnsi="Times New Roman"/>
              </w:rPr>
              <w:t>  Materiál nelegislatívnej povahy</w:t>
            </w:r>
          </w:p>
        </w:tc>
      </w:tr>
      <w:tr w:rsidR="00A707C2" w:rsidTr="00FE2FA4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x</w:t>
            </w:r>
            <w:r w:rsidRPr="00635FFD">
              <w:rPr>
                <w:rFonts w:ascii="Times New Roman" w:hAnsi="Times New Roman"/>
              </w:rPr>
              <w:t xml:space="preserve">  Materiál legislatívnej povahy </w:t>
            </w:r>
          </w:p>
        </w:tc>
      </w:tr>
      <w:tr w:rsidR="00A707C2" w:rsidTr="00FE2FA4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</w:t>
            </w:r>
            <w:r w:rsidRPr="00635FFD">
              <w:rPr>
                <w:rFonts w:ascii="Times New Roman" w:hAnsi="Times New Roman"/>
              </w:rPr>
              <w:t xml:space="preserve">  Transpozícia práva EÚ </w:t>
            </w:r>
          </w:p>
        </w:tc>
      </w:tr>
      <w:tr w:rsidR="00A707C2" w:rsidTr="00FE2FA4"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</w:p>
        </w:tc>
      </w:tr>
      <w:tr w:rsidR="00A707C2" w:rsidTr="00FE2FA4"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  <w:bCs/>
              </w:rPr>
              <w:t>Materiál nebol predmetom PPK</w:t>
            </w:r>
          </w:p>
        </w:tc>
      </w:tr>
      <w:tr w:rsidR="00A707C2" w:rsidTr="00FE2FA4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  <w:bCs/>
              </w:rPr>
              <w:t>Materiál nebol predmetom MPK</w:t>
            </w:r>
          </w:p>
        </w:tc>
      </w:tr>
      <w:tr w:rsidR="00A707C2" w:rsidTr="00FE2FA4"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Predpokladaný termín predloženia na Rokovanie vlády</w:t>
            </w:r>
            <w:r w:rsidRPr="00635FFD">
              <w:rPr>
                <w:rFonts w:ascii="Times New Roman" w:hAnsi="Times New Roman"/>
                <w:b/>
                <w:bCs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Materiál nebol predkladaný na rokovanie vlády Slovenskej republiky</w:t>
            </w:r>
          </w:p>
        </w:tc>
      </w:tr>
      <w:tr w:rsidR="00A707C2" w:rsidTr="00FE2FA4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2.  Definícia problému</w:t>
            </w:r>
          </w:p>
        </w:tc>
      </w:tr>
      <w:tr w:rsidR="00A707C2" w:rsidTr="00FE2FA4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A707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Problematická </w:t>
            </w:r>
            <w:r w:rsidRPr="00635FFD">
              <w:rPr>
                <w:rFonts w:ascii="Times New Roman" w:hAnsi="Times New Roman"/>
              </w:rPr>
              <w:t xml:space="preserve">aplikácia niektorých ustanovení, chýbajúca úprava </w:t>
            </w:r>
            <w:r>
              <w:rPr>
                <w:rFonts w:ascii="Times New Roman" w:hAnsi="Times New Roman"/>
              </w:rPr>
              <w:t>spisovania zápisnice v slovenskom jazyku</w:t>
            </w:r>
            <w:r w:rsidRPr="00635FFD">
              <w:rPr>
                <w:rFonts w:ascii="Times New Roman" w:hAnsi="Times New Roman"/>
              </w:rPr>
              <w:t>.</w:t>
            </w:r>
          </w:p>
        </w:tc>
      </w:tr>
      <w:tr w:rsidR="00A707C2" w:rsidTr="00FE2FA4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3.  Ciele a výsledný stav</w:t>
            </w:r>
          </w:p>
        </w:tc>
      </w:tr>
      <w:tr w:rsidR="00A707C2" w:rsidTr="00FE2FA4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Ú</w:t>
            </w:r>
            <w:r w:rsidRPr="00635FFD">
              <w:rPr>
                <w:rFonts w:ascii="Times New Roman" w:hAnsi="Times New Roman"/>
              </w:rPr>
              <w:t xml:space="preserve">prava </w:t>
            </w:r>
            <w:r>
              <w:rPr>
                <w:rFonts w:ascii="Times New Roman" w:hAnsi="Times New Roman"/>
              </w:rPr>
              <w:t>podmienok zverejňovania údajov o dlžníkoch na úhradách v bytovom dome</w:t>
            </w:r>
            <w:r w:rsidRPr="00635FFD">
              <w:rPr>
                <w:rFonts w:ascii="Times New Roman" w:hAnsi="Times New Roman"/>
              </w:rPr>
              <w:t>.</w:t>
            </w:r>
          </w:p>
          <w:p w:rsidR="00A707C2" w:rsidRPr="00635FFD" w:rsidRDefault="00A707C2" w:rsidP="00FE2F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707C2" w:rsidTr="00FE2FA4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4.  Dotknuté subjekty</w:t>
            </w:r>
          </w:p>
        </w:tc>
      </w:tr>
      <w:tr w:rsidR="00A707C2" w:rsidTr="00FE2FA4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 Vlastníci bytov a nebytových priestorov, spoločenstvo vlastníkov bytov a nebytových priestorov, správcovia. </w:t>
            </w:r>
          </w:p>
        </w:tc>
      </w:tr>
      <w:tr w:rsidR="00A707C2" w:rsidTr="00FE2FA4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5.  Alternatívne riešenia                          -  nepredkladajú sa</w:t>
            </w:r>
          </w:p>
        </w:tc>
      </w:tr>
      <w:tr w:rsidR="00A707C2" w:rsidTr="00FE2FA4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707C2" w:rsidTr="00FE2FA4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6.  Vykonávacie predpisy</w:t>
            </w:r>
          </w:p>
        </w:tc>
      </w:tr>
      <w:tr w:rsidR="00A707C2" w:rsidTr="00FE2FA4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 Predpokladá sa prijatie/zmena vykonávacích predpisov?                  </w:t>
            </w:r>
            <w:r w:rsidRPr="00635FFD">
              <w:rPr>
                <w:rFonts w:ascii="Times New Roman" w:hAnsi="Times New Roman"/>
              </w:rPr>
              <w:t>   Áno            </w:t>
            </w:r>
            <w:r>
              <w:rPr>
                <w:rFonts w:ascii="Times New Roman" w:hAnsi="Times New Roman"/>
              </w:rPr>
              <w:t>x</w:t>
            </w:r>
            <w:r w:rsidRPr="00635FFD">
              <w:rPr>
                <w:rFonts w:ascii="Times New Roman" w:hAnsi="Times New Roman"/>
              </w:rPr>
              <w:t>  Nie</w:t>
            </w:r>
          </w:p>
        </w:tc>
      </w:tr>
      <w:tr w:rsidR="00A707C2" w:rsidTr="00FE2FA4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 xml:space="preserve">  7.  Transpozícia práva EÚ </w:t>
            </w:r>
          </w:p>
        </w:tc>
      </w:tr>
      <w:tr w:rsidR="00A707C2" w:rsidTr="00FE2FA4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707C2" w:rsidTr="00FE2FA4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8.  Preskúmanie účelnosti**</w:t>
            </w:r>
          </w:p>
        </w:tc>
      </w:tr>
    </w:tbl>
    <w:p w:rsidR="00A707C2" w:rsidRPr="00635FFD" w:rsidRDefault="00A707C2" w:rsidP="00A707C2">
      <w:pPr>
        <w:pStyle w:val="odsek"/>
        <w:keepNext w:val="0"/>
        <w:widowControl w:val="0"/>
        <w:ind w:firstLine="0"/>
        <w:rPr>
          <w:sz w:val="22"/>
          <w:szCs w:val="22"/>
        </w:rPr>
      </w:pPr>
    </w:p>
    <w:p w:rsidR="00A707C2" w:rsidRPr="00635FFD" w:rsidRDefault="00A707C2" w:rsidP="00A707C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813"/>
        <w:gridCol w:w="1811"/>
        <w:gridCol w:w="1811"/>
      </w:tblGrid>
      <w:tr w:rsidR="00A707C2" w:rsidTr="00FE2FA4"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  <w:b/>
                <w:bCs/>
              </w:rPr>
              <w:t>9.   Vplyvy navrhovaného materiálu</w:t>
            </w:r>
          </w:p>
        </w:tc>
      </w:tr>
      <w:tr w:rsidR="00A707C2" w:rsidTr="00FE2FA4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707C2" w:rsidRPr="00635FFD" w:rsidRDefault="00A707C2" w:rsidP="00FE2FA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 xml:space="preserve">  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 </w:t>
            </w:r>
            <w:r w:rsidRPr="00635FFD">
              <w:rPr>
                <w:rFonts w:ascii="Times New Roman" w:hAnsi="Times New Roman"/>
              </w:rPr>
              <w:t>   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  x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  </w:t>
            </w:r>
            <w:r w:rsidRPr="00635FFD">
              <w:rPr>
                <w:rFonts w:ascii="Times New Roman" w:hAnsi="Times New Roman"/>
              </w:rPr>
              <w:t>   Negatívne</w:t>
            </w:r>
          </w:p>
        </w:tc>
      </w:tr>
      <w:tr w:rsidR="00A707C2" w:rsidTr="00FE2FA4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707C2" w:rsidRPr="00635FFD" w:rsidRDefault="00A707C2" w:rsidP="00FE2FA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635FFD">
              <w:rPr>
                <w:rFonts w:ascii="Times New Roman" w:hAnsi="Times New Roman"/>
                <w:bCs/>
              </w:rPr>
              <w:t>- 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  x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Negatívne</w:t>
            </w:r>
          </w:p>
        </w:tc>
      </w:tr>
      <w:tr w:rsidR="00A707C2" w:rsidTr="00FE2FA4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707C2" w:rsidRPr="00635FFD" w:rsidRDefault="00A707C2" w:rsidP="00FE2FA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  x  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Negatívne</w:t>
            </w:r>
          </w:p>
        </w:tc>
      </w:tr>
      <w:tr w:rsidR="00A707C2" w:rsidTr="00FE2FA4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A707C2" w:rsidRPr="00635FFD" w:rsidRDefault="00A707C2" w:rsidP="00FE2FA4">
            <w:pPr>
              <w:spacing w:after="0" w:line="240" w:lineRule="auto"/>
              <w:ind w:left="129" w:hanging="129"/>
              <w:contextualSpacing/>
              <w:jc w:val="both"/>
              <w:rPr>
                <w:rFonts w:ascii="Times New Roman" w:hAnsi="Times New Roman"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 xml:space="preserve">  </w:t>
            </w:r>
            <w:r w:rsidRPr="00635FFD">
              <w:rPr>
                <w:rFonts w:ascii="Times New Roman" w:hAnsi="Times New Roman"/>
                <w:bCs/>
              </w:rPr>
              <w:t>- 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  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  x   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Čiastočne</w:t>
            </w:r>
          </w:p>
        </w:tc>
      </w:tr>
      <w:tr w:rsidR="00A707C2" w:rsidTr="00FE2FA4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707C2" w:rsidRPr="00635FFD" w:rsidRDefault="00A707C2" w:rsidP="00FE2F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  <w:b/>
                <w:bCs/>
              </w:rPr>
              <w:lastRenderedPageBreak/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  </w:t>
            </w:r>
            <w:r w:rsidRPr="00635FFD">
              <w:rPr>
                <w:rFonts w:ascii="Times New Roman" w:hAnsi="Times New Roman"/>
              </w:rPr>
              <w:t>   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  x 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Negatívne</w:t>
            </w:r>
          </w:p>
        </w:tc>
      </w:tr>
      <w:tr w:rsidR="00A707C2" w:rsidTr="00FE2FA4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707C2" w:rsidRPr="00635FFD" w:rsidRDefault="00A707C2" w:rsidP="00FE2FA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  x 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Negatívne</w:t>
            </w:r>
          </w:p>
        </w:tc>
      </w:tr>
      <w:tr w:rsidR="00A707C2" w:rsidTr="00FE2FA4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  x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Negatívne</w:t>
            </w:r>
          </w:p>
        </w:tc>
      </w:tr>
      <w:tr w:rsidR="00A707C2" w:rsidTr="00FE2FA4"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Vplyvy na služby pre občana z toho</w:t>
            </w:r>
            <w:r w:rsidRPr="00635FFD">
              <w:rPr>
                <w:rFonts w:ascii="Times New Roman" w:hAnsi="Times New Roman"/>
              </w:rPr>
              <w:br/>
              <w:t>    vplyvy služieb verejnej správy na občana</w:t>
            </w:r>
            <w:r w:rsidRPr="00635FFD">
              <w:rPr>
                <w:rFonts w:ascii="Times New Roman" w:hAnsi="Times New Roman"/>
              </w:rPr>
              <w:br/>
              <w:t>    vplyvy na procesy služieb vo verejnej</w:t>
            </w:r>
            <w:r w:rsidRPr="00635FFD">
              <w:rPr>
                <w:rFonts w:ascii="Times New Roman" w:hAnsi="Times New Roman"/>
              </w:rPr>
              <w:br/>
              <w:t>    správe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br/>
              <w:t xml:space="preserve">  </w:t>
            </w:r>
            <w:r w:rsidRPr="00635FFD">
              <w:rPr>
                <w:rFonts w:ascii="Times New Roman" w:hAnsi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br/>
              <w:t>    x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br/>
              <w:t xml:space="preserve">  </w:t>
            </w:r>
            <w:r w:rsidRPr="00635FFD">
              <w:rPr>
                <w:rFonts w:ascii="Times New Roman" w:hAnsi="Times New Roman"/>
              </w:rPr>
              <w:t>   Negatívne</w:t>
            </w:r>
          </w:p>
        </w:tc>
      </w:tr>
      <w:tr w:rsidR="00A707C2" w:rsidTr="00FE2FA4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>    x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</w:rPr>
            </w:pPr>
            <w:r w:rsidRPr="00635FFD">
              <w:rPr>
                <w:rFonts w:ascii="Times New Roman" w:hAnsi="Times New Roman"/>
              </w:rPr>
              <w:t xml:space="preserve">  </w:t>
            </w:r>
            <w:r w:rsidRPr="00635FFD">
              <w:rPr>
                <w:rFonts w:ascii="Times New Roman" w:hAnsi="Times New Roman"/>
              </w:rPr>
              <w:t>   Negatívne</w:t>
            </w:r>
          </w:p>
        </w:tc>
      </w:tr>
      <w:tr w:rsidR="00A707C2" w:rsidTr="00FE2FA4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10.  Poznámky</w:t>
            </w:r>
          </w:p>
        </w:tc>
      </w:tr>
      <w:tr w:rsidR="00A707C2" w:rsidTr="00FE2FA4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707C2" w:rsidTr="00FE2FA4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11.  Kontakt na spracovateľa</w:t>
            </w:r>
          </w:p>
        </w:tc>
      </w:tr>
      <w:tr w:rsidR="00A707C2" w:rsidTr="00FE2FA4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A707C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Cs/>
              </w:rPr>
              <w:t xml:space="preserve"> peter.</w:t>
            </w:r>
            <w:r>
              <w:rPr>
                <w:rFonts w:ascii="Times New Roman" w:hAnsi="Times New Roman"/>
                <w:bCs/>
              </w:rPr>
              <w:t>pamula</w:t>
            </w:r>
            <w:r w:rsidRPr="00635FFD">
              <w:rPr>
                <w:rFonts w:ascii="Times New Roman" w:hAnsi="Times New Roman"/>
              </w:rPr>
              <w:t>@nrsr.sk</w:t>
            </w:r>
          </w:p>
        </w:tc>
      </w:tr>
      <w:tr w:rsidR="00A707C2" w:rsidTr="00FE2FA4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12.  Zdroje</w:t>
            </w:r>
          </w:p>
        </w:tc>
      </w:tr>
      <w:tr w:rsidR="00A707C2" w:rsidTr="00FE2FA4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707C2" w:rsidTr="00FE2FA4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35FFD">
              <w:rPr>
                <w:rFonts w:ascii="Times New Roman" w:hAnsi="Times New Roman"/>
                <w:b/>
                <w:bCs/>
              </w:rPr>
              <w:t>  13.  Stanovisko Komisie pre posudzovanie vybraných vplyvov z PPK</w:t>
            </w:r>
          </w:p>
        </w:tc>
      </w:tr>
      <w:tr w:rsidR="00A707C2" w:rsidTr="00FE2FA4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7C2" w:rsidRPr="00635FFD" w:rsidRDefault="00A707C2" w:rsidP="00FE2FA4">
            <w:pPr>
              <w:jc w:val="both"/>
              <w:rPr>
                <w:rFonts w:ascii="Times New Roman" w:hAnsi="Times New Roman"/>
                <w:bCs/>
              </w:rPr>
            </w:pPr>
            <w:r w:rsidRPr="00635FFD">
              <w:rPr>
                <w:rFonts w:ascii="Times New Roman" w:hAnsi="Times New Roman"/>
                <w:bCs/>
              </w:rPr>
              <w:t xml:space="preserve"> Materiál nebol predmetom PPK.</w:t>
            </w:r>
          </w:p>
        </w:tc>
      </w:tr>
    </w:tbl>
    <w:p w:rsidR="00A707C2" w:rsidRPr="00635FFD" w:rsidRDefault="00A707C2" w:rsidP="00A707C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707C2" w:rsidRPr="00635FFD" w:rsidRDefault="00A707C2" w:rsidP="00A707C2">
      <w:pPr>
        <w:widowControl w:val="0"/>
        <w:tabs>
          <w:tab w:val="left" w:pos="7797"/>
        </w:tabs>
        <w:spacing w:after="0"/>
        <w:rPr>
          <w:rFonts w:ascii="Times New Roman" w:hAnsi="Times New Roman"/>
        </w:rPr>
      </w:pPr>
    </w:p>
    <w:p w:rsidR="001E091A" w:rsidRPr="001E091A" w:rsidRDefault="001E091A" w:rsidP="001E09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05D62" w:rsidRDefault="00594F34" w:rsidP="001E091A">
      <w:pPr>
        <w:spacing w:line="276" w:lineRule="auto"/>
        <w:jc w:val="both"/>
      </w:pPr>
    </w:p>
    <w:sectPr w:rsidR="00105D62" w:rsidSect="004202E5">
      <w:pgSz w:w="11906" w:h="16838"/>
      <w:pgMar w:top="927" w:right="1417" w:bottom="9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0E4"/>
    <w:multiLevelType w:val="hybridMultilevel"/>
    <w:tmpl w:val="B6628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95570"/>
    <w:multiLevelType w:val="hybridMultilevel"/>
    <w:tmpl w:val="B6628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0A"/>
    <w:rsid w:val="001E091A"/>
    <w:rsid w:val="002B2B2D"/>
    <w:rsid w:val="00336BE0"/>
    <w:rsid w:val="003E56CB"/>
    <w:rsid w:val="00402012"/>
    <w:rsid w:val="0048169E"/>
    <w:rsid w:val="00582540"/>
    <w:rsid w:val="00594F34"/>
    <w:rsid w:val="005F5E1E"/>
    <w:rsid w:val="00745C1C"/>
    <w:rsid w:val="007A7BC0"/>
    <w:rsid w:val="008748BB"/>
    <w:rsid w:val="009369EE"/>
    <w:rsid w:val="009D2C72"/>
    <w:rsid w:val="00A200F0"/>
    <w:rsid w:val="00A20A79"/>
    <w:rsid w:val="00A707C2"/>
    <w:rsid w:val="00AC5E88"/>
    <w:rsid w:val="00B834C8"/>
    <w:rsid w:val="00BD2A0A"/>
    <w:rsid w:val="00D60908"/>
    <w:rsid w:val="00DB1736"/>
    <w:rsid w:val="00E55799"/>
    <w:rsid w:val="00EC2C2A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6A47"/>
  <w14:defaultImageDpi w14:val="32767"/>
  <w15:docId w15:val="{3A3F62D9-A7F3-405F-9071-56D68377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2A0A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2A0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200F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rsid w:val="00A200F0"/>
    <w:rPr>
      <w:color w:val="605E5C"/>
      <w:shd w:val="clear" w:color="auto" w:fill="E1DFDD"/>
    </w:rPr>
  </w:style>
  <w:style w:type="paragraph" w:customStyle="1" w:styleId="odsek">
    <w:name w:val="odsek"/>
    <w:basedOn w:val="Normlny"/>
    <w:uiPriority w:val="99"/>
    <w:qFormat/>
    <w:rsid w:val="00A707C2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45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45C1C"/>
    <w:rPr>
      <w:rFonts w:ascii="Times New Roman" w:eastAsia="Times New Roman" w:hAnsi="Times New Roman" w:cs="Times New Roman"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Pamula, Peter</cp:lastModifiedBy>
  <cp:revision>3</cp:revision>
  <cp:lastPrinted>2019-08-23T08:40:00Z</cp:lastPrinted>
  <dcterms:created xsi:type="dcterms:W3CDTF">2019-08-23T06:32:00Z</dcterms:created>
  <dcterms:modified xsi:type="dcterms:W3CDTF">2019-08-23T08:41:00Z</dcterms:modified>
</cp:coreProperties>
</file>