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D3" w:rsidRPr="0084342D" w:rsidRDefault="00AD61D3" w:rsidP="00AD61D3">
      <w:pPr>
        <w:spacing w:after="200" w:line="276" w:lineRule="auto"/>
        <w:jc w:val="center"/>
        <w:rPr>
          <w:rFonts w:ascii="Times New Roman" w:eastAsia="Times New Roman" w:hAnsi="Times New Roman" w:cs="Times New Roman"/>
          <w:b/>
          <w:sz w:val="24"/>
          <w:szCs w:val="24"/>
        </w:rPr>
      </w:pPr>
      <w:r w:rsidRPr="0084342D">
        <w:rPr>
          <w:rFonts w:ascii="Times New Roman" w:eastAsia="Times New Roman" w:hAnsi="Times New Roman" w:cs="Times New Roman"/>
          <w:b/>
          <w:sz w:val="24"/>
          <w:szCs w:val="24"/>
        </w:rPr>
        <w:t>Dôvodová správa</w:t>
      </w:r>
    </w:p>
    <w:p w:rsidR="00AD61D3" w:rsidRPr="007E4424" w:rsidRDefault="00AD61D3" w:rsidP="00AD61D3">
      <w:pPr>
        <w:spacing w:after="0" w:line="240" w:lineRule="auto"/>
        <w:rPr>
          <w:rFonts w:ascii="Times New Roman" w:hAnsi="Times New Roman"/>
          <w:color w:val="000000" w:themeColor="text1"/>
          <w:sz w:val="24"/>
          <w:szCs w:val="24"/>
        </w:rPr>
      </w:pPr>
    </w:p>
    <w:p w:rsidR="00AD61D3" w:rsidRPr="007E4424" w:rsidRDefault="00AD61D3" w:rsidP="00AD61D3">
      <w:pPr>
        <w:spacing w:after="0" w:line="240" w:lineRule="auto"/>
        <w:rPr>
          <w:rFonts w:ascii="Times New Roman" w:hAnsi="Times New Roman"/>
          <w:color w:val="000000" w:themeColor="text1"/>
          <w:sz w:val="24"/>
          <w:szCs w:val="24"/>
        </w:rPr>
      </w:pPr>
    </w:p>
    <w:p w:rsidR="00AD61D3" w:rsidRPr="00085ED7" w:rsidRDefault="00AD61D3" w:rsidP="00AD61D3">
      <w:pPr>
        <w:pStyle w:val="Odsekzoznamu"/>
        <w:numPr>
          <w:ilvl w:val="0"/>
          <w:numId w:val="18"/>
        </w:numPr>
        <w:spacing w:after="0" w:line="240" w:lineRule="auto"/>
        <w:jc w:val="both"/>
        <w:rPr>
          <w:rFonts w:ascii="Times New Roman" w:hAnsi="Times New Roman"/>
          <w:b/>
          <w:color w:val="000000" w:themeColor="text1"/>
          <w:sz w:val="24"/>
          <w:szCs w:val="24"/>
        </w:rPr>
      </w:pPr>
      <w:r w:rsidRPr="00085ED7">
        <w:rPr>
          <w:rFonts w:ascii="Times New Roman" w:hAnsi="Times New Roman"/>
          <w:b/>
          <w:color w:val="000000" w:themeColor="text1"/>
          <w:sz w:val="24"/>
          <w:szCs w:val="24"/>
        </w:rPr>
        <w:t>Všeobecná časť</w:t>
      </w:r>
    </w:p>
    <w:p w:rsidR="00AD61D3" w:rsidRPr="007E4424" w:rsidRDefault="00AD61D3" w:rsidP="00AD61D3">
      <w:pPr>
        <w:spacing w:after="0" w:line="240" w:lineRule="auto"/>
        <w:ind w:left="284"/>
        <w:jc w:val="both"/>
        <w:rPr>
          <w:rFonts w:ascii="Times New Roman" w:hAnsi="Times New Roman"/>
          <w:color w:val="000000" w:themeColor="text1"/>
          <w:sz w:val="24"/>
          <w:szCs w:val="24"/>
        </w:rPr>
      </w:pPr>
    </w:p>
    <w:p w:rsidR="00AD61D3" w:rsidRDefault="00AD61D3" w:rsidP="00AD61D3">
      <w:pPr>
        <w:spacing w:after="0" w:line="240" w:lineRule="auto"/>
        <w:ind w:firstLine="703"/>
        <w:jc w:val="both"/>
        <w:rPr>
          <w:rFonts w:ascii="Times New Roman" w:hAnsi="Times New Roman"/>
          <w:sz w:val="24"/>
          <w:szCs w:val="24"/>
        </w:rPr>
      </w:pPr>
      <w:r>
        <w:rPr>
          <w:rFonts w:ascii="Times New Roman" w:hAnsi="Times New Roman"/>
          <w:sz w:val="24"/>
          <w:szCs w:val="24"/>
        </w:rPr>
        <w:t xml:space="preserve">Návrh zákona, ktorým sa mení a dopĺňa zákon č. 447/2015 Z. z. </w:t>
      </w:r>
      <w:r w:rsidRPr="00E059B4">
        <w:rPr>
          <w:rFonts w:ascii="Times New Roman" w:hAnsi="Times New Roman"/>
          <w:sz w:val="24"/>
          <w:szCs w:val="24"/>
        </w:rPr>
        <w:t>o miestnom poplatku za rozvoj a o zmene a doplnení niekto</w:t>
      </w:r>
      <w:r>
        <w:rPr>
          <w:rFonts w:ascii="Times New Roman" w:hAnsi="Times New Roman"/>
          <w:sz w:val="24"/>
          <w:szCs w:val="24"/>
        </w:rPr>
        <w:t xml:space="preserve">rých zákonov v znení zákona č. 375/2016 Z. z. sa </w:t>
      </w:r>
      <w:r w:rsidRPr="00E059B4">
        <w:rPr>
          <w:rFonts w:ascii="Times New Roman" w:hAnsi="Times New Roman"/>
          <w:sz w:val="24"/>
          <w:szCs w:val="24"/>
        </w:rPr>
        <w:t xml:space="preserve">predkladá </w:t>
      </w:r>
      <w:r>
        <w:rPr>
          <w:rFonts w:ascii="Times New Roman" w:hAnsi="Times New Roman"/>
          <w:sz w:val="24"/>
          <w:szCs w:val="24"/>
        </w:rPr>
        <w:t xml:space="preserve">ako </w:t>
      </w:r>
      <w:r w:rsidRPr="005B285C">
        <w:rPr>
          <w:rFonts w:ascii="Times New Roman" w:hAnsi="Times New Roman"/>
          <w:sz w:val="24"/>
          <w:szCs w:val="24"/>
        </w:rPr>
        <w:t>iniciatívny návrh poslancov Národnej rady Slovenskej republiky</w:t>
      </w:r>
      <w:r>
        <w:rPr>
          <w:rFonts w:ascii="Times New Roman" w:hAnsi="Times New Roman"/>
          <w:sz w:val="24"/>
          <w:szCs w:val="24"/>
        </w:rPr>
        <w:t xml:space="preserve"> Petra </w:t>
      </w:r>
      <w:proofErr w:type="spellStart"/>
      <w:r>
        <w:rPr>
          <w:rFonts w:ascii="Times New Roman" w:hAnsi="Times New Roman"/>
          <w:sz w:val="24"/>
          <w:szCs w:val="24"/>
        </w:rPr>
        <w:t>Antala</w:t>
      </w:r>
      <w:proofErr w:type="spellEnd"/>
      <w:r>
        <w:rPr>
          <w:rFonts w:ascii="Times New Roman" w:hAnsi="Times New Roman"/>
          <w:sz w:val="24"/>
          <w:szCs w:val="24"/>
        </w:rPr>
        <w:t xml:space="preserve"> a Irén </w:t>
      </w:r>
      <w:proofErr w:type="spellStart"/>
      <w:r>
        <w:rPr>
          <w:rFonts w:ascii="Times New Roman" w:hAnsi="Times New Roman"/>
          <w:sz w:val="24"/>
          <w:szCs w:val="24"/>
        </w:rPr>
        <w:t>Sárk</w:t>
      </w:r>
      <w:r>
        <w:rPr>
          <w:rFonts w:ascii="Times New Roman" w:hAnsi="Times New Roman" w:cs="Times New Roman"/>
          <w:sz w:val="24"/>
          <w:szCs w:val="24"/>
        </w:rPr>
        <w:t>ö</w:t>
      </w:r>
      <w:r>
        <w:rPr>
          <w:rFonts w:ascii="Times New Roman" w:hAnsi="Times New Roman"/>
          <w:sz w:val="24"/>
          <w:szCs w:val="24"/>
        </w:rPr>
        <w:t>zy</w:t>
      </w:r>
      <w:proofErr w:type="spellEnd"/>
      <w:r>
        <w:rPr>
          <w:rFonts w:ascii="Times New Roman" w:hAnsi="Times New Roman"/>
          <w:sz w:val="24"/>
          <w:szCs w:val="24"/>
        </w:rPr>
        <w:t>.</w:t>
      </w:r>
    </w:p>
    <w:p w:rsidR="006B1C88" w:rsidRDefault="006B1C88" w:rsidP="00AD61D3">
      <w:pPr>
        <w:spacing w:after="0" w:line="240" w:lineRule="auto"/>
        <w:ind w:firstLine="703"/>
        <w:jc w:val="both"/>
        <w:rPr>
          <w:rFonts w:ascii="Times New Roman" w:hAnsi="Times New Roman"/>
          <w:sz w:val="24"/>
          <w:szCs w:val="24"/>
        </w:rPr>
      </w:pPr>
    </w:p>
    <w:p w:rsidR="00AD61D3" w:rsidRDefault="00AD61D3" w:rsidP="00AD61D3">
      <w:pPr>
        <w:spacing w:after="0" w:line="240" w:lineRule="auto"/>
        <w:ind w:firstLine="703"/>
        <w:jc w:val="both"/>
        <w:rPr>
          <w:rFonts w:ascii="Times New Roman" w:hAnsi="Times New Roman"/>
          <w:sz w:val="24"/>
          <w:szCs w:val="24"/>
        </w:rPr>
      </w:pPr>
      <w:r>
        <w:rPr>
          <w:rFonts w:ascii="Times New Roman" w:hAnsi="Times New Roman"/>
          <w:sz w:val="24"/>
          <w:szCs w:val="24"/>
        </w:rPr>
        <w:t xml:space="preserve">Miestny poplatok za rozvoj bol zavedený od roku 2016 ako fakultatívny a schválený bol ako poslanecký návrh. Návrh zákona reaguje na požiadavky aplikačnej praxe a na podnety miest a obcí Slovenska. Niektoré ustanovenia zákona aj z dôvodu nejednotnej aplikácie v súčasnosti pripúšťajú rozdielny výklad. S cieľom zabezpečenia nápravy vyššie uvedených nedostatkov sa v predloženom materiáli navrhujú viaceré úpravy týkajúce sa miestneho poplatku za rozvoj. </w:t>
      </w:r>
    </w:p>
    <w:p w:rsidR="006B1C88" w:rsidRDefault="006B1C88" w:rsidP="00AD61D3">
      <w:pPr>
        <w:spacing w:after="0" w:line="240" w:lineRule="auto"/>
        <w:ind w:firstLine="703"/>
        <w:jc w:val="both"/>
        <w:rPr>
          <w:rFonts w:ascii="Times New Roman" w:hAnsi="Times New Roman"/>
          <w:sz w:val="24"/>
          <w:szCs w:val="24"/>
        </w:rPr>
      </w:pPr>
    </w:p>
    <w:p w:rsidR="00AD61D3" w:rsidRDefault="00AD61D3" w:rsidP="00AD61D3">
      <w:pPr>
        <w:spacing w:after="0" w:line="240" w:lineRule="auto"/>
        <w:jc w:val="both"/>
        <w:rPr>
          <w:rFonts w:ascii="Times New Roman" w:hAnsi="Times New Roman"/>
          <w:sz w:val="24"/>
          <w:szCs w:val="24"/>
        </w:rPr>
      </w:pPr>
      <w:r>
        <w:rPr>
          <w:rFonts w:ascii="Times New Roman" w:hAnsi="Times New Roman"/>
          <w:sz w:val="24"/>
          <w:szCs w:val="24"/>
        </w:rPr>
        <w:tab/>
        <w:t>Navrhuje sa spresniť predmet poplatku za rozvoj a to aj vzhľadom na požívanie jednotných pojmov v iných právnych predpisoch. Z dôvodu zníženia administratívnej záťaže sa navrhuje odstrániť plnenie už existujúcej oznamovacej povinnosti poplatníkov. Dôjde k transformácii</w:t>
      </w:r>
      <w:r w:rsidRPr="00B854AB">
        <w:rPr>
          <w:rFonts w:ascii="Times New Roman" w:hAnsi="Times New Roman"/>
          <w:sz w:val="24"/>
          <w:szCs w:val="24"/>
        </w:rPr>
        <w:t xml:space="preserve"> </w:t>
      </w:r>
      <w:r>
        <w:rPr>
          <w:rFonts w:ascii="Times New Roman" w:hAnsi="Times New Roman"/>
          <w:sz w:val="24"/>
          <w:szCs w:val="24"/>
        </w:rPr>
        <w:t>tohto ustanovenia tak, že sa</w:t>
      </w:r>
      <w:r w:rsidRPr="00B854AB">
        <w:rPr>
          <w:rFonts w:ascii="Times New Roman" w:hAnsi="Times New Roman"/>
          <w:sz w:val="24"/>
          <w:szCs w:val="24"/>
        </w:rPr>
        <w:t xml:space="preserve"> určuje postup a náležitosti oznamovaných údajov využitím kompetencie obce vyplývajúcej z Daňového poriadku za účelom zaslania </w:t>
      </w:r>
      <w:r w:rsidRPr="00B854AB">
        <w:rPr>
          <w:rFonts w:ascii="Times New Roman" w:hAnsi="Times New Roman"/>
          <w:bCs/>
          <w:sz w:val="24"/>
          <w:szCs w:val="24"/>
        </w:rPr>
        <w:t>individuálnej výzvy poplatníkovi na oznámenie výmery podlahovej plochy</w:t>
      </w:r>
      <w:r w:rsidRPr="00B854AB">
        <w:rPr>
          <w:rFonts w:ascii="Times New Roman" w:hAnsi="Times New Roman"/>
          <w:sz w:val="24"/>
          <w:szCs w:val="24"/>
        </w:rPr>
        <w:t>. V prílohe zákona sa ustanovuje štruktúra údajov o výmere podlahovej plochy v členení podľa účelu využitia stavby.</w:t>
      </w:r>
    </w:p>
    <w:p w:rsidR="006B1C88" w:rsidRPr="00B854AB" w:rsidRDefault="006B1C88" w:rsidP="00AD61D3">
      <w:pPr>
        <w:spacing w:after="0" w:line="240" w:lineRule="auto"/>
        <w:jc w:val="both"/>
        <w:rPr>
          <w:rFonts w:ascii="Times New Roman" w:hAnsi="Times New Roman"/>
          <w:sz w:val="24"/>
          <w:szCs w:val="24"/>
        </w:rPr>
      </w:pPr>
    </w:p>
    <w:p w:rsidR="00AD61D3" w:rsidRDefault="00AD61D3" w:rsidP="00AD61D3">
      <w:pPr>
        <w:spacing w:after="0" w:line="240" w:lineRule="auto"/>
        <w:jc w:val="both"/>
        <w:rPr>
          <w:rFonts w:ascii="Times New Roman" w:hAnsi="Times New Roman"/>
          <w:sz w:val="24"/>
          <w:szCs w:val="24"/>
        </w:rPr>
      </w:pPr>
      <w:r>
        <w:rPr>
          <w:rFonts w:ascii="Times New Roman" w:hAnsi="Times New Roman"/>
          <w:sz w:val="24"/>
          <w:szCs w:val="24"/>
        </w:rPr>
        <w:tab/>
      </w:r>
      <w:r w:rsidR="006B1C88">
        <w:rPr>
          <w:rFonts w:ascii="Times New Roman" w:hAnsi="Times New Roman"/>
          <w:sz w:val="24"/>
          <w:szCs w:val="24"/>
        </w:rPr>
        <w:t>Z dôvodu jednoznačnosti sa r</w:t>
      </w:r>
      <w:r>
        <w:rPr>
          <w:rFonts w:ascii="Times New Roman" w:hAnsi="Times New Roman"/>
          <w:sz w:val="24"/>
          <w:szCs w:val="24"/>
        </w:rPr>
        <w:t xml:space="preserve">ozširuje a spresňuje základ poplatku za rozvoj a zároveň sa zavádza, čo sa nebude do základu poplatku započítavať. Dopĺňajú sa ustanovenia pri správe poplatku za rozvoj, vlastná definícia miestnosti a podlahovej plochy. Návrh zákona reaguje aj na nejasnosti pri výpočte poplatku za rozvoj najmä v prípadoch, </w:t>
      </w:r>
      <w:r w:rsidRPr="00E56E8E">
        <w:rPr>
          <w:rFonts w:ascii="Times New Roman" w:hAnsi="Times New Roman"/>
          <w:sz w:val="24"/>
          <w:szCs w:val="24"/>
        </w:rPr>
        <w:t>že po vydaní stavebného povolenia došlo k ďalšej zmene stavby pred dokončením</w:t>
      </w:r>
      <w:r>
        <w:rPr>
          <w:rFonts w:ascii="Times New Roman" w:hAnsi="Times New Roman"/>
          <w:sz w:val="24"/>
          <w:szCs w:val="24"/>
        </w:rPr>
        <w:t>.</w:t>
      </w:r>
      <w:r>
        <w:rPr>
          <w:rFonts w:ascii="Times New Roman" w:hAnsi="Times New Roman"/>
          <w:sz w:val="24"/>
          <w:szCs w:val="24"/>
        </w:rPr>
        <w:tab/>
        <w:t>Z dôvodu transparentnosti sa navrhuje, aby správcovia poplatku za rozvoj určili všeobecne záväzným nariadením spôsob zverejňovania informácií jednak o výnose poplatku za rozvoj</w:t>
      </w:r>
      <w:r w:rsidR="006B1C88">
        <w:rPr>
          <w:rFonts w:ascii="Times New Roman" w:hAnsi="Times New Roman"/>
          <w:sz w:val="24"/>
          <w:szCs w:val="24"/>
        </w:rPr>
        <w:t>,</w:t>
      </w:r>
      <w:r>
        <w:rPr>
          <w:rFonts w:ascii="Times New Roman" w:hAnsi="Times New Roman"/>
          <w:sz w:val="24"/>
          <w:szCs w:val="24"/>
        </w:rPr>
        <w:t xml:space="preserve"> ako aj o jeho použití.</w:t>
      </w:r>
    </w:p>
    <w:p w:rsidR="006B1C88" w:rsidRDefault="006B1C88" w:rsidP="00AD61D3">
      <w:pPr>
        <w:spacing w:after="0" w:line="240" w:lineRule="auto"/>
        <w:jc w:val="both"/>
        <w:rPr>
          <w:rFonts w:ascii="Times New Roman" w:hAnsi="Times New Roman"/>
          <w:sz w:val="24"/>
          <w:szCs w:val="24"/>
        </w:rPr>
      </w:pPr>
    </w:p>
    <w:p w:rsidR="00FA2EE4" w:rsidRDefault="00AD61D3" w:rsidP="006B1C88">
      <w:pPr>
        <w:spacing w:after="0" w:line="240" w:lineRule="auto"/>
        <w:ind w:firstLine="703"/>
        <w:jc w:val="both"/>
        <w:rPr>
          <w:rFonts w:ascii="Times New Roman" w:hAnsi="Times New Roman"/>
          <w:sz w:val="24"/>
          <w:szCs w:val="24"/>
        </w:rPr>
      </w:pPr>
      <w:r w:rsidRPr="00E059B4">
        <w:rPr>
          <w:rFonts w:ascii="Times New Roman" w:hAnsi="Times New Roman"/>
          <w:sz w:val="24"/>
          <w:szCs w:val="24"/>
        </w:rPr>
        <w:t xml:space="preserve">Znenie návrhu zákona je v súlade s Ústavou SR, ústavnými zákonmi SR, zákonmi a všeobecne záväznými právnymi predpismi, medzinárodnými zmluvami a inými medzinárodnými dokumentmi, ktorými je Slovenská republika viazaná. </w:t>
      </w:r>
    </w:p>
    <w:p w:rsidR="006B1C88" w:rsidRPr="00B854AB" w:rsidRDefault="006B1C88" w:rsidP="006B1C88">
      <w:pPr>
        <w:spacing w:after="0" w:line="240" w:lineRule="auto"/>
        <w:ind w:firstLine="703"/>
        <w:jc w:val="both"/>
        <w:rPr>
          <w:rFonts w:ascii="Times New Roman" w:hAnsi="Times New Roman"/>
          <w:sz w:val="24"/>
          <w:szCs w:val="24"/>
        </w:rPr>
      </w:pPr>
    </w:p>
    <w:p w:rsidR="00AD61D3" w:rsidRPr="00B854AB" w:rsidRDefault="00AD61D3" w:rsidP="00FA2EE4">
      <w:pPr>
        <w:pStyle w:val="Normlnywebov"/>
        <w:spacing w:before="0" w:beforeAutospacing="0" w:after="0" w:afterAutospacing="0"/>
        <w:ind w:firstLine="703"/>
        <w:jc w:val="both"/>
      </w:pPr>
      <w:r w:rsidRPr="00B854AB">
        <w:t>Návrh zákona nebude mať vplyv na rozpočet verejnej správy, vplyvy na životné prostredie, vplyvy na informatizáciu spoločnosti, vplyvy na sl</w:t>
      </w:r>
      <w:r w:rsidR="006B1C88">
        <w:t xml:space="preserve">užby verejnej správy pre občana, </w:t>
      </w:r>
      <w:r w:rsidRPr="00B854AB">
        <w:t>sociálne vplyvy</w:t>
      </w:r>
      <w:r w:rsidR="006B1C88">
        <w:t xml:space="preserve">, ani vplyvy na </w:t>
      </w:r>
      <w:r w:rsidR="006B1C88" w:rsidRPr="00D15C62">
        <w:t>manželstvo, rodičovstvo a rodinu</w:t>
      </w:r>
      <w:r w:rsidRPr="00B854AB">
        <w:t>. Návrh zákona má pozitívny a negatívny vplyv na podnikateľské prostredie.</w:t>
      </w:r>
    </w:p>
    <w:p w:rsidR="00FA2EE4" w:rsidRDefault="00FA2EE4" w:rsidP="00AD61D3">
      <w:pPr>
        <w:pStyle w:val="Normlnywebov"/>
        <w:spacing w:before="0" w:beforeAutospacing="0" w:after="0" w:afterAutospacing="0"/>
        <w:ind w:firstLine="703"/>
        <w:jc w:val="both"/>
      </w:pPr>
    </w:p>
    <w:p w:rsidR="00AD61D3" w:rsidRDefault="00AD61D3" w:rsidP="00AD61D3">
      <w:pPr>
        <w:pStyle w:val="Normlnywebov"/>
        <w:spacing w:before="0" w:beforeAutospacing="0" w:after="0" w:afterAutospacing="0"/>
        <w:ind w:firstLine="703"/>
        <w:jc w:val="both"/>
      </w:pPr>
      <w:r w:rsidRPr="00B854AB">
        <w:t>Navrhuje sa, aby zákon s prihliadnutím</w:t>
      </w:r>
      <w:r>
        <w:t xml:space="preserve"> na dĺžku legislatívneho procesu a primeranú </w:t>
      </w:r>
      <w:proofErr w:type="spellStart"/>
      <w:r>
        <w:t>legisvakanciu</w:t>
      </w:r>
      <w:proofErr w:type="spellEnd"/>
      <w:r>
        <w:t xml:space="preserve"> </w:t>
      </w:r>
      <w:r w:rsidRPr="00954297">
        <w:t>nadobudol účinnosť 1</w:t>
      </w:r>
      <w:r>
        <w:t>5</w:t>
      </w:r>
      <w:r w:rsidRPr="00954297">
        <w:t>. novembra 2019.</w:t>
      </w:r>
    </w:p>
    <w:p w:rsidR="00AD61D3" w:rsidRDefault="00AD61D3" w:rsidP="00AD61D3">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AD61D3" w:rsidRPr="00F50F91" w:rsidRDefault="00AD61D3" w:rsidP="00AD61D3">
      <w:pPr>
        <w:pStyle w:val="Odsekzoznamu"/>
        <w:numPr>
          <w:ilvl w:val="0"/>
          <w:numId w:val="18"/>
        </w:numPr>
        <w:spacing w:after="0" w:line="240" w:lineRule="auto"/>
        <w:rPr>
          <w:rFonts w:ascii="Times New Roman" w:hAnsi="Times New Roman"/>
          <w:b/>
          <w:sz w:val="24"/>
          <w:szCs w:val="24"/>
        </w:rPr>
      </w:pPr>
      <w:r w:rsidRPr="00F50F91">
        <w:rPr>
          <w:rFonts w:ascii="Times New Roman" w:hAnsi="Times New Roman"/>
          <w:b/>
          <w:sz w:val="24"/>
          <w:szCs w:val="24"/>
        </w:rPr>
        <w:lastRenderedPageBreak/>
        <w:t>Osobitná časť</w:t>
      </w:r>
    </w:p>
    <w:p w:rsidR="00AD61D3" w:rsidRDefault="00AD61D3" w:rsidP="00AD61D3">
      <w:pPr>
        <w:spacing w:after="0" w:line="240" w:lineRule="auto"/>
        <w:jc w:val="both"/>
        <w:rPr>
          <w:rFonts w:ascii="Times New Roman" w:hAnsi="Times New Roman" w:cs="Times New Roman"/>
          <w:sz w:val="24"/>
          <w:szCs w:val="24"/>
        </w:rPr>
      </w:pPr>
    </w:p>
    <w:p w:rsidR="00AD61D3" w:rsidRDefault="00AD61D3" w:rsidP="00AD61D3">
      <w:pPr>
        <w:spacing w:after="0" w:line="240" w:lineRule="auto"/>
        <w:jc w:val="both"/>
        <w:rPr>
          <w:rFonts w:ascii="Times New Roman" w:hAnsi="Times New Roman" w:cs="Times New Roman"/>
          <w:b/>
          <w:sz w:val="24"/>
          <w:szCs w:val="24"/>
        </w:rPr>
      </w:pPr>
      <w:r w:rsidRPr="00231568">
        <w:rPr>
          <w:rFonts w:ascii="Times New Roman" w:hAnsi="Times New Roman" w:cs="Times New Roman"/>
          <w:b/>
          <w:sz w:val="24"/>
          <w:szCs w:val="24"/>
        </w:rPr>
        <w:t>K Čl. I</w:t>
      </w:r>
    </w:p>
    <w:p w:rsidR="009E2E38" w:rsidRPr="00231568" w:rsidRDefault="009E2E38"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za účelom zjednotenia definície predmetu poplatku v súlade so stavebným zákonom.</w:t>
      </w:r>
    </w:p>
    <w:p w:rsidR="00AD61D3" w:rsidRDefault="00AD61D3"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p>
    <w:p w:rsidR="00AD61D3" w:rsidRPr="00231568"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v § 3 ods. 2 zákona spresniť, ak sa</w:t>
      </w:r>
      <w:r w:rsidRPr="00231568">
        <w:rPr>
          <w:rFonts w:ascii="Times New Roman" w:hAnsi="Times New Roman" w:cs="Times New Roman"/>
          <w:sz w:val="24"/>
          <w:szCs w:val="24"/>
        </w:rPr>
        <w:t xml:space="preserve"> na mieste existujúcej stavby, ktorá má vydané búracie povolenie</w:t>
      </w:r>
      <w:r>
        <w:rPr>
          <w:rFonts w:ascii="Times New Roman" w:hAnsi="Times New Roman" w:cs="Times New Roman"/>
          <w:sz w:val="24"/>
          <w:szCs w:val="24"/>
        </w:rPr>
        <w:t xml:space="preserve">, realizuje nová výstavba, </w:t>
      </w:r>
      <w:r w:rsidRPr="00231568">
        <w:rPr>
          <w:rFonts w:ascii="Times New Roman" w:hAnsi="Times New Roman" w:cs="Times New Roman"/>
          <w:sz w:val="24"/>
          <w:szCs w:val="24"/>
        </w:rPr>
        <w:t>pôvodná podla</w:t>
      </w:r>
      <w:r>
        <w:rPr>
          <w:rFonts w:ascii="Times New Roman" w:hAnsi="Times New Roman" w:cs="Times New Roman"/>
          <w:sz w:val="24"/>
          <w:szCs w:val="24"/>
        </w:rPr>
        <w:t xml:space="preserve">hová plocha „zbúranej stavby“ </w:t>
      </w:r>
      <w:r w:rsidR="00AE53C9" w:rsidRPr="00231568">
        <w:rPr>
          <w:rFonts w:ascii="Times New Roman" w:hAnsi="Times New Roman" w:cs="Times New Roman"/>
          <w:sz w:val="24"/>
          <w:szCs w:val="24"/>
        </w:rPr>
        <w:t xml:space="preserve">sa </w:t>
      </w:r>
      <w:r w:rsidRPr="00231568">
        <w:rPr>
          <w:rFonts w:ascii="Times New Roman" w:hAnsi="Times New Roman" w:cs="Times New Roman"/>
          <w:sz w:val="24"/>
          <w:szCs w:val="24"/>
        </w:rPr>
        <w:t xml:space="preserve">započítava do rozdielu medzi </w:t>
      </w:r>
      <w:r>
        <w:rPr>
          <w:rFonts w:ascii="Times New Roman" w:hAnsi="Times New Roman" w:cs="Times New Roman"/>
          <w:sz w:val="24"/>
          <w:szCs w:val="24"/>
        </w:rPr>
        <w:t xml:space="preserve">podlahovou plochou </w:t>
      </w:r>
      <w:r w:rsidRPr="00231568">
        <w:rPr>
          <w:rFonts w:ascii="Times New Roman" w:hAnsi="Times New Roman" w:cs="Times New Roman"/>
          <w:sz w:val="24"/>
          <w:szCs w:val="24"/>
        </w:rPr>
        <w:t>reali</w:t>
      </w:r>
      <w:r>
        <w:rPr>
          <w:rFonts w:ascii="Times New Roman" w:hAnsi="Times New Roman" w:cs="Times New Roman"/>
          <w:sz w:val="24"/>
          <w:szCs w:val="24"/>
        </w:rPr>
        <w:t xml:space="preserve">zovanej stavby a zbúranej stavby s podmienkou, že nadväzujúce stavebné povolenie nadobudne právoplatnosť najneskôr do dvoch rokov od nadobudnutia právoplatnosti búracieho povolenia. </w:t>
      </w:r>
    </w:p>
    <w:p w:rsidR="00AD61D3" w:rsidRDefault="00AD61D3"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sidRPr="003610AD">
        <w:rPr>
          <w:rFonts w:ascii="Times New Roman" w:hAnsi="Times New Roman" w:cs="Times New Roman"/>
          <w:b/>
          <w:sz w:val="24"/>
          <w:szCs w:val="24"/>
        </w:rPr>
        <w:t xml:space="preserve">K bodom </w:t>
      </w:r>
      <w:r>
        <w:rPr>
          <w:rFonts w:ascii="Times New Roman" w:hAnsi="Times New Roman" w:cs="Times New Roman"/>
          <w:b/>
          <w:sz w:val="24"/>
          <w:szCs w:val="24"/>
        </w:rPr>
        <w:t>3, 4 a 9</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Vzhľadom na tzv. odpočítateľnú položku zo základu poplatku </w:t>
      </w:r>
      <w:r>
        <w:rPr>
          <w:rFonts w:ascii="Times New Roman" w:hAnsi="Times New Roman" w:cs="Times New Roman"/>
          <w:sz w:val="24"/>
          <w:szCs w:val="24"/>
        </w:rPr>
        <w:t xml:space="preserve">vyjadrenú v § 8 zákona </w:t>
      </w:r>
      <w:r w:rsidRPr="00231568">
        <w:rPr>
          <w:rFonts w:ascii="Times New Roman" w:hAnsi="Times New Roman" w:cs="Times New Roman"/>
          <w:sz w:val="24"/>
          <w:szCs w:val="24"/>
        </w:rPr>
        <w:t>(60 m</w:t>
      </w:r>
      <w:r w:rsidRPr="00404F5B">
        <w:rPr>
          <w:rFonts w:ascii="Times New Roman" w:hAnsi="Times New Roman" w:cs="Times New Roman"/>
          <w:sz w:val="24"/>
          <w:szCs w:val="24"/>
          <w:vertAlign w:val="superscript"/>
        </w:rPr>
        <w:t>2</w:t>
      </w:r>
      <w:r w:rsidRPr="00231568">
        <w:rPr>
          <w:rFonts w:ascii="Times New Roman" w:hAnsi="Times New Roman" w:cs="Times New Roman"/>
          <w:sz w:val="24"/>
          <w:szCs w:val="24"/>
        </w:rPr>
        <w:t>)</w:t>
      </w:r>
      <w:r>
        <w:rPr>
          <w:rFonts w:ascii="Times New Roman" w:hAnsi="Times New Roman" w:cs="Times New Roman"/>
          <w:sz w:val="24"/>
          <w:szCs w:val="24"/>
        </w:rPr>
        <w:t xml:space="preserve"> na každú stavbu, ktorá podlieha poplatku,</w:t>
      </w:r>
      <w:r w:rsidRPr="00231568">
        <w:rPr>
          <w:rFonts w:ascii="Times New Roman" w:hAnsi="Times New Roman" w:cs="Times New Roman"/>
          <w:sz w:val="24"/>
          <w:szCs w:val="24"/>
        </w:rPr>
        <w:t xml:space="preserve"> sa navrhuje z dôvodu </w:t>
      </w:r>
      <w:r>
        <w:rPr>
          <w:rFonts w:ascii="Times New Roman" w:hAnsi="Times New Roman" w:cs="Times New Roman"/>
          <w:sz w:val="24"/>
          <w:szCs w:val="24"/>
        </w:rPr>
        <w:t>praktickej nemožnosti využitia</w:t>
      </w:r>
      <w:r w:rsidRPr="00231568">
        <w:rPr>
          <w:rFonts w:ascii="Times New Roman" w:hAnsi="Times New Roman" w:cs="Times New Roman"/>
          <w:sz w:val="24"/>
          <w:szCs w:val="24"/>
        </w:rPr>
        <w:t xml:space="preserve"> vypustiť </w:t>
      </w:r>
      <w:r>
        <w:rPr>
          <w:rFonts w:ascii="Times New Roman" w:hAnsi="Times New Roman" w:cs="Times New Roman"/>
          <w:sz w:val="24"/>
          <w:szCs w:val="24"/>
        </w:rPr>
        <w:t>z</w:t>
      </w:r>
      <w:r w:rsidRPr="00231568">
        <w:rPr>
          <w:rFonts w:ascii="Times New Roman" w:hAnsi="Times New Roman" w:cs="Times New Roman"/>
          <w:sz w:val="24"/>
          <w:szCs w:val="24"/>
        </w:rPr>
        <w:t xml:space="preserve"> negatívn</w:t>
      </w:r>
      <w:r>
        <w:rPr>
          <w:rFonts w:ascii="Times New Roman" w:hAnsi="Times New Roman" w:cs="Times New Roman"/>
          <w:sz w:val="24"/>
          <w:szCs w:val="24"/>
        </w:rPr>
        <w:t>eho vymedzenia predmetu dane</w:t>
      </w:r>
      <w:r w:rsidR="00AE53C9">
        <w:rPr>
          <w:rFonts w:ascii="Times New Roman" w:hAnsi="Times New Roman" w:cs="Times New Roman"/>
          <w:sz w:val="24"/>
          <w:szCs w:val="24"/>
        </w:rPr>
        <w:t xml:space="preserve"> drobnú stavbu, prístavbu a nadstavbu</w:t>
      </w:r>
      <w:r w:rsidRPr="00231568">
        <w:rPr>
          <w:rFonts w:ascii="Times New Roman" w:hAnsi="Times New Roman" w:cs="Times New Roman"/>
          <w:sz w:val="24"/>
          <w:szCs w:val="24"/>
        </w:rPr>
        <w:t xml:space="preserve"> do </w:t>
      </w:r>
      <w:r>
        <w:rPr>
          <w:rFonts w:ascii="Times New Roman" w:hAnsi="Times New Roman" w:cs="Times New Roman"/>
          <w:sz w:val="24"/>
          <w:szCs w:val="24"/>
        </w:rPr>
        <w:t xml:space="preserve">   </w:t>
      </w:r>
      <w:r w:rsidRPr="00231568">
        <w:rPr>
          <w:rFonts w:ascii="Times New Roman" w:hAnsi="Times New Roman" w:cs="Times New Roman"/>
          <w:sz w:val="24"/>
          <w:szCs w:val="24"/>
        </w:rPr>
        <w:t>25 m</w:t>
      </w:r>
      <w:r w:rsidRPr="00404F5B">
        <w:rPr>
          <w:rFonts w:ascii="Times New Roman" w:hAnsi="Times New Roman" w:cs="Times New Roman"/>
          <w:sz w:val="24"/>
          <w:szCs w:val="24"/>
          <w:vertAlign w:val="superscript"/>
        </w:rPr>
        <w:t>2</w:t>
      </w:r>
      <w:r w:rsidRPr="00231568">
        <w:rPr>
          <w:rFonts w:ascii="Times New Roman" w:hAnsi="Times New Roman" w:cs="Times New Roman"/>
          <w:sz w:val="24"/>
          <w:szCs w:val="24"/>
        </w:rPr>
        <w:t>. Zároveň s</w:t>
      </w:r>
      <w:r w:rsidR="00AE53C9">
        <w:rPr>
          <w:rFonts w:ascii="Times New Roman" w:hAnsi="Times New Roman" w:cs="Times New Roman"/>
          <w:sz w:val="24"/>
          <w:szCs w:val="24"/>
        </w:rPr>
        <w:t>a</w:t>
      </w:r>
      <w:r w:rsidRPr="00231568">
        <w:rPr>
          <w:rFonts w:ascii="Times New Roman" w:hAnsi="Times New Roman" w:cs="Times New Roman"/>
          <w:sz w:val="24"/>
          <w:szCs w:val="24"/>
        </w:rPr>
        <w:t xml:space="preserve"> navrhuje </w:t>
      </w:r>
      <w:r w:rsidR="00AE53C9">
        <w:rPr>
          <w:rFonts w:ascii="Times New Roman" w:hAnsi="Times New Roman" w:cs="Times New Roman"/>
          <w:sz w:val="24"/>
          <w:szCs w:val="24"/>
        </w:rPr>
        <w:t>vypustiť aj vstavanú</w:t>
      </w:r>
      <w:r w:rsidRPr="00231568">
        <w:rPr>
          <w:rFonts w:ascii="Times New Roman" w:hAnsi="Times New Roman" w:cs="Times New Roman"/>
          <w:sz w:val="24"/>
          <w:szCs w:val="24"/>
        </w:rPr>
        <w:t xml:space="preserve"> garáž v rámci existujúcej stavby, pretože </w:t>
      </w:r>
      <w:r>
        <w:rPr>
          <w:rFonts w:ascii="Times New Roman" w:hAnsi="Times New Roman" w:cs="Times New Roman"/>
          <w:sz w:val="24"/>
          <w:szCs w:val="24"/>
        </w:rPr>
        <w:t xml:space="preserve">v situácii, ak </w:t>
      </w:r>
      <w:r w:rsidRPr="00231568">
        <w:rPr>
          <w:rFonts w:ascii="Times New Roman" w:hAnsi="Times New Roman" w:cs="Times New Roman"/>
          <w:sz w:val="24"/>
          <w:szCs w:val="24"/>
        </w:rPr>
        <w:t xml:space="preserve">dôjde k prestavbe existujúcej </w:t>
      </w:r>
      <w:r>
        <w:rPr>
          <w:rFonts w:ascii="Times New Roman" w:hAnsi="Times New Roman" w:cs="Times New Roman"/>
          <w:sz w:val="24"/>
          <w:szCs w:val="24"/>
        </w:rPr>
        <w:t xml:space="preserve">stavby a zvýšeniu </w:t>
      </w:r>
      <w:r w:rsidRPr="00231568">
        <w:rPr>
          <w:rFonts w:ascii="Times New Roman" w:hAnsi="Times New Roman" w:cs="Times New Roman"/>
          <w:sz w:val="24"/>
          <w:szCs w:val="24"/>
        </w:rPr>
        <w:t xml:space="preserve">podlahovej plochy na vstavané garáže, predmetom poplatku je iba kladný rozdiel </w:t>
      </w:r>
      <w:r>
        <w:rPr>
          <w:rFonts w:ascii="Times New Roman" w:hAnsi="Times New Roman" w:cs="Times New Roman"/>
          <w:sz w:val="24"/>
          <w:szCs w:val="24"/>
        </w:rPr>
        <w:t>prestavanej</w:t>
      </w:r>
      <w:r w:rsidRPr="00231568">
        <w:rPr>
          <w:rFonts w:ascii="Times New Roman" w:hAnsi="Times New Roman" w:cs="Times New Roman"/>
          <w:sz w:val="24"/>
          <w:szCs w:val="24"/>
        </w:rPr>
        <w:t xml:space="preserve"> a </w:t>
      </w:r>
      <w:r>
        <w:rPr>
          <w:rFonts w:ascii="Times New Roman" w:hAnsi="Times New Roman" w:cs="Times New Roman"/>
          <w:sz w:val="24"/>
          <w:szCs w:val="24"/>
        </w:rPr>
        <w:t>pôvodnej</w:t>
      </w:r>
      <w:r w:rsidRPr="00231568">
        <w:rPr>
          <w:rFonts w:ascii="Times New Roman" w:hAnsi="Times New Roman" w:cs="Times New Roman"/>
          <w:sz w:val="24"/>
          <w:szCs w:val="24"/>
        </w:rPr>
        <w:t xml:space="preserve"> podlahovej plochy</w:t>
      </w:r>
      <w:r>
        <w:rPr>
          <w:rFonts w:ascii="Times New Roman" w:hAnsi="Times New Roman" w:cs="Times New Roman"/>
          <w:sz w:val="24"/>
          <w:szCs w:val="24"/>
        </w:rPr>
        <w:t xml:space="preserve"> v existujúcej stavbe (§ 3 ods. 2)</w:t>
      </w:r>
      <w:r w:rsidRPr="00231568">
        <w:rPr>
          <w:rFonts w:ascii="Times New Roman" w:hAnsi="Times New Roman" w:cs="Times New Roman"/>
          <w:sz w:val="24"/>
          <w:szCs w:val="24"/>
        </w:rPr>
        <w:t xml:space="preserve">, ktorá sa následne ešte ďalej znižuje o tzv. odpočítateľnú položku. </w:t>
      </w:r>
      <w:r>
        <w:rPr>
          <w:rFonts w:ascii="Times New Roman" w:hAnsi="Times New Roman" w:cs="Times New Roman"/>
          <w:sz w:val="24"/>
          <w:szCs w:val="24"/>
        </w:rPr>
        <w:t xml:space="preserve">V praxi však dochádzalo k mylnej interpretácii ustanovenia § 3 ods. 3 písm. d) bodu 2., ktorá spočívala v názore, že aj v novobudovanej stavbe nie sú vstavané garáže predmetom dane. </w:t>
      </w:r>
    </w:p>
    <w:p w:rsidR="00AD61D3" w:rsidRDefault="00AD61D3"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5 a 6</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 dôvodu nesprávneho poradia odkazov na poznámky pod čiarou.</w:t>
      </w:r>
    </w:p>
    <w:p w:rsidR="00AD61D3" w:rsidRDefault="00AD61D3"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p>
    <w:p w:rsidR="00AD61D3" w:rsidRPr="00231568"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w:t>
      </w:r>
      <w:r w:rsidRPr="00231568">
        <w:rPr>
          <w:rFonts w:ascii="Times New Roman" w:hAnsi="Times New Roman" w:cs="Times New Roman"/>
          <w:sz w:val="24"/>
          <w:szCs w:val="24"/>
        </w:rPr>
        <w:t xml:space="preserve"> slová „strediskám praktického vyučovania“ na</w:t>
      </w:r>
      <w:r>
        <w:rPr>
          <w:rFonts w:ascii="Times New Roman" w:hAnsi="Times New Roman" w:cs="Times New Roman"/>
          <w:sz w:val="24"/>
          <w:szCs w:val="24"/>
        </w:rPr>
        <w:t>hradiť slovami „dielňam a </w:t>
      </w:r>
      <w:r w:rsidRPr="00231568">
        <w:rPr>
          <w:rFonts w:ascii="Times New Roman" w:hAnsi="Times New Roman" w:cs="Times New Roman"/>
          <w:sz w:val="24"/>
          <w:szCs w:val="24"/>
        </w:rPr>
        <w:t>pracoviskám praktického vyučovania“. Strediská praktickéh</w:t>
      </w:r>
      <w:r>
        <w:rPr>
          <w:rFonts w:ascii="Times New Roman" w:hAnsi="Times New Roman" w:cs="Times New Roman"/>
          <w:sz w:val="24"/>
          <w:szCs w:val="24"/>
        </w:rPr>
        <w:t>o vyučovania upravoval zákon č. </w:t>
      </w:r>
      <w:r w:rsidRPr="00231568">
        <w:rPr>
          <w:rFonts w:ascii="Times New Roman" w:hAnsi="Times New Roman" w:cs="Times New Roman"/>
          <w:sz w:val="24"/>
          <w:szCs w:val="24"/>
        </w:rPr>
        <w:t>184/2009 Z. z. o odbornom vzdelávaní a príprave a o zmene a doplnení niektorých zákonov v z</w:t>
      </w:r>
      <w:r w:rsidR="00024C2F">
        <w:rPr>
          <w:rFonts w:ascii="Times New Roman" w:hAnsi="Times New Roman" w:cs="Times New Roman"/>
          <w:sz w:val="24"/>
          <w:szCs w:val="24"/>
        </w:rPr>
        <w:t>není účinnom do 31.3.2015. Dňa 1.4</w:t>
      </w:r>
      <w:r w:rsidRPr="00231568">
        <w:rPr>
          <w:rFonts w:ascii="Times New Roman" w:hAnsi="Times New Roman" w:cs="Times New Roman"/>
          <w:sz w:val="24"/>
          <w:szCs w:val="24"/>
        </w:rPr>
        <w:t>.2015 nadobudol úč</w:t>
      </w:r>
      <w:r>
        <w:rPr>
          <w:rFonts w:ascii="Times New Roman" w:hAnsi="Times New Roman" w:cs="Times New Roman"/>
          <w:sz w:val="24"/>
          <w:szCs w:val="24"/>
        </w:rPr>
        <w:t>innosť zákon č. 61/2015 Z. z. o </w:t>
      </w:r>
      <w:r w:rsidRPr="00231568">
        <w:rPr>
          <w:rFonts w:ascii="Times New Roman" w:hAnsi="Times New Roman" w:cs="Times New Roman"/>
          <w:sz w:val="24"/>
          <w:szCs w:val="24"/>
        </w:rPr>
        <w:t xml:space="preserve">odbornom vzdelávaní a príprave a o zmene a doplnení niektorých zákonov (ďalej len „zákon č. 161/2015 Z. z.“). Podľa § 54 prechodných ustanovení zákona č. </w:t>
      </w:r>
      <w:r>
        <w:rPr>
          <w:rFonts w:ascii="Times New Roman" w:hAnsi="Times New Roman" w:cs="Times New Roman"/>
          <w:sz w:val="24"/>
          <w:szCs w:val="24"/>
        </w:rPr>
        <w:t>1</w:t>
      </w:r>
      <w:r w:rsidRPr="00231568">
        <w:rPr>
          <w:rFonts w:ascii="Times New Roman" w:hAnsi="Times New Roman" w:cs="Times New Roman"/>
          <w:sz w:val="24"/>
          <w:szCs w:val="24"/>
        </w:rPr>
        <w:t>61/2015 Z. z. zriaďovateľ strediska praktického vyučovania zriadeného podľa predpisov účinných do 31. marca 2015 určí, či sa stredisko praktického vyučovania stane dielňou alebo pracoviskom praktického vyučovania podľa tohto zákona.</w:t>
      </w:r>
      <w:r w:rsidR="00024C2F">
        <w:rPr>
          <w:rFonts w:ascii="Times New Roman" w:hAnsi="Times New Roman" w:cs="Times New Roman"/>
          <w:sz w:val="24"/>
          <w:szCs w:val="24"/>
        </w:rPr>
        <w:t xml:space="preserve"> </w:t>
      </w:r>
      <w:r w:rsidRPr="00231568">
        <w:rPr>
          <w:rFonts w:ascii="Times New Roman" w:hAnsi="Times New Roman" w:cs="Times New Roman"/>
          <w:sz w:val="24"/>
          <w:szCs w:val="24"/>
        </w:rPr>
        <w:t>Vzhľadom na uvedené a skutočnosť, že strediská praktickéh</w:t>
      </w:r>
      <w:r>
        <w:rPr>
          <w:rFonts w:ascii="Times New Roman" w:hAnsi="Times New Roman" w:cs="Times New Roman"/>
          <w:sz w:val="24"/>
          <w:szCs w:val="24"/>
        </w:rPr>
        <w:t>o vyučovania k 31.8.2018 zanikli</w:t>
      </w:r>
      <w:r w:rsidRPr="00231568">
        <w:rPr>
          <w:rFonts w:ascii="Times New Roman" w:hAnsi="Times New Roman" w:cs="Times New Roman"/>
          <w:sz w:val="24"/>
          <w:szCs w:val="24"/>
        </w:rPr>
        <w:t xml:space="preserve">, </w:t>
      </w:r>
      <w:r>
        <w:rPr>
          <w:rFonts w:ascii="Times New Roman" w:hAnsi="Times New Roman" w:cs="Times New Roman"/>
          <w:sz w:val="24"/>
          <w:szCs w:val="24"/>
        </w:rPr>
        <w:t>navrhuje sa</w:t>
      </w:r>
      <w:r w:rsidRPr="00231568">
        <w:rPr>
          <w:rFonts w:ascii="Times New Roman" w:hAnsi="Times New Roman" w:cs="Times New Roman"/>
          <w:sz w:val="24"/>
          <w:szCs w:val="24"/>
        </w:rPr>
        <w:t xml:space="preserve"> zmeniť pojem </w:t>
      </w:r>
      <w:r>
        <w:rPr>
          <w:rFonts w:ascii="Times New Roman" w:hAnsi="Times New Roman" w:cs="Times New Roman"/>
          <w:sz w:val="24"/>
          <w:szCs w:val="24"/>
        </w:rPr>
        <w:t>„</w:t>
      </w:r>
      <w:r w:rsidRPr="00231568">
        <w:rPr>
          <w:rFonts w:ascii="Times New Roman" w:hAnsi="Times New Roman" w:cs="Times New Roman"/>
          <w:sz w:val="24"/>
          <w:szCs w:val="24"/>
        </w:rPr>
        <w:t>stredisko praktického vyučovania</w:t>
      </w:r>
      <w:r>
        <w:rPr>
          <w:rFonts w:ascii="Times New Roman" w:hAnsi="Times New Roman" w:cs="Times New Roman"/>
          <w:sz w:val="24"/>
          <w:szCs w:val="24"/>
        </w:rPr>
        <w:t>“</w:t>
      </w:r>
      <w:r w:rsidRPr="00231568">
        <w:rPr>
          <w:rFonts w:ascii="Times New Roman" w:hAnsi="Times New Roman" w:cs="Times New Roman"/>
          <w:sz w:val="24"/>
          <w:szCs w:val="24"/>
        </w:rPr>
        <w:t xml:space="preserve"> na pojem </w:t>
      </w:r>
      <w:r>
        <w:rPr>
          <w:rFonts w:ascii="Times New Roman" w:hAnsi="Times New Roman" w:cs="Times New Roman"/>
          <w:sz w:val="24"/>
          <w:szCs w:val="24"/>
        </w:rPr>
        <w:t>„</w:t>
      </w:r>
      <w:r w:rsidRPr="00231568">
        <w:rPr>
          <w:rFonts w:ascii="Times New Roman" w:hAnsi="Times New Roman" w:cs="Times New Roman"/>
          <w:sz w:val="24"/>
          <w:szCs w:val="24"/>
        </w:rPr>
        <w:t>dielňa a pracovisko praktického vyučovania</w:t>
      </w:r>
      <w:r>
        <w:rPr>
          <w:rFonts w:ascii="Times New Roman" w:hAnsi="Times New Roman" w:cs="Times New Roman"/>
          <w:sz w:val="24"/>
          <w:szCs w:val="24"/>
        </w:rPr>
        <w:t>“</w:t>
      </w:r>
      <w:r w:rsidRPr="00231568">
        <w:rPr>
          <w:rFonts w:ascii="Times New Roman" w:hAnsi="Times New Roman" w:cs="Times New Roman"/>
          <w:sz w:val="24"/>
          <w:szCs w:val="24"/>
        </w:rPr>
        <w:t>.</w:t>
      </w:r>
    </w:p>
    <w:p w:rsidR="00AD61D3" w:rsidRDefault="00AD61D3" w:rsidP="00AD61D3">
      <w:pPr>
        <w:spacing w:after="0" w:line="240" w:lineRule="auto"/>
        <w:jc w:val="both"/>
        <w:rPr>
          <w:rFonts w:ascii="Times New Roman" w:hAnsi="Times New Roman" w:cs="Times New Roman"/>
          <w:b/>
          <w:sz w:val="24"/>
          <w:szCs w:val="24"/>
        </w:rPr>
      </w:pPr>
    </w:p>
    <w:p w:rsidR="00AD61D3" w:rsidRPr="003610AD"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8</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Navrhuje sa pre jednoznačnosť spresniť, kedy stavba významnej investície nebude predmetom poplatku za rozvoj</w:t>
      </w:r>
      <w:r>
        <w:rPr>
          <w:rFonts w:ascii="Times New Roman" w:hAnsi="Times New Roman" w:cs="Times New Roman"/>
          <w:sz w:val="24"/>
          <w:szCs w:val="24"/>
        </w:rPr>
        <w:t>,</w:t>
      </w:r>
      <w:r w:rsidRPr="00231568">
        <w:rPr>
          <w:rFonts w:ascii="Times New Roman" w:hAnsi="Times New Roman" w:cs="Times New Roman"/>
          <w:sz w:val="24"/>
          <w:szCs w:val="24"/>
        </w:rPr>
        <w:t xml:space="preserve"> a to vzhľadom na podmienky, ktoré ukladá zákon </w:t>
      </w:r>
      <w:r w:rsidR="00024C2F">
        <w:rPr>
          <w:rFonts w:ascii="Times New Roman" w:hAnsi="Times New Roman" w:cs="Times New Roman"/>
          <w:sz w:val="24"/>
          <w:szCs w:val="24"/>
        </w:rPr>
        <w:t xml:space="preserve">č. 175/1999 Z. z. </w:t>
      </w:r>
      <w:r w:rsidRPr="00231568">
        <w:rPr>
          <w:rFonts w:ascii="Times New Roman" w:hAnsi="Times New Roman" w:cs="Times New Roman"/>
          <w:sz w:val="24"/>
          <w:szCs w:val="24"/>
        </w:rPr>
        <w:t>o niektorých opatreniach týkajúcich sa prípravy významných investícií</w:t>
      </w:r>
      <w:r w:rsidR="00024C2F">
        <w:rPr>
          <w:rFonts w:ascii="Times New Roman" w:hAnsi="Times New Roman" w:cs="Times New Roman"/>
          <w:sz w:val="24"/>
          <w:szCs w:val="24"/>
        </w:rPr>
        <w:t xml:space="preserve"> v znení neskorších predpisov</w:t>
      </w:r>
      <w:r w:rsidRPr="00231568">
        <w:rPr>
          <w:rFonts w:ascii="Times New Roman" w:hAnsi="Times New Roman" w:cs="Times New Roman"/>
          <w:sz w:val="24"/>
          <w:szCs w:val="24"/>
        </w:rPr>
        <w:t>.</w:t>
      </w:r>
    </w:p>
    <w:p w:rsidR="00AD61D3" w:rsidRDefault="00AD61D3" w:rsidP="00AD61D3">
      <w:pPr>
        <w:spacing w:after="0" w:line="240" w:lineRule="auto"/>
        <w:jc w:val="both"/>
        <w:rPr>
          <w:rFonts w:ascii="Times New Roman" w:hAnsi="Times New Roman" w:cs="Times New Roman"/>
          <w:b/>
          <w:sz w:val="24"/>
          <w:szCs w:val="24"/>
        </w:rPr>
      </w:pPr>
    </w:p>
    <w:p w:rsidR="00AD61D3" w:rsidRDefault="00AD61D3" w:rsidP="00AD61D3">
      <w:pPr>
        <w:spacing w:after="0" w:line="240" w:lineRule="auto"/>
        <w:jc w:val="both"/>
        <w:rPr>
          <w:rFonts w:ascii="Times New Roman" w:hAnsi="Times New Roman" w:cs="Times New Roman"/>
          <w:b/>
          <w:sz w:val="24"/>
          <w:szCs w:val="24"/>
        </w:rPr>
      </w:pPr>
    </w:p>
    <w:p w:rsidR="00AD61D3" w:rsidRPr="00404F5B"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Legislatívno-technická úprava za účelom úpravy vzniku poplatkovej povinnosti pri ohlasovanej stavbe, ktorým je deň doručenia oznámenia stavebného úradu o ohlásenej stavbe tak, aby </w:t>
      </w:r>
      <w:r>
        <w:rPr>
          <w:rFonts w:ascii="Times New Roman" w:hAnsi="Times New Roman" w:cs="Times New Roman"/>
          <w:sz w:val="24"/>
          <w:szCs w:val="24"/>
        </w:rPr>
        <w:t xml:space="preserve">moment </w:t>
      </w:r>
      <w:r w:rsidRPr="00231568">
        <w:rPr>
          <w:rFonts w:ascii="Times New Roman" w:hAnsi="Times New Roman" w:cs="Times New Roman"/>
          <w:sz w:val="24"/>
          <w:szCs w:val="24"/>
        </w:rPr>
        <w:t>vznik</w:t>
      </w:r>
      <w:r>
        <w:rPr>
          <w:rFonts w:ascii="Times New Roman" w:hAnsi="Times New Roman" w:cs="Times New Roman"/>
          <w:sz w:val="24"/>
          <w:szCs w:val="24"/>
        </w:rPr>
        <w:t>u</w:t>
      </w:r>
      <w:r w:rsidRPr="00231568">
        <w:rPr>
          <w:rFonts w:ascii="Times New Roman" w:hAnsi="Times New Roman" w:cs="Times New Roman"/>
          <w:sz w:val="24"/>
          <w:szCs w:val="24"/>
        </w:rPr>
        <w:t xml:space="preserve"> poplatkovej povinnosti bol jednotný s ostatnými prípadmi (viazané na právoplatné rozhodnutia </w:t>
      </w:r>
      <w:r>
        <w:rPr>
          <w:rFonts w:ascii="Times New Roman" w:hAnsi="Times New Roman" w:cs="Times New Roman"/>
          <w:sz w:val="24"/>
          <w:szCs w:val="24"/>
        </w:rPr>
        <w:t>stavebného úradu</w:t>
      </w:r>
      <w:r w:rsidRPr="00231568">
        <w:rPr>
          <w:rFonts w:ascii="Times New Roman" w:hAnsi="Times New Roman" w:cs="Times New Roman"/>
          <w:sz w:val="24"/>
          <w:szCs w:val="24"/>
        </w:rPr>
        <w:t>).</w:t>
      </w:r>
    </w:p>
    <w:p w:rsidR="00AD61D3" w:rsidRDefault="00AD61D3" w:rsidP="00AD61D3">
      <w:pPr>
        <w:spacing w:after="0" w:line="240" w:lineRule="auto"/>
        <w:jc w:val="both"/>
        <w:rPr>
          <w:rFonts w:ascii="Times New Roman" w:hAnsi="Times New Roman" w:cs="Times New Roman"/>
          <w:b/>
          <w:sz w:val="24"/>
          <w:szCs w:val="24"/>
        </w:rPr>
      </w:pPr>
    </w:p>
    <w:p w:rsidR="00AD61D3" w:rsidRPr="00962B2C"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11, 12 a 31</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Navrhuje sa eliminovať </w:t>
      </w:r>
      <w:r>
        <w:rPr>
          <w:rFonts w:ascii="Times New Roman" w:hAnsi="Times New Roman" w:cs="Times New Roman"/>
          <w:sz w:val="24"/>
          <w:szCs w:val="24"/>
        </w:rPr>
        <w:t xml:space="preserve">plošná </w:t>
      </w:r>
      <w:r w:rsidRPr="00231568">
        <w:rPr>
          <w:rFonts w:ascii="Times New Roman" w:hAnsi="Times New Roman" w:cs="Times New Roman"/>
          <w:sz w:val="24"/>
          <w:szCs w:val="24"/>
        </w:rPr>
        <w:t xml:space="preserve">administratívna záťaž poplatníkov, ktorí </w:t>
      </w:r>
      <w:r>
        <w:rPr>
          <w:rFonts w:ascii="Times New Roman" w:hAnsi="Times New Roman" w:cs="Times New Roman"/>
          <w:sz w:val="24"/>
          <w:szCs w:val="24"/>
        </w:rPr>
        <w:t xml:space="preserve">zrušením pôvodného ustanovenia § 4 ods. 3 zákona a nahradením novým ustanovením </w:t>
      </w:r>
      <w:r w:rsidRPr="00231568">
        <w:rPr>
          <w:rFonts w:ascii="Times New Roman" w:hAnsi="Times New Roman" w:cs="Times New Roman"/>
          <w:sz w:val="24"/>
          <w:szCs w:val="24"/>
        </w:rPr>
        <w:t>už nebudú musieť povinne splniť si oznamovaciu povinnosť pri vymedzených stavbách</w:t>
      </w:r>
      <w:r>
        <w:rPr>
          <w:rFonts w:ascii="Times New Roman" w:hAnsi="Times New Roman" w:cs="Times New Roman"/>
          <w:sz w:val="24"/>
          <w:szCs w:val="24"/>
        </w:rPr>
        <w:t xml:space="preserve"> najneskôr v momente vzniku poplatkovej povinnosti</w:t>
      </w:r>
      <w:r w:rsidRPr="00231568">
        <w:rPr>
          <w:rFonts w:ascii="Times New Roman" w:hAnsi="Times New Roman" w:cs="Times New Roman"/>
          <w:sz w:val="24"/>
          <w:szCs w:val="24"/>
        </w:rPr>
        <w:t>. Naopak</w:t>
      </w:r>
      <w:r>
        <w:rPr>
          <w:rFonts w:ascii="Times New Roman" w:hAnsi="Times New Roman" w:cs="Times New Roman"/>
          <w:sz w:val="24"/>
          <w:szCs w:val="24"/>
        </w:rPr>
        <w:t>,</w:t>
      </w:r>
      <w:r w:rsidRPr="00231568">
        <w:rPr>
          <w:rFonts w:ascii="Times New Roman" w:hAnsi="Times New Roman" w:cs="Times New Roman"/>
          <w:sz w:val="24"/>
          <w:szCs w:val="24"/>
        </w:rPr>
        <w:t xml:space="preserve"> navrhuje </w:t>
      </w:r>
      <w:r>
        <w:rPr>
          <w:rFonts w:ascii="Times New Roman" w:hAnsi="Times New Roman" w:cs="Times New Roman"/>
          <w:sz w:val="24"/>
          <w:szCs w:val="24"/>
        </w:rPr>
        <w:t xml:space="preserve">sa </w:t>
      </w:r>
      <w:r w:rsidRPr="00933DF9">
        <w:rPr>
          <w:rFonts w:ascii="Times New Roman" w:hAnsi="Times New Roman" w:cs="Times New Roman"/>
          <w:sz w:val="24"/>
          <w:szCs w:val="24"/>
        </w:rPr>
        <w:t xml:space="preserve">určenie presného postupu pri využití kompetencie vyplývajúcej z daňového poriadku </w:t>
      </w:r>
      <w:r>
        <w:rPr>
          <w:rFonts w:ascii="Times New Roman" w:hAnsi="Times New Roman" w:cs="Times New Roman"/>
          <w:sz w:val="24"/>
          <w:szCs w:val="24"/>
        </w:rPr>
        <w:t>pre obec</w:t>
      </w:r>
      <w:r w:rsidRPr="00231568">
        <w:rPr>
          <w:rFonts w:ascii="Times New Roman" w:hAnsi="Times New Roman" w:cs="Times New Roman"/>
          <w:sz w:val="24"/>
          <w:szCs w:val="24"/>
        </w:rPr>
        <w:t xml:space="preserve"> ako správ</w:t>
      </w:r>
      <w:r>
        <w:rPr>
          <w:rFonts w:ascii="Times New Roman" w:hAnsi="Times New Roman" w:cs="Times New Roman"/>
          <w:sz w:val="24"/>
          <w:szCs w:val="24"/>
        </w:rPr>
        <w:t>cu</w:t>
      </w:r>
      <w:r w:rsidRPr="00231568">
        <w:rPr>
          <w:rFonts w:ascii="Times New Roman" w:hAnsi="Times New Roman" w:cs="Times New Roman"/>
          <w:sz w:val="24"/>
          <w:szCs w:val="24"/>
        </w:rPr>
        <w:t xml:space="preserve"> poplatku</w:t>
      </w:r>
      <w:r>
        <w:rPr>
          <w:rFonts w:ascii="Times New Roman" w:hAnsi="Times New Roman" w:cs="Times New Roman"/>
          <w:sz w:val="24"/>
          <w:szCs w:val="24"/>
        </w:rPr>
        <w:t xml:space="preserve"> na zaslanie </w:t>
      </w:r>
      <w:r w:rsidRPr="00231568">
        <w:rPr>
          <w:rFonts w:ascii="Times New Roman" w:hAnsi="Times New Roman" w:cs="Times New Roman"/>
          <w:sz w:val="24"/>
          <w:szCs w:val="24"/>
        </w:rPr>
        <w:t>individuálne</w:t>
      </w:r>
      <w:r>
        <w:rPr>
          <w:rFonts w:ascii="Times New Roman" w:hAnsi="Times New Roman" w:cs="Times New Roman"/>
          <w:sz w:val="24"/>
          <w:szCs w:val="24"/>
        </w:rPr>
        <w:t>j</w:t>
      </w:r>
      <w:r w:rsidRPr="00231568">
        <w:rPr>
          <w:rFonts w:ascii="Times New Roman" w:hAnsi="Times New Roman" w:cs="Times New Roman"/>
          <w:sz w:val="24"/>
          <w:szCs w:val="24"/>
        </w:rPr>
        <w:t xml:space="preserve"> </w:t>
      </w:r>
      <w:r>
        <w:rPr>
          <w:rFonts w:ascii="Times New Roman" w:hAnsi="Times New Roman" w:cs="Times New Roman"/>
          <w:sz w:val="24"/>
          <w:szCs w:val="24"/>
        </w:rPr>
        <w:t>výzvy</w:t>
      </w:r>
      <w:r w:rsidRPr="00231568">
        <w:rPr>
          <w:rFonts w:ascii="Times New Roman" w:hAnsi="Times New Roman" w:cs="Times New Roman"/>
          <w:sz w:val="24"/>
          <w:szCs w:val="24"/>
        </w:rPr>
        <w:t xml:space="preserve"> </w:t>
      </w:r>
      <w:r>
        <w:rPr>
          <w:rFonts w:ascii="Times New Roman" w:hAnsi="Times New Roman" w:cs="Times New Roman"/>
          <w:sz w:val="24"/>
          <w:szCs w:val="24"/>
        </w:rPr>
        <w:t>poplatníkovi</w:t>
      </w:r>
      <w:r w:rsidRPr="00231568">
        <w:rPr>
          <w:rFonts w:ascii="Times New Roman" w:hAnsi="Times New Roman" w:cs="Times New Roman"/>
          <w:sz w:val="24"/>
          <w:szCs w:val="24"/>
        </w:rPr>
        <w:t xml:space="preserve"> na oznámenie výmery podlahovej plochy nadzemnej časti realizovanej stavby </w:t>
      </w:r>
      <w:r>
        <w:rPr>
          <w:rFonts w:ascii="Times New Roman" w:hAnsi="Times New Roman" w:cs="Times New Roman"/>
          <w:sz w:val="24"/>
          <w:szCs w:val="24"/>
        </w:rPr>
        <w:t xml:space="preserve">v štruktúre </w:t>
      </w:r>
      <w:r w:rsidRPr="00231568">
        <w:rPr>
          <w:rFonts w:ascii="Times New Roman" w:hAnsi="Times New Roman" w:cs="Times New Roman"/>
          <w:sz w:val="24"/>
          <w:szCs w:val="24"/>
        </w:rPr>
        <w:t xml:space="preserve">podľa </w:t>
      </w:r>
      <w:r>
        <w:rPr>
          <w:rFonts w:ascii="Times New Roman" w:hAnsi="Times New Roman" w:cs="Times New Roman"/>
          <w:sz w:val="24"/>
          <w:szCs w:val="24"/>
        </w:rPr>
        <w:t>účelu jej využitia tak, ako je uvedené v prílohe</w:t>
      </w:r>
      <w:r w:rsidRPr="00231568">
        <w:rPr>
          <w:rFonts w:ascii="Times New Roman" w:hAnsi="Times New Roman" w:cs="Times New Roman"/>
          <w:sz w:val="24"/>
          <w:szCs w:val="24"/>
        </w:rPr>
        <w:t xml:space="preserve"> </w:t>
      </w:r>
      <w:r>
        <w:rPr>
          <w:rFonts w:ascii="Times New Roman" w:hAnsi="Times New Roman" w:cs="Times New Roman"/>
          <w:sz w:val="24"/>
          <w:szCs w:val="24"/>
        </w:rPr>
        <w:t>tohto zákona</w:t>
      </w:r>
      <w:r w:rsidRPr="00231568">
        <w:rPr>
          <w:rFonts w:ascii="Times New Roman" w:hAnsi="Times New Roman" w:cs="Times New Roman"/>
          <w:sz w:val="24"/>
          <w:szCs w:val="24"/>
        </w:rPr>
        <w:t xml:space="preserve">. Predpokladá sa, že tento inštitút bude </w:t>
      </w:r>
      <w:r>
        <w:rPr>
          <w:rFonts w:ascii="Times New Roman" w:hAnsi="Times New Roman" w:cs="Times New Roman"/>
          <w:sz w:val="24"/>
          <w:szCs w:val="24"/>
        </w:rPr>
        <w:t xml:space="preserve">voči poplatníkom </w:t>
      </w:r>
      <w:r w:rsidRPr="00231568">
        <w:rPr>
          <w:rFonts w:ascii="Times New Roman" w:hAnsi="Times New Roman" w:cs="Times New Roman"/>
          <w:sz w:val="24"/>
          <w:szCs w:val="24"/>
        </w:rPr>
        <w:t>využívaný sporadicky</w:t>
      </w:r>
      <w:r>
        <w:rPr>
          <w:rFonts w:ascii="Times New Roman" w:hAnsi="Times New Roman" w:cs="Times New Roman"/>
          <w:sz w:val="24"/>
          <w:szCs w:val="24"/>
        </w:rPr>
        <w:t xml:space="preserve"> a individuálne</w:t>
      </w:r>
      <w:r w:rsidRPr="00231568">
        <w:rPr>
          <w:rFonts w:ascii="Times New Roman" w:hAnsi="Times New Roman" w:cs="Times New Roman"/>
          <w:sz w:val="24"/>
          <w:szCs w:val="24"/>
        </w:rPr>
        <w:t xml:space="preserve">, nakoľko obce v súčasnosti </w:t>
      </w:r>
      <w:r>
        <w:rPr>
          <w:rFonts w:ascii="Times New Roman" w:hAnsi="Times New Roman" w:cs="Times New Roman"/>
          <w:sz w:val="24"/>
          <w:szCs w:val="24"/>
        </w:rPr>
        <w:t>pri správe daní</w:t>
      </w:r>
      <w:r w:rsidRPr="00231568">
        <w:rPr>
          <w:rFonts w:ascii="Times New Roman" w:hAnsi="Times New Roman" w:cs="Times New Roman"/>
          <w:sz w:val="24"/>
          <w:szCs w:val="24"/>
        </w:rPr>
        <w:t xml:space="preserve"> </w:t>
      </w:r>
      <w:r>
        <w:rPr>
          <w:rFonts w:ascii="Times New Roman" w:hAnsi="Times New Roman" w:cs="Times New Roman"/>
          <w:sz w:val="24"/>
          <w:szCs w:val="24"/>
        </w:rPr>
        <w:t>používajú</w:t>
      </w:r>
      <w:r w:rsidRPr="00231568">
        <w:rPr>
          <w:rFonts w:ascii="Times New Roman" w:hAnsi="Times New Roman" w:cs="Times New Roman"/>
          <w:sz w:val="24"/>
          <w:szCs w:val="24"/>
        </w:rPr>
        <w:t xml:space="preserve"> aj</w:t>
      </w:r>
      <w:r>
        <w:rPr>
          <w:rFonts w:ascii="Times New Roman" w:hAnsi="Times New Roman" w:cs="Times New Roman"/>
          <w:sz w:val="24"/>
          <w:szCs w:val="24"/>
        </w:rPr>
        <w:t xml:space="preserve"> informácie získané súčinnosťou orgánu preneseného</w:t>
      </w:r>
      <w:r w:rsidRPr="00231568">
        <w:rPr>
          <w:rFonts w:ascii="Times New Roman" w:hAnsi="Times New Roman" w:cs="Times New Roman"/>
          <w:sz w:val="24"/>
          <w:szCs w:val="24"/>
        </w:rPr>
        <w:t xml:space="preserve"> výkon</w:t>
      </w:r>
      <w:r>
        <w:rPr>
          <w:rFonts w:ascii="Times New Roman" w:hAnsi="Times New Roman" w:cs="Times New Roman"/>
          <w:sz w:val="24"/>
          <w:szCs w:val="24"/>
        </w:rPr>
        <w:t>u</w:t>
      </w:r>
      <w:r w:rsidRPr="00231568">
        <w:rPr>
          <w:rFonts w:ascii="Times New Roman" w:hAnsi="Times New Roman" w:cs="Times New Roman"/>
          <w:sz w:val="24"/>
          <w:szCs w:val="24"/>
        </w:rPr>
        <w:t xml:space="preserve"> štátnej správy v oblas</w:t>
      </w:r>
      <w:r>
        <w:rPr>
          <w:rFonts w:ascii="Times New Roman" w:hAnsi="Times New Roman" w:cs="Times New Roman"/>
          <w:sz w:val="24"/>
          <w:szCs w:val="24"/>
        </w:rPr>
        <w:t>ti výstavby a stavebného konania</w:t>
      </w:r>
      <w:r w:rsidRPr="00231568">
        <w:rPr>
          <w:rFonts w:ascii="Times New Roman" w:hAnsi="Times New Roman" w:cs="Times New Roman"/>
          <w:sz w:val="24"/>
          <w:szCs w:val="24"/>
        </w:rPr>
        <w:t xml:space="preserve">. </w:t>
      </w:r>
      <w:r>
        <w:rPr>
          <w:rFonts w:ascii="Times New Roman" w:hAnsi="Times New Roman" w:cs="Times New Roman"/>
          <w:sz w:val="24"/>
          <w:szCs w:val="24"/>
        </w:rPr>
        <w:t xml:space="preserve">Projektová dokumentácia môže byť v praxi pre správcu poplatku komplikovaná najmä pri viacúčelových stavbách, a teda správca poplatku aj vzhľadom na nejednotnosť definície miestnosti a rôznych spôsoboch určenia podlahovej plochy v stavebnom sektore pri rôznych stavbách môže mať problém zistiť správny základ poplatku podľa § 6 zákona (aj preto aktuálna novela zavádza vlastnú definíciu miestnosti a podlahovej plochy, ktorá je pre všetky druhy stavieb na účely miestneho poplatku za rozvoj jednotná). Pre deklaráciu správnosti oznamovaných údajov na základe výzvy správcu poplatku je vhodné údaje potvrdiť projektantom stavby. </w:t>
      </w:r>
      <w:r w:rsidRPr="00231568">
        <w:rPr>
          <w:rFonts w:ascii="Times New Roman" w:hAnsi="Times New Roman" w:cs="Times New Roman"/>
          <w:sz w:val="24"/>
          <w:szCs w:val="24"/>
        </w:rPr>
        <w:t xml:space="preserve">Zároveň sa navrhuje </w:t>
      </w:r>
      <w:r>
        <w:rPr>
          <w:rFonts w:ascii="Times New Roman" w:hAnsi="Times New Roman" w:cs="Times New Roman"/>
          <w:sz w:val="24"/>
          <w:szCs w:val="24"/>
        </w:rPr>
        <w:t xml:space="preserve">ďalší </w:t>
      </w:r>
      <w:r w:rsidRPr="00231568">
        <w:rPr>
          <w:rFonts w:ascii="Times New Roman" w:hAnsi="Times New Roman" w:cs="Times New Roman"/>
          <w:sz w:val="24"/>
          <w:szCs w:val="24"/>
        </w:rPr>
        <w:t>postup obce</w:t>
      </w:r>
      <w:r>
        <w:rPr>
          <w:rFonts w:ascii="Times New Roman" w:hAnsi="Times New Roman" w:cs="Times New Roman"/>
          <w:sz w:val="24"/>
          <w:szCs w:val="24"/>
        </w:rPr>
        <w:t xml:space="preserve"> voči poplatníkovi za predpokladu, že poplatník nereaguje na</w:t>
      </w:r>
      <w:r w:rsidRPr="00231568">
        <w:rPr>
          <w:rFonts w:ascii="Times New Roman" w:hAnsi="Times New Roman" w:cs="Times New Roman"/>
          <w:sz w:val="24"/>
          <w:szCs w:val="24"/>
        </w:rPr>
        <w:t xml:space="preserve"> </w:t>
      </w:r>
      <w:r>
        <w:rPr>
          <w:rFonts w:ascii="Times New Roman" w:hAnsi="Times New Roman" w:cs="Times New Roman"/>
          <w:sz w:val="24"/>
          <w:szCs w:val="24"/>
        </w:rPr>
        <w:t>výzvu správcu poplatku podľa § 4 ods. 3 zákona</w:t>
      </w:r>
      <w:r w:rsidRPr="00231568">
        <w:rPr>
          <w:rFonts w:ascii="Times New Roman" w:hAnsi="Times New Roman" w:cs="Times New Roman"/>
          <w:sz w:val="24"/>
          <w:szCs w:val="24"/>
        </w:rPr>
        <w:t xml:space="preserve"> tak, že správca poplatku </w:t>
      </w:r>
      <w:r>
        <w:rPr>
          <w:rFonts w:ascii="Times New Roman" w:hAnsi="Times New Roman" w:cs="Times New Roman"/>
          <w:sz w:val="24"/>
          <w:szCs w:val="24"/>
        </w:rPr>
        <w:t>zašle ďalšiu výzvu s primeranou lehotou, po ktorej nasleduje určenie</w:t>
      </w:r>
      <w:r w:rsidRPr="00231568">
        <w:rPr>
          <w:rFonts w:ascii="Times New Roman" w:hAnsi="Times New Roman" w:cs="Times New Roman"/>
          <w:sz w:val="24"/>
          <w:szCs w:val="24"/>
        </w:rPr>
        <w:t xml:space="preserve"> </w:t>
      </w:r>
      <w:r>
        <w:rPr>
          <w:rFonts w:ascii="Times New Roman" w:hAnsi="Times New Roman" w:cs="Times New Roman"/>
          <w:sz w:val="24"/>
          <w:szCs w:val="24"/>
        </w:rPr>
        <w:t>poplatku</w:t>
      </w:r>
      <w:r w:rsidRPr="00231568">
        <w:rPr>
          <w:rFonts w:ascii="Times New Roman" w:hAnsi="Times New Roman" w:cs="Times New Roman"/>
          <w:sz w:val="24"/>
          <w:szCs w:val="24"/>
        </w:rPr>
        <w:t xml:space="preserve"> podľa pomôcok. </w:t>
      </w:r>
    </w:p>
    <w:p w:rsidR="004F3EDE" w:rsidRDefault="004F3EDE" w:rsidP="00AD61D3">
      <w:pPr>
        <w:spacing w:after="0" w:line="240" w:lineRule="auto"/>
        <w:jc w:val="both"/>
        <w:rPr>
          <w:rFonts w:ascii="Times New Roman" w:hAnsi="Times New Roman" w:cs="Times New Roman"/>
          <w:sz w:val="24"/>
          <w:szCs w:val="24"/>
        </w:rPr>
      </w:pPr>
    </w:p>
    <w:p w:rsidR="00AD61D3" w:rsidRPr="00231568"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prílohe zákona sa u</w:t>
      </w:r>
      <w:r w:rsidRPr="00231568">
        <w:rPr>
          <w:rFonts w:ascii="Times New Roman" w:hAnsi="Times New Roman" w:cs="Times New Roman"/>
          <w:sz w:val="24"/>
          <w:szCs w:val="24"/>
        </w:rPr>
        <w:t xml:space="preserve">stanovuje štruktúra </w:t>
      </w:r>
      <w:r>
        <w:rPr>
          <w:rFonts w:ascii="Times New Roman" w:hAnsi="Times New Roman" w:cs="Times New Roman"/>
          <w:sz w:val="24"/>
          <w:szCs w:val="24"/>
        </w:rPr>
        <w:t>údajov</w:t>
      </w:r>
      <w:r w:rsidRPr="00231568">
        <w:rPr>
          <w:rFonts w:ascii="Times New Roman" w:hAnsi="Times New Roman" w:cs="Times New Roman"/>
          <w:sz w:val="24"/>
          <w:szCs w:val="24"/>
        </w:rPr>
        <w:t xml:space="preserve"> o výmere podlahovej plochy nadzemnej časti realizovanej stavby za účelom jednotnej aplikácie </w:t>
      </w:r>
      <w:r>
        <w:rPr>
          <w:rFonts w:ascii="Times New Roman" w:hAnsi="Times New Roman" w:cs="Times New Roman"/>
          <w:sz w:val="24"/>
          <w:szCs w:val="24"/>
        </w:rPr>
        <w:t>splnenia</w:t>
      </w:r>
      <w:r w:rsidRPr="00231568">
        <w:rPr>
          <w:rFonts w:ascii="Times New Roman" w:hAnsi="Times New Roman" w:cs="Times New Roman"/>
          <w:sz w:val="24"/>
          <w:szCs w:val="24"/>
        </w:rPr>
        <w:t xml:space="preserve"> si oz</w:t>
      </w:r>
      <w:r>
        <w:rPr>
          <w:rFonts w:ascii="Times New Roman" w:hAnsi="Times New Roman" w:cs="Times New Roman"/>
          <w:sz w:val="24"/>
          <w:szCs w:val="24"/>
        </w:rPr>
        <w:t>namovacej povinnosti poplatníka na základe výzvy správcu poplatku.</w:t>
      </w:r>
    </w:p>
    <w:p w:rsidR="00AD61D3" w:rsidRDefault="00AD61D3" w:rsidP="00AD61D3">
      <w:pPr>
        <w:spacing w:after="0" w:line="240" w:lineRule="auto"/>
        <w:jc w:val="both"/>
        <w:rPr>
          <w:rFonts w:ascii="Times New Roman" w:hAnsi="Times New Roman" w:cs="Times New Roman"/>
          <w:b/>
          <w:sz w:val="24"/>
          <w:szCs w:val="24"/>
        </w:rPr>
      </w:pPr>
    </w:p>
    <w:p w:rsidR="00AD61D3" w:rsidRPr="008D3476" w:rsidRDefault="00AD61D3" w:rsidP="00AD61D3">
      <w:pPr>
        <w:spacing w:after="0" w:line="240" w:lineRule="auto"/>
        <w:jc w:val="both"/>
        <w:rPr>
          <w:rFonts w:ascii="Times New Roman" w:hAnsi="Times New Roman" w:cs="Times New Roman"/>
          <w:b/>
          <w:sz w:val="24"/>
          <w:szCs w:val="24"/>
        </w:rPr>
      </w:pPr>
      <w:r w:rsidRPr="008D3476">
        <w:rPr>
          <w:rFonts w:ascii="Times New Roman" w:hAnsi="Times New Roman" w:cs="Times New Roman"/>
          <w:b/>
          <w:sz w:val="24"/>
          <w:szCs w:val="24"/>
        </w:rPr>
        <w:t>K bodom</w:t>
      </w:r>
      <w:r>
        <w:rPr>
          <w:rFonts w:ascii="Times New Roman" w:hAnsi="Times New Roman" w:cs="Times New Roman"/>
          <w:b/>
          <w:sz w:val="24"/>
          <w:szCs w:val="24"/>
        </w:rPr>
        <w:t xml:space="preserve"> 13 a 15</w:t>
      </w:r>
    </w:p>
    <w:p w:rsidR="00AD61D3"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za účelom zjednotenia definície poplatníka</w:t>
      </w:r>
      <w:r>
        <w:rPr>
          <w:rFonts w:ascii="Times New Roman" w:hAnsi="Times New Roman" w:cs="Times New Roman"/>
          <w:sz w:val="24"/>
          <w:szCs w:val="24"/>
        </w:rPr>
        <w:t xml:space="preserve"> v nadväznosti na úpravy v bodoch 1 až 4</w:t>
      </w:r>
      <w:r w:rsidRPr="00231568">
        <w:rPr>
          <w:rFonts w:ascii="Times New Roman" w:hAnsi="Times New Roman" w:cs="Times New Roman"/>
          <w:sz w:val="24"/>
          <w:szCs w:val="24"/>
        </w:rPr>
        <w:t>.</w:t>
      </w:r>
    </w:p>
    <w:p w:rsidR="006046BF" w:rsidRDefault="006046BF" w:rsidP="00AD61D3">
      <w:pPr>
        <w:spacing w:after="0" w:line="240" w:lineRule="auto"/>
        <w:jc w:val="both"/>
        <w:rPr>
          <w:rFonts w:ascii="Times New Roman" w:hAnsi="Times New Roman" w:cs="Times New Roman"/>
          <w:sz w:val="24"/>
          <w:szCs w:val="24"/>
        </w:rPr>
      </w:pPr>
    </w:p>
    <w:p w:rsidR="00AD61D3" w:rsidRPr="00231568"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súvislosti s definíciou poplatníka sa explicitne uvádza, že táto osoba poplatníka sa nezmení ani v situácii, ak dôjde k zmene stavebníka (napr. predajom rozostavanej stavby, postúpením práv k povolenej stavbe, vydražením stavby a pod.) s výnimkou situácie, že pôvodný poplatník má právneho nástupcu (napr. prebratím spoločnosti inou spoločnosťou alebo ich zlúčením). To znamená, že aj napriek zmene stavebníka je poplatok za rozvoj stále povinný uhradiť pôvodný stavebník (ktorému bolo vydané stavebné povolenie a pod.).</w:t>
      </w:r>
    </w:p>
    <w:p w:rsidR="00AD61D3" w:rsidRDefault="00AD61D3" w:rsidP="00AD61D3">
      <w:pPr>
        <w:spacing w:after="0" w:line="240" w:lineRule="auto"/>
        <w:jc w:val="both"/>
        <w:rPr>
          <w:rFonts w:ascii="Times New Roman" w:hAnsi="Times New Roman" w:cs="Times New Roman"/>
          <w:b/>
          <w:sz w:val="24"/>
          <w:szCs w:val="24"/>
        </w:rPr>
      </w:pPr>
    </w:p>
    <w:p w:rsidR="00AD61D3" w:rsidRPr="008D3476"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14</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gramatického charakteru.</w:t>
      </w:r>
    </w:p>
    <w:p w:rsidR="00AD61D3" w:rsidRDefault="00AD61D3" w:rsidP="00AD61D3">
      <w:pPr>
        <w:spacing w:after="0" w:line="240" w:lineRule="auto"/>
        <w:jc w:val="both"/>
        <w:rPr>
          <w:rFonts w:ascii="Times New Roman" w:hAnsi="Times New Roman" w:cs="Times New Roman"/>
          <w:b/>
          <w:sz w:val="24"/>
          <w:szCs w:val="24"/>
        </w:rPr>
      </w:pPr>
    </w:p>
    <w:p w:rsidR="00AD61D3" w:rsidRPr="00D663E9" w:rsidRDefault="00AD61D3" w:rsidP="00AD61D3">
      <w:pPr>
        <w:spacing w:after="0" w:line="240" w:lineRule="auto"/>
        <w:jc w:val="both"/>
        <w:rPr>
          <w:rFonts w:ascii="Times New Roman" w:hAnsi="Times New Roman" w:cs="Times New Roman"/>
          <w:b/>
          <w:sz w:val="24"/>
          <w:szCs w:val="24"/>
        </w:rPr>
      </w:pPr>
      <w:r w:rsidRPr="00D663E9">
        <w:rPr>
          <w:rFonts w:ascii="Times New Roman" w:hAnsi="Times New Roman" w:cs="Times New Roman"/>
          <w:b/>
          <w:sz w:val="24"/>
          <w:szCs w:val="24"/>
        </w:rPr>
        <w:t>K bodom</w:t>
      </w:r>
      <w:r>
        <w:rPr>
          <w:rFonts w:ascii="Times New Roman" w:hAnsi="Times New Roman" w:cs="Times New Roman"/>
          <w:b/>
          <w:sz w:val="24"/>
          <w:szCs w:val="24"/>
        </w:rPr>
        <w:t xml:space="preserve"> 16 a 18</w:t>
      </w:r>
    </w:p>
    <w:p w:rsidR="00AD61D3"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D663E9">
        <w:rPr>
          <w:rFonts w:ascii="Times New Roman" w:hAnsi="Times New Roman" w:cs="Times New Roman"/>
          <w:sz w:val="24"/>
          <w:szCs w:val="24"/>
        </w:rPr>
        <w:t>zhľadom na nejednotnosť definície miestnosti a</w:t>
      </w:r>
      <w:r w:rsidR="006046BF">
        <w:rPr>
          <w:rFonts w:ascii="Times New Roman" w:hAnsi="Times New Roman" w:cs="Times New Roman"/>
          <w:sz w:val="24"/>
          <w:szCs w:val="24"/>
        </w:rPr>
        <w:t> rôzne spôsoby</w:t>
      </w:r>
      <w:r w:rsidRPr="00D663E9">
        <w:rPr>
          <w:rFonts w:ascii="Times New Roman" w:hAnsi="Times New Roman" w:cs="Times New Roman"/>
          <w:sz w:val="24"/>
          <w:szCs w:val="24"/>
        </w:rPr>
        <w:t xml:space="preserve"> určenia podlahovej plochy v stavebnom sektore</w:t>
      </w:r>
      <w:r>
        <w:rPr>
          <w:rFonts w:ascii="Times New Roman" w:hAnsi="Times New Roman" w:cs="Times New Roman"/>
          <w:sz w:val="24"/>
          <w:szCs w:val="24"/>
        </w:rPr>
        <w:t xml:space="preserve"> (napr. úžitková plocha, hrubá podlahová plocha, zastavaná plocha a pod.)</w:t>
      </w:r>
      <w:r w:rsidRPr="00D663E9">
        <w:rPr>
          <w:rFonts w:ascii="Times New Roman" w:hAnsi="Times New Roman" w:cs="Times New Roman"/>
          <w:sz w:val="24"/>
          <w:szCs w:val="24"/>
        </w:rPr>
        <w:t xml:space="preserve"> </w:t>
      </w:r>
      <w:r w:rsidRPr="00D663E9">
        <w:rPr>
          <w:rFonts w:ascii="Times New Roman" w:hAnsi="Times New Roman" w:cs="Times New Roman"/>
          <w:sz w:val="24"/>
          <w:szCs w:val="24"/>
        </w:rPr>
        <w:lastRenderedPageBreak/>
        <w:t xml:space="preserve">pri rôznych stavbách môže </w:t>
      </w:r>
      <w:r>
        <w:rPr>
          <w:rFonts w:ascii="Times New Roman" w:hAnsi="Times New Roman" w:cs="Times New Roman"/>
          <w:sz w:val="24"/>
          <w:szCs w:val="24"/>
        </w:rPr>
        <w:t>byť</w:t>
      </w:r>
      <w:r w:rsidRPr="00D663E9">
        <w:rPr>
          <w:rFonts w:ascii="Times New Roman" w:hAnsi="Times New Roman" w:cs="Times New Roman"/>
          <w:sz w:val="24"/>
          <w:szCs w:val="24"/>
        </w:rPr>
        <w:t xml:space="preserve"> problém zistiť správny základ poplatku podľa § 6 zákona</w:t>
      </w:r>
      <w:r>
        <w:rPr>
          <w:rFonts w:ascii="Times New Roman" w:hAnsi="Times New Roman" w:cs="Times New Roman"/>
          <w:sz w:val="24"/>
          <w:szCs w:val="24"/>
        </w:rPr>
        <w:t>.</w:t>
      </w:r>
      <w:r w:rsidRPr="00D663E9">
        <w:rPr>
          <w:rFonts w:ascii="Times New Roman" w:hAnsi="Times New Roman" w:cs="Times New Roman"/>
          <w:sz w:val="24"/>
          <w:szCs w:val="24"/>
        </w:rPr>
        <w:t xml:space="preserve"> </w:t>
      </w:r>
      <w:r>
        <w:rPr>
          <w:rFonts w:ascii="Times New Roman" w:hAnsi="Times New Roman" w:cs="Times New Roman"/>
          <w:sz w:val="24"/>
          <w:szCs w:val="24"/>
        </w:rPr>
        <w:t>P</w:t>
      </w:r>
      <w:r w:rsidRPr="00D663E9">
        <w:rPr>
          <w:rFonts w:ascii="Times New Roman" w:hAnsi="Times New Roman" w:cs="Times New Roman"/>
          <w:sz w:val="24"/>
          <w:szCs w:val="24"/>
        </w:rPr>
        <w:t>reto aktuálna novela zavádza vlastnú definíciu miestnosti a podlahovej plochy, ktorá je pre všetky druhy stavieb na účely miestneho poplatku za rozvoj jednotná</w:t>
      </w:r>
      <w:r>
        <w:rPr>
          <w:rFonts w:ascii="Times New Roman" w:hAnsi="Times New Roman" w:cs="Times New Roman"/>
          <w:sz w:val="24"/>
          <w:szCs w:val="24"/>
        </w:rPr>
        <w:t xml:space="preserve">. </w:t>
      </w:r>
      <w:r w:rsidRPr="00231568">
        <w:rPr>
          <w:rFonts w:ascii="Times New Roman" w:hAnsi="Times New Roman" w:cs="Times New Roman"/>
          <w:sz w:val="24"/>
          <w:szCs w:val="24"/>
        </w:rPr>
        <w:t xml:space="preserve">Navrhuje sa presne </w:t>
      </w:r>
      <w:r w:rsidRPr="00B30628">
        <w:rPr>
          <w:rFonts w:ascii="Times New Roman" w:hAnsi="Times New Roman" w:cs="Times New Roman"/>
          <w:sz w:val="24"/>
          <w:szCs w:val="24"/>
        </w:rPr>
        <w:t>definovať</w:t>
      </w:r>
      <w:r w:rsidRPr="00231568">
        <w:rPr>
          <w:rFonts w:ascii="Times New Roman" w:hAnsi="Times New Roman" w:cs="Times New Roman"/>
          <w:sz w:val="24"/>
          <w:szCs w:val="24"/>
        </w:rPr>
        <w:t xml:space="preserve"> čo je miestnosťou </w:t>
      </w:r>
      <w:r>
        <w:rPr>
          <w:rFonts w:ascii="Times New Roman" w:hAnsi="Times New Roman" w:cs="Times New Roman"/>
          <w:sz w:val="24"/>
          <w:szCs w:val="24"/>
        </w:rPr>
        <w:t xml:space="preserve">(v zmysle uvedenej definície napr. závetrie nie je miestnosťou, ale zádverie áno) </w:t>
      </w:r>
      <w:r w:rsidRPr="00231568">
        <w:rPr>
          <w:rFonts w:ascii="Times New Roman" w:hAnsi="Times New Roman" w:cs="Times New Roman"/>
          <w:sz w:val="24"/>
          <w:szCs w:val="24"/>
        </w:rPr>
        <w:t>a podlahovou plochou nadzemnej časti realizovanej stavby podľa tohto zákona. Zároveň sa navrhuje určiť, ktoré časti podlahovej plochy sa nebudú započítavať do základu poplatku</w:t>
      </w:r>
      <w:r>
        <w:rPr>
          <w:rFonts w:ascii="Times New Roman" w:hAnsi="Times New Roman" w:cs="Times New Roman"/>
          <w:sz w:val="24"/>
          <w:szCs w:val="24"/>
        </w:rPr>
        <w:t xml:space="preserve"> (v zmysle uvedenej definície balkón, lodžia alebo terasa bez trvalého presklenia nie je s</w:t>
      </w:r>
      <w:r w:rsidR="00B30628">
        <w:rPr>
          <w:rFonts w:ascii="Times New Roman" w:hAnsi="Times New Roman" w:cs="Times New Roman"/>
          <w:sz w:val="24"/>
          <w:szCs w:val="24"/>
        </w:rPr>
        <w:t>účasťou základu poplatku, avšak</w:t>
      </w:r>
      <w:r>
        <w:rPr>
          <w:rFonts w:ascii="Times New Roman" w:hAnsi="Times New Roman" w:cs="Times New Roman"/>
          <w:sz w:val="24"/>
          <w:szCs w:val="24"/>
        </w:rPr>
        <w:t xml:space="preserve"> ak je balkón, lodžia alebo terasa opatrená stavebnou konštrukciou s presklením, tak sa vnútorná podlahová plocha započítava do základu poplatku)</w:t>
      </w:r>
      <w:r w:rsidRPr="00231568">
        <w:rPr>
          <w:rFonts w:ascii="Times New Roman" w:hAnsi="Times New Roman" w:cs="Times New Roman"/>
          <w:sz w:val="24"/>
          <w:szCs w:val="24"/>
        </w:rPr>
        <w:t>.</w:t>
      </w:r>
      <w:r>
        <w:rPr>
          <w:rFonts w:ascii="Times New Roman" w:hAnsi="Times New Roman" w:cs="Times New Roman"/>
          <w:sz w:val="24"/>
          <w:szCs w:val="24"/>
        </w:rPr>
        <w:t xml:space="preserve"> Pre jednoznačnosť sa uvádza, že do základu poplatku sa zarátava aj vnútorný priestor s ponechaným stavebným otvorom (napr. vjazd do garáží bez garážovej brány, otvor na manipuláciu so zariadeniami, tovarom a pod. pri priemyselnej výrobe alebo ktorákoľvek iná kombinácia účelu využitia vnútorného priestoru, ktorý sa nedá funkčne uzatvoriť).</w:t>
      </w:r>
    </w:p>
    <w:p w:rsidR="00846632" w:rsidRDefault="00846632" w:rsidP="00AD61D3">
      <w:pPr>
        <w:spacing w:after="0" w:line="240" w:lineRule="auto"/>
        <w:jc w:val="both"/>
        <w:rPr>
          <w:rFonts w:ascii="Times New Roman" w:hAnsi="Times New Roman" w:cs="Times New Roman"/>
          <w:sz w:val="24"/>
          <w:szCs w:val="24"/>
        </w:rPr>
      </w:pPr>
    </w:p>
    <w:p w:rsidR="00AD61D3"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Spresňuje sa, že na podlahovú plochu v spoločných častiach a spoločných zariadeniach viacúčelovej stavby </w:t>
      </w:r>
      <w:r w:rsidR="00846632">
        <w:rPr>
          <w:rFonts w:ascii="Times New Roman" w:hAnsi="Times New Roman" w:cs="Times New Roman"/>
          <w:sz w:val="24"/>
          <w:szCs w:val="24"/>
        </w:rPr>
        <w:t xml:space="preserve">sa </w:t>
      </w:r>
      <w:r>
        <w:rPr>
          <w:rFonts w:ascii="Times New Roman" w:hAnsi="Times New Roman" w:cs="Times New Roman"/>
          <w:sz w:val="24"/>
          <w:szCs w:val="24"/>
        </w:rPr>
        <w:t>nahliada ta</w:t>
      </w:r>
      <w:r w:rsidR="00846632">
        <w:rPr>
          <w:rFonts w:ascii="Times New Roman" w:hAnsi="Times New Roman" w:cs="Times New Roman"/>
          <w:sz w:val="24"/>
          <w:szCs w:val="24"/>
        </w:rPr>
        <w:t>k, že predmetom poplatku nie je</w:t>
      </w:r>
      <w:r>
        <w:rPr>
          <w:rFonts w:ascii="Times New Roman" w:hAnsi="Times New Roman" w:cs="Times New Roman"/>
          <w:sz w:val="24"/>
          <w:szCs w:val="24"/>
        </w:rPr>
        <w:t xml:space="preserve"> len vtedy, ak slúži výlučne na účel, ktorý je oslobodený (napr. časť stavby, ktorá podlieha poplatku, slúži ako zdravotné stredisko – oslobodená </w:t>
      </w:r>
      <w:r w:rsidR="00846632">
        <w:rPr>
          <w:rFonts w:ascii="Times New Roman" w:hAnsi="Times New Roman" w:cs="Times New Roman"/>
          <w:sz w:val="24"/>
          <w:szCs w:val="24"/>
        </w:rPr>
        <w:t>je ambulancia, čakáreň, chodby); n</w:t>
      </w:r>
      <w:r>
        <w:rPr>
          <w:rFonts w:ascii="Times New Roman" w:hAnsi="Times New Roman" w:cs="Times New Roman"/>
          <w:sz w:val="24"/>
          <w:szCs w:val="24"/>
        </w:rPr>
        <w:t>aopak</w:t>
      </w:r>
      <w:r w:rsidR="00846632">
        <w:rPr>
          <w:rFonts w:ascii="Times New Roman" w:hAnsi="Times New Roman" w:cs="Times New Roman"/>
          <w:sz w:val="24"/>
          <w:szCs w:val="24"/>
        </w:rPr>
        <w:t>,</w:t>
      </w:r>
      <w:r>
        <w:rPr>
          <w:rFonts w:ascii="Times New Roman" w:hAnsi="Times New Roman" w:cs="Times New Roman"/>
          <w:sz w:val="24"/>
          <w:szCs w:val="24"/>
        </w:rPr>
        <w:t xml:space="preserve"> ak je využitie podlahovej plochy spoločných častí a spoločných zariadení spoločné, je predmetom poplatku (napr. vestibul, vstupné chodby k bytom a zdravotníckemu zariadeniu). Súčasne sa definuje oslobodenie celej stavby vrátane podlahovej plochy spoločných častí a spoločných zariadení, ak celá stavba slúži výlučne na jediný účel, ktorý je oslobodený od poplatku (napr. budova zdravotného strediska – to neplatí, ak v budove zdravotného strediska je napr. bufet, lekáreň a iné podnikateľské prevádzky).</w:t>
      </w:r>
    </w:p>
    <w:p w:rsidR="00846632" w:rsidRPr="00231568" w:rsidRDefault="00846632" w:rsidP="00AD61D3">
      <w:pPr>
        <w:spacing w:after="0" w:line="240" w:lineRule="auto"/>
        <w:jc w:val="both"/>
        <w:rPr>
          <w:rFonts w:ascii="Times New Roman" w:hAnsi="Times New Roman" w:cs="Times New Roman"/>
          <w:sz w:val="24"/>
          <w:szCs w:val="24"/>
        </w:rPr>
      </w:pP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Ďalej sa navrhuje riešenie pri určení základu poplatku v prípade, že sa stavba realizuje v dvoch alebo viacerých katastrálnych územiach. Riešenia spočíva v tom, že sa určí podiel správcov poplatku na zastavanej ploche stavby a ten sa vynásobí celkovou výmerou podlahovej plochy nadzemnej časti realizovanej stavby, ktorá je takto predmetom poplatku u toho-ktorého správcu poplatku. Súčasťou riešenia je aj určenie podielu na tzv. odpočítateľnej položke tak, aby súčet u jednotlivých správcov poplatku bol 60 m</w:t>
      </w:r>
      <w:r w:rsidRPr="00D8665A">
        <w:rPr>
          <w:rFonts w:ascii="Times New Roman" w:hAnsi="Times New Roman" w:cs="Times New Roman"/>
          <w:sz w:val="24"/>
          <w:szCs w:val="24"/>
          <w:vertAlign w:val="superscript"/>
        </w:rPr>
        <w:t>2</w:t>
      </w:r>
      <w:r w:rsidRPr="00231568">
        <w:rPr>
          <w:rFonts w:ascii="Times New Roman" w:hAnsi="Times New Roman" w:cs="Times New Roman"/>
          <w:sz w:val="24"/>
          <w:szCs w:val="24"/>
        </w:rPr>
        <w:t>, teda za účelom dosiahnutia princípu, že jedna stavba má uplatniteľnú odpočítateľnú položku len raz.</w:t>
      </w:r>
    </w:p>
    <w:p w:rsidR="00AD61D3" w:rsidRDefault="00AD61D3" w:rsidP="00AD61D3">
      <w:pPr>
        <w:spacing w:after="0" w:line="240" w:lineRule="auto"/>
        <w:jc w:val="both"/>
        <w:rPr>
          <w:rFonts w:ascii="Times New Roman" w:hAnsi="Times New Roman" w:cs="Times New Roman"/>
          <w:b/>
          <w:sz w:val="24"/>
          <w:szCs w:val="24"/>
        </w:rPr>
      </w:pPr>
    </w:p>
    <w:p w:rsidR="00AD61D3" w:rsidRPr="006E1F87"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17</w:t>
      </w:r>
    </w:p>
    <w:p w:rsidR="00AD61D3"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aby obec ustanovila jednu sadzbu poplatku pre celé územie obce (prípadne rôzne sadzby v jednotlivých katastrálnych územiach, </w:t>
      </w:r>
      <w:r w:rsidR="00846632">
        <w:rPr>
          <w:rFonts w:ascii="Times New Roman" w:hAnsi="Times New Roman" w:cs="Times New Roman"/>
          <w:sz w:val="24"/>
          <w:szCs w:val="24"/>
        </w:rPr>
        <w:t xml:space="preserve">v </w:t>
      </w:r>
      <w:r>
        <w:rPr>
          <w:rFonts w:ascii="Times New Roman" w:hAnsi="Times New Roman" w:cs="Times New Roman"/>
          <w:sz w:val="24"/>
          <w:szCs w:val="24"/>
        </w:rPr>
        <w:t>jednotlivých častiach obce) alebo aby obec ustanovila sadzby poplatku pre všetky druhy stavieb uvedených v § 7 ods. 2 zákona rôzne.</w:t>
      </w:r>
    </w:p>
    <w:p w:rsidR="00AD61D3" w:rsidRDefault="00AD61D3" w:rsidP="00AD61D3">
      <w:pPr>
        <w:spacing w:after="0" w:line="240" w:lineRule="auto"/>
        <w:jc w:val="both"/>
        <w:rPr>
          <w:rFonts w:ascii="Times New Roman" w:hAnsi="Times New Roman" w:cs="Times New Roman"/>
          <w:b/>
          <w:sz w:val="24"/>
          <w:szCs w:val="24"/>
        </w:rPr>
      </w:pPr>
    </w:p>
    <w:p w:rsidR="00AD61D3" w:rsidRPr="002B0AA3" w:rsidRDefault="00AD61D3" w:rsidP="00AD61D3">
      <w:pPr>
        <w:spacing w:after="0" w:line="240" w:lineRule="auto"/>
        <w:jc w:val="both"/>
        <w:rPr>
          <w:rFonts w:ascii="Times New Roman" w:hAnsi="Times New Roman" w:cs="Times New Roman"/>
          <w:b/>
          <w:sz w:val="24"/>
          <w:szCs w:val="24"/>
        </w:rPr>
      </w:pPr>
      <w:r w:rsidRPr="002B0AA3">
        <w:rPr>
          <w:rFonts w:ascii="Times New Roman" w:hAnsi="Times New Roman" w:cs="Times New Roman"/>
          <w:b/>
          <w:sz w:val="24"/>
          <w:szCs w:val="24"/>
        </w:rPr>
        <w:t>K </w:t>
      </w:r>
      <w:r>
        <w:rPr>
          <w:rFonts w:ascii="Times New Roman" w:hAnsi="Times New Roman" w:cs="Times New Roman"/>
          <w:b/>
          <w:sz w:val="24"/>
          <w:szCs w:val="24"/>
        </w:rPr>
        <w:t>bodu</w:t>
      </w:r>
      <w:r w:rsidRPr="002B0AA3">
        <w:rPr>
          <w:rFonts w:ascii="Times New Roman" w:hAnsi="Times New Roman" w:cs="Times New Roman"/>
          <w:b/>
          <w:sz w:val="24"/>
          <w:szCs w:val="24"/>
        </w:rPr>
        <w:t xml:space="preserve"> </w:t>
      </w:r>
      <w:r>
        <w:rPr>
          <w:rFonts w:ascii="Times New Roman" w:hAnsi="Times New Roman" w:cs="Times New Roman"/>
          <w:b/>
          <w:sz w:val="24"/>
          <w:szCs w:val="24"/>
        </w:rPr>
        <w:t>19</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za účelom zjednotenia definície predmetu poplatku</w:t>
      </w:r>
      <w:r>
        <w:rPr>
          <w:rFonts w:ascii="Times New Roman" w:hAnsi="Times New Roman" w:cs="Times New Roman"/>
          <w:sz w:val="24"/>
          <w:szCs w:val="24"/>
        </w:rPr>
        <w:t xml:space="preserve"> v nadväznosti na úpravy v bodoch 1 až 4</w:t>
      </w:r>
      <w:r w:rsidRPr="00231568">
        <w:rPr>
          <w:rFonts w:ascii="Times New Roman" w:hAnsi="Times New Roman" w:cs="Times New Roman"/>
          <w:sz w:val="24"/>
          <w:szCs w:val="24"/>
        </w:rPr>
        <w:t>.</w:t>
      </w:r>
    </w:p>
    <w:p w:rsidR="00AD61D3" w:rsidRDefault="00AD61D3" w:rsidP="00AD61D3">
      <w:pPr>
        <w:spacing w:after="0" w:line="240" w:lineRule="auto"/>
        <w:jc w:val="both"/>
        <w:rPr>
          <w:rFonts w:ascii="Times New Roman" w:hAnsi="Times New Roman" w:cs="Times New Roman"/>
          <w:b/>
          <w:sz w:val="24"/>
          <w:szCs w:val="24"/>
        </w:rPr>
      </w:pPr>
    </w:p>
    <w:p w:rsidR="00AD61D3" w:rsidRPr="002B0AA3"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20</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Navrhuje sa spresniť, že každá realizovaná stavba po vydaní stavebného povolenia (oznámenia stavebného úradu k ohlásenej stavbe) v nadväznosti na všetky ďalšie zmeny stavby pred dokončením má nárok na tzv. odpočítateľnú položku (60 m</w:t>
      </w:r>
      <w:r w:rsidRPr="00C54799">
        <w:rPr>
          <w:rFonts w:ascii="Times New Roman" w:hAnsi="Times New Roman" w:cs="Times New Roman"/>
          <w:sz w:val="24"/>
          <w:szCs w:val="24"/>
          <w:vertAlign w:val="superscript"/>
        </w:rPr>
        <w:t>2</w:t>
      </w:r>
      <w:r>
        <w:rPr>
          <w:rFonts w:ascii="Times New Roman" w:hAnsi="Times New Roman" w:cs="Times New Roman"/>
          <w:sz w:val="24"/>
          <w:szCs w:val="24"/>
        </w:rPr>
        <w:t>) len raz.</w:t>
      </w:r>
      <w:r w:rsidRPr="00231568">
        <w:rPr>
          <w:rFonts w:ascii="Times New Roman" w:hAnsi="Times New Roman" w:cs="Times New Roman"/>
          <w:sz w:val="24"/>
          <w:szCs w:val="24"/>
        </w:rPr>
        <w:t xml:space="preserve"> </w:t>
      </w:r>
      <w:r>
        <w:rPr>
          <w:rFonts w:ascii="Times New Roman" w:hAnsi="Times New Roman" w:cs="Times New Roman"/>
          <w:sz w:val="24"/>
          <w:szCs w:val="24"/>
        </w:rPr>
        <w:t>P</w:t>
      </w:r>
      <w:r w:rsidRPr="00231568">
        <w:rPr>
          <w:rFonts w:ascii="Times New Roman" w:hAnsi="Times New Roman" w:cs="Times New Roman"/>
          <w:sz w:val="24"/>
          <w:szCs w:val="24"/>
        </w:rPr>
        <w:t xml:space="preserve">ri výpočte poplatku </w:t>
      </w:r>
      <w:r>
        <w:rPr>
          <w:rFonts w:ascii="Times New Roman" w:hAnsi="Times New Roman" w:cs="Times New Roman"/>
          <w:sz w:val="24"/>
          <w:szCs w:val="24"/>
        </w:rPr>
        <w:t xml:space="preserve">sa  tzv. odpočítateľná položka </w:t>
      </w:r>
      <w:r w:rsidRPr="00231568">
        <w:rPr>
          <w:rFonts w:ascii="Times New Roman" w:hAnsi="Times New Roman" w:cs="Times New Roman"/>
          <w:sz w:val="24"/>
          <w:szCs w:val="24"/>
        </w:rPr>
        <w:t>použije voči podlahovej ploche, ktorá bola povolená ako prvá v</w:t>
      </w:r>
      <w:r>
        <w:rPr>
          <w:rFonts w:ascii="Times New Roman" w:hAnsi="Times New Roman" w:cs="Times New Roman"/>
          <w:sz w:val="24"/>
          <w:szCs w:val="24"/>
        </w:rPr>
        <w:t> </w:t>
      </w:r>
      <w:r w:rsidRPr="00231568">
        <w:rPr>
          <w:rFonts w:ascii="Times New Roman" w:hAnsi="Times New Roman" w:cs="Times New Roman"/>
          <w:sz w:val="24"/>
          <w:szCs w:val="24"/>
        </w:rPr>
        <w:t>poradí</w:t>
      </w:r>
      <w:r>
        <w:rPr>
          <w:rFonts w:ascii="Times New Roman" w:hAnsi="Times New Roman" w:cs="Times New Roman"/>
          <w:sz w:val="24"/>
          <w:szCs w:val="24"/>
        </w:rPr>
        <w:t xml:space="preserve"> a to z dôvodu, aby nedochádzalo k nepresným postupom výpočtu poplatku, ak sa stavba následne </w:t>
      </w:r>
      <w:r w:rsidR="00846632">
        <w:rPr>
          <w:rFonts w:ascii="Times New Roman" w:hAnsi="Times New Roman" w:cs="Times New Roman"/>
          <w:sz w:val="24"/>
          <w:szCs w:val="24"/>
        </w:rPr>
        <w:t>mení</w:t>
      </w:r>
      <w:r>
        <w:rPr>
          <w:rFonts w:ascii="Times New Roman" w:hAnsi="Times New Roman" w:cs="Times New Roman"/>
          <w:sz w:val="24"/>
          <w:szCs w:val="24"/>
        </w:rPr>
        <w:t xml:space="preserve"> cez zmeny stavby pred dokončením a sadzba poplatku je medzitým tiež iná.</w:t>
      </w:r>
      <w:r w:rsidRPr="00231568">
        <w:rPr>
          <w:rFonts w:ascii="Times New Roman" w:hAnsi="Times New Roman" w:cs="Times New Roman"/>
          <w:sz w:val="24"/>
          <w:szCs w:val="24"/>
        </w:rPr>
        <w:t xml:space="preserve"> </w:t>
      </w:r>
    </w:p>
    <w:p w:rsidR="00AD61D3" w:rsidRDefault="00AD61D3" w:rsidP="00AD61D3">
      <w:pPr>
        <w:spacing w:after="0" w:line="240" w:lineRule="auto"/>
        <w:jc w:val="both"/>
        <w:rPr>
          <w:rFonts w:ascii="Times New Roman" w:hAnsi="Times New Roman" w:cs="Times New Roman"/>
          <w:b/>
          <w:sz w:val="24"/>
          <w:szCs w:val="24"/>
        </w:rPr>
      </w:pPr>
    </w:p>
    <w:p w:rsidR="00AD61D3"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21</w:t>
      </w:r>
    </w:p>
    <w:p w:rsidR="00AD61D3" w:rsidRPr="00B7523D"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za účelom zjednotenia definície predmetu poplatku</w:t>
      </w:r>
      <w:r>
        <w:rPr>
          <w:rFonts w:ascii="Times New Roman" w:hAnsi="Times New Roman" w:cs="Times New Roman"/>
          <w:sz w:val="24"/>
          <w:szCs w:val="24"/>
        </w:rPr>
        <w:t xml:space="preserve"> v nadväznosti na úpravy v bode 1</w:t>
      </w:r>
      <w:r w:rsidRPr="00231568">
        <w:rPr>
          <w:rFonts w:ascii="Times New Roman" w:hAnsi="Times New Roman" w:cs="Times New Roman"/>
          <w:sz w:val="24"/>
          <w:szCs w:val="24"/>
        </w:rPr>
        <w:t>.</w:t>
      </w:r>
      <w:r>
        <w:rPr>
          <w:rFonts w:ascii="Times New Roman" w:hAnsi="Times New Roman" w:cs="Times New Roman"/>
          <w:sz w:val="24"/>
          <w:szCs w:val="24"/>
        </w:rPr>
        <w:t xml:space="preserve"> Navrhuje sa tiež spresniť, že vždy pri každej stavbe sa pri vydanom rozhodnutí o zmene stavby pred dokončením bez ohľadu na skutočnosť, či ide o toho istého alebo nového poplatníka spoplatňuje iba nová, resp. dodatočná podlahová plocha.</w:t>
      </w:r>
    </w:p>
    <w:p w:rsidR="00AD61D3" w:rsidRDefault="00AD61D3" w:rsidP="00AD61D3">
      <w:pPr>
        <w:spacing w:after="0" w:line="240" w:lineRule="auto"/>
        <w:jc w:val="both"/>
        <w:rPr>
          <w:rFonts w:ascii="Times New Roman" w:hAnsi="Times New Roman" w:cs="Times New Roman"/>
          <w:b/>
          <w:sz w:val="24"/>
          <w:szCs w:val="24"/>
        </w:rPr>
      </w:pPr>
    </w:p>
    <w:p w:rsidR="00AD61D3" w:rsidRPr="004260D2"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22</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Pre jednoznačnosť sa navrhuje určiť postup pri výpočte poplatku v prípade, že po vydaní stavebného povolenia došlo k ďalšej, prípadne </w:t>
      </w:r>
      <w:r>
        <w:rPr>
          <w:rFonts w:ascii="Times New Roman" w:hAnsi="Times New Roman" w:cs="Times New Roman"/>
          <w:sz w:val="24"/>
          <w:szCs w:val="24"/>
        </w:rPr>
        <w:t xml:space="preserve">viacerým </w:t>
      </w:r>
      <w:r w:rsidRPr="00231568">
        <w:rPr>
          <w:rFonts w:ascii="Times New Roman" w:hAnsi="Times New Roman" w:cs="Times New Roman"/>
          <w:sz w:val="24"/>
          <w:szCs w:val="24"/>
        </w:rPr>
        <w:t xml:space="preserve">ďalším zmenám stavby pred dokončením, ktorým môže dôjsť </w:t>
      </w:r>
      <w:r>
        <w:rPr>
          <w:rFonts w:ascii="Times New Roman" w:hAnsi="Times New Roman" w:cs="Times New Roman"/>
          <w:sz w:val="24"/>
          <w:szCs w:val="24"/>
        </w:rPr>
        <w:t xml:space="preserve">nielen k zvýšeniu ale </w:t>
      </w:r>
      <w:r w:rsidRPr="00231568">
        <w:rPr>
          <w:rFonts w:ascii="Times New Roman" w:hAnsi="Times New Roman" w:cs="Times New Roman"/>
          <w:sz w:val="24"/>
          <w:szCs w:val="24"/>
        </w:rPr>
        <w:t xml:space="preserve">aj </w:t>
      </w:r>
      <w:r>
        <w:rPr>
          <w:rFonts w:ascii="Times New Roman" w:hAnsi="Times New Roman" w:cs="Times New Roman"/>
          <w:sz w:val="24"/>
          <w:szCs w:val="24"/>
        </w:rPr>
        <w:t xml:space="preserve">k </w:t>
      </w:r>
      <w:r w:rsidRPr="00231568">
        <w:rPr>
          <w:rFonts w:ascii="Times New Roman" w:hAnsi="Times New Roman" w:cs="Times New Roman"/>
          <w:sz w:val="24"/>
          <w:szCs w:val="24"/>
        </w:rPr>
        <w:t>zníženiu základu poplatku</w:t>
      </w:r>
      <w:r>
        <w:rPr>
          <w:rFonts w:ascii="Times New Roman" w:hAnsi="Times New Roman" w:cs="Times New Roman"/>
          <w:sz w:val="24"/>
          <w:szCs w:val="24"/>
        </w:rPr>
        <w:t>. Keď sa zníži rozsah stavebného povolenia (napr. z výstavby štyroch bytových domov sa postavia len tri), na sadzbu poplatku platnú v deň povolenia zmeny stavby pred dokončením, prípadne jej dodatočným zlegalizovaním, ktorou sa znížila výmera podlahovej plochy, sa neprihliada (príkladom uvedené zostávajúce tri bytové domy boli povolené pôvodným stavebným povolením a v novom rozhodnutí sa použije taká sadzba, aká bola platná v deň vydania pôvodného stavebného povolenia).</w:t>
      </w:r>
    </w:p>
    <w:p w:rsidR="00AD61D3" w:rsidRDefault="00AD61D3" w:rsidP="00AD61D3">
      <w:pPr>
        <w:spacing w:after="0" w:line="240" w:lineRule="auto"/>
        <w:jc w:val="both"/>
        <w:rPr>
          <w:rFonts w:ascii="Times New Roman" w:hAnsi="Times New Roman" w:cs="Times New Roman"/>
          <w:b/>
          <w:sz w:val="24"/>
          <w:szCs w:val="24"/>
        </w:rPr>
      </w:pPr>
    </w:p>
    <w:p w:rsidR="00AD61D3" w:rsidRPr="00431D67"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23</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Navrhuje sa spresniť lehota, do ktorej je povinný správca poplatku vyrubiť poplatok rozhodnutím. </w:t>
      </w:r>
    </w:p>
    <w:p w:rsidR="00AD61D3" w:rsidRDefault="00AD61D3" w:rsidP="00AD61D3">
      <w:pPr>
        <w:spacing w:after="0" w:line="240" w:lineRule="auto"/>
        <w:jc w:val="both"/>
        <w:rPr>
          <w:rFonts w:ascii="Times New Roman" w:hAnsi="Times New Roman" w:cs="Times New Roman"/>
          <w:b/>
          <w:sz w:val="24"/>
          <w:szCs w:val="24"/>
        </w:rPr>
      </w:pPr>
    </w:p>
    <w:p w:rsidR="00AD61D3" w:rsidRPr="00431D67"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24</w:t>
      </w:r>
    </w:p>
    <w:p w:rsidR="00AD61D3"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za účelom zjednotenia definície predmetu po</w:t>
      </w:r>
      <w:r>
        <w:rPr>
          <w:rFonts w:ascii="Times New Roman" w:hAnsi="Times New Roman" w:cs="Times New Roman"/>
          <w:sz w:val="24"/>
          <w:szCs w:val="24"/>
        </w:rPr>
        <w:t>p</w:t>
      </w:r>
      <w:r w:rsidRPr="00231568">
        <w:rPr>
          <w:rFonts w:ascii="Times New Roman" w:hAnsi="Times New Roman" w:cs="Times New Roman"/>
          <w:sz w:val="24"/>
          <w:szCs w:val="24"/>
        </w:rPr>
        <w:t>latku</w:t>
      </w:r>
      <w:r>
        <w:rPr>
          <w:rFonts w:ascii="Times New Roman" w:hAnsi="Times New Roman" w:cs="Times New Roman"/>
          <w:sz w:val="24"/>
          <w:szCs w:val="24"/>
        </w:rPr>
        <w:t xml:space="preserve"> v nadväznosti na úpravy v bode 1.</w:t>
      </w:r>
      <w:r w:rsidRPr="00231568">
        <w:rPr>
          <w:rFonts w:ascii="Times New Roman" w:hAnsi="Times New Roman" w:cs="Times New Roman"/>
          <w:sz w:val="24"/>
          <w:szCs w:val="24"/>
        </w:rPr>
        <w:t xml:space="preserve"> </w:t>
      </w:r>
      <w:r>
        <w:rPr>
          <w:rFonts w:ascii="Times New Roman" w:hAnsi="Times New Roman" w:cs="Times New Roman"/>
          <w:sz w:val="24"/>
          <w:szCs w:val="24"/>
        </w:rPr>
        <w:t xml:space="preserve">Tým, že v </w:t>
      </w:r>
      <w:r w:rsidRPr="00231568">
        <w:rPr>
          <w:rFonts w:ascii="Times New Roman" w:hAnsi="Times New Roman" w:cs="Times New Roman"/>
          <w:sz w:val="24"/>
          <w:szCs w:val="24"/>
        </w:rPr>
        <w:t xml:space="preserve">praxi dochádza aj k zmene vlastníka realizovanej stavby, </w:t>
      </w:r>
      <w:r>
        <w:rPr>
          <w:rFonts w:ascii="Times New Roman" w:hAnsi="Times New Roman" w:cs="Times New Roman"/>
          <w:sz w:val="24"/>
          <w:szCs w:val="24"/>
        </w:rPr>
        <w:t>za predpokladu povolenia zmeny</w:t>
      </w:r>
      <w:r w:rsidRPr="00231568">
        <w:rPr>
          <w:rFonts w:ascii="Times New Roman" w:hAnsi="Times New Roman" w:cs="Times New Roman"/>
          <w:sz w:val="24"/>
          <w:szCs w:val="24"/>
        </w:rPr>
        <w:t xml:space="preserve"> stavby pred dokončením</w:t>
      </w:r>
      <w:r>
        <w:rPr>
          <w:rFonts w:ascii="Times New Roman" w:hAnsi="Times New Roman" w:cs="Times New Roman"/>
          <w:sz w:val="24"/>
          <w:szCs w:val="24"/>
        </w:rPr>
        <w:t xml:space="preserve"> novému stavebníkovi aplikácia § 9 ods. 2</w:t>
      </w:r>
      <w:r w:rsidRPr="00231568">
        <w:rPr>
          <w:rFonts w:ascii="Times New Roman" w:hAnsi="Times New Roman" w:cs="Times New Roman"/>
          <w:sz w:val="24"/>
          <w:szCs w:val="24"/>
        </w:rPr>
        <w:t xml:space="preserve"> spôsobuje problém</w:t>
      </w:r>
      <w:r>
        <w:rPr>
          <w:rFonts w:ascii="Times New Roman" w:hAnsi="Times New Roman" w:cs="Times New Roman"/>
          <w:sz w:val="24"/>
          <w:szCs w:val="24"/>
        </w:rPr>
        <w:t>,</w:t>
      </w:r>
      <w:r w:rsidRPr="00231568">
        <w:rPr>
          <w:rFonts w:ascii="Times New Roman" w:hAnsi="Times New Roman" w:cs="Times New Roman"/>
          <w:sz w:val="24"/>
          <w:szCs w:val="24"/>
        </w:rPr>
        <w:t xml:space="preserve"> ako sa vysporiadať s už </w:t>
      </w:r>
      <w:r>
        <w:rPr>
          <w:rFonts w:ascii="Times New Roman" w:hAnsi="Times New Roman" w:cs="Times New Roman"/>
          <w:sz w:val="24"/>
          <w:szCs w:val="24"/>
        </w:rPr>
        <w:t>vyrubeným/</w:t>
      </w:r>
      <w:r w:rsidRPr="00231568">
        <w:rPr>
          <w:rFonts w:ascii="Times New Roman" w:hAnsi="Times New Roman" w:cs="Times New Roman"/>
          <w:sz w:val="24"/>
          <w:szCs w:val="24"/>
        </w:rPr>
        <w:t xml:space="preserve">zaplateným poplatkom predchádzajúcim poplatníkom. Týmto </w:t>
      </w:r>
      <w:r>
        <w:rPr>
          <w:rFonts w:ascii="Times New Roman" w:hAnsi="Times New Roman" w:cs="Times New Roman"/>
          <w:sz w:val="24"/>
          <w:szCs w:val="24"/>
        </w:rPr>
        <w:t>návrhom na spresnenie</w:t>
      </w:r>
      <w:r w:rsidRPr="00231568">
        <w:rPr>
          <w:rFonts w:ascii="Times New Roman" w:hAnsi="Times New Roman" w:cs="Times New Roman"/>
          <w:sz w:val="24"/>
          <w:szCs w:val="24"/>
        </w:rPr>
        <w:t xml:space="preserve"> </w:t>
      </w:r>
      <w:r>
        <w:rPr>
          <w:rFonts w:ascii="Times New Roman" w:hAnsi="Times New Roman" w:cs="Times New Roman"/>
          <w:sz w:val="24"/>
          <w:szCs w:val="24"/>
        </w:rPr>
        <w:t xml:space="preserve">pôvodného zámeru </w:t>
      </w:r>
      <w:r w:rsidRPr="00231568">
        <w:rPr>
          <w:rFonts w:ascii="Times New Roman" w:hAnsi="Times New Roman" w:cs="Times New Roman"/>
          <w:sz w:val="24"/>
          <w:szCs w:val="24"/>
        </w:rPr>
        <w:t>sa dosiahne</w:t>
      </w:r>
      <w:r>
        <w:rPr>
          <w:rFonts w:ascii="Times New Roman" w:hAnsi="Times New Roman" w:cs="Times New Roman"/>
          <w:sz w:val="24"/>
          <w:szCs w:val="24"/>
        </w:rPr>
        <w:t xml:space="preserve">, že ustanovenie § 9 ods. 2 zákona </w:t>
      </w:r>
      <w:r w:rsidRPr="00231568">
        <w:rPr>
          <w:rFonts w:ascii="Times New Roman" w:hAnsi="Times New Roman" w:cs="Times New Roman"/>
          <w:sz w:val="24"/>
          <w:szCs w:val="24"/>
        </w:rPr>
        <w:t xml:space="preserve">sa použije len vo vzťahu k tomu istému poplatníkovi. </w:t>
      </w:r>
      <w:r>
        <w:rPr>
          <w:rFonts w:ascii="Times New Roman" w:hAnsi="Times New Roman" w:cs="Times New Roman"/>
          <w:sz w:val="24"/>
          <w:szCs w:val="24"/>
        </w:rPr>
        <w:t xml:space="preserve">Ďalej sa navrhuje riešiť situácia, kedy </w:t>
      </w:r>
      <w:r w:rsidR="00602887">
        <w:rPr>
          <w:rFonts w:ascii="Times New Roman" w:hAnsi="Times New Roman" w:cs="Times New Roman"/>
          <w:sz w:val="24"/>
          <w:szCs w:val="24"/>
        </w:rPr>
        <w:t xml:space="preserve">je </w:t>
      </w:r>
      <w:r>
        <w:rPr>
          <w:rFonts w:ascii="Times New Roman" w:hAnsi="Times New Roman" w:cs="Times New Roman"/>
          <w:sz w:val="24"/>
          <w:szCs w:val="24"/>
        </w:rPr>
        <w:t>novému poplatníkovi vydané rozhodnutie o zmene stavby pred dokončením, ktorým sa znižuje výmera podlahovej plochy nadzemnej časti stavby, spôsobom, že tejto osobe poplatníka nevzniká poplatková povinnosť, ale naopak preplatok na poplatku uhradeným inou osobou, ktorá mala v minulosti poplatkový vzťah k stavbe.</w:t>
      </w:r>
    </w:p>
    <w:p w:rsidR="00AD61D3" w:rsidRDefault="00AD61D3" w:rsidP="00AD61D3">
      <w:pPr>
        <w:spacing w:after="0" w:line="240" w:lineRule="auto"/>
        <w:jc w:val="both"/>
        <w:rPr>
          <w:rFonts w:ascii="Times New Roman" w:hAnsi="Times New Roman" w:cs="Times New Roman"/>
          <w:b/>
          <w:sz w:val="24"/>
          <w:szCs w:val="24"/>
        </w:rPr>
      </w:pPr>
    </w:p>
    <w:p w:rsidR="00AD61D3" w:rsidRPr="00431D67"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25</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Z dôvodu jednotnej aplikácie  sa navrhuje spresniť lehota</w:t>
      </w:r>
      <w:r>
        <w:rPr>
          <w:rFonts w:ascii="Times New Roman" w:hAnsi="Times New Roman" w:cs="Times New Roman"/>
          <w:sz w:val="24"/>
          <w:szCs w:val="24"/>
        </w:rPr>
        <w:t>,</w:t>
      </w:r>
      <w:r w:rsidRPr="00231568">
        <w:rPr>
          <w:rFonts w:ascii="Times New Roman" w:hAnsi="Times New Roman" w:cs="Times New Roman"/>
          <w:sz w:val="24"/>
          <w:szCs w:val="24"/>
        </w:rPr>
        <w:t xml:space="preserve"> dokedy môže poplatník požiadať správcu poplatku o platenie poplatku v splátkach. Dopĺňa sa, že v prípade nevyhovenia žiadosti o splátky zašle správca poplatku poplatníkovi len oznámenie. </w:t>
      </w:r>
    </w:p>
    <w:p w:rsidR="00AD61D3" w:rsidRDefault="00AD61D3" w:rsidP="00AD61D3">
      <w:pPr>
        <w:spacing w:after="0" w:line="240" w:lineRule="auto"/>
        <w:jc w:val="both"/>
        <w:rPr>
          <w:rFonts w:ascii="Times New Roman" w:hAnsi="Times New Roman" w:cs="Times New Roman"/>
          <w:b/>
          <w:sz w:val="24"/>
          <w:szCs w:val="24"/>
        </w:rPr>
      </w:pPr>
    </w:p>
    <w:p w:rsidR="00AD61D3" w:rsidRPr="00D44354" w:rsidRDefault="00AD61D3" w:rsidP="00AD61D3">
      <w:pPr>
        <w:spacing w:after="0" w:line="240" w:lineRule="auto"/>
        <w:jc w:val="both"/>
        <w:rPr>
          <w:rFonts w:ascii="Times New Roman" w:hAnsi="Times New Roman" w:cs="Times New Roman"/>
          <w:b/>
          <w:sz w:val="24"/>
          <w:szCs w:val="24"/>
        </w:rPr>
      </w:pPr>
      <w:r w:rsidRPr="00D44354">
        <w:rPr>
          <w:rFonts w:ascii="Times New Roman" w:hAnsi="Times New Roman" w:cs="Times New Roman"/>
          <w:b/>
          <w:sz w:val="24"/>
          <w:szCs w:val="24"/>
        </w:rPr>
        <w:t xml:space="preserve">K bodu </w:t>
      </w:r>
      <w:r>
        <w:rPr>
          <w:rFonts w:ascii="Times New Roman" w:hAnsi="Times New Roman" w:cs="Times New Roman"/>
          <w:b/>
          <w:sz w:val="24"/>
          <w:szCs w:val="24"/>
        </w:rPr>
        <w:t>26</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Navrhuje sa spresniť, že do účelového použitia poplatku obcou sa zahŕňajú len priame kapitálové náklady na stavebnú činnosť (dodanie stavebného diela vrátane inžinierskej činnosti súvisiacej so stavebným a autorským dozorom) a náklady na výkup pozemkov.</w:t>
      </w:r>
    </w:p>
    <w:p w:rsidR="00AD61D3" w:rsidRDefault="00AD61D3" w:rsidP="00AD61D3">
      <w:pPr>
        <w:spacing w:after="0" w:line="240" w:lineRule="auto"/>
        <w:jc w:val="both"/>
        <w:rPr>
          <w:rFonts w:ascii="Times New Roman" w:hAnsi="Times New Roman" w:cs="Times New Roman"/>
          <w:b/>
          <w:sz w:val="24"/>
          <w:szCs w:val="24"/>
        </w:rPr>
      </w:pPr>
    </w:p>
    <w:p w:rsidR="00AD61D3" w:rsidRPr="00DD3DD7"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27</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Z dôvodu </w:t>
      </w:r>
      <w:r>
        <w:rPr>
          <w:rFonts w:ascii="Times New Roman" w:hAnsi="Times New Roman" w:cs="Times New Roman"/>
          <w:sz w:val="24"/>
          <w:szCs w:val="24"/>
        </w:rPr>
        <w:t xml:space="preserve">potreby </w:t>
      </w:r>
      <w:r w:rsidRPr="00231568">
        <w:rPr>
          <w:rFonts w:ascii="Times New Roman" w:hAnsi="Times New Roman" w:cs="Times New Roman"/>
          <w:sz w:val="24"/>
          <w:szCs w:val="24"/>
        </w:rPr>
        <w:t>zvýšenia transparentnosti používaných verejných zdrojov z príjmov z</w:t>
      </w:r>
      <w:r>
        <w:rPr>
          <w:rFonts w:ascii="Times New Roman" w:hAnsi="Times New Roman" w:cs="Times New Roman"/>
          <w:sz w:val="24"/>
          <w:szCs w:val="24"/>
        </w:rPr>
        <w:t> </w:t>
      </w:r>
      <w:r w:rsidRPr="00231568">
        <w:rPr>
          <w:rFonts w:ascii="Times New Roman" w:hAnsi="Times New Roman" w:cs="Times New Roman"/>
          <w:sz w:val="24"/>
          <w:szCs w:val="24"/>
        </w:rPr>
        <w:t>poplatku</w:t>
      </w:r>
      <w:r>
        <w:rPr>
          <w:rFonts w:ascii="Times New Roman" w:hAnsi="Times New Roman" w:cs="Times New Roman"/>
          <w:sz w:val="24"/>
          <w:szCs w:val="24"/>
        </w:rPr>
        <w:t xml:space="preserve"> sa navrhuje</w:t>
      </w:r>
      <w:r w:rsidRPr="00231568">
        <w:rPr>
          <w:rFonts w:ascii="Times New Roman" w:hAnsi="Times New Roman" w:cs="Times New Roman"/>
          <w:sz w:val="24"/>
          <w:szCs w:val="24"/>
        </w:rPr>
        <w:t>, aby obec určila priamo</w:t>
      </w:r>
      <w:r>
        <w:rPr>
          <w:rFonts w:ascii="Times New Roman" w:hAnsi="Times New Roman" w:cs="Times New Roman"/>
          <w:sz w:val="24"/>
          <w:szCs w:val="24"/>
        </w:rPr>
        <w:t xml:space="preserve"> </w:t>
      </w:r>
      <w:r w:rsidRPr="00231568">
        <w:rPr>
          <w:rFonts w:ascii="Times New Roman" w:hAnsi="Times New Roman" w:cs="Times New Roman"/>
          <w:sz w:val="24"/>
          <w:szCs w:val="24"/>
        </w:rPr>
        <w:t>vo VZN obce</w:t>
      </w:r>
      <w:r>
        <w:rPr>
          <w:rFonts w:ascii="Times New Roman" w:hAnsi="Times New Roman" w:cs="Times New Roman"/>
          <w:sz w:val="24"/>
          <w:szCs w:val="24"/>
        </w:rPr>
        <w:t xml:space="preserve"> k miestnemu poplatku za rozvoj</w:t>
      </w:r>
      <w:r w:rsidRPr="00231568">
        <w:rPr>
          <w:rFonts w:ascii="Times New Roman" w:hAnsi="Times New Roman" w:cs="Times New Roman"/>
          <w:sz w:val="24"/>
          <w:szCs w:val="24"/>
        </w:rPr>
        <w:t>, akým spôsobom obec informuje verejnosť o príjmoch z poplatku a jeho použití na rozvoj obce v členen</w:t>
      </w:r>
      <w:r>
        <w:rPr>
          <w:rFonts w:ascii="Times New Roman" w:hAnsi="Times New Roman" w:cs="Times New Roman"/>
          <w:sz w:val="24"/>
          <w:szCs w:val="24"/>
        </w:rPr>
        <w:t>í podľa realizovaných projektov</w:t>
      </w:r>
      <w:r w:rsidRPr="00231568">
        <w:rPr>
          <w:rFonts w:ascii="Times New Roman" w:hAnsi="Times New Roman" w:cs="Times New Roman"/>
          <w:sz w:val="24"/>
          <w:szCs w:val="24"/>
        </w:rPr>
        <w:t xml:space="preserve"> (obec si môže do VZN o poplatku za rozvoj uviesť, že </w:t>
      </w:r>
      <w:r w:rsidRPr="00231568">
        <w:rPr>
          <w:rFonts w:ascii="Times New Roman" w:hAnsi="Times New Roman" w:cs="Times New Roman"/>
          <w:sz w:val="24"/>
          <w:szCs w:val="24"/>
        </w:rPr>
        <w:lastRenderedPageBreak/>
        <w:t>informácie zverejní nap</w:t>
      </w:r>
      <w:r>
        <w:rPr>
          <w:rFonts w:ascii="Times New Roman" w:hAnsi="Times New Roman" w:cs="Times New Roman"/>
          <w:sz w:val="24"/>
          <w:szCs w:val="24"/>
        </w:rPr>
        <w:t>r. na svojom webovom sídle, v záverečnom účte obce,</w:t>
      </w:r>
      <w:r w:rsidRPr="00231568">
        <w:rPr>
          <w:rFonts w:ascii="Times New Roman" w:hAnsi="Times New Roman" w:cs="Times New Roman"/>
          <w:sz w:val="24"/>
          <w:szCs w:val="24"/>
        </w:rPr>
        <w:t xml:space="preserve"> vo výročnej správe obce</w:t>
      </w:r>
      <w:r>
        <w:rPr>
          <w:rFonts w:ascii="Times New Roman" w:hAnsi="Times New Roman" w:cs="Times New Roman"/>
          <w:sz w:val="24"/>
          <w:szCs w:val="24"/>
        </w:rPr>
        <w:t xml:space="preserve"> alebo iným zvoleným spôsobom</w:t>
      </w:r>
      <w:r w:rsidRPr="00231568">
        <w:rPr>
          <w:rFonts w:ascii="Times New Roman" w:hAnsi="Times New Roman" w:cs="Times New Roman"/>
          <w:sz w:val="24"/>
          <w:szCs w:val="24"/>
        </w:rPr>
        <w:t>).</w:t>
      </w:r>
    </w:p>
    <w:p w:rsidR="00AD61D3" w:rsidRDefault="00AD61D3" w:rsidP="00AD61D3">
      <w:pPr>
        <w:spacing w:after="0" w:line="240" w:lineRule="auto"/>
        <w:jc w:val="both"/>
        <w:rPr>
          <w:rFonts w:ascii="Times New Roman" w:hAnsi="Times New Roman" w:cs="Times New Roman"/>
          <w:b/>
          <w:sz w:val="24"/>
          <w:szCs w:val="24"/>
        </w:rPr>
      </w:pPr>
    </w:p>
    <w:p w:rsidR="00AD61D3" w:rsidRPr="00D44354"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28</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w:t>
      </w:r>
    </w:p>
    <w:p w:rsidR="00AD61D3" w:rsidRDefault="00D92C3C"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D61D3" w:rsidRPr="00D44354"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29</w:t>
      </w:r>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Legislatívno-technická úprava v nadväzn</w:t>
      </w:r>
      <w:r>
        <w:rPr>
          <w:rFonts w:ascii="Times New Roman" w:hAnsi="Times New Roman" w:cs="Times New Roman"/>
          <w:sz w:val="24"/>
          <w:szCs w:val="24"/>
        </w:rPr>
        <w:t>osti na navrhovanú úpravu v bode</w:t>
      </w:r>
      <w:r w:rsidRPr="00231568">
        <w:rPr>
          <w:rFonts w:ascii="Times New Roman" w:hAnsi="Times New Roman" w:cs="Times New Roman"/>
          <w:sz w:val="24"/>
          <w:szCs w:val="24"/>
        </w:rPr>
        <w:t xml:space="preserve"> 1.</w:t>
      </w:r>
    </w:p>
    <w:p w:rsidR="00AD61D3" w:rsidRDefault="00AD61D3" w:rsidP="00AD61D3">
      <w:pPr>
        <w:spacing w:after="0" w:line="240" w:lineRule="auto"/>
        <w:jc w:val="both"/>
        <w:rPr>
          <w:rFonts w:ascii="Times New Roman" w:hAnsi="Times New Roman" w:cs="Times New Roman"/>
          <w:b/>
          <w:sz w:val="24"/>
          <w:szCs w:val="24"/>
        </w:rPr>
      </w:pPr>
    </w:p>
    <w:p w:rsidR="00AD61D3" w:rsidRDefault="00AD61D3" w:rsidP="00AD61D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 bodu 30</w:t>
      </w:r>
      <w:r>
        <w:rPr>
          <w:rFonts w:ascii="Times New Roman" w:hAnsi="Times New Roman" w:cs="Times New Roman"/>
          <w:sz w:val="24"/>
          <w:szCs w:val="24"/>
        </w:rPr>
        <w:t xml:space="preserve"> </w:t>
      </w:r>
    </w:p>
    <w:p w:rsidR="00AD61D3" w:rsidRDefault="00AD61D3" w:rsidP="00AD61D3">
      <w:pPr>
        <w:spacing w:after="0" w:line="240" w:lineRule="auto"/>
        <w:jc w:val="both"/>
        <w:rPr>
          <w:rFonts w:ascii="Times New Roman" w:hAnsi="Times New Roman" w:cs="Times New Roman"/>
          <w:color w:val="000000"/>
          <w:sz w:val="24"/>
          <w:szCs w:val="24"/>
        </w:rPr>
      </w:pPr>
      <w:r w:rsidRPr="00FE27BD">
        <w:rPr>
          <w:rFonts w:ascii="Times New Roman" w:hAnsi="Times New Roman" w:cs="Times New Roman"/>
          <w:color w:val="000000"/>
          <w:sz w:val="24"/>
          <w:szCs w:val="24"/>
        </w:rPr>
        <w:t>Upravuje sa prechodné ustanovenie z dôvodu jednoznačného vymedzenia rôzneho rozsahu a postupov podľa zákona po účinnosti novely.</w:t>
      </w:r>
    </w:p>
    <w:p w:rsidR="00AD61D3" w:rsidRPr="00FE27BD" w:rsidRDefault="00AD61D3" w:rsidP="00AD61D3">
      <w:pPr>
        <w:spacing w:after="0" w:line="240" w:lineRule="auto"/>
        <w:jc w:val="both"/>
        <w:rPr>
          <w:rFonts w:ascii="Times New Roman" w:hAnsi="Times New Roman" w:cs="Times New Roman"/>
          <w:color w:val="000000"/>
          <w:sz w:val="24"/>
          <w:szCs w:val="24"/>
        </w:rPr>
      </w:pPr>
    </w:p>
    <w:p w:rsidR="00AD61D3" w:rsidRDefault="00AD61D3" w:rsidP="00AD61D3">
      <w:pPr>
        <w:spacing w:after="0" w:line="240" w:lineRule="auto"/>
        <w:jc w:val="both"/>
        <w:rPr>
          <w:rFonts w:ascii="Times New Roman" w:hAnsi="Times New Roman" w:cs="Times New Roman"/>
          <w:b/>
          <w:sz w:val="24"/>
          <w:szCs w:val="24"/>
        </w:rPr>
      </w:pPr>
    </w:p>
    <w:p w:rsidR="00AD61D3" w:rsidRDefault="00AD61D3" w:rsidP="00AD6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w:t>
      </w:r>
      <w:r w:rsidRPr="00231568">
        <w:rPr>
          <w:rFonts w:ascii="Times New Roman" w:hAnsi="Times New Roman" w:cs="Times New Roman"/>
          <w:b/>
          <w:sz w:val="24"/>
          <w:szCs w:val="24"/>
        </w:rPr>
        <w:t>l. II</w:t>
      </w:r>
    </w:p>
    <w:p w:rsidR="009E2E38" w:rsidRPr="00231568" w:rsidRDefault="009E2E38" w:rsidP="00AD61D3">
      <w:pPr>
        <w:spacing w:after="0" w:line="240" w:lineRule="auto"/>
        <w:jc w:val="both"/>
        <w:rPr>
          <w:rFonts w:ascii="Times New Roman" w:hAnsi="Times New Roman" w:cs="Times New Roman"/>
          <w:b/>
          <w:sz w:val="24"/>
          <w:szCs w:val="24"/>
        </w:rPr>
      </w:pPr>
      <w:bookmarkStart w:id="0" w:name="_GoBack"/>
      <w:bookmarkEnd w:id="0"/>
    </w:p>
    <w:p w:rsidR="00AD61D3" w:rsidRPr="00231568" w:rsidRDefault="00AD61D3" w:rsidP="00AD61D3">
      <w:pPr>
        <w:spacing w:after="0" w:line="240" w:lineRule="auto"/>
        <w:jc w:val="both"/>
        <w:rPr>
          <w:rFonts w:ascii="Times New Roman" w:hAnsi="Times New Roman" w:cs="Times New Roman"/>
          <w:sz w:val="24"/>
          <w:szCs w:val="24"/>
        </w:rPr>
      </w:pPr>
      <w:r w:rsidRPr="00231568">
        <w:rPr>
          <w:rFonts w:ascii="Times New Roman" w:hAnsi="Times New Roman" w:cs="Times New Roman"/>
          <w:sz w:val="24"/>
          <w:szCs w:val="24"/>
        </w:rPr>
        <w:t xml:space="preserve">Navrhuje sa účinnosť </w:t>
      </w:r>
      <w:r w:rsidRPr="00954297">
        <w:rPr>
          <w:rFonts w:ascii="Times New Roman" w:hAnsi="Times New Roman" w:cs="Times New Roman"/>
          <w:sz w:val="24"/>
          <w:szCs w:val="24"/>
        </w:rPr>
        <w:t>novely zákona 1</w:t>
      </w:r>
      <w:r>
        <w:rPr>
          <w:rFonts w:ascii="Times New Roman" w:hAnsi="Times New Roman" w:cs="Times New Roman"/>
          <w:sz w:val="24"/>
          <w:szCs w:val="24"/>
        </w:rPr>
        <w:t>5</w:t>
      </w:r>
      <w:r w:rsidRPr="00954297">
        <w:rPr>
          <w:rFonts w:ascii="Times New Roman" w:hAnsi="Times New Roman" w:cs="Times New Roman"/>
          <w:sz w:val="24"/>
          <w:szCs w:val="24"/>
        </w:rPr>
        <w:t>. nov</w:t>
      </w:r>
      <w:r>
        <w:rPr>
          <w:rFonts w:ascii="Times New Roman" w:hAnsi="Times New Roman" w:cs="Times New Roman"/>
          <w:sz w:val="24"/>
          <w:szCs w:val="24"/>
        </w:rPr>
        <w:t>embra</w:t>
      </w:r>
      <w:r w:rsidRPr="00954297">
        <w:rPr>
          <w:rFonts w:ascii="Times New Roman" w:hAnsi="Times New Roman" w:cs="Times New Roman"/>
          <w:sz w:val="24"/>
          <w:szCs w:val="24"/>
        </w:rPr>
        <w:t xml:space="preserve"> 2019 vzhľadom</w:t>
      </w:r>
      <w:r w:rsidRPr="00231568">
        <w:rPr>
          <w:rFonts w:ascii="Times New Roman" w:hAnsi="Times New Roman" w:cs="Times New Roman"/>
          <w:sz w:val="24"/>
          <w:szCs w:val="24"/>
        </w:rPr>
        <w:t xml:space="preserve"> na to, aby obce mali dostatočný časový priestor na zapracovanie zmien vo VZN.  </w:t>
      </w:r>
    </w:p>
    <w:p w:rsidR="00AD61D3" w:rsidRPr="00231568" w:rsidRDefault="00AD61D3" w:rsidP="00AD61D3">
      <w:pPr>
        <w:spacing w:after="0" w:line="240" w:lineRule="auto"/>
        <w:jc w:val="both"/>
        <w:rPr>
          <w:rFonts w:ascii="Times New Roman" w:hAnsi="Times New Roman" w:cs="Times New Roman"/>
          <w:sz w:val="24"/>
          <w:szCs w:val="24"/>
        </w:rPr>
      </w:pPr>
    </w:p>
    <w:p w:rsidR="00AD61D3" w:rsidRPr="00231568" w:rsidRDefault="00AD61D3" w:rsidP="00AD61D3">
      <w:pPr>
        <w:spacing w:after="0" w:line="240" w:lineRule="auto"/>
        <w:jc w:val="both"/>
        <w:rPr>
          <w:rFonts w:ascii="Times New Roman" w:hAnsi="Times New Roman" w:cs="Times New Roman"/>
          <w:sz w:val="24"/>
          <w:szCs w:val="24"/>
        </w:rPr>
      </w:pPr>
    </w:p>
    <w:p w:rsidR="00AD61D3" w:rsidRDefault="00AD61D3" w:rsidP="00AD61D3">
      <w:pPr>
        <w:rPr>
          <w:rFonts w:ascii="Times New Roman" w:hAnsi="Times New Roman" w:cs="Times New Roman"/>
          <w:sz w:val="24"/>
          <w:szCs w:val="24"/>
        </w:rPr>
      </w:pPr>
      <w:r>
        <w:rPr>
          <w:rFonts w:ascii="Times New Roman" w:hAnsi="Times New Roman" w:cs="Times New Roman"/>
          <w:sz w:val="24"/>
          <w:szCs w:val="24"/>
        </w:rPr>
        <w:br w:type="page"/>
      </w:r>
    </w:p>
    <w:p w:rsidR="00AD61D3" w:rsidRPr="00085ED7" w:rsidRDefault="00AD61D3" w:rsidP="00AD61D3">
      <w:pPr>
        <w:pStyle w:val="Zkladntext1"/>
        <w:tabs>
          <w:tab w:val="left" w:pos="567"/>
        </w:tabs>
        <w:ind w:left="283" w:hanging="283"/>
        <w:jc w:val="center"/>
        <w:rPr>
          <w:b/>
          <w:color w:val="auto"/>
          <w:sz w:val="24"/>
          <w:szCs w:val="24"/>
        </w:rPr>
      </w:pPr>
      <w:r>
        <w:rPr>
          <w:b/>
          <w:color w:val="auto"/>
          <w:sz w:val="24"/>
          <w:szCs w:val="24"/>
        </w:rPr>
        <w:lastRenderedPageBreak/>
        <w:t>DOLOŽKA  ZLUČITEĽNOSTI</w:t>
      </w:r>
    </w:p>
    <w:p w:rsidR="00AD61D3" w:rsidRPr="00085ED7" w:rsidRDefault="00AD61D3" w:rsidP="00AD61D3">
      <w:pPr>
        <w:pStyle w:val="Zkladntext1"/>
        <w:tabs>
          <w:tab w:val="left" w:pos="567"/>
        </w:tabs>
        <w:ind w:left="283" w:hanging="283"/>
        <w:jc w:val="center"/>
        <w:rPr>
          <w:b/>
          <w:color w:val="auto"/>
          <w:sz w:val="24"/>
          <w:szCs w:val="24"/>
        </w:rPr>
      </w:pPr>
      <w:proofErr w:type="spellStart"/>
      <w:r w:rsidRPr="00085ED7">
        <w:rPr>
          <w:b/>
          <w:color w:val="auto"/>
          <w:sz w:val="24"/>
          <w:szCs w:val="24"/>
        </w:rPr>
        <w:t>právneho</w:t>
      </w:r>
      <w:proofErr w:type="spellEnd"/>
      <w:r w:rsidRPr="00085ED7">
        <w:rPr>
          <w:b/>
          <w:color w:val="auto"/>
          <w:sz w:val="24"/>
          <w:szCs w:val="24"/>
        </w:rPr>
        <w:t xml:space="preserve"> </w:t>
      </w:r>
      <w:proofErr w:type="spellStart"/>
      <w:r w:rsidRPr="00085ED7">
        <w:rPr>
          <w:b/>
          <w:color w:val="auto"/>
          <w:sz w:val="24"/>
          <w:szCs w:val="24"/>
        </w:rPr>
        <w:t>predpisu</w:t>
      </w:r>
      <w:proofErr w:type="spellEnd"/>
      <w:r w:rsidRPr="00085ED7">
        <w:rPr>
          <w:b/>
          <w:color w:val="auto"/>
          <w:sz w:val="24"/>
          <w:szCs w:val="24"/>
        </w:rPr>
        <w:t xml:space="preserve"> s </w:t>
      </w:r>
      <w:proofErr w:type="spellStart"/>
      <w:r w:rsidRPr="00085ED7">
        <w:rPr>
          <w:b/>
          <w:color w:val="auto"/>
          <w:sz w:val="24"/>
          <w:szCs w:val="24"/>
        </w:rPr>
        <w:t>právom</w:t>
      </w:r>
      <w:proofErr w:type="spellEnd"/>
      <w:r w:rsidRPr="00085ED7">
        <w:rPr>
          <w:b/>
          <w:color w:val="auto"/>
          <w:sz w:val="24"/>
          <w:szCs w:val="24"/>
        </w:rPr>
        <w:t xml:space="preserve"> </w:t>
      </w:r>
      <w:proofErr w:type="spellStart"/>
      <w:r w:rsidRPr="00085ED7">
        <w:rPr>
          <w:b/>
          <w:color w:val="auto"/>
          <w:sz w:val="24"/>
          <w:szCs w:val="24"/>
        </w:rPr>
        <w:t>Európskej</w:t>
      </w:r>
      <w:proofErr w:type="spellEnd"/>
      <w:r w:rsidRPr="00085ED7">
        <w:rPr>
          <w:b/>
          <w:color w:val="auto"/>
          <w:sz w:val="24"/>
          <w:szCs w:val="24"/>
        </w:rPr>
        <w:t xml:space="preserve"> </w:t>
      </w:r>
      <w:proofErr w:type="spellStart"/>
      <w:r w:rsidRPr="00085ED7">
        <w:rPr>
          <w:b/>
          <w:color w:val="auto"/>
          <w:sz w:val="24"/>
          <w:szCs w:val="24"/>
        </w:rPr>
        <w:t>únie</w:t>
      </w:r>
      <w:proofErr w:type="spellEnd"/>
    </w:p>
    <w:p w:rsidR="00AD61D3" w:rsidRPr="00954297" w:rsidRDefault="00AD61D3" w:rsidP="00AD61D3">
      <w:pPr>
        <w:spacing w:after="0" w:line="240" w:lineRule="auto"/>
        <w:rPr>
          <w:rFonts w:ascii="Times New Roman" w:hAnsi="Times New Roman"/>
          <w:sz w:val="24"/>
          <w:szCs w:val="24"/>
        </w:rPr>
      </w:pPr>
    </w:p>
    <w:p w:rsidR="00AD61D3" w:rsidRPr="00954297" w:rsidRDefault="00AD61D3" w:rsidP="00AD61D3">
      <w:pPr>
        <w:pStyle w:val="Zkladntext1"/>
        <w:tabs>
          <w:tab w:val="left" w:pos="567"/>
        </w:tabs>
        <w:jc w:val="both"/>
        <w:rPr>
          <w:color w:val="auto"/>
          <w:sz w:val="24"/>
          <w:szCs w:val="24"/>
        </w:rPr>
      </w:pPr>
    </w:p>
    <w:p w:rsidR="00AD61D3" w:rsidRPr="00954297" w:rsidRDefault="00AD61D3" w:rsidP="00AD61D3">
      <w:pPr>
        <w:pStyle w:val="Zkladntext1"/>
        <w:tabs>
          <w:tab w:val="left" w:pos="567"/>
        </w:tabs>
        <w:jc w:val="both"/>
        <w:rPr>
          <w:b/>
          <w:color w:val="auto"/>
          <w:sz w:val="24"/>
          <w:szCs w:val="24"/>
        </w:rPr>
      </w:pPr>
      <w:r w:rsidRPr="00954297">
        <w:rPr>
          <w:b/>
          <w:color w:val="auto"/>
          <w:sz w:val="24"/>
          <w:szCs w:val="24"/>
        </w:rPr>
        <w:t xml:space="preserve">1. </w:t>
      </w:r>
      <w:proofErr w:type="spellStart"/>
      <w:r w:rsidR="003102C3">
        <w:rPr>
          <w:b/>
          <w:color w:val="auto"/>
          <w:sz w:val="24"/>
          <w:szCs w:val="24"/>
        </w:rPr>
        <w:t>Navrhovateľ</w:t>
      </w:r>
      <w:proofErr w:type="spellEnd"/>
      <w:r w:rsidRPr="00954297">
        <w:rPr>
          <w:b/>
          <w:color w:val="auto"/>
          <w:sz w:val="24"/>
          <w:szCs w:val="24"/>
        </w:rPr>
        <w:t xml:space="preserve"> zákona:</w:t>
      </w:r>
    </w:p>
    <w:p w:rsidR="00AD61D3" w:rsidRPr="00954297" w:rsidRDefault="00AD61D3" w:rsidP="00AD61D3">
      <w:pPr>
        <w:pStyle w:val="Zkladntext1"/>
        <w:ind w:left="284"/>
        <w:jc w:val="both"/>
        <w:rPr>
          <w:color w:val="auto"/>
          <w:sz w:val="24"/>
          <w:szCs w:val="24"/>
        </w:rPr>
      </w:pPr>
      <w:r w:rsidRPr="00954297">
        <w:rPr>
          <w:sz w:val="24"/>
          <w:szCs w:val="24"/>
        </w:rPr>
        <w:t xml:space="preserve">Poslanci </w:t>
      </w:r>
      <w:proofErr w:type="spellStart"/>
      <w:r w:rsidRPr="00954297">
        <w:rPr>
          <w:sz w:val="24"/>
          <w:szCs w:val="24"/>
        </w:rPr>
        <w:t>Národnej</w:t>
      </w:r>
      <w:proofErr w:type="spellEnd"/>
      <w:r w:rsidRPr="00954297">
        <w:rPr>
          <w:sz w:val="24"/>
          <w:szCs w:val="24"/>
        </w:rPr>
        <w:t xml:space="preserve"> rady </w:t>
      </w:r>
      <w:proofErr w:type="spellStart"/>
      <w:r w:rsidRPr="00954297">
        <w:rPr>
          <w:sz w:val="24"/>
          <w:szCs w:val="24"/>
        </w:rPr>
        <w:t>Slovenskej</w:t>
      </w:r>
      <w:proofErr w:type="spellEnd"/>
      <w:r w:rsidRPr="00954297">
        <w:rPr>
          <w:sz w:val="24"/>
          <w:szCs w:val="24"/>
        </w:rPr>
        <w:t xml:space="preserve"> republiky </w:t>
      </w:r>
      <w:r>
        <w:rPr>
          <w:sz w:val="24"/>
          <w:szCs w:val="24"/>
        </w:rPr>
        <w:t xml:space="preserve">Peter Antal a Irén </w:t>
      </w:r>
      <w:proofErr w:type="spellStart"/>
      <w:r>
        <w:rPr>
          <w:sz w:val="24"/>
          <w:szCs w:val="24"/>
        </w:rPr>
        <w:t>Sárközy</w:t>
      </w:r>
      <w:proofErr w:type="spellEnd"/>
      <w:r w:rsidRPr="00954297">
        <w:rPr>
          <w:color w:val="auto"/>
          <w:sz w:val="24"/>
          <w:szCs w:val="24"/>
        </w:rPr>
        <w:t>.</w:t>
      </w:r>
    </w:p>
    <w:p w:rsidR="00AD61D3" w:rsidRPr="00954297" w:rsidRDefault="00AD61D3" w:rsidP="00AD61D3">
      <w:pPr>
        <w:pStyle w:val="Zkladntext1"/>
        <w:tabs>
          <w:tab w:val="left" w:pos="567"/>
        </w:tabs>
        <w:jc w:val="both"/>
        <w:rPr>
          <w:color w:val="auto"/>
          <w:sz w:val="24"/>
          <w:szCs w:val="24"/>
        </w:rPr>
      </w:pPr>
    </w:p>
    <w:p w:rsidR="00AD61D3" w:rsidRPr="00954297" w:rsidRDefault="00AD61D3" w:rsidP="00AD61D3">
      <w:pPr>
        <w:pStyle w:val="Zkladntext1"/>
        <w:tabs>
          <w:tab w:val="left" w:pos="567"/>
        </w:tabs>
        <w:jc w:val="both"/>
        <w:rPr>
          <w:color w:val="auto"/>
          <w:sz w:val="24"/>
          <w:szCs w:val="24"/>
        </w:rPr>
      </w:pPr>
      <w:r w:rsidRPr="00954297">
        <w:rPr>
          <w:b/>
          <w:color w:val="auto"/>
          <w:sz w:val="24"/>
          <w:szCs w:val="24"/>
        </w:rPr>
        <w:t xml:space="preserve">2. </w:t>
      </w:r>
      <w:proofErr w:type="spellStart"/>
      <w:r w:rsidRPr="00954297">
        <w:rPr>
          <w:b/>
          <w:color w:val="auto"/>
          <w:sz w:val="24"/>
          <w:szCs w:val="24"/>
        </w:rPr>
        <w:t>Názov</w:t>
      </w:r>
      <w:proofErr w:type="spellEnd"/>
      <w:r w:rsidRPr="00954297">
        <w:rPr>
          <w:b/>
          <w:color w:val="auto"/>
          <w:sz w:val="24"/>
          <w:szCs w:val="24"/>
        </w:rPr>
        <w:t xml:space="preserve"> návrhu zákona:</w:t>
      </w:r>
    </w:p>
    <w:p w:rsidR="00AD61D3" w:rsidRPr="00954297" w:rsidRDefault="00AD61D3" w:rsidP="00AD61D3">
      <w:pPr>
        <w:pStyle w:val="Zkladntext"/>
        <w:spacing w:after="0"/>
        <w:ind w:left="284"/>
        <w:jc w:val="both"/>
      </w:pPr>
      <w:r w:rsidRPr="00954297">
        <w:t xml:space="preserve">Návrh zákona, ktorým sa mení a dopĺňa zákon č. 447/2015 Z. z. o miestnom poplatku za rozvoj a o zmene a doplnení niektorých zákonov </w:t>
      </w:r>
      <w:r>
        <w:t>v znení zákona č. 375/2016 Z. z</w:t>
      </w:r>
      <w:r w:rsidRPr="00954297">
        <w:t>.</w:t>
      </w:r>
    </w:p>
    <w:p w:rsidR="00AD61D3" w:rsidRPr="00954297" w:rsidRDefault="00AD61D3" w:rsidP="00AD61D3">
      <w:pPr>
        <w:pStyle w:val="Zkladntext1"/>
        <w:jc w:val="both"/>
        <w:rPr>
          <w:color w:val="auto"/>
          <w:sz w:val="24"/>
          <w:szCs w:val="24"/>
        </w:rPr>
      </w:pPr>
    </w:p>
    <w:p w:rsidR="00AD61D3" w:rsidRPr="00954297" w:rsidRDefault="00AD61D3" w:rsidP="00AD61D3">
      <w:pPr>
        <w:pStyle w:val="Zkladntext1"/>
        <w:tabs>
          <w:tab w:val="left" w:pos="567"/>
        </w:tabs>
        <w:jc w:val="both"/>
        <w:rPr>
          <w:b/>
          <w:color w:val="auto"/>
          <w:sz w:val="24"/>
          <w:szCs w:val="24"/>
        </w:rPr>
      </w:pPr>
      <w:r w:rsidRPr="00954297">
        <w:rPr>
          <w:b/>
          <w:color w:val="auto"/>
          <w:sz w:val="24"/>
          <w:szCs w:val="24"/>
        </w:rPr>
        <w:t>3. Problematika návrhu zákona:</w:t>
      </w:r>
    </w:p>
    <w:p w:rsidR="00AD61D3" w:rsidRPr="00954297" w:rsidRDefault="00AD61D3" w:rsidP="00AD61D3">
      <w:pPr>
        <w:pStyle w:val="Zkladntext1"/>
        <w:widowControl/>
        <w:numPr>
          <w:ilvl w:val="0"/>
          <w:numId w:val="17"/>
        </w:numPr>
        <w:tabs>
          <w:tab w:val="num" w:pos="704"/>
        </w:tabs>
        <w:ind w:left="704"/>
        <w:jc w:val="both"/>
        <w:rPr>
          <w:color w:val="auto"/>
          <w:sz w:val="24"/>
          <w:szCs w:val="24"/>
        </w:rPr>
      </w:pPr>
      <w:proofErr w:type="spellStart"/>
      <w:r w:rsidRPr="00954297">
        <w:rPr>
          <w:color w:val="auto"/>
          <w:sz w:val="24"/>
          <w:szCs w:val="24"/>
        </w:rPr>
        <w:t>nie</w:t>
      </w:r>
      <w:proofErr w:type="spellEnd"/>
      <w:r w:rsidRPr="00954297">
        <w:rPr>
          <w:color w:val="auto"/>
          <w:sz w:val="24"/>
          <w:szCs w:val="24"/>
        </w:rPr>
        <w:t xml:space="preserve"> je upravená v </w:t>
      </w:r>
      <w:proofErr w:type="spellStart"/>
      <w:r w:rsidRPr="00954297">
        <w:rPr>
          <w:color w:val="auto"/>
          <w:sz w:val="24"/>
          <w:szCs w:val="24"/>
        </w:rPr>
        <w:t>práve</w:t>
      </w:r>
      <w:proofErr w:type="spellEnd"/>
      <w:r w:rsidRPr="00954297">
        <w:rPr>
          <w:color w:val="auto"/>
          <w:sz w:val="24"/>
          <w:szCs w:val="24"/>
        </w:rPr>
        <w:t xml:space="preserve"> </w:t>
      </w:r>
      <w:proofErr w:type="spellStart"/>
      <w:r w:rsidRPr="00954297">
        <w:rPr>
          <w:color w:val="auto"/>
          <w:sz w:val="24"/>
          <w:szCs w:val="24"/>
        </w:rPr>
        <w:t>Európskej</w:t>
      </w:r>
      <w:proofErr w:type="spellEnd"/>
      <w:r w:rsidRPr="00954297">
        <w:rPr>
          <w:color w:val="auto"/>
          <w:sz w:val="24"/>
          <w:szCs w:val="24"/>
        </w:rPr>
        <w:t xml:space="preserve"> </w:t>
      </w:r>
      <w:proofErr w:type="spellStart"/>
      <w:r w:rsidRPr="00954297">
        <w:rPr>
          <w:color w:val="auto"/>
          <w:sz w:val="24"/>
          <w:szCs w:val="24"/>
        </w:rPr>
        <w:t>únie</w:t>
      </w:r>
      <w:proofErr w:type="spellEnd"/>
      <w:r w:rsidRPr="00954297">
        <w:rPr>
          <w:color w:val="auto"/>
          <w:sz w:val="24"/>
          <w:szCs w:val="24"/>
        </w:rPr>
        <w:t>,</w:t>
      </w:r>
    </w:p>
    <w:p w:rsidR="00AD61D3" w:rsidRPr="00954297" w:rsidRDefault="00AD61D3" w:rsidP="00AD61D3">
      <w:pPr>
        <w:pStyle w:val="Zkladntext1"/>
        <w:widowControl/>
        <w:numPr>
          <w:ilvl w:val="0"/>
          <w:numId w:val="17"/>
        </w:numPr>
        <w:tabs>
          <w:tab w:val="num" w:pos="704"/>
        </w:tabs>
        <w:ind w:left="704"/>
        <w:jc w:val="both"/>
        <w:rPr>
          <w:color w:val="auto"/>
          <w:sz w:val="24"/>
          <w:szCs w:val="24"/>
        </w:rPr>
      </w:pPr>
      <w:proofErr w:type="spellStart"/>
      <w:r w:rsidRPr="00954297">
        <w:rPr>
          <w:color w:val="auto"/>
          <w:sz w:val="24"/>
          <w:szCs w:val="24"/>
        </w:rPr>
        <w:t>nie</w:t>
      </w:r>
      <w:proofErr w:type="spellEnd"/>
      <w:r w:rsidRPr="00954297">
        <w:rPr>
          <w:color w:val="auto"/>
          <w:sz w:val="24"/>
          <w:szCs w:val="24"/>
        </w:rPr>
        <w:t xml:space="preserve"> je </w:t>
      </w:r>
      <w:proofErr w:type="spellStart"/>
      <w:r w:rsidRPr="00954297">
        <w:rPr>
          <w:color w:val="auto"/>
          <w:sz w:val="24"/>
          <w:szCs w:val="24"/>
        </w:rPr>
        <w:t>obsiahnutá</w:t>
      </w:r>
      <w:proofErr w:type="spellEnd"/>
      <w:r w:rsidRPr="00954297">
        <w:rPr>
          <w:color w:val="auto"/>
          <w:sz w:val="24"/>
          <w:szCs w:val="24"/>
        </w:rPr>
        <w:t xml:space="preserve"> v </w:t>
      </w:r>
      <w:proofErr w:type="spellStart"/>
      <w:r w:rsidRPr="00954297">
        <w:rPr>
          <w:color w:val="auto"/>
          <w:sz w:val="24"/>
          <w:szCs w:val="24"/>
        </w:rPr>
        <w:t>judikatúre</w:t>
      </w:r>
      <w:proofErr w:type="spellEnd"/>
      <w:r w:rsidRPr="00954297">
        <w:rPr>
          <w:color w:val="auto"/>
          <w:sz w:val="24"/>
          <w:szCs w:val="24"/>
        </w:rPr>
        <w:t xml:space="preserve"> </w:t>
      </w:r>
      <w:proofErr w:type="spellStart"/>
      <w:r w:rsidRPr="00954297">
        <w:rPr>
          <w:color w:val="auto"/>
          <w:sz w:val="24"/>
          <w:szCs w:val="24"/>
        </w:rPr>
        <w:t>Súdneho</w:t>
      </w:r>
      <w:proofErr w:type="spellEnd"/>
      <w:r w:rsidRPr="00954297">
        <w:rPr>
          <w:color w:val="auto"/>
          <w:sz w:val="24"/>
          <w:szCs w:val="24"/>
        </w:rPr>
        <w:t xml:space="preserve"> dvora </w:t>
      </w:r>
      <w:proofErr w:type="spellStart"/>
      <w:r w:rsidRPr="00954297">
        <w:rPr>
          <w:color w:val="auto"/>
          <w:sz w:val="24"/>
          <w:szCs w:val="24"/>
        </w:rPr>
        <w:t>Európskej</w:t>
      </w:r>
      <w:proofErr w:type="spellEnd"/>
      <w:r w:rsidRPr="00954297">
        <w:rPr>
          <w:color w:val="auto"/>
          <w:sz w:val="24"/>
          <w:szCs w:val="24"/>
        </w:rPr>
        <w:t xml:space="preserve"> </w:t>
      </w:r>
      <w:proofErr w:type="spellStart"/>
      <w:r w:rsidRPr="00954297">
        <w:rPr>
          <w:color w:val="auto"/>
          <w:sz w:val="24"/>
          <w:szCs w:val="24"/>
        </w:rPr>
        <w:t>únie</w:t>
      </w:r>
      <w:proofErr w:type="spellEnd"/>
      <w:r w:rsidRPr="00954297">
        <w:rPr>
          <w:color w:val="auto"/>
          <w:sz w:val="24"/>
          <w:szCs w:val="24"/>
        </w:rPr>
        <w:t>.</w:t>
      </w:r>
    </w:p>
    <w:p w:rsidR="00AD61D3" w:rsidRPr="00954297" w:rsidRDefault="00AD61D3" w:rsidP="00AD61D3">
      <w:pPr>
        <w:pStyle w:val="Zkladntext1"/>
        <w:ind w:left="284"/>
        <w:jc w:val="both"/>
        <w:rPr>
          <w:color w:val="auto"/>
          <w:sz w:val="24"/>
          <w:szCs w:val="24"/>
        </w:rPr>
      </w:pPr>
    </w:p>
    <w:p w:rsidR="00AD61D3" w:rsidRPr="00954297" w:rsidRDefault="00AD61D3" w:rsidP="00AD61D3">
      <w:pPr>
        <w:spacing w:after="0" w:line="240" w:lineRule="auto"/>
        <w:jc w:val="both"/>
        <w:rPr>
          <w:rFonts w:ascii="Times New Roman" w:hAnsi="Times New Roman"/>
          <w:b/>
          <w:sz w:val="24"/>
          <w:szCs w:val="24"/>
        </w:rPr>
      </w:pPr>
      <w:r w:rsidRPr="00954297">
        <w:rPr>
          <w:rFonts w:ascii="Times New Roman" w:hAnsi="Times New Roman"/>
          <w:b/>
          <w:sz w:val="24"/>
          <w:szCs w:val="24"/>
        </w:rPr>
        <w:t>Vzhľadom na vnútroštátny charakter navrhovaného právneho predpisu je bezpredmetné vyjadrovať sa k bodom 4., 5. a 6. doložky zlučiteľnosti.</w:t>
      </w:r>
    </w:p>
    <w:p w:rsidR="00AD61D3" w:rsidRPr="00954297" w:rsidRDefault="00AD61D3" w:rsidP="00AD61D3">
      <w:pPr>
        <w:spacing w:after="0" w:line="240" w:lineRule="auto"/>
        <w:jc w:val="both"/>
        <w:rPr>
          <w:rFonts w:ascii="Times New Roman" w:hAnsi="Times New Roman"/>
          <w:b/>
          <w:sz w:val="24"/>
          <w:szCs w:val="24"/>
        </w:rPr>
      </w:pPr>
    </w:p>
    <w:p w:rsidR="00AD61D3" w:rsidRPr="00231568" w:rsidRDefault="00AD61D3" w:rsidP="00AD61D3">
      <w:pPr>
        <w:spacing w:after="0" w:line="240" w:lineRule="auto"/>
        <w:jc w:val="both"/>
        <w:rPr>
          <w:rFonts w:ascii="Times New Roman" w:hAnsi="Times New Roman" w:cs="Times New Roman"/>
          <w:sz w:val="24"/>
          <w:szCs w:val="24"/>
        </w:rPr>
      </w:pPr>
    </w:p>
    <w:p w:rsidR="00AD61D3" w:rsidRDefault="00AD61D3" w:rsidP="00AD61D3">
      <w:pPr>
        <w:spacing w:after="0" w:line="240" w:lineRule="auto"/>
        <w:jc w:val="both"/>
        <w:rPr>
          <w:rFonts w:ascii="Times New Roman" w:hAnsi="Times New Roman" w:cs="Times New Roman"/>
          <w:sz w:val="24"/>
          <w:szCs w:val="24"/>
        </w:rPr>
      </w:pPr>
    </w:p>
    <w:p w:rsidR="00196E2D" w:rsidRDefault="00196E2D" w:rsidP="00AD61D3">
      <w:pPr>
        <w:spacing w:after="0" w:line="240" w:lineRule="auto"/>
        <w:jc w:val="both"/>
        <w:rPr>
          <w:rFonts w:ascii="Times New Roman" w:hAnsi="Times New Roman" w:cs="Times New Roman"/>
          <w:sz w:val="24"/>
          <w:szCs w:val="24"/>
        </w:rPr>
      </w:pPr>
    </w:p>
    <w:p w:rsidR="00196E2D" w:rsidRPr="00231568" w:rsidRDefault="00196E2D" w:rsidP="00AD61D3">
      <w:pPr>
        <w:spacing w:after="0" w:line="240" w:lineRule="auto"/>
        <w:jc w:val="both"/>
        <w:rPr>
          <w:rFonts w:ascii="Times New Roman" w:hAnsi="Times New Roman" w:cs="Times New Roman"/>
          <w:sz w:val="24"/>
          <w:szCs w:val="24"/>
        </w:rPr>
      </w:pPr>
    </w:p>
    <w:p w:rsidR="00AD61D3" w:rsidRDefault="00AD61D3" w:rsidP="00AD61D3">
      <w:pPr>
        <w:rPr>
          <w:rFonts w:ascii="Times New Roman" w:hAnsi="Times New Roman" w:cs="Times New Roman"/>
          <w:sz w:val="24"/>
          <w:szCs w:val="24"/>
        </w:rPr>
      </w:pPr>
      <w:r>
        <w:rPr>
          <w:rFonts w:ascii="Times New Roman" w:hAnsi="Times New Roman" w:cs="Times New Roman"/>
          <w:sz w:val="24"/>
          <w:szCs w:val="24"/>
        </w:rPr>
        <w:br w:type="page"/>
      </w:r>
    </w:p>
    <w:p w:rsidR="00AD61D3" w:rsidRPr="004A6AFD" w:rsidRDefault="00AD61D3" w:rsidP="00AD61D3">
      <w:pPr>
        <w:jc w:val="center"/>
        <w:rPr>
          <w:rFonts w:ascii="Times New Roman" w:hAnsi="Times New Roman"/>
          <w:b/>
          <w:bCs/>
          <w:sz w:val="24"/>
          <w:szCs w:val="24"/>
        </w:rPr>
      </w:pPr>
      <w:r w:rsidRPr="004A6AFD">
        <w:rPr>
          <w:rFonts w:ascii="Times New Roman" w:hAnsi="Times New Roman"/>
          <w:b/>
          <w:bCs/>
          <w:sz w:val="24"/>
          <w:szCs w:val="24"/>
        </w:rPr>
        <w:lastRenderedPageBreak/>
        <w:t>Doložka vybraných vplyvov</w:t>
      </w:r>
    </w:p>
    <w:p w:rsidR="00AD61D3" w:rsidRPr="004A6AFD" w:rsidRDefault="00AD61D3" w:rsidP="00AD61D3">
      <w:pPr>
        <w:rPr>
          <w:rFonts w:ascii="Times New Roman" w:hAnsi="Times New Roman"/>
          <w:b/>
          <w:sz w:val="24"/>
          <w:szCs w:val="24"/>
        </w:rPr>
      </w:pPr>
    </w:p>
    <w:tbl>
      <w:tblPr>
        <w:tblStyle w:val="Mriekatabuky"/>
        <w:tblW w:w="930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417"/>
      </w:tblGrid>
      <w:tr w:rsidR="00AD61D3" w:rsidRPr="004A6AFD" w:rsidTr="00F07578">
        <w:tc>
          <w:tcPr>
            <w:tcW w:w="9300" w:type="dxa"/>
            <w:gridSpan w:val="10"/>
            <w:tcBorders>
              <w:bottom w:val="single" w:sz="4" w:space="0" w:color="FFFFFF" w:themeColor="background1"/>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Základné údaje</w:t>
            </w:r>
          </w:p>
        </w:tc>
      </w:tr>
      <w:tr w:rsidR="00AD61D3" w:rsidRPr="004A6AFD" w:rsidTr="00F07578">
        <w:tc>
          <w:tcPr>
            <w:tcW w:w="9300" w:type="dxa"/>
            <w:gridSpan w:val="10"/>
            <w:tcBorders>
              <w:bottom w:val="single" w:sz="4" w:space="0" w:color="FFFFFF" w:themeColor="background1"/>
            </w:tcBorders>
            <w:shd w:val="clear" w:color="auto" w:fill="E2E2E2"/>
          </w:tcPr>
          <w:p w:rsidR="00AD61D3" w:rsidRPr="004A6AFD" w:rsidRDefault="00AD61D3" w:rsidP="00F07578">
            <w:pPr>
              <w:pStyle w:val="Odsekzoznamu"/>
              <w:ind w:left="142"/>
              <w:rPr>
                <w:rFonts w:ascii="Times New Roman" w:hAnsi="Times New Roman"/>
                <w:b/>
                <w:sz w:val="24"/>
                <w:szCs w:val="24"/>
              </w:rPr>
            </w:pPr>
            <w:r w:rsidRPr="004A6AFD">
              <w:rPr>
                <w:rFonts w:ascii="Times New Roman" w:hAnsi="Times New Roman"/>
                <w:b/>
                <w:sz w:val="24"/>
                <w:szCs w:val="24"/>
              </w:rPr>
              <w:t>Názov materiálu</w:t>
            </w:r>
          </w:p>
        </w:tc>
      </w:tr>
      <w:tr w:rsidR="00AD61D3" w:rsidRPr="004A6AFD" w:rsidTr="00F07578">
        <w:tc>
          <w:tcPr>
            <w:tcW w:w="9300" w:type="dxa"/>
            <w:gridSpan w:val="10"/>
            <w:tcBorders>
              <w:top w:val="single" w:sz="4" w:space="0" w:color="FFFFFF" w:themeColor="background1"/>
            </w:tcBorders>
          </w:tcPr>
          <w:p w:rsidR="00AD61D3" w:rsidRPr="004A6AFD" w:rsidRDefault="00AD61D3" w:rsidP="00F07578">
            <w:pPr>
              <w:rPr>
                <w:rFonts w:ascii="Times New Roman" w:hAnsi="Times New Roman"/>
                <w:sz w:val="24"/>
                <w:szCs w:val="24"/>
              </w:rPr>
            </w:pPr>
            <w:r w:rsidRPr="001A4DAC">
              <w:rPr>
                <w:rFonts w:ascii="Times New Roman" w:hAnsi="Times New Roman"/>
                <w:sz w:val="24"/>
                <w:szCs w:val="24"/>
              </w:rPr>
              <w:t>Návrh zákona, ktorým sa mení a dopĺňa zákon č. 447/2014 Z. z. o miestnom poplatku za rozvoj a o zmene a doplnení niektorých zákonov v</w:t>
            </w:r>
            <w:r>
              <w:rPr>
                <w:rFonts w:ascii="Times New Roman" w:hAnsi="Times New Roman"/>
                <w:sz w:val="24"/>
                <w:szCs w:val="24"/>
              </w:rPr>
              <w:t xml:space="preserve"> znení zákona č. 375/2016 Z. z.</w:t>
            </w:r>
          </w:p>
        </w:tc>
      </w:tr>
      <w:tr w:rsidR="00AD61D3" w:rsidRPr="004A6AFD" w:rsidTr="00F07578">
        <w:tc>
          <w:tcPr>
            <w:tcW w:w="9300" w:type="dxa"/>
            <w:gridSpan w:val="10"/>
            <w:tcBorders>
              <w:bottom w:val="single" w:sz="4" w:space="0" w:color="FFFFFF" w:themeColor="background1"/>
            </w:tcBorders>
            <w:shd w:val="clear" w:color="auto" w:fill="E2E2E2"/>
          </w:tcPr>
          <w:p w:rsidR="00AD61D3" w:rsidRPr="004A6AFD" w:rsidRDefault="00EC5B05" w:rsidP="00EC5B05">
            <w:pPr>
              <w:pStyle w:val="Odsekzoznamu"/>
              <w:ind w:left="142"/>
              <w:rPr>
                <w:rFonts w:ascii="Times New Roman" w:hAnsi="Times New Roman"/>
                <w:b/>
                <w:sz w:val="24"/>
                <w:szCs w:val="24"/>
              </w:rPr>
            </w:pPr>
            <w:r>
              <w:rPr>
                <w:rFonts w:ascii="Times New Roman" w:hAnsi="Times New Roman"/>
                <w:b/>
                <w:sz w:val="24"/>
                <w:szCs w:val="24"/>
              </w:rPr>
              <w:t>Navrhovatelia</w:t>
            </w:r>
          </w:p>
        </w:tc>
      </w:tr>
      <w:tr w:rsidR="00AD61D3" w:rsidRPr="004A6AFD" w:rsidTr="00F07578">
        <w:tc>
          <w:tcPr>
            <w:tcW w:w="9300" w:type="dxa"/>
            <w:gridSpan w:val="10"/>
            <w:tcBorders>
              <w:top w:val="single" w:sz="4" w:space="0" w:color="FFFFFF" w:themeColor="background1"/>
            </w:tcBorders>
            <w:shd w:val="clear" w:color="auto" w:fill="FFFFFF" w:themeFill="background1"/>
          </w:tcPr>
          <w:p w:rsidR="00AD61D3" w:rsidRPr="004A6AFD" w:rsidRDefault="003102C3" w:rsidP="00F07578">
            <w:pPr>
              <w:rPr>
                <w:rFonts w:ascii="Times New Roman" w:hAnsi="Times New Roman"/>
                <w:sz w:val="24"/>
                <w:szCs w:val="24"/>
              </w:rPr>
            </w:pPr>
            <w:r>
              <w:rPr>
                <w:rFonts w:ascii="Times New Roman" w:hAnsi="Times New Roman"/>
                <w:sz w:val="24"/>
                <w:szCs w:val="24"/>
              </w:rPr>
              <w:t xml:space="preserve">Peter Antal a Irén </w:t>
            </w:r>
            <w:proofErr w:type="spellStart"/>
            <w:r>
              <w:rPr>
                <w:rFonts w:ascii="Times New Roman" w:hAnsi="Times New Roman"/>
                <w:sz w:val="24"/>
                <w:szCs w:val="24"/>
              </w:rPr>
              <w:t>Sárközy</w:t>
            </w:r>
            <w:proofErr w:type="spellEnd"/>
          </w:p>
        </w:tc>
      </w:tr>
      <w:tr w:rsidR="00AD61D3" w:rsidRPr="004A6AFD" w:rsidTr="00F07578">
        <w:tc>
          <w:tcPr>
            <w:tcW w:w="4212" w:type="dxa"/>
            <w:gridSpan w:val="2"/>
            <w:vMerge w:val="restart"/>
            <w:tcBorders>
              <w:bottom w:val="single" w:sz="4" w:space="0" w:color="FFFFFF" w:themeColor="background1"/>
            </w:tcBorders>
            <w:shd w:val="clear" w:color="auto" w:fill="E2E2E2"/>
            <w:vAlign w:val="center"/>
          </w:tcPr>
          <w:p w:rsidR="00AD61D3" w:rsidRPr="00CE5F29" w:rsidRDefault="00AD61D3" w:rsidP="00F07578">
            <w:pPr>
              <w:pStyle w:val="Odsekzoznamu"/>
              <w:ind w:left="142"/>
              <w:rPr>
                <w:rFonts w:ascii="Times New Roman" w:hAnsi="Times New Roman"/>
                <w:b/>
                <w:sz w:val="24"/>
                <w:szCs w:val="24"/>
              </w:rPr>
            </w:pPr>
            <w:r w:rsidRPr="00CE5F29">
              <w:rPr>
                <w:rFonts w:ascii="Times New Roman" w:hAnsi="Times New Roman"/>
                <w:b/>
                <w:sz w:val="24"/>
                <w:szCs w:val="24"/>
              </w:rPr>
              <w:t>Charakter predkladaného materiálu</w:t>
            </w:r>
          </w:p>
        </w:tc>
        <w:tc>
          <w:tcPr>
            <w:tcW w:w="705" w:type="dxa"/>
            <w:gridSpan w:val="2"/>
            <w:tcBorders>
              <w:right w:val="nil"/>
            </w:tcBorders>
            <w:shd w:val="clear" w:color="auto" w:fill="FFFFFF" w:themeFill="background1"/>
          </w:tcPr>
          <w:p w:rsidR="00AD61D3" w:rsidRPr="00CE5F29" w:rsidRDefault="00AD61D3" w:rsidP="00F07578">
            <w:pPr>
              <w:jc w:val="center"/>
              <w:rPr>
                <w:rFonts w:ascii="Times New Roman" w:hAnsi="Times New Roman"/>
                <w:sz w:val="24"/>
                <w:szCs w:val="24"/>
              </w:rPr>
            </w:pPr>
            <w:r w:rsidRPr="00CE5F29">
              <w:rPr>
                <w:rFonts w:ascii="Segoe UI Symbol" w:eastAsia="MS Mincho" w:hAnsi="Segoe UI Symbol" w:cs="Segoe UI Symbol"/>
                <w:sz w:val="24"/>
                <w:szCs w:val="24"/>
              </w:rPr>
              <w:t>☐</w:t>
            </w:r>
          </w:p>
        </w:tc>
        <w:tc>
          <w:tcPr>
            <w:tcW w:w="4383" w:type="dxa"/>
            <w:gridSpan w:val="6"/>
            <w:tcBorders>
              <w:left w:val="nil"/>
              <w:bottom w:val="single" w:sz="4" w:space="0" w:color="auto"/>
            </w:tcBorders>
            <w:shd w:val="clear" w:color="auto" w:fill="FFFFFF" w:themeFill="background1"/>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Materiál nelegislatívnej povahy</w:t>
            </w:r>
          </w:p>
        </w:tc>
      </w:tr>
      <w:tr w:rsidR="00AD61D3" w:rsidRPr="004A6AFD" w:rsidTr="00F07578">
        <w:tc>
          <w:tcPr>
            <w:tcW w:w="4212" w:type="dxa"/>
            <w:gridSpan w:val="2"/>
            <w:vMerge/>
            <w:tcBorders>
              <w:top w:val="nil"/>
              <w:bottom w:val="single" w:sz="4" w:space="0" w:color="FFFFFF" w:themeColor="background1"/>
            </w:tcBorders>
            <w:shd w:val="clear" w:color="auto" w:fill="E2E2E2"/>
          </w:tcPr>
          <w:p w:rsidR="00AD61D3" w:rsidRPr="00CE5F29" w:rsidRDefault="00AD61D3" w:rsidP="00F07578">
            <w:pPr>
              <w:rPr>
                <w:rFonts w:ascii="Times New Roman" w:hAnsi="Times New Roman"/>
                <w:sz w:val="24"/>
                <w:szCs w:val="24"/>
              </w:rPr>
            </w:pPr>
          </w:p>
        </w:tc>
        <w:tc>
          <w:tcPr>
            <w:tcW w:w="705" w:type="dxa"/>
            <w:gridSpan w:val="2"/>
            <w:tcBorders>
              <w:right w:val="nil"/>
            </w:tcBorders>
            <w:shd w:val="clear" w:color="auto" w:fill="FFFFFF" w:themeFill="background1"/>
          </w:tcPr>
          <w:p w:rsidR="00AD61D3" w:rsidRPr="00CE5F29" w:rsidRDefault="00AD61D3" w:rsidP="00F07578">
            <w:pPr>
              <w:jc w:val="center"/>
              <w:rPr>
                <w:rFonts w:ascii="Times New Roman" w:hAnsi="Times New Roman"/>
                <w:sz w:val="24"/>
                <w:szCs w:val="24"/>
              </w:rPr>
            </w:pPr>
            <w:r w:rsidRPr="00CE5F29">
              <w:rPr>
                <w:rFonts w:ascii="Segoe UI Symbol" w:eastAsia="MS Gothic" w:hAnsi="Segoe UI Symbol" w:cs="Segoe UI Symbol"/>
                <w:sz w:val="24"/>
                <w:szCs w:val="24"/>
              </w:rPr>
              <w:t>☒</w:t>
            </w:r>
          </w:p>
        </w:tc>
        <w:tc>
          <w:tcPr>
            <w:tcW w:w="4383" w:type="dxa"/>
            <w:gridSpan w:val="6"/>
            <w:tcBorders>
              <w:left w:val="nil"/>
            </w:tcBorders>
            <w:shd w:val="clear" w:color="auto" w:fill="FFFFFF" w:themeFill="background1"/>
          </w:tcPr>
          <w:p w:rsidR="00AD61D3" w:rsidRPr="00CE5F29" w:rsidRDefault="00AD61D3" w:rsidP="00F07578">
            <w:pPr>
              <w:ind w:left="175" w:hanging="175"/>
              <w:rPr>
                <w:rFonts w:ascii="Times New Roman" w:hAnsi="Times New Roman"/>
                <w:sz w:val="24"/>
                <w:szCs w:val="24"/>
              </w:rPr>
            </w:pPr>
            <w:r w:rsidRPr="00CE5F29">
              <w:rPr>
                <w:rFonts w:ascii="Times New Roman" w:hAnsi="Times New Roman"/>
                <w:sz w:val="24"/>
                <w:szCs w:val="24"/>
              </w:rPr>
              <w:t>Materiál legislatívnej povahy</w:t>
            </w:r>
          </w:p>
        </w:tc>
      </w:tr>
      <w:tr w:rsidR="00AD61D3" w:rsidRPr="004A6AFD" w:rsidTr="00F07578">
        <w:tc>
          <w:tcPr>
            <w:tcW w:w="4212" w:type="dxa"/>
            <w:gridSpan w:val="2"/>
            <w:vMerge/>
            <w:tcBorders>
              <w:top w:val="nil"/>
            </w:tcBorders>
            <w:shd w:val="clear" w:color="auto" w:fill="E2E2E2"/>
          </w:tcPr>
          <w:p w:rsidR="00AD61D3" w:rsidRPr="00CE5F29" w:rsidRDefault="00AD61D3" w:rsidP="00F07578">
            <w:pPr>
              <w:rPr>
                <w:rFonts w:ascii="Times New Roman" w:hAnsi="Times New Roman"/>
                <w:sz w:val="24"/>
                <w:szCs w:val="24"/>
              </w:rPr>
            </w:pPr>
          </w:p>
        </w:tc>
        <w:tc>
          <w:tcPr>
            <w:tcW w:w="705" w:type="dxa"/>
            <w:gridSpan w:val="2"/>
            <w:tcBorders>
              <w:right w:val="nil"/>
            </w:tcBorders>
            <w:shd w:val="clear" w:color="auto" w:fill="FFFFFF" w:themeFill="background1"/>
          </w:tcPr>
          <w:p w:rsidR="00AD61D3" w:rsidRPr="00CE5F29" w:rsidRDefault="00AD61D3" w:rsidP="00F07578">
            <w:pPr>
              <w:jc w:val="center"/>
              <w:rPr>
                <w:rFonts w:ascii="Times New Roman" w:hAnsi="Times New Roman"/>
                <w:sz w:val="24"/>
                <w:szCs w:val="24"/>
              </w:rPr>
            </w:pPr>
            <w:r w:rsidRPr="00CE5F29">
              <w:rPr>
                <w:rFonts w:ascii="Segoe UI Symbol" w:eastAsia="MS Mincho" w:hAnsi="Segoe UI Symbol" w:cs="Segoe UI Symbol"/>
                <w:sz w:val="24"/>
                <w:szCs w:val="24"/>
              </w:rPr>
              <w:t>☐</w:t>
            </w:r>
          </w:p>
        </w:tc>
        <w:tc>
          <w:tcPr>
            <w:tcW w:w="4383" w:type="dxa"/>
            <w:gridSpan w:val="6"/>
            <w:tcBorders>
              <w:left w:val="nil"/>
            </w:tcBorders>
            <w:shd w:val="clear" w:color="auto" w:fill="FFFFFF" w:themeFill="background1"/>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Transpozícia práva EÚ</w:t>
            </w:r>
          </w:p>
        </w:tc>
      </w:tr>
      <w:tr w:rsidR="00AD61D3" w:rsidRPr="004A6AFD" w:rsidTr="00F07578">
        <w:tc>
          <w:tcPr>
            <w:tcW w:w="9300" w:type="dxa"/>
            <w:gridSpan w:val="10"/>
            <w:tcBorders>
              <w:bottom w:val="single" w:sz="4" w:space="0" w:color="FFFFFF" w:themeColor="background1"/>
            </w:tcBorders>
            <w:shd w:val="clear" w:color="auto" w:fill="FFFFFF" w:themeFill="background1"/>
          </w:tcPr>
          <w:p w:rsidR="00AD61D3" w:rsidRPr="00CE5F29" w:rsidRDefault="00AD61D3" w:rsidP="00F07578">
            <w:pPr>
              <w:rPr>
                <w:rFonts w:ascii="Times New Roman" w:hAnsi="Times New Roman"/>
                <w:i/>
                <w:sz w:val="24"/>
                <w:szCs w:val="24"/>
              </w:rPr>
            </w:pPr>
            <w:r w:rsidRPr="00CE5F29">
              <w:rPr>
                <w:rFonts w:ascii="Times New Roman" w:hAnsi="Times New Roman"/>
                <w:i/>
                <w:sz w:val="24"/>
                <w:szCs w:val="24"/>
              </w:rPr>
              <w:t>V prípade transpozície uveďte zoznam transponovaných predpisov:</w:t>
            </w:r>
          </w:p>
          <w:p w:rsidR="00AD61D3" w:rsidRPr="00CE5F29" w:rsidRDefault="00AD61D3" w:rsidP="00F07578">
            <w:pPr>
              <w:rPr>
                <w:rFonts w:ascii="Times New Roman" w:hAnsi="Times New Roman"/>
                <w:sz w:val="24"/>
                <w:szCs w:val="24"/>
              </w:rPr>
            </w:pPr>
          </w:p>
          <w:p w:rsidR="00AD61D3" w:rsidRPr="00CE5F29" w:rsidRDefault="00AD61D3" w:rsidP="00F07578">
            <w:pPr>
              <w:rPr>
                <w:rFonts w:ascii="Times New Roman" w:hAnsi="Times New Roman"/>
                <w:sz w:val="24"/>
                <w:szCs w:val="24"/>
              </w:rPr>
            </w:pPr>
          </w:p>
        </w:tc>
      </w:tr>
      <w:tr w:rsidR="00AD61D3" w:rsidRPr="004A6AFD" w:rsidTr="00F07578">
        <w:tc>
          <w:tcPr>
            <w:tcW w:w="5634" w:type="dxa"/>
            <w:gridSpan w:val="5"/>
            <w:tcBorders>
              <w:top w:val="single" w:sz="4" w:space="0" w:color="000000" w:themeColor="text1"/>
              <w:bottom w:val="single" w:sz="4" w:space="0" w:color="FFFFFF" w:themeColor="background1"/>
            </w:tcBorders>
            <w:shd w:val="clear" w:color="auto" w:fill="E2E2E2"/>
          </w:tcPr>
          <w:p w:rsidR="00AD61D3" w:rsidRPr="00CE5F29" w:rsidRDefault="00AD61D3" w:rsidP="00F07578">
            <w:pPr>
              <w:pStyle w:val="Odsekzoznamu"/>
              <w:ind w:left="142"/>
              <w:rPr>
                <w:rFonts w:ascii="Times New Roman" w:hAnsi="Times New Roman"/>
                <w:b/>
                <w:sz w:val="24"/>
                <w:szCs w:val="24"/>
              </w:rPr>
            </w:pPr>
            <w:r w:rsidRPr="00CE5F29">
              <w:rPr>
                <w:rFonts w:ascii="Times New Roman" w:hAnsi="Times New Roman"/>
                <w:b/>
                <w:sz w:val="24"/>
                <w:szCs w:val="24"/>
              </w:rPr>
              <w:t>Termín začiatku a ukončenia PPK</w:t>
            </w:r>
          </w:p>
        </w:tc>
        <w:tc>
          <w:tcPr>
            <w:tcW w:w="3666" w:type="dxa"/>
            <w:gridSpan w:val="5"/>
            <w:tcBorders>
              <w:top w:val="single" w:sz="4" w:space="0" w:color="000000" w:themeColor="text1"/>
            </w:tcBorders>
          </w:tcPr>
          <w:p w:rsidR="00AD61D3" w:rsidRPr="00CE5F29" w:rsidRDefault="00AD61D3" w:rsidP="00F07578">
            <w:pPr>
              <w:rPr>
                <w:rFonts w:ascii="Times New Roman" w:hAnsi="Times New Roman"/>
                <w:sz w:val="24"/>
                <w:szCs w:val="24"/>
              </w:rPr>
            </w:pPr>
          </w:p>
        </w:tc>
      </w:tr>
      <w:tr w:rsidR="00AD61D3" w:rsidRPr="004A6AFD" w:rsidTr="00F07578">
        <w:tc>
          <w:tcPr>
            <w:tcW w:w="5634" w:type="dxa"/>
            <w:gridSpan w:val="5"/>
            <w:tcBorders>
              <w:bottom w:val="single" w:sz="4" w:space="0" w:color="FFFFFF" w:themeColor="background1"/>
            </w:tcBorders>
            <w:shd w:val="clear" w:color="auto" w:fill="E2E2E2"/>
          </w:tcPr>
          <w:p w:rsidR="00AD61D3" w:rsidRPr="00CE5F29" w:rsidRDefault="00AD61D3" w:rsidP="00F07578">
            <w:pPr>
              <w:pStyle w:val="Odsekzoznamu"/>
              <w:ind w:left="142"/>
              <w:rPr>
                <w:rFonts w:ascii="Times New Roman" w:hAnsi="Times New Roman"/>
                <w:b/>
                <w:sz w:val="24"/>
                <w:szCs w:val="24"/>
              </w:rPr>
            </w:pPr>
            <w:r w:rsidRPr="00CE5F29">
              <w:rPr>
                <w:rFonts w:ascii="Times New Roman" w:hAnsi="Times New Roman"/>
                <w:b/>
                <w:sz w:val="24"/>
                <w:szCs w:val="24"/>
              </w:rPr>
              <w:t>Predpokladaný termín predloženia na MPK*</w:t>
            </w:r>
          </w:p>
        </w:tc>
        <w:tc>
          <w:tcPr>
            <w:tcW w:w="3666" w:type="dxa"/>
            <w:gridSpan w:val="5"/>
          </w:tcPr>
          <w:p w:rsidR="00AD61D3" w:rsidRPr="00CE5F29" w:rsidRDefault="00AD61D3" w:rsidP="00F07578">
            <w:pPr>
              <w:rPr>
                <w:rFonts w:ascii="Times New Roman" w:hAnsi="Times New Roman"/>
                <w:sz w:val="24"/>
                <w:szCs w:val="24"/>
              </w:rPr>
            </w:pPr>
          </w:p>
        </w:tc>
      </w:tr>
      <w:tr w:rsidR="00AD61D3" w:rsidRPr="004A6AFD" w:rsidTr="00F07578">
        <w:tc>
          <w:tcPr>
            <w:tcW w:w="5634" w:type="dxa"/>
            <w:gridSpan w:val="5"/>
            <w:tcBorders>
              <w:bottom w:val="single" w:sz="4" w:space="0" w:color="FFFFFF" w:themeColor="background1"/>
            </w:tcBorders>
            <w:shd w:val="clear" w:color="auto" w:fill="E2E2E2"/>
          </w:tcPr>
          <w:p w:rsidR="00AD61D3" w:rsidRPr="00CE5F29" w:rsidRDefault="00AD61D3" w:rsidP="00F07578">
            <w:pPr>
              <w:pStyle w:val="Odsekzoznamu"/>
              <w:ind w:left="142"/>
              <w:rPr>
                <w:rFonts w:ascii="Times New Roman" w:hAnsi="Times New Roman"/>
                <w:b/>
                <w:sz w:val="24"/>
                <w:szCs w:val="24"/>
              </w:rPr>
            </w:pPr>
            <w:r w:rsidRPr="00CE5F29">
              <w:rPr>
                <w:rFonts w:ascii="Times New Roman" w:hAnsi="Times New Roman"/>
                <w:b/>
                <w:sz w:val="24"/>
                <w:szCs w:val="24"/>
              </w:rPr>
              <w:t>Predpokladaný termín predloženia na Rokovanie vlády SR*</w:t>
            </w:r>
          </w:p>
        </w:tc>
        <w:tc>
          <w:tcPr>
            <w:tcW w:w="3666" w:type="dxa"/>
            <w:gridSpan w:val="5"/>
          </w:tcPr>
          <w:p w:rsidR="00AD61D3" w:rsidRPr="00CE5F29" w:rsidRDefault="00AD61D3" w:rsidP="00F07578">
            <w:pPr>
              <w:rPr>
                <w:rFonts w:ascii="Times New Roman" w:hAnsi="Times New Roman"/>
                <w:sz w:val="24"/>
                <w:szCs w:val="24"/>
              </w:rPr>
            </w:pPr>
          </w:p>
        </w:tc>
      </w:tr>
      <w:tr w:rsidR="00AD61D3" w:rsidRPr="004A6AFD" w:rsidTr="00F07578">
        <w:tc>
          <w:tcPr>
            <w:tcW w:w="9300" w:type="dxa"/>
            <w:gridSpan w:val="10"/>
            <w:tcBorders>
              <w:left w:val="nil"/>
              <w:right w:val="nil"/>
            </w:tcBorders>
            <w:shd w:val="clear" w:color="auto" w:fill="FFFFFF" w:themeFill="background1"/>
          </w:tcPr>
          <w:p w:rsidR="00AD61D3" w:rsidRPr="004A6AFD" w:rsidRDefault="00AD61D3" w:rsidP="00F07578">
            <w:pPr>
              <w:rPr>
                <w:rFonts w:ascii="Times New Roman" w:hAnsi="Times New Roman"/>
                <w:sz w:val="24"/>
                <w:szCs w:val="24"/>
              </w:rPr>
            </w:pPr>
          </w:p>
        </w:tc>
      </w:tr>
      <w:tr w:rsidR="00AD61D3" w:rsidRPr="004A6AFD" w:rsidTr="00F07578">
        <w:tc>
          <w:tcPr>
            <w:tcW w:w="9300" w:type="dxa"/>
            <w:gridSpan w:val="10"/>
            <w:tcBorders>
              <w:bottom w:val="single" w:sz="4" w:space="0" w:color="FFFFFF" w:themeColor="background1"/>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Definovanie problému</w:t>
            </w:r>
          </w:p>
        </w:tc>
      </w:tr>
      <w:tr w:rsidR="00AD61D3" w:rsidRPr="004A6AFD" w:rsidTr="00F07578">
        <w:trPr>
          <w:trHeight w:val="718"/>
        </w:trPr>
        <w:tc>
          <w:tcPr>
            <w:tcW w:w="9300" w:type="dxa"/>
            <w:gridSpan w:val="10"/>
            <w:tcBorders>
              <w:top w:val="single" w:sz="4" w:space="0" w:color="FFFFFF" w:themeColor="background1"/>
            </w:tcBorders>
            <w:shd w:val="clear" w:color="auto" w:fill="FFFFFF" w:themeFill="background1"/>
          </w:tcPr>
          <w:p w:rsidR="00AD61D3" w:rsidRPr="004A6AFD" w:rsidRDefault="00AD61D3" w:rsidP="00F07578">
            <w:pPr>
              <w:ind w:right="85" w:firstLine="708"/>
              <w:jc w:val="both"/>
              <w:rPr>
                <w:rFonts w:ascii="Times New Roman" w:hAnsi="Times New Roman"/>
                <w:sz w:val="24"/>
                <w:szCs w:val="24"/>
              </w:rPr>
            </w:pPr>
            <w:r w:rsidRPr="007E4424">
              <w:rPr>
                <w:rFonts w:ascii="Times New Roman" w:hAnsi="Times New Roman"/>
                <w:color w:val="000000" w:themeColor="text1"/>
                <w:sz w:val="24"/>
                <w:szCs w:val="24"/>
              </w:rPr>
              <w:t xml:space="preserve"> </w:t>
            </w:r>
            <w:r w:rsidRPr="00031F47">
              <w:rPr>
                <w:rFonts w:ascii="Times New Roman" w:hAnsi="Times New Roman"/>
                <w:color w:val="000000" w:themeColor="text1"/>
                <w:sz w:val="24"/>
                <w:szCs w:val="24"/>
              </w:rPr>
              <w:t xml:space="preserve">V praxi sa vyskytujú prípady, kedy </w:t>
            </w:r>
            <w:r>
              <w:rPr>
                <w:rFonts w:ascii="Times New Roman" w:hAnsi="Times New Roman"/>
                <w:color w:val="000000" w:themeColor="text1"/>
                <w:sz w:val="24"/>
                <w:szCs w:val="24"/>
              </w:rPr>
              <w:t xml:space="preserve">nie </w:t>
            </w:r>
            <w:r w:rsidRPr="00031F47">
              <w:rPr>
                <w:rFonts w:ascii="Times New Roman" w:hAnsi="Times New Roman"/>
                <w:color w:val="000000" w:themeColor="text1"/>
                <w:sz w:val="24"/>
                <w:szCs w:val="24"/>
              </w:rPr>
              <w:t xml:space="preserve">je </w:t>
            </w:r>
            <w:r>
              <w:rPr>
                <w:rFonts w:ascii="Times New Roman" w:hAnsi="Times New Roman"/>
                <w:color w:val="000000" w:themeColor="text1"/>
                <w:sz w:val="24"/>
                <w:szCs w:val="24"/>
              </w:rPr>
              <w:t>jednoznačný výklad niektorých častí zákona. Zároveň sú nevyhnutné l</w:t>
            </w:r>
            <w:r w:rsidRPr="00031F47">
              <w:rPr>
                <w:rFonts w:ascii="Times New Roman" w:hAnsi="Times New Roman"/>
                <w:color w:val="000000" w:themeColor="text1"/>
                <w:sz w:val="24"/>
                <w:szCs w:val="24"/>
              </w:rPr>
              <w:t>egislatívno-technick</w:t>
            </w:r>
            <w:r>
              <w:rPr>
                <w:rFonts w:ascii="Times New Roman" w:hAnsi="Times New Roman"/>
                <w:color w:val="000000" w:themeColor="text1"/>
                <w:sz w:val="24"/>
                <w:szCs w:val="24"/>
              </w:rPr>
              <w:t>é</w:t>
            </w:r>
            <w:r w:rsidRPr="00031F47">
              <w:rPr>
                <w:rFonts w:ascii="Times New Roman" w:hAnsi="Times New Roman"/>
                <w:color w:val="000000" w:themeColor="text1"/>
                <w:sz w:val="24"/>
                <w:szCs w:val="24"/>
              </w:rPr>
              <w:t xml:space="preserve"> úprav</w:t>
            </w:r>
            <w:r>
              <w:rPr>
                <w:rFonts w:ascii="Times New Roman" w:hAnsi="Times New Roman"/>
                <w:color w:val="000000" w:themeColor="text1"/>
                <w:sz w:val="24"/>
                <w:szCs w:val="24"/>
              </w:rPr>
              <w:t>y</w:t>
            </w:r>
            <w:r w:rsidRPr="00031F47">
              <w:rPr>
                <w:rFonts w:ascii="Times New Roman" w:hAnsi="Times New Roman"/>
                <w:color w:val="000000" w:themeColor="text1"/>
                <w:sz w:val="24"/>
                <w:szCs w:val="24"/>
              </w:rPr>
              <w:t xml:space="preserve"> za účelom zjednotenia definíci</w:t>
            </w:r>
            <w:r>
              <w:rPr>
                <w:rFonts w:ascii="Times New Roman" w:hAnsi="Times New Roman"/>
                <w:color w:val="000000" w:themeColor="text1"/>
                <w:sz w:val="24"/>
                <w:szCs w:val="24"/>
              </w:rPr>
              <w:t>í</w:t>
            </w:r>
            <w:r w:rsidRPr="00031F47">
              <w:rPr>
                <w:rFonts w:ascii="Times New Roman" w:hAnsi="Times New Roman"/>
                <w:color w:val="000000" w:themeColor="text1"/>
                <w:sz w:val="24"/>
                <w:szCs w:val="24"/>
              </w:rPr>
              <w:t xml:space="preserve"> predmetu poplatk</w:t>
            </w:r>
            <w:r>
              <w:rPr>
                <w:rFonts w:ascii="Times New Roman" w:hAnsi="Times New Roman"/>
                <w:color w:val="000000" w:themeColor="text1"/>
                <w:sz w:val="24"/>
                <w:szCs w:val="24"/>
              </w:rPr>
              <w:t>u v súlade so stavebným zákonom</w:t>
            </w:r>
            <w:r w:rsidR="008C2840">
              <w:rPr>
                <w:rFonts w:ascii="Times New Roman" w:hAnsi="Times New Roman"/>
                <w:color w:val="000000" w:themeColor="text1"/>
                <w:sz w:val="24"/>
                <w:szCs w:val="24"/>
              </w:rPr>
              <w:t>,</w:t>
            </w:r>
            <w:r>
              <w:rPr>
                <w:rFonts w:ascii="Times New Roman" w:hAnsi="Times New Roman"/>
                <w:color w:val="000000" w:themeColor="text1"/>
                <w:sz w:val="24"/>
                <w:szCs w:val="24"/>
              </w:rPr>
              <w:t xml:space="preserve"> ako aj zadefinovanie pojmov </w:t>
            </w:r>
            <w:r w:rsidRPr="00031F47">
              <w:rPr>
                <w:rFonts w:ascii="Times New Roman" w:hAnsi="Times New Roman"/>
                <w:color w:val="000000" w:themeColor="text1"/>
                <w:sz w:val="24"/>
                <w:szCs w:val="24"/>
              </w:rPr>
              <w:t>miestnosť a podlahov</w:t>
            </w:r>
            <w:r>
              <w:rPr>
                <w:rFonts w:ascii="Times New Roman" w:hAnsi="Times New Roman"/>
                <w:color w:val="000000" w:themeColor="text1"/>
                <w:sz w:val="24"/>
                <w:szCs w:val="24"/>
              </w:rPr>
              <w:t>á</w:t>
            </w:r>
            <w:r w:rsidRPr="00031F47">
              <w:rPr>
                <w:rFonts w:ascii="Times New Roman" w:hAnsi="Times New Roman"/>
                <w:color w:val="000000" w:themeColor="text1"/>
                <w:sz w:val="24"/>
                <w:szCs w:val="24"/>
              </w:rPr>
              <w:t xml:space="preserve"> ploch</w:t>
            </w:r>
            <w:r>
              <w:rPr>
                <w:rFonts w:ascii="Times New Roman" w:hAnsi="Times New Roman"/>
                <w:color w:val="000000" w:themeColor="text1"/>
                <w:sz w:val="24"/>
                <w:szCs w:val="24"/>
              </w:rPr>
              <w:t>a</w:t>
            </w:r>
            <w:r w:rsidRPr="00031F47">
              <w:rPr>
                <w:rFonts w:ascii="Times New Roman" w:hAnsi="Times New Roman"/>
                <w:color w:val="000000" w:themeColor="text1"/>
                <w:sz w:val="24"/>
                <w:szCs w:val="24"/>
              </w:rPr>
              <w:t xml:space="preserve"> nadzemnej časti realizovanej stavby</w:t>
            </w:r>
            <w:r>
              <w:rPr>
                <w:rFonts w:ascii="Times New Roman" w:hAnsi="Times New Roman"/>
                <w:color w:val="000000" w:themeColor="text1"/>
                <w:sz w:val="24"/>
                <w:szCs w:val="24"/>
              </w:rPr>
              <w:t xml:space="preserve">. </w:t>
            </w:r>
          </w:p>
        </w:tc>
      </w:tr>
      <w:tr w:rsidR="00AD61D3" w:rsidRPr="004A6AFD" w:rsidTr="00F07578">
        <w:tc>
          <w:tcPr>
            <w:tcW w:w="9300" w:type="dxa"/>
            <w:gridSpan w:val="10"/>
            <w:tcBorders>
              <w:bottom w:val="nil"/>
            </w:tcBorders>
            <w:shd w:val="clear" w:color="auto" w:fill="E2E2E2"/>
          </w:tcPr>
          <w:p w:rsidR="00AD61D3"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Ciele a výsledný stav</w:t>
            </w:r>
          </w:p>
          <w:p w:rsidR="00AD61D3" w:rsidRPr="00DB0ADF" w:rsidRDefault="00AD61D3" w:rsidP="00F07578">
            <w:pPr>
              <w:jc w:val="right"/>
            </w:pPr>
          </w:p>
        </w:tc>
      </w:tr>
      <w:tr w:rsidR="00AD61D3" w:rsidRPr="004A6AFD" w:rsidTr="00F07578">
        <w:trPr>
          <w:trHeight w:val="741"/>
        </w:trPr>
        <w:tc>
          <w:tcPr>
            <w:tcW w:w="9300" w:type="dxa"/>
            <w:gridSpan w:val="10"/>
            <w:tcBorders>
              <w:top w:val="nil"/>
            </w:tcBorders>
            <w:shd w:val="clear" w:color="auto" w:fill="FFFFFF" w:themeFill="background1"/>
          </w:tcPr>
          <w:p w:rsidR="00AD61D3" w:rsidRPr="007E4424" w:rsidRDefault="00AD61D3" w:rsidP="00F07578">
            <w:pPr>
              <w:ind w:right="85"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Cieľom p</w:t>
            </w:r>
            <w:r w:rsidRPr="007E4424">
              <w:rPr>
                <w:rFonts w:ascii="Times New Roman" w:hAnsi="Times New Roman"/>
                <w:color w:val="000000" w:themeColor="text1"/>
                <w:sz w:val="24"/>
                <w:szCs w:val="24"/>
              </w:rPr>
              <w:t>redložen</w:t>
            </w:r>
            <w:r>
              <w:rPr>
                <w:rFonts w:ascii="Times New Roman" w:hAnsi="Times New Roman"/>
                <w:color w:val="000000" w:themeColor="text1"/>
                <w:sz w:val="24"/>
                <w:szCs w:val="24"/>
              </w:rPr>
              <w:t>ého</w:t>
            </w:r>
            <w:r w:rsidRPr="007E4424">
              <w:rPr>
                <w:rFonts w:ascii="Times New Roman" w:hAnsi="Times New Roman"/>
                <w:color w:val="000000" w:themeColor="text1"/>
                <w:sz w:val="24"/>
                <w:szCs w:val="24"/>
              </w:rPr>
              <w:t xml:space="preserve"> návrhu zákona </w:t>
            </w:r>
            <w:r>
              <w:rPr>
                <w:rFonts w:ascii="Times New Roman" w:hAnsi="Times New Roman"/>
                <w:color w:val="000000" w:themeColor="text1"/>
                <w:sz w:val="24"/>
                <w:szCs w:val="24"/>
              </w:rPr>
              <w:t>je</w:t>
            </w:r>
            <w:r w:rsidRPr="007E4424">
              <w:rPr>
                <w:rFonts w:ascii="Times New Roman" w:hAnsi="Times New Roman"/>
                <w:color w:val="000000" w:themeColor="text1"/>
                <w:sz w:val="24"/>
                <w:szCs w:val="24"/>
              </w:rPr>
              <w:t xml:space="preserve"> upraviť</w:t>
            </w:r>
            <w:r>
              <w:rPr>
                <w:rFonts w:ascii="Times New Roman" w:hAnsi="Times New Roman"/>
                <w:color w:val="000000" w:themeColor="text1"/>
                <w:sz w:val="24"/>
                <w:szCs w:val="24"/>
              </w:rPr>
              <w:t xml:space="preserve"> časti zákona ako reakcia na aplikačné problémy praxe v súvislosti s uplatňovaním zákona. </w:t>
            </w:r>
          </w:p>
          <w:p w:rsidR="00AD61D3" w:rsidRPr="004A6AFD" w:rsidRDefault="008C2840" w:rsidP="00F07578">
            <w:pPr>
              <w:ind w:right="85"/>
              <w:jc w:val="both"/>
              <w:rPr>
                <w:rFonts w:ascii="Times New Roman" w:hAnsi="Times New Roman"/>
                <w:sz w:val="24"/>
                <w:szCs w:val="24"/>
              </w:rPr>
            </w:pPr>
            <w:r>
              <w:rPr>
                <w:rFonts w:ascii="Times New Roman" w:hAnsi="Times New Roman"/>
                <w:sz w:val="24"/>
                <w:szCs w:val="24"/>
              </w:rPr>
              <w:t xml:space="preserve">            </w:t>
            </w:r>
            <w:r w:rsidR="00AD61D3">
              <w:rPr>
                <w:rFonts w:ascii="Times New Roman" w:hAnsi="Times New Roman"/>
                <w:sz w:val="24"/>
                <w:szCs w:val="24"/>
              </w:rPr>
              <w:t>Navrhnuté znenie úprav zákona má neutrálny vplyv na rozpočet verejnej správy.</w:t>
            </w:r>
          </w:p>
        </w:tc>
      </w:tr>
      <w:tr w:rsidR="00AD61D3" w:rsidRPr="004A6AFD" w:rsidTr="00F07578">
        <w:tc>
          <w:tcPr>
            <w:tcW w:w="9300" w:type="dxa"/>
            <w:gridSpan w:val="10"/>
            <w:tcBorders>
              <w:bottom w:val="nil"/>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Dotknuté subjekty</w:t>
            </w:r>
          </w:p>
        </w:tc>
      </w:tr>
      <w:tr w:rsidR="00AD61D3" w:rsidRPr="004A6AFD" w:rsidTr="00F07578">
        <w:tc>
          <w:tcPr>
            <w:tcW w:w="9300" w:type="dxa"/>
            <w:gridSpan w:val="10"/>
            <w:tcBorders>
              <w:top w:val="nil"/>
            </w:tcBorders>
            <w:shd w:val="clear" w:color="auto" w:fill="FFFFFF" w:themeFill="background1"/>
          </w:tcPr>
          <w:p w:rsidR="00AD61D3" w:rsidRPr="004A6AFD" w:rsidRDefault="00AD61D3" w:rsidP="00F07578">
            <w:pPr>
              <w:jc w:val="both"/>
              <w:rPr>
                <w:rFonts w:ascii="Times New Roman" w:hAnsi="Times New Roman"/>
                <w:sz w:val="24"/>
                <w:szCs w:val="24"/>
              </w:rPr>
            </w:pPr>
            <w:r>
              <w:rPr>
                <w:rFonts w:ascii="Times New Roman" w:hAnsi="Times New Roman"/>
                <w:sz w:val="24"/>
                <w:szCs w:val="24"/>
              </w:rPr>
              <w:t>O</w:t>
            </w:r>
            <w:r w:rsidRPr="00F719A2">
              <w:rPr>
                <w:rFonts w:ascii="Times New Roman" w:hAnsi="Times New Roman"/>
                <w:sz w:val="24"/>
                <w:szCs w:val="24"/>
              </w:rPr>
              <w:t>rgány územnej samosprávy, fyzické osoby, právnické osoby</w:t>
            </w:r>
          </w:p>
        </w:tc>
      </w:tr>
      <w:tr w:rsidR="00AD61D3" w:rsidRPr="004A6AFD" w:rsidTr="00F07578">
        <w:tc>
          <w:tcPr>
            <w:tcW w:w="9300" w:type="dxa"/>
            <w:gridSpan w:val="10"/>
            <w:tcBorders>
              <w:bottom w:val="nil"/>
            </w:tcBorders>
            <w:shd w:val="clear" w:color="auto" w:fill="E2E2E2"/>
          </w:tcPr>
          <w:p w:rsidR="00AD61D3" w:rsidRPr="00CE5F29" w:rsidRDefault="00AD61D3" w:rsidP="00F07578">
            <w:pPr>
              <w:pStyle w:val="Odsekzoznamu"/>
              <w:numPr>
                <w:ilvl w:val="0"/>
                <w:numId w:val="10"/>
              </w:numPr>
              <w:spacing w:after="0" w:line="240" w:lineRule="auto"/>
              <w:ind w:left="426"/>
              <w:rPr>
                <w:rFonts w:ascii="Times New Roman" w:hAnsi="Times New Roman"/>
                <w:b/>
                <w:sz w:val="24"/>
                <w:szCs w:val="24"/>
              </w:rPr>
            </w:pPr>
            <w:r w:rsidRPr="00CE5F29">
              <w:rPr>
                <w:rFonts w:ascii="Times New Roman" w:hAnsi="Times New Roman"/>
                <w:b/>
                <w:sz w:val="24"/>
                <w:szCs w:val="24"/>
              </w:rPr>
              <w:t>Alternatívne riešenia</w:t>
            </w:r>
          </w:p>
        </w:tc>
      </w:tr>
      <w:tr w:rsidR="00AD61D3" w:rsidRPr="004A6AFD" w:rsidTr="00F07578">
        <w:trPr>
          <w:trHeight w:val="709"/>
        </w:trPr>
        <w:tc>
          <w:tcPr>
            <w:tcW w:w="9300" w:type="dxa"/>
            <w:gridSpan w:val="10"/>
            <w:tcBorders>
              <w:top w:val="nil"/>
            </w:tcBorders>
            <w:shd w:val="clear" w:color="auto" w:fill="FFFFFF" w:themeFill="background1"/>
          </w:tcPr>
          <w:p w:rsidR="00AD61D3" w:rsidRPr="00CE5F29" w:rsidRDefault="00AD61D3" w:rsidP="00F07578">
            <w:pPr>
              <w:rPr>
                <w:rFonts w:ascii="Times New Roman" w:hAnsi="Times New Roman"/>
                <w:sz w:val="24"/>
                <w:szCs w:val="24"/>
              </w:rPr>
            </w:pPr>
          </w:p>
        </w:tc>
      </w:tr>
      <w:tr w:rsidR="00AD61D3" w:rsidRPr="004A6AFD" w:rsidTr="00F07578">
        <w:tc>
          <w:tcPr>
            <w:tcW w:w="9300" w:type="dxa"/>
            <w:gridSpan w:val="10"/>
            <w:tcBorders>
              <w:bottom w:val="single" w:sz="4" w:space="0" w:color="FFFFFF" w:themeColor="background1"/>
            </w:tcBorders>
            <w:shd w:val="clear" w:color="auto" w:fill="E2E2E2"/>
          </w:tcPr>
          <w:p w:rsidR="00AD61D3" w:rsidRPr="00CE5F29" w:rsidRDefault="00AD61D3" w:rsidP="00F07578">
            <w:pPr>
              <w:pStyle w:val="Odsekzoznamu"/>
              <w:numPr>
                <w:ilvl w:val="0"/>
                <w:numId w:val="10"/>
              </w:numPr>
              <w:spacing w:after="0" w:line="240" w:lineRule="auto"/>
              <w:ind w:left="426"/>
              <w:rPr>
                <w:rFonts w:ascii="Times New Roman" w:hAnsi="Times New Roman"/>
                <w:b/>
                <w:sz w:val="24"/>
                <w:szCs w:val="24"/>
              </w:rPr>
            </w:pPr>
            <w:r w:rsidRPr="00CE5F29">
              <w:rPr>
                <w:rFonts w:ascii="Times New Roman" w:hAnsi="Times New Roman"/>
                <w:b/>
                <w:sz w:val="24"/>
                <w:szCs w:val="24"/>
              </w:rPr>
              <w:t>Vykonávacie predpisy</w:t>
            </w:r>
          </w:p>
        </w:tc>
      </w:tr>
      <w:tr w:rsidR="00AD61D3" w:rsidRPr="004A6AFD" w:rsidTr="00F07578">
        <w:tc>
          <w:tcPr>
            <w:tcW w:w="6203" w:type="dxa"/>
            <w:gridSpan w:val="6"/>
            <w:tcBorders>
              <w:top w:val="single" w:sz="4" w:space="0" w:color="FFFFFF" w:themeColor="background1"/>
              <w:bottom w:val="nil"/>
              <w:right w:val="nil"/>
            </w:tcBorders>
            <w:shd w:val="clear" w:color="auto" w:fill="FFFFFF" w:themeFill="background1"/>
          </w:tcPr>
          <w:p w:rsidR="00AD61D3" w:rsidRPr="00CE5F29" w:rsidRDefault="00AD61D3" w:rsidP="00F07578">
            <w:pPr>
              <w:rPr>
                <w:rFonts w:ascii="Times New Roman" w:hAnsi="Times New Roman"/>
                <w:i/>
                <w:sz w:val="24"/>
                <w:szCs w:val="24"/>
              </w:rPr>
            </w:pPr>
            <w:r w:rsidRPr="00CE5F29">
              <w:rPr>
                <w:rFonts w:ascii="Times New Roman" w:hAnsi="Times New Roman"/>
                <w:i/>
                <w:sz w:val="24"/>
                <w:szCs w:val="24"/>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AD61D3" w:rsidRPr="00CE5F29" w:rsidRDefault="00AD61D3" w:rsidP="00F07578">
            <w:pPr>
              <w:jc w:val="center"/>
              <w:rPr>
                <w:rFonts w:ascii="Times New Roman" w:hAnsi="Times New Roman"/>
                <w:sz w:val="24"/>
                <w:szCs w:val="24"/>
              </w:rPr>
            </w:pPr>
            <w:r w:rsidRPr="00CE5F29">
              <w:rPr>
                <w:rFonts w:ascii="Segoe UI Symbol" w:eastAsia="MS Gothic" w:hAnsi="Segoe UI Symbol" w:cs="Segoe UI Symbol"/>
                <w:sz w:val="24"/>
                <w:szCs w:val="24"/>
              </w:rPr>
              <w:t>☐</w:t>
            </w:r>
            <w:r w:rsidRPr="00CE5F29">
              <w:rPr>
                <w:rFonts w:ascii="Times New Roman" w:hAnsi="Times New Roman"/>
                <w:sz w:val="24"/>
                <w:szCs w:val="24"/>
              </w:rPr>
              <w:t xml:space="preserve"> Áno</w:t>
            </w:r>
          </w:p>
        </w:tc>
        <w:tc>
          <w:tcPr>
            <w:tcW w:w="1680" w:type="dxa"/>
            <w:gridSpan w:val="2"/>
            <w:tcBorders>
              <w:top w:val="single" w:sz="4" w:space="0" w:color="FFFFFF" w:themeColor="background1"/>
              <w:left w:val="nil"/>
              <w:bottom w:val="nil"/>
            </w:tcBorders>
            <w:shd w:val="clear" w:color="auto" w:fill="FFFFFF" w:themeFill="background1"/>
          </w:tcPr>
          <w:p w:rsidR="00AD61D3" w:rsidRPr="00CE5F29" w:rsidRDefault="00AD61D3" w:rsidP="00F07578">
            <w:pPr>
              <w:jc w:val="center"/>
              <w:rPr>
                <w:rFonts w:ascii="Times New Roman" w:hAnsi="Times New Roman"/>
                <w:sz w:val="24"/>
                <w:szCs w:val="24"/>
              </w:rPr>
            </w:pPr>
            <w:r w:rsidRPr="00CE5F29">
              <w:rPr>
                <w:rFonts w:ascii="Segoe UI Symbol" w:eastAsia="MS Gothic" w:hAnsi="Segoe UI Symbol" w:cs="Segoe UI Symbol"/>
                <w:sz w:val="24"/>
                <w:szCs w:val="24"/>
              </w:rPr>
              <w:t>☒</w:t>
            </w:r>
            <w:r w:rsidRPr="00CE5F29">
              <w:rPr>
                <w:rFonts w:ascii="Times New Roman" w:hAnsi="Times New Roman"/>
                <w:sz w:val="24"/>
                <w:szCs w:val="24"/>
              </w:rPr>
              <w:t xml:space="preserve">  Nie</w:t>
            </w:r>
          </w:p>
        </w:tc>
      </w:tr>
      <w:tr w:rsidR="00AD61D3" w:rsidRPr="004A6AFD" w:rsidTr="00F07578">
        <w:tc>
          <w:tcPr>
            <w:tcW w:w="9300" w:type="dxa"/>
            <w:gridSpan w:val="10"/>
            <w:tcBorders>
              <w:top w:val="nil"/>
            </w:tcBorders>
            <w:shd w:val="clear" w:color="auto" w:fill="FFFFFF" w:themeFill="background1"/>
          </w:tcPr>
          <w:p w:rsidR="00AD61D3" w:rsidRPr="00CE5F29" w:rsidRDefault="00AD61D3" w:rsidP="00F07578">
            <w:pPr>
              <w:rPr>
                <w:rFonts w:ascii="Times New Roman" w:hAnsi="Times New Roman"/>
                <w:sz w:val="24"/>
                <w:szCs w:val="24"/>
              </w:rPr>
            </w:pPr>
          </w:p>
        </w:tc>
      </w:tr>
      <w:tr w:rsidR="00AD61D3" w:rsidRPr="004A6AFD" w:rsidTr="00F07578">
        <w:tc>
          <w:tcPr>
            <w:tcW w:w="9300" w:type="dxa"/>
            <w:gridSpan w:val="10"/>
            <w:tcBorders>
              <w:bottom w:val="single" w:sz="4" w:space="0" w:color="FFFFFF" w:themeColor="background1"/>
            </w:tcBorders>
            <w:shd w:val="clear" w:color="auto" w:fill="E2E2E2"/>
          </w:tcPr>
          <w:p w:rsidR="00AD61D3" w:rsidRPr="00CE5F29" w:rsidRDefault="00AD61D3" w:rsidP="00F07578">
            <w:pPr>
              <w:pStyle w:val="Odsekzoznamu"/>
              <w:numPr>
                <w:ilvl w:val="0"/>
                <w:numId w:val="10"/>
              </w:numPr>
              <w:spacing w:after="0" w:line="240" w:lineRule="auto"/>
              <w:ind w:left="426"/>
              <w:rPr>
                <w:rFonts w:ascii="Times New Roman" w:hAnsi="Times New Roman"/>
                <w:b/>
                <w:sz w:val="24"/>
                <w:szCs w:val="24"/>
              </w:rPr>
            </w:pPr>
            <w:r>
              <w:rPr>
                <w:rFonts w:ascii="Times New Roman" w:hAnsi="Times New Roman"/>
                <w:b/>
                <w:sz w:val="24"/>
                <w:szCs w:val="24"/>
              </w:rPr>
              <w:t>Transpozícia práva EÚ</w:t>
            </w:r>
          </w:p>
        </w:tc>
      </w:tr>
      <w:tr w:rsidR="00AD61D3" w:rsidRPr="004A6AFD" w:rsidTr="00F07578">
        <w:trPr>
          <w:trHeight w:val="157"/>
        </w:trPr>
        <w:tc>
          <w:tcPr>
            <w:tcW w:w="9300" w:type="dxa"/>
            <w:gridSpan w:val="10"/>
            <w:tcBorders>
              <w:top w:val="nil"/>
              <w:left w:val="single" w:sz="4" w:space="0" w:color="000000" w:themeColor="text1"/>
              <w:bottom w:val="nil"/>
            </w:tcBorders>
            <w:shd w:val="clear" w:color="auto" w:fill="FFFFFF" w:themeFill="background1"/>
          </w:tcPr>
          <w:p w:rsidR="00AD61D3" w:rsidRPr="00196E2D" w:rsidRDefault="00AD61D3" w:rsidP="00196E2D">
            <w:pPr>
              <w:rPr>
                <w:rFonts w:ascii="Times New Roman" w:hAnsi="Times New Roman"/>
                <w:i/>
                <w:sz w:val="24"/>
                <w:szCs w:val="24"/>
              </w:rPr>
            </w:pPr>
            <w:r w:rsidRPr="00196E2D">
              <w:rPr>
                <w:rFonts w:ascii="Times New Roman" w:hAnsi="Times New Roman"/>
                <w:i/>
                <w:sz w:val="24"/>
                <w:szCs w:val="24"/>
              </w:rPr>
              <w:t>nie</w:t>
            </w:r>
          </w:p>
        </w:tc>
      </w:tr>
      <w:tr w:rsidR="00AD61D3" w:rsidRPr="004A6AFD" w:rsidTr="00F07578">
        <w:trPr>
          <w:trHeight w:val="248"/>
        </w:trPr>
        <w:tc>
          <w:tcPr>
            <w:tcW w:w="930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AD61D3" w:rsidRPr="00CE5F29" w:rsidRDefault="00AD61D3" w:rsidP="00F07578">
            <w:pPr>
              <w:jc w:val="center"/>
              <w:rPr>
                <w:rFonts w:ascii="Times New Roman" w:hAnsi="Times New Roman"/>
                <w:sz w:val="24"/>
                <w:szCs w:val="24"/>
              </w:rPr>
            </w:pPr>
          </w:p>
        </w:tc>
      </w:tr>
      <w:tr w:rsidR="00AD61D3" w:rsidRPr="004A6AFD" w:rsidTr="00F07578">
        <w:tc>
          <w:tcPr>
            <w:tcW w:w="9300" w:type="dxa"/>
            <w:gridSpan w:val="10"/>
            <w:tcBorders>
              <w:bottom w:val="single" w:sz="4" w:space="0" w:color="FFFFFF" w:themeColor="background1"/>
            </w:tcBorders>
            <w:shd w:val="clear" w:color="auto" w:fill="E2E2E2"/>
          </w:tcPr>
          <w:p w:rsidR="00AD61D3" w:rsidRPr="00CE5F29" w:rsidRDefault="00AD61D3" w:rsidP="00F07578">
            <w:pPr>
              <w:pStyle w:val="Odsekzoznamu"/>
              <w:numPr>
                <w:ilvl w:val="0"/>
                <w:numId w:val="10"/>
              </w:numPr>
              <w:spacing w:after="0" w:line="240" w:lineRule="auto"/>
              <w:ind w:left="426"/>
              <w:rPr>
                <w:rFonts w:ascii="Times New Roman" w:hAnsi="Times New Roman"/>
                <w:b/>
                <w:sz w:val="24"/>
                <w:szCs w:val="24"/>
              </w:rPr>
            </w:pPr>
            <w:r w:rsidRPr="00CE5F29">
              <w:rPr>
                <w:rFonts w:ascii="Times New Roman" w:hAnsi="Times New Roman"/>
                <w:b/>
                <w:sz w:val="24"/>
                <w:szCs w:val="24"/>
              </w:rPr>
              <w:t>Preskúmanie účelnosti**</w:t>
            </w:r>
          </w:p>
        </w:tc>
      </w:tr>
      <w:tr w:rsidR="00AD61D3" w:rsidRPr="004A6AFD" w:rsidTr="00F07578">
        <w:tc>
          <w:tcPr>
            <w:tcW w:w="9300" w:type="dxa"/>
            <w:gridSpan w:val="10"/>
            <w:tcBorders>
              <w:top w:val="single" w:sz="4" w:space="0" w:color="FFFFFF" w:themeColor="background1"/>
            </w:tcBorders>
            <w:shd w:val="clear" w:color="auto" w:fill="FFFFFF" w:themeFill="background1"/>
          </w:tcPr>
          <w:p w:rsidR="00AD61D3" w:rsidRPr="004A6AFD" w:rsidRDefault="00AD61D3" w:rsidP="00F07578">
            <w:pPr>
              <w:rPr>
                <w:rFonts w:ascii="Times New Roman" w:hAnsi="Times New Roman"/>
                <w:i/>
                <w:sz w:val="24"/>
                <w:szCs w:val="24"/>
              </w:rPr>
            </w:pPr>
          </w:p>
        </w:tc>
      </w:tr>
      <w:tr w:rsidR="00AD61D3" w:rsidRPr="004A6AFD" w:rsidTr="00F07578">
        <w:trPr>
          <w:trHeight w:val="715"/>
        </w:trPr>
        <w:tc>
          <w:tcPr>
            <w:tcW w:w="9300" w:type="dxa"/>
            <w:gridSpan w:val="10"/>
            <w:tcBorders>
              <w:left w:val="nil"/>
              <w:bottom w:val="nil"/>
              <w:right w:val="nil"/>
            </w:tcBorders>
            <w:shd w:val="clear" w:color="auto" w:fill="FFFFFF" w:themeFill="background1"/>
          </w:tcPr>
          <w:p w:rsidR="00AD61D3" w:rsidRPr="004A6AFD" w:rsidRDefault="00AD61D3" w:rsidP="00F07578">
            <w:pPr>
              <w:rPr>
                <w:rFonts w:ascii="Times New Roman" w:hAnsi="Times New Roman"/>
                <w:sz w:val="24"/>
                <w:szCs w:val="24"/>
              </w:rPr>
            </w:pPr>
          </w:p>
        </w:tc>
      </w:tr>
      <w:tr w:rsidR="00AD61D3" w:rsidRPr="004A6AFD" w:rsidTr="00F07578">
        <w:tc>
          <w:tcPr>
            <w:tcW w:w="9300" w:type="dxa"/>
            <w:gridSpan w:val="10"/>
            <w:tcBorders>
              <w:top w:val="nil"/>
              <w:left w:val="nil"/>
              <w:right w:val="nil"/>
            </w:tcBorders>
            <w:shd w:val="clear" w:color="auto" w:fill="FFFFFF" w:themeFill="background1"/>
          </w:tcPr>
          <w:p w:rsidR="00AD61D3" w:rsidRPr="004A6AFD" w:rsidRDefault="00AD61D3" w:rsidP="00F07578">
            <w:pPr>
              <w:rPr>
                <w:rFonts w:ascii="Times New Roman" w:hAnsi="Times New Roman"/>
                <w:b/>
                <w:sz w:val="24"/>
                <w:szCs w:val="24"/>
              </w:rPr>
            </w:pPr>
          </w:p>
        </w:tc>
      </w:tr>
      <w:tr w:rsidR="00AD61D3" w:rsidRPr="00CE5F29" w:rsidTr="00F07578">
        <w:trPr>
          <w:trHeight w:val="577"/>
        </w:trPr>
        <w:tc>
          <w:tcPr>
            <w:tcW w:w="9300" w:type="dxa"/>
            <w:gridSpan w:val="10"/>
            <w:tcBorders>
              <w:bottom w:val="single" w:sz="4" w:space="0" w:color="FFFFFF" w:themeColor="background1"/>
            </w:tcBorders>
            <w:shd w:val="clear" w:color="auto" w:fill="E2E2E2"/>
            <w:vAlign w:val="center"/>
          </w:tcPr>
          <w:p w:rsidR="00AD61D3" w:rsidRPr="00CE5F29" w:rsidRDefault="00AD61D3" w:rsidP="00F07578">
            <w:pPr>
              <w:pStyle w:val="Odsekzoznamu"/>
              <w:numPr>
                <w:ilvl w:val="0"/>
                <w:numId w:val="10"/>
              </w:numPr>
              <w:spacing w:after="0" w:line="240" w:lineRule="auto"/>
              <w:ind w:left="426"/>
              <w:rPr>
                <w:rFonts w:ascii="Times New Roman" w:hAnsi="Times New Roman"/>
                <w:b/>
                <w:sz w:val="24"/>
                <w:szCs w:val="24"/>
              </w:rPr>
            </w:pPr>
            <w:r w:rsidRPr="00CE5F29">
              <w:rPr>
                <w:rFonts w:ascii="Times New Roman" w:hAnsi="Times New Roman"/>
                <w:b/>
                <w:sz w:val="24"/>
                <w:szCs w:val="24"/>
              </w:rPr>
              <w:t>Vplyvy navrhovaného materiálu</w:t>
            </w:r>
          </w:p>
        </w:tc>
      </w:tr>
      <w:tr w:rsidR="00AD61D3" w:rsidRPr="00CE5F29" w:rsidTr="00F07578">
        <w:tc>
          <w:tcPr>
            <w:tcW w:w="3812" w:type="dxa"/>
            <w:tcBorders>
              <w:bottom w:val="nil"/>
            </w:tcBorders>
            <w:shd w:val="clear" w:color="auto" w:fill="E2E2E2"/>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Vplyvy na rozpočet verejnej správy</w:t>
            </w:r>
          </w:p>
        </w:tc>
        <w:tc>
          <w:tcPr>
            <w:tcW w:w="541" w:type="dxa"/>
            <w:gridSpan w:val="2"/>
            <w:tcBorders>
              <w:right w:val="nil"/>
            </w:tcBorders>
          </w:tcPr>
          <w:p w:rsidR="00AD61D3" w:rsidRPr="00CE5F29" w:rsidRDefault="008C2840"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281" w:type="dxa"/>
            <w:gridSpan w:val="2"/>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AD61D3" w:rsidRPr="00CE5F29" w:rsidRDefault="008C2840"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133" w:type="dxa"/>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AD61D3" w:rsidRPr="00CE5F29" w:rsidRDefault="008C2840" w:rsidP="00F07578">
            <w:pPr>
              <w:ind w:left="-107" w:right="-108"/>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417" w:type="dxa"/>
            <w:tcBorders>
              <w:left w:val="nil"/>
            </w:tcBorders>
          </w:tcPr>
          <w:p w:rsidR="00AD61D3" w:rsidRPr="00CE5F29" w:rsidRDefault="00AD61D3" w:rsidP="00F07578">
            <w:pPr>
              <w:ind w:left="34"/>
              <w:rPr>
                <w:rFonts w:ascii="Times New Roman" w:hAnsi="Times New Roman"/>
                <w:b/>
                <w:sz w:val="24"/>
                <w:szCs w:val="24"/>
              </w:rPr>
            </w:pPr>
            <w:r w:rsidRPr="00CE5F29">
              <w:rPr>
                <w:rFonts w:ascii="Times New Roman" w:hAnsi="Times New Roman"/>
                <w:b/>
                <w:sz w:val="24"/>
                <w:szCs w:val="24"/>
              </w:rPr>
              <w:t>Negatívne</w:t>
            </w:r>
          </w:p>
        </w:tc>
      </w:tr>
      <w:tr w:rsidR="00AD61D3" w:rsidRPr="00CE5F29" w:rsidTr="00F07578">
        <w:tc>
          <w:tcPr>
            <w:tcW w:w="3812" w:type="dxa"/>
            <w:tcBorders>
              <w:top w:val="nil"/>
              <w:bottom w:val="single" w:sz="4" w:space="0" w:color="000000" w:themeColor="text1"/>
            </w:tcBorders>
            <w:shd w:val="clear" w:color="auto" w:fill="E2E2E2"/>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 xml:space="preserve">    z toho rozpočtovo zabezpečené vplyvy</w:t>
            </w:r>
          </w:p>
        </w:tc>
        <w:tc>
          <w:tcPr>
            <w:tcW w:w="541" w:type="dxa"/>
            <w:gridSpan w:val="2"/>
            <w:tcBorders>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sz w:val="24"/>
                <w:szCs w:val="24"/>
              </w:rPr>
              <w:t>☐</w:t>
            </w:r>
          </w:p>
        </w:tc>
        <w:tc>
          <w:tcPr>
            <w:tcW w:w="1281" w:type="dxa"/>
            <w:gridSpan w:val="2"/>
            <w:tcBorders>
              <w:left w:val="nil"/>
              <w:right w:val="nil"/>
            </w:tcBorders>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Áno</w:t>
            </w:r>
          </w:p>
        </w:tc>
        <w:tc>
          <w:tcPr>
            <w:tcW w:w="569" w:type="dxa"/>
            <w:tcBorders>
              <w:left w:val="nil"/>
              <w:right w:val="nil"/>
            </w:tcBorders>
          </w:tcPr>
          <w:p w:rsidR="00AD61D3" w:rsidRPr="00CE5F29" w:rsidRDefault="00AD61D3" w:rsidP="00F07578">
            <w:pPr>
              <w:jc w:val="center"/>
              <w:rPr>
                <w:rFonts w:ascii="Times New Roman" w:hAnsi="Times New Roman"/>
                <w:sz w:val="24"/>
                <w:szCs w:val="24"/>
              </w:rPr>
            </w:pPr>
            <w:r w:rsidRPr="00CE5F29">
              <w:rPr>
                <w:rFonts w:ascii="Segoe UI Symbol" w:eastAsia="MS Mincho" w:hAnsi="Segoe UI Symbol" w:cs="Segoe UI Symbol"/>
                <w:sz w:val="24"/>
                <w:szCs w:val="24"/>
              </w:rPr>
              <w:t>☐</w:t>
            </w:r>
          </w:p>
        </w:tc>
        <w:tc>
          <w:tcPr>
            <w:tcW w:w="1133" w:type="dxa"/>
            <w:tcBorders>
              <w:left w:val="nil"/>
              <w:right w:val="nil"/>
            </w:tcBorders>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Nie</w:t>
            </w:r>
          </w:p>
        </w:tc>
        <w:tc>
          <w:tcPr>
            <w:tcW w:w="547" w:type="dxa"/>
            <w:gridSpan w:val="2"/>
            <w:tcBorders>
              <w:left w:val="nil"/>
              <w:right w:val="nil"/>
            </w:tcBorders>
          </w:tcPr>
          <w:p w:rsidR="00AD61D3" w:rsidRPr="00CE5F29" w:rsidRDefault="00AD61D3" w:rsidP="00F07578">
            <w:pPr>
              <w:ind w:left="-107" w:right="-108"/>
              <w:jc w:val="center"/>
              <w:rPr>
                <w:rFonts w:ascii="Times New Roman" w:hAnsi="Times New Roman"/>
                <w:sz w:val="24"/>
                <w:szCs w:val="24"/>
              </w:rPr>
            </w:pPr>
            <w:r w:rsidRPr="00CE5F29">
              <w:rPr>
                <w:rFonts w:ascii="Segoe UI Symbol" w:eastAsia="MS Mincho" w:hAnsi="Segoe UI Symbol" w:cs="Segoe UI Symbol"/>
                <w:sz w:val="24"/>
                <w:szCs w:val="24"/>
              </w:rPr>
              <w:t>☐</w:t>
            </w:r>
          </w:p>
        </w:tc>
        <w:tc>
          <w:tcPr>
            <w:tcW w:w="1417" w:type="dxa"/>
            <w:tcBorders>
              <w:left w:val="nil"/>
            </w:tcBorders>
          </w:tcPr>
          <w:p w:rsidR="00AD61D3" w:rsidRPr="00CE5F29" w:rsidRDefault="00AD61D3" w:rsidP="00F07578">
            <w:pPr>
              <w:ind w:left="34"/>
              <w:rPr>
                <w:rFonts w:ascii="Times New Roman" w:hAnsi="Times New Roman"/>
                <w:sz w:val="24"/>
                <w:szCs w:val="24"/>
              </w:rPr>
            </w:pPr>
            <w:r w:rsidRPr="00CE5F29">
              <w:rPr>
                <w:rFonts w:ascii="Times New Roman" w:hAnsi="Times New Roman"/>
                <w:sz w:val="24"/>
                <w:szCs w:val="24"/>
              </w:rPr>
              <w:t>Čiastočne</w:t>
            </w:r>
          </w:p>
        </w:tc>
      </w:tr>
      <w:tr w:rsidR="00AD61D3" w:rsidRPr="00CE5F29" w:rsidTr="00F07578">
        <w:tc>
          <w:tcPr>
            <w:tcW w:w="3812" w:type="dxa"/>
            <w:tcBorders>
              <w:top w:val="single" w:sz="4" w:space="0" w:color="000000" w:themeColor="text1"/>
              <w:bottom w:val="nil"/>
            </w:tcBorders>
            <w:shd w:val="clear" w:color="auto" w:fill="E2E2E2"/>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Vplyvy na podnikateľské prostredie</w:t>
            </w:r>
          </w:p>
        </w:tc>
        <w:tc>
          <w:tcPr>
            <w:tcW w:w="541" w:type="dxa"/>
            <w:gridSpan w:val="2"/>
            <w:tcBorders>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281" w:type="dxa"/>
            <w:gridSpan w:val="2"/>
            <w:tcBorders>
              <w:left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133" w:type="dxa"/>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417" w:type="dxa"/>
            <w:tcBorders>
              <w:left w:val="nil"/>
            </w:tcBorders>
          </w:tcPr>
          <w:p w:rsidR="00AD61D3" w:rsidRPr="00CE5F29" w:rsidRDefault="00AD61D3" w:rsidP="00F07578">
            <w:pPr>
              <w:ind w:left="54"/>
              <w:rPr>
                <w:rFonts w:ascii="Times New Roman" w:hAnsi="Times New Roman"/>
                <w:b/>
                <w:sz w:val="24"/>
                <w:szCs w:val="24"/>
              </w:rPr>
            </w:pPr>
            <w:r w:rsidRPr="00CE5F29">
              <w:rPr>
                <w:rFonts w:ascii="Times New Roman" w:hAnsi="Times New Roman"/>
                <w:b/>
                <w:sz w:val="24"/>
                <w:szCs w:val="24"/>
              </w:rPr>
              <w:t>Negatívne</w:t>
            </w:r>
          </w:p>
        </w:tc>
      </w:tr>
      <w:tr w:rsidR="00AD61D3" w:rsidRPr="00CE5F29" w:rsidTr="00F07578">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 xml:space="preserve">    z toho vplyvy na MSP</w:t>
            </w:r>
          </w:p>
        </w:tc>
        <w:tc>
          <w:tcPr>
            <w:tcW w:w="541" w:type="dxa"/>
            <w:gridSpan w:val="2"/>
            <w:tcBorders>
              <w:left w:val="single" w:sz="4" w:space="0" w:color="000000" w:themeColor="text1"/>
              <w:right w:val="nil"/>
            </w:tcBorders>
          </w:tcPr>
          <w:p w:rsidR="00AD61D3" w:rsidRPr="00CE5F29" w:rsidRDefault="00AD61D3" w:rsidP="00F07578">
            <w:pPr>
              <w:jc w:val="center"/>
              <w:rPr>
                <w:rFonts w:ascii="Times New Roman" w:hAnsi="Times New Roman"/>
                <w:sz w:val="24"/>
                <w:szCs w:val="24"/>
              </w:rPr>
            </w:pPr>
            <w:r w:rsidRPr="00CE5F29">
              <w:rPr>
                <w:rFonts w:ascii="Segoe UI Symbol" w:eastAsia="MS Gothic" w:hAnsi="Segoe UI Symbol" w:cs="Segoe UI Symbol"/>
                <w:sz w:val="24"/>
                <w:szCs w:val="24"/>
              </w:rPr>
              <w:t>☒</w:t>
            </w:r>
          </w:p>
        </w:tc>
        <w:tc>
          <w:tcPr>
            <w:tcW w:w="1281" w:type="dxa"/>
            <w:gridSpan w:val="2"/>
            <w:tcBorders>
              <w:left w:val="nil"/>
              <w:right w:val="nil"/>
            </w:tcBorders>
          </w:tcPr>
          <w:p w:rsidR="00AD61D3" w:rsidRPr="00CE5F29" w:rsidRDefault="00AD61D3" w:rsidP="00F07578">
            <w:pPr>
              <w:ind w:right="-108"/>
              <w:rPr>
                <w:rFonts w:ascii="Times New Roman" w:hAnsi="Times New Roman"/>
                <w:sz w:val="24"/>
                <w:szCs w:val="24"/>
              </w:rPr>
            </w:pPr>
            <w:r w:rsidRPr="00CE5F29">
              <w:rPr>
                <w:rFonts w:ascii="Times New Roman" w:hAnsi="Times New Roman"/>
                <w:sz w:val="24"/>
                <w:szCs w:val="24"/>
              </w:rPr>
              <w:t>Pozitívne</w:t>
            </w:r>
          </w:p>
        </w:tc>
        <w:tc>
          <w:tcPr>
            <w:tcW w:w="569" w:type="dxa"/>
            <w:tcBorders>
              <w:left w:val="nil"/>
              <w:right w:val="nil"/>
            </w:tcBorders>
          </w:tcPr>
          <w:p w:rsidR="00AD61D3" w:rsidRPr="00CE5F29" w:rsidRDefault="00AD61D3" w:rsidP="00F07578">
            <w:pPr>
              <w:jc w:val="center"/>
              <w:rPr>
                <w:rFonts w:ascii="Times New Roman" w:hAnsi="Times New Roman"/>
                <w:sz w:val="24"/>
                <w:szCs w:val="24"/>
              </w:rPr>
            </w:pPr>
            <w:r w:rsidRPr="00CE5F29">
              <w:rPr>
                <w:rFonts w:ascii="Segoe UI Symbol" w:eastAsia="MS Mincho" w:hAnsi="Segoe UI Symbol" w:cs="Segoe UI Symbol"/>
                <w:sz w:val="24"/>
                <w:szCs w:val="24"/>
              </w:rPr>
              <w:t>☐</w:t>
            </w:r>
          </w:p>
        </w:tc>
        <w:tc>
          <w:tcPr>
            <w:tcW w:w="1133" w:type="dxa"/>
            <w:tcBorders>
              <w:left w:val="nil"/>
              <w:right w:val="nil"/>
            </w:tcBorders>
          </w:tcPr>
          <w:p w:rsidR="00AD61D3" w:rsidRPr="00CE5F29" w:rsidRDefault="00AD61D3" w:rsidP="00F07578">
            <w:pPr>
              <w:rPr>
                <w:rFonts w:ascii="Times New Roman" w:hAnsi="Times New Roman"/>
                <w:sz w:val="24"/>
                <w:szCs w:val="24"/>
              </w:rPr>
            </w:pPr>
            <w:r w:rsidRPr="00CE5F29">
              <w:rPr>
                <w:rFonts w:ascii="Times New Roman" w:hAnsi="Times New Roman"/>
                <w:sz w:val="24"/>
                <w:szCs w:val="24"/>
              </w:rPr>
              <w:t>Žiadne</w:t>
            </w:r>
          </w:p>
        </w:tc>
        <w:tc>
          <w:tcPr>
            <w:tcW w:w="547" w:type="dxa"/>
            <w:gridSpan w:val="2"/>
            <w:tcBorders>
              <w:left w:val="nil"/>
              <w:right w:val="nil"/>
            </w:tcBorders>
          </w:tcPr>
          <w:p w:rsidR="00AD61D3" w:rsidRPr="00CE5F29" w:rsidRDefault="00AD61D3" w:rsidP="00F07578">
            <w:pPr>
              <w:jc w:val="center"/>
              <w:rPr>
                <w:rFonts w:ascii="Times New Roman" w:hAnsi="Times New Roman"/>
                <w:sz w:val="24"/>
                <w:szCs w:val="24"/>
              </w:rPr>
            </w:pPr>
            <w:r w:rsidRPr="00CE5F29">
              <w:rPr>
                <w:rFonts w:ascii="Segoe UI Symbol" w:eastAsia="MS Gothic" w:hAnsi="Segoe UI Symbol" w:cs="Segoe UI Symbol"/>
                <w:sz w:val="24"/>
                <w:szCs w:val="24"/>
              </w:rPr>
              <w:t>☒</w:t>
            </w:r>
          </w:p>
        </w:tc>
        <w:tc>
          <w:tcPr>
            <w:tcW w:w="1417" w:type="dxa"/>
            <w:tcBorders>
              <w:left w:val="nil"/>
            </w:tcBorders>
          </w:tcPr>
          <w:p w:rsidR="00AD61D3" w:rsidRPr="00CE5F29" w:rsidRDefault="00AD61D3" w:rsidP="00F07578">
            <w:pPr>
              <w:ind w:left="54"/>
              <w:rPr>
                <w:rFonts w:ascii="Times New Roman" w:hAnsi="Times New Roman"/>
                <w:sz w:val="24"/>
                <w:szCs w:val="24"/>
              </w:rPr>
            </w:pPr>
            <w:r w:rsidRPr="00CE5F29">
              <w:rPr>
                <w:rFonts w:ascii="Times New Roman" w:hAnsi="Times New Roman"/>
                <w:sz w:val="24"/>
                <w:szCs w:val="24"/>
              </w:rPr>
              <w:t>Negatívne</w:t>
            </w:r>
          </w:p>
        </w:tc>
      </w:tr>
      <w:tr w:rsidR="00AD61D3" w:rsidRPr="00CE5F29" w:rsidTr="00F07578">
        <w:tc>
          <w:tcPr>
            <w:tcW w:w="3812" w:type="dxa"/>
            <w:tcBorders>
              <w:top w:val="single" w:sz="4" w:space="0" w:color="000000" w:themeColor="text1"/>
            </w:tcBorders>
            <w:shd w:val="clear" w:color="auto" w:fill="E2E2E2"/>
          </w:tcPr>
          <w:p w:rsidR="00AD61D3" w:rsidRDefault="00AD61D3" w:rsidP="00F07578">
            <w:pPr>
              <w:rPr>
                <w:rFonts w:ascii="Times New Roman" w:hAnsi="Times New Roman"/>
                <w:b/>
                <w:sz w:val="24"/>
                <w:szCs w:val="24"/>
              </w:rPr>
            </w:pPr>
            <w:r w:rsidRPr="00CE5F29">
              <w:rPr>
                <w:rFonts w:ascii="Times New Roman" w:hAnsi="Times New Roman"/>
                <w:b/>
                <w:sz w:val="24"/>
                <w:szCs w:val="24"/>
              </w:rPr>
              <w:t>Sociálne vplyvy</w:t>
            </w:r>
          </w:p>
          <w:p w:rsidR="00196E2D" w:rsidRDefault="00196E2D" w:rsidP="00196E2D">
            <w:pPr>
              <w:rPr>
                <w:rFonts w:ascii="Times New Roman" w:hAnsi="Times New Roman"/>
                <w:sz w:val="24"/>
                <w:szCs w:val="24"/>
              </w:rPr>
            </w:pPr>
            <w:r>
              <w:rPr>
                <w:rFonts w:ascii="Times New Roman" w:hAnsi="Times New Roman"/>
                <w:sz w:val="24"/>
                <w:szCs w:val="24"/>
              </w:rPr>
              <w:t xml:space="preserve">   </w:t>
            </w:r>
            <w:r w:rsidRPr="00CE5F29">
              <w:rPr>
                <w:rFonts w:ascii="Times New Roman" w:hAnsi="Times New Roman"/>
                <w:sz w:val="24"/>
                <w:szCs w:val="24"/>
              </w:rPr>
              <w:t xml:space="preserve">z toho vplyvy na </w:t>
            </w:r>
            <w:r>
              <w:rPr>
                <w:rFonts w:ascii="Times New Roman" w:hAnsi="Times New Roman"/>
                <w:sz w:val="24"/>
                <w:szCs w:val="24"/>
              </w:rPr>
              <w:t>hospodárenie obyvateľstva</w:t>
            </w:r>
          </w:p>
          <w:p w:rsidR="00196E2D" w:rsidRPr="00196E2D" w:rsidRDefault="00196E2D" w:rsidP="00196E2D">
            <w:pPr>
              <w:rPr>
                <w:rFonts w:ascii="Times New Roman" w:hAnsi="Times New Roman"/>
                <w:sz w:val="24"/>
                <w:szCs w:val="24"/>
              </w:rPr>
            </w:pPr>
            <w:r>
              <w:rPr>
                <w:rFonts w:ascii="Times New Roman" w:hAnsi="Times New Roman"/>
                <w:sz w:val="24"/>
                <w:szCs w:val="24"/>
              </w:rPr>
              <w:t xml:space="preserve">   z toho </w:t>
            </w:r>
            <w:r w:rsidRPr="00196E2D">
              <w:rPr>
                <w:rFonts w:ascii="Times New Roman" w:hAnsi="Times New Roman"/>
                <w:sz w:val="24"/>
                <w:szCs w:val="24"/>
              </w:rPr>
              <w:t xml:space="preserve">vplyvy na sociálnu </w:t>
            </w:r>
            <w:proofErr w:type="spellStart"/>
            <w:r w:rsidRPr="00196E2D">
              <w:rPr>
                <w:rFonts w:ascii="Times New Roman" w:hAnsi="Times New Roman"/>
                <w:sz w:val="24"/>
                <w:szCs w:val="24"/>
              </w:rPr>
              <w:t>exklúziu</w:t>
            </w:r>
            <w:proofErr w:type="spellEnd"/>
          </w:p>
          <w:p w:rsidR="00196E2D" w:rsidRPr="00196E2D" w:rsidRDefault="00196E2D" w:rsidP="00196E2D">
            <w:pPr>
              <w:rPr>
                <w:rFonts w:ascii="Times New Roman" w:hAnsi="Times New Roman"/>
                <w:sz w:val="24"/>
                <w:szCs w:val="24"/>
              </w:rPr>
            </w:pPr>
            <w:r w:rsidRPr="00196E2D">
              <w:rPr>
                <w:rFonts w:ascii="Times New Roman" w:hAnsi="Times New Roman"/>
                <w:b/>
                <w:sz w:val="24"/>
                <w:szCs w:val="24"/>
              </w:rPr>
              <w:t xml:space="preserve">   </w:t>
            </w:r>
            <w:r w:rsidRPr="00196E2D">
              <w:rPr>
                <w:rFonts w:ascii="Times New Roman" w:hAnsi="Times New Roman"/>
                <w:sz w:val="24"/>
                <w:szCs w:val="24"/>
              </w:rPr>
              <w:t>z toho vplyvy na rovnosť príležitostí a rodovú rovnosť a vplyvy na zamestnanosť</w:t>
            </w:r>
          </w:p>
        </w:tc>
        <w:tc>
          <w:tcPr>
            <w:tcW w:w="541" w:type="dxa"/>
            <w:gridSpan w:val="2"/>
            <w:tcBorders>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281" w:type="dxa"/>
            <w:gridSpan w:val="2"/>
            <w:tcBorders>
              <w:left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133" w:type="dxa"/>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417" w:type="dxa"/>
            <w:tcBorders>
              <w:left w:val="nil"/>
            </w:tcBorders>
          </w:tcPr>
          <w:p w:rsidR="00AD61D3" w:rsidRPr="00CE5F29" w:rsidRDefault="00AD61D3" w:rsidP="00F07578">
            <w:pPr>
              <w:ind w:left="54"/>
              <w:rPr>
                <w:rFonts w:ascii="Times New Roman" w:hAnsi="Times New Roman"/>
                <w:b/>
                <w:sz w:val="24"/>
                <w:szCs w:val="24"/>
              </w:rPr>
            </w:pPr>
            <w:r w:rsidRPr="00CE5F29">
              <w:rPr>
                <w:rFonts w:ascii="Times New Roman" w:hAnsi="Times New Roman"/>
                <w:b/>
                <w:sz w:val="24"/>
                <w:szCs w:val="24"/>
              </w:rPr>
              <w:t>Negatívne</w:t>
            </w:r>
          </w:p>
        </w:tc>
      </w:tr>
      <w:tr w:rsidR="00AD61D3" w:rsidRPr="00CE5F29" w:rsidTr="00F07578">
        <w:tc>
          <w:tcPr>
            <w:tcW w:w="3812" w:type="dxa"/>
            <w:shd w:val="clear" w:color="auto" w:fill="E2E2E2"/>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Vplyvy na životné prostredie</w:t>
            </w:r>
          </w:p>
        </w:tc>
        <w:tc>
          <w:tcPr>
            <w:tcW w:w="541" w:type="dxa"/>
            <w:gridSpan w:val="2"/>
            <w:tcBorders>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281" w:type="dxa"/>
            <w:gridSpan w:val="2"/>
            <w:tcBorders>
              <w:left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133" w:type="dxa"/>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417" w:type="dxa"/>
            <w:tcBorders>
              <w:left w:val="nil"/>
            </w:tcBorders>
          </w:tcPr>
          <w:p w:rsidR="00AD61D3" w:rsidRPr="00CE5F29" w:rsidRDefault="00AD61D3" w:rsidP="00F07578">
            <w:pPr>
              <w:ind w:left="54"/>
              <w:rPr>
                <w:rFonts w:ascii="Times New Roman" w:hAnsi="Times New Roman"/>
                <w:b/>
                <w:sz w:val="24"/>
                <w:szCs w:val="24"/>
              </w:rPr>
            </w:pPr>
            <w:r w:rsidRPr="00CE5F29">
              <w:rPr>
                <w:rFonts w:ascii="Times New Roman" w:hAnsi="Times New Roman"/>
                <w:b/>
                <w:sz w:val="24"/>
                <w:szCs w:val="24"/>
              </w:rPr>
              <w:t>Negatívne</w:t>
            </w:r>
          </w:p>
        </w:tc>
      </w:tr>
      <w:tr w:rsidR="00AD61D3" w:rsidRPr="00CE5F29" w:rsidTr="00F07578">
        <w:tc>
          <w:tcPr>
            <w:tcW w:w="3812" w:type="dxa"/>
            <w:shd w:val="clear" w:color="auto" w:fill="E2E2E2"/>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Vplyvy na informatizáciu</w:t>
            </w:r>
          </w:p>
        </w:tc>
        <w:tc>
          <w:tcPr>
            <w:tcW w:w="541" w:type="dxa"/>
            <w:gridSpan w:val="2"/>
            <w:tcBorders>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281" w:type="dxa"/>
            <w:gridSpan w:val="2"/>
            <w:tcBorders>
              <w:left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133" w:type="dxa"/>
            <w:tcBorders>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AD61D3" w:rsidRPr="00CE5F29" w:rsidRDefault="00AD61D3" w:rsidP="00F07578">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417" w:type="dxa"/>
            <w:tcBorders>
              <w:left w:val="nil"/>
            </w:tcBorders>
          </w:tcPr>
          <w:p w:rsidR="00AD61D3" w:rsidRPr="00CE5F29" w:rsidRDefault="00AD61D3" w:rsidP="00F07578">
            <w:pPr>
              <w:ind w:left="54"/>
              <w:rPr>
                <w:rFonts w:ascii="Times New Roman" w:hAnsi="Times New Roman"/>
                <w:b/>
                <w:sz w:val="24"/>
                <w:szCs w:val="24"/>
              </w:rPr>
            </w:pPr>
            <w:r w:rsidRPr="00CE5F29">
              <w:rPr>
                <w:rFonts w:ascii="Times New Roman" w:hAnsi="Times New Roman"/>
                <w:b/>
                <w:sz w:val="24"/>
                <w:szCs w:val="24"/>
              </w:rPr>
              <w:t>Negatívne</w:t>
            </w:r>
          </w:p>
        </w:tc>
      </w:tr>
      <w:tr w:rsidR="00196E2D" w:rsidRPr="00CE5F29" w:rsidTr="00F07578">
        <w:tc>
          <w:tcPr>
            <w:tcW w:w="3812" w:type="dxa"/>
            <w:shd w:val="clear" w:color="auto" w:fill="E2E2E2"/>
          </w:tcPr>
          <w:p w:rsidR="00196E2D" w:rsidRPr="00196E2D" w:rsidRDefault="00196E2D" w:rsidP="00196E2D">
            <w:pPr>
              <w:rPr>
                <w:rFonts w:ascii="Times New Roman" w:hAnsi="Times New Roman"/>
                <w:b/>
                <w:sz w:val="24"/>
                <w:szCs w:val="24"/>
              </w:rPr>
            </w:pPr>
            <w:r w:rsidRPr="00196E2D">
              <w:rPr>
                <w:rStyle w:val="awspan1"/>
                <w:rFonts w:ascii="Times New Roman" w:hAnsi="Times New Roman"/>
                <w:b/>
              </w:rPr>
              <w:t>Vplyvy na manželstvo, rodičovstvo a rodinu</w:t>
            </w:r>
          </w:p>
        </w:tc>
        <w:tc>
          <w:tcPr>
            <w:tcW w:w="541" w:type="dxa"/>
            <w:gridSpan w:val="2"/>
            <w:tcBorders>
              <w:right w:val="nil"/>
            </w:tcBorders>
          </w:tcPr>
          <w:p w:rsidR="00196E2D" w:rsidRPr="00CE5F29" w:rsidRDefault="00196E2D" w:rsidP="00196E2D">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281" w:type="dxa"/>
            <w:gridSpan w:val="2"/>
            <w:tcBorders>
              <w:left w:val="nil"/>
              <w:right w:val="nil"/>
            </w:tcBorders>
          </w:tcPr>
          <w:p w:rsidR="00196E2D" w:rsidRPr="00CE5F29" w:rsidRDefault="00196E2D" w:rsidP="00196E2D">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left w:val="nil"/>
              <w:right w:val="nil"/>
            </w:tcBorders>
          </w:tcPr>
          <w:p w:rsidR="00196E2D" w:rsidRPr="00CE5F29" w:rsidRDefault="00196E2D" w:rsidP="00196E2D">
            <w:pPr>
              <w:jc w:val="center"/>
              <w:rPr>
                <w:rFonts w:ascii="Times New Roman" w:hAnsi="Times New Roman"/>
                <w:b/>
                <w:sz w:val="24"/>
                <w:szCs w:val="24"/>
              </w:rPr>
            </w:pPr>
            <w:r w:rsidRPr="00CE5F29">
              <w:rPr>
                <w:rFonts w:ascii="Segoe UI Symbol" w:eastAsia="MS Gothic" w:hAnsi="Segoe UI Symbol" w:cs="Segoe UI Symbol"/>
                <w:b/>
                <w:sz w:val="24"/>
                <w:szCs w:val="24"/>
              </w:rPr>
              <w:t>☒</w:t>
            </w:r>
          </w:p>
        </w:tc>
        <w:tc>
          <w:tcPr>
            <w:tcW w:w="1133" w:type="dxa"/>
            <w:tcBorders>
              <w:left w:val="nil"/>
              <w:right w:val="nil"/>
            </w:tcBorders>
          </w:tcPr>
          <w:p w:rsidR="00196E2D" w:rsidRPr="00CE5F29" w:rsidRDefault="00196E2D" w:rsidP="00196E2D">
            <w:pPr>
              <w:rPr>
                <w:rFonts w:ascii="Times New Roman" w:hAnsi="Times New Roman"/>
                <w:b/>
                <w:sz w:val="24"/>
                <w:szCs w:val="24"/>
              </w:rPr>
            </w:pPr>
            <w:r w:rsidRPr="00CE5F29">
              <w:rPr>
                <w:rFonts w:ascii="Times New Roman" w:hAnsi="Times New Roman"/>
                <w:b/>
                <w:sz w:val="24"/>
                <w:szCs w:val="24"/>
              </w:rPr>
              <w:t>Žiadne</w:t>
            </w:r>
          </w:p>
        </w:tc>
        <w:tc>
          <w:tcPr>
            <w:tcW w:w="547" w:type="dxa"/>
            <w:gridSpan w:val="2"/>
            <w:tcBorders>
              <w:left w:val="nil"/>
              <w:right w:val="nil"/>
            </w:tcBorders>
          </w:tcPr>
          <w:p w:rsidR="00196E2D" w:rsidRPr="00CE5F29" w:rsidRDefault="00196E2D" w:rsidP="00196E2D">
            <w:pPr>
              <w:jc w:val="center"/>
              <w:rPr>
                <w:rFonts w:ascii="Times New Roman" w:hAnsi="Times New Roman"/>
                <w:b/>
                <w:sz w:val="24"/>
                <w:szCs w:val="24"/>
              </w:rPr>
            </w:pPr>
            <w:r w:rsidRPr="00CE5F29">
              <w:rPr>
                <w:rFonts w:ascii="Segoe UI Symbol" w:eastAsia="MS Mincho" w:hAnsi="Segoe UI Symbol" w:cs="Segoe UI Symbol"/>
                <w:b/>
                <w:sz w:val="24"/>
                <w:szCs w:val="24"/>
              </w:rPr>
              <w:t>☐</w:t>
            </w:r>
          </w:p>
        </w:tc>
        <w:tc>
          <w:tcPr>
            <w:tcW w:w="1417" w:type="dxa"/>
            <w:tcBorders>
              <w:left w:val="nil"/>
            </w:tcBorders>
          </w:tcPr>
          <w:p w:rsidR="00196E2D" w:rsidRPr="00CE5F29" w:rsidRDefault="00196E2D" w:rsidP="00196E2D">
            <w:pPr>
              <w:ind w:left="54"/>
              <w:rPr>
                <w:rFonts w:ascii="Times New Roman" w:hAnsi="Times New Roman"/>
                <w:b/>
                <w:sz w:val="24"/>
                <w:szCs w:val="24"/>
              </w:rPr>
            </w:pPr>
            <w:r w:rsidRPr="00CE5F29">
              <w:rPr>
                <w:rFonts w:ascii="Times New Roman" w:hAnsi="Times New Roman"/>
                <w:b/>
                <w:sz w:val="24"/>
                <w:szCs w:val="24"/>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427"/>
        <w:gridCol w:w="1417"/>
      </w:tblGrid>
      <w:tr w:rsidR="00AD61D3" w:rsidRPr="00CE5F29" w:rsidTr="00F07578">
        <w:tc>
          <w:tcPr>
            <w:tcW w:w="3812" w:type="dxa"/>
            <w:tcBorders>
              <w:bottom w:val="nil"/>
            </w:tcBorders>
            <w:shd w:val="clear" w:color="auto" w:fill="E2E2E2"/>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Vplyvy na služby verejnej správy pre občana, z toho</w:t>
            </w:r>
          </w:p>
        </w:tc>
        <w:tc>
          <w:tcPr>
            <w:tcW w:w="541" w:type="dxa"/>
            <w:tcBorders>
              <w:bottom w:val="nil"/>
              <w:right w:val="nil"/>
            </w:tcBorders>
          </w:tcPr>
          <w:p w:rsidR="00AD61D3" w:rsidRPr="00CE5F29" w:rsidRDefault="00AD61D3" w:rsidP="00F07578">
            <w:pPr>
              <w:jc w:val="center"/>
              <w:rPr>
                <w:rFonts w:ascii="Times New Roman" w:eastAsia="MS Mincho" w:hAnsi="Times New Roman"/>
                <w:b/>
                <w:sz w:val="24"/>
                <w:szCs w:val="24"/>
              </w:rPr>
            </w:pPr>
          </w:p>
        </w:tc>
        <w:tc>
          <w:tcPr>
            <w:tcW w:w="1281" w:type="dxa"/>
            <w:tcBorders>
              <w:left w:val="nil"/>
              <w:bottom w:val="nil"/>
              <w:right w:val="nil"/>
            </w:tcBorders>
          </w:tcPr>
          <w:p w:rsidR="00AD61D3" w:rsidRPr="00CE5F29" w:rsidRDefault="00AD61D3" w:rsidP="00F07578">
            <w:pPr>
              <w:ind w:right="-108"/>
              <w:rPr>
                <w:rFonts w:ascii="Times New Roman" w:hAnsi="Times New Roman"/>
                <w:b/>
                <w:sz w:val="24"/>
                <w:szCs w:val="24"/>
              </w:rPr>
            </w:pPr>
          </w:p>
        </w:tc>
        <w:tc>
          <w:tcPr>
            <w:tcW w:w="569" w:type="dxa"/>
            <w:tcBorders>
              <w:left w:val="nil"/>
              <w:bottom w:val="nil"/>
              <w:right w:val="nil"/>
            </w:tcBorders>
          </w:tcPr>
          <w:p w:rsidR="00AD61D3" w:rsidRPr="00CE5F29" w:rsidRDefault="00AD61D3" w:rsidP="00F07578">
            <w:pPr>
              <w:jc w:val="center"/>
              <w:rPr>
                <w:rFonts w:ascii="Times New Roman" w:eastAsia="MS Mincho" w:hAnsi="Times New Roman"/>
                <w:b/>
                <w:sz w:val="24"/>
                <w:szCs w:val="24"/>
              </w:rPr>
            </w:pPr>
          </w:p>
        </w:tc>
        <w:tc>
          <w:tcPr>
            <w:tcW w:w="1133" w:type="dxa"/>
            <w:tcBorders>
              <w:left w:val="nil"/>
              <w:bottom w:val="nil"/>
              <w:right w:val="nil"/>
            </w:tcBorders>
          </w:tcPr>
          <w:p w:rsidR="00AD61D3" w:rsidRPr="00CE5F29" w:rsidRDefault="00AD61D3" w:rsidP="00F07578">
            <w:pPr>
              <w:rPr>
                <w:rFonts w:ascii="Times New Roman" w:hAnsi="Times New Roman"/>
                <w:b/>
                <w:sz w:val="24"/>
                <w:szCs w:val="24"/>
              </w:rPr>
            </w:pPr>
          </w:p>
        </w:tc>
        <w:tc>
          <w:tcPr>
            <w:tcW w:w="427" w:type="dxa"/>
            <w:tcBorders>
              <w:left w:val="nil"/>
              <w:bottom w:val="nil"/>
              <w:right w:val="nil"/>
            </w:tcBorders>
          </w:tcPr>
          <w:p w:rsidR="00AD61D3" w:rsidRPr="00CE5F29" w:rsidRDefault="00AD61D3" w:rsidP="00F07578">
            <w:pPr>
              <w:jc w:val="center"/>
              <w:rPr>
                <w:rFonts w:ascii="Times New Roman" w:eastAsia="MS Mincho" w:hAnsi="Times New Roman"/>
                <w:b/>
                <w:sz w:val="24"/>
                <w:szCs w:val="24"/>
              </w:rPr>
            </w:pPr>
          </w:p>
        </w:tc>
        <w:tc>
          <w:tcPr>
            <w:tcW w:w="1417" w:type="dxa"/>
            <w:tcBorders>
              <w:left w:val="nil"/>
              <w:bottom w:val="nil"/>
            </w:tcBorders>
          </w:tcPr>
          <w:p w:rsidR="00AD61D3" w:rsidRPr="00CE5F29" w:rsidRDefault="00AD61D3" w:rsidP="00F07578">
            <w:pPr>
              <w:ind w:left="54"/>
              <w:rPr>
                <w:rFonts w:ascii="Times New Roman" w:hAnsi="Times New Roman"/>
                <w:b/>
                <w:sz w:val="24"/>
                <w:szCs w:val="24"/>
              </w:rPr>
            </w:pPr>
          </w:p>
        </w:tc>
      </w:tr>
      <w:tr w:rsidR="00AD61D3" w:rsidRPr="00CE5F29" w:rsidTr="00F07578">
        <w:tc>
          <w:tcPr>
            <w:tcW w:w="3812" w:type="dxa"/>
            <w:tcBorders>
              <w:top w:val="nil"/>
              <w:bottom w:val="nil"/>
            </w:tcBorders>
            <w:shd w:val="clear" w:color="auto" w:fill="E2E2E2"/>
          </w:tcPr>
          <w:p w:rsidR="00AD61D3" w:rsidRPr="00CE5F29" w:rsidRDefault="00AD61D3" w:rsidP="00F07578">
            <w:pPr>
              <w:ind w:left="196" w:hanging="196"/>
              <w:rPr>
                <w:rFonts w:ascii="Times New Roman" w:hAnsi="Times New Roman"/>
                <w:b/>
                <w:sz w:val="24"/>
                <w:szCs w:val="24"/>
              </w:rPr>
            </w:pPr>
            <w:r w:rsidRPr="00CE5F29">
              <w:rPr>
                <w:rFonts w:ascii="Times New Roman" w:hAnsi="Times New Roman"/>
                <w:b/>
                <w:sz w:val="24"/>
                <w:szCs w:val="24"/>
              </w:rPr>
              <w:t xml:space="preserve">    vplyvy služieb verejnej správy na občana</w:t>
            </w:r>
          </w:p>
        </w:tc>
        <w:tc>
          <w:tcPr>
            <w:tcW w:w="541" w:type="dxa"/>
            <w:tcBorders>
              <w:top w:val="nil"/>
              <w:bottom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Mincho" w:hAnsi="Segoe UI Symbol" w:cs="Segoe UI Symbol"/>
                <w:b/>
                <w:sz w:val="24"/>
                <w:szCs w:val="24"/>
              </w:rPr>
              <w:t>☐</w:t>
            </w:r>
          </w:p>
        </w:tc>
        <w:tc>
          <w:tcPr>
            <w:tcW w:w="1281" w:type="dxa"/>
            <w:tcBorders>
              <w:top w:val="nil"/>
              <w:left w:val="nil"/>
              <w:bottom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top w:val="nil"/>
              <w:left w:val="nil"/>
              <w:bottom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Gothic" w:hAnsi="Segoe UI Symbol" w:cs="Segoe UI Symbol"/>
                <w:b/>
                <w:sz w:val="24"/>
                <w:szCs w:val="24"/>
              </w:rPr>
              <w:t>☒</w:t>
            </w:r>
          </w:p>
        </w:tc>
        <w:tc>
          <w:tcPr>
            <w:tcW w:w="1133" w:type="dxa"/>
            <w:tcBorders>
              <w:top w:val="nil"/>
              <w:left w:val="nil"/>
              <w:bottom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427" w:type="dxa"/>
            <w:tcBorders>
              <w:top w:val="nil"/>
              <w:left w:val="nil"/>
              <w:bottom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Mincho" w:hAnsi="Segoe UI Symbol" w:cs="Segoe UI Symbol"/>
                <w:b/>
                <w:sz w:val="24"/>
                <w:szCs w:val="24"/>
              </w:rPr>
              <w:t>☐</w:t>
            </w:r>
          </w:p>
        </w:tc>
        <w:tc>
          <w:tcPr>
            <w:tcW w:w="1417" w:type="dxa"/>
            <w:tcBorders>
              <w:top w:val="nil"/>
              <w:left w:val="nil"/>
              <w:bottom w:val="nil"/>
            </w:tcBorders>
          </w:tcPr>
          <w:p w:rsidR="00AD61D3" w:rsidRPr="00CE5F29" w:rsidRDefault="00AD61D3" w:rsidP="00F07578">
            <w:pPr>
              <w:ind w:left="54"/>
              <w:rPr>
                <w:rFonts w:ascii="Times New Roman" w:hAnsi="Times New Roman"/>
                <w:b/>
                <w:sz w:val="24"/>
                <w:szCs w:val="24"/>
              </w:rPr>
            </w:pPr>
            <w:r>
              <w:rPr>
                <w:rFonts w:ascii="Times New Roman" w:hAnsi="Times New Roman"/>
                <w:b/>
                <w:sz w:val="24"/>
                <w:szCs w:val="24"/>
              </w:rPr>
              <w:t>N</w:t>
            </w:r>
            <w:r w:rsidRPr="00CE5F29">
              <w:rPr>
                <w:rFonts w:ascii="Times New Roman" w:hAnsi="Times New Roman"/>
                <w:b/>
                <w:sz w:val="24"/>
                <w:szCs w:val="24"/>
              </w:rPr>
              <w:t>egatívne“</w:t>
            </w:r>
          </w:p>
        </w:tc>
      </w:tr>
      <w:tr w:rsidR="00AD61D3" w:rsidRPr="00CE5F29" w:rsidTr="00F07578">
        <w:tc>
          <w:tcPr>
            <w:tcW w:w="3812" w:type="dxa"/>
            <w:tcBorders>
              <w:top w:val="nil"/>
            </w:tcBorders>
            <w:shd w:val="clear" w:color="auto" w:fill="E2E2E2"/>
          </w:tcPr>
          <w:p w:rsidR="00AD61D3" w:rsidRPr="00CE5F29" w:rsidRDefault="00AD61D3" w:rsidP="00F07578">
            <w:pPr>
              <w:ind w:left="168" w:hanging="168"/>
              <w:rPr>
                <w:rFonts w:ascii="Times New Roman" w:hAnsi="Times New Roman"/>
                <w:b/>
                <w:sz w:val="24"/>
                <w:szCs w:val="24"/>
              </w:rPr>
            </w:pPr>
            <w:r w:rsidRPr="00CE5F29">
              <w:rPr>
                <w:rFonts w:ascii="Times New Roman" w:hAnsi="Times New Roman"/>
                <w:b/>
                <w:sz w:val="24"/>
                <w:szCs w:val="24"/>
              </w:rPr>
              <w:t xml:space="preserve">    vplyvy na procesy služieb vo verejnej správe</w:t>
            </w:r>
          </w:p>
        </w:tc>
        <w:tc>
          <w:tcPr>
            <w:tcW w:w="541" w:type="dxa"/>
            <w:tcBorders>
              <w:top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Mincho" w:hAnsi="Segoe UI Symbol" w:cs="Segoe UI Symbol"/>
                <w:b/>
                <w:sz w:val="24"/>
                <w:szCs w:val="24"/>
              </w:rPr>
              <w:t>☐</w:t>
            </w:r>
          </w:p>
        </w:tc>
        <w:tc>
          <w:tcPr>
            <w:tcW w:w="1281" w:type="dxa"/>
            <w:tcBorders>
              <w:top w:val="nil"/>
              <w:left w:val="nil"/>
              <w:right w:val="nil"/>
            </w:tcBorders>
          </w:tcPr>
          <w:p w:rsidR="00AD61D3" w:rsidRPr="00CE5F29" w:rsidRDefault="00AD61D3" w:rsidP="00F07578">
            <w:pPr>
              <w:ind w:right="-108"/>
              <w:rPr>
                <w:rFonts w:ascii="Times New Roman" w:hAnsi="Times New Roman"/>
                <w:b/>
                <w:sz w:val="24"/>
                <w:szCs w:val="24"/>
              </w:rPr>
            </w:pPr>
            <w:r w:rsidRPr="00CE5F29">
              <w:rPr>
                <w:rFonts w:ascii="Times New Roman" w:hAnsi="Times New Roman"/>
                <w:b/>
                <w:sz w:val="24"/>
                <w:szCs w:val="24"/>
              </w:rPr>
              <w:t>Pozitívne</w:t>
            </w:r>
          </w:p>
        </w:tc>
        <w:tc>
          <w:tcPr>
            <w:tcW w:w="569" w:type="dxa"/>
            <w:tcBorders>
              <w:top w:val="nil"/>
              <w:left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Gothic" w:hAnsi="Segoe UI Symbol" w:cs="Segoe UI Symbol"/>
                <w:b/>
                <w:sz w:val="24"/>
                <w:szCs w:val="24"/>
              </w:rPr>
              <w:t>☒</w:t>
            </w:r>
          </w:p>
        </w:tc>
        <w:tc>
          <w:tcPr>
            <w:tcW w:w="1133" w:type="dxa"/>
            <w:tcBorders>
              <w:top w:val="nil"/>
              <w:left w:val="nil"/>
              <w:right w:val="nil"/>
            </w:tcBorders>
          </w:tcPr>
          <w:p w:rsidR="00AD61D3" w:rsidRPr="00CE5F29" w:rsidRDefault="00AD61D3" w:rsidP="00F07578">
            <w:pPr>
              <w:rPr>
                <w:rFonts w:ascii="Times New Roman" w:hAnsi="Times New Roman"/>
                <w:b/>
                <w:sz w:val="24"/>
                <w:szCs w:val="24"/>
              </w:rPr>
            </w:pPr>
            <w:r w:rsidRPr="00CE5F29">
              <w:rPr>
                <w:rFonts w:ascii="Times New Roman" w:hAnsi="Times New Roman"/>
                <w:b/>
                <w:sz w:val="24"/>
                <w:szCs w:val="24"/>
              </w:rPr>
              <w:t>Žiadne</w:t>
            </w:r>
          </w:p>
        </w:tc>
        <w:tc>
          <w:tcPr>
            <w:tcW w:w="427" w:type="dxa"/>
            <w:tcBorders>
              <w:top w:val="nil"/>
              <w:left w:val="nil"/>
              <w:right w:val="nil"/>
            </w:tcBorders>
          </w:tcPr>
          <w:p w:rsidR="00AD61D3" w:rsidRPr="00CE5F29" w:rsidRDefault="00AD61D3" w:rsidP="00F07578">
            <w:pPr>
              <w:jc w:val="center"/>
              <w:rPr>
                <w:rFonts w:ascii="Times New Roman" w:eastAsia="MS Mincho" w:hAnsi="Times New Roman"/>
                <w:b/>
                <w:sz w:val="24"/>
                <w:szCs w:val="24"/>
              </w:rPr>
            </w:pPr>
            <w:r w:rsidRPr="00CE5F29">
              <w:rPr>
                <w:rFonts w:ascii="Segoe UI Symbol" w:eastAsia="MS Mincho" w:hAnsi="Segoe UI Symbol" w:cs="Segoe UI Symbol"/>
                <w:b/>
                <w:sz w:val="24"/>
                <w:szCs w:val="24"/>
              </w:rPr>
              <w:t>☐</w:t>
            </w:r>
          </w:p>
        </w:tc>
        <w:tc>
          <w:tcPr>
            <w:tcW w:w="1417" w:type="dxa"/>
            <w:tcBorders>
              <w:top w:val="nil"/>
              <w:left w:val="nil"/>
            </w:tcBorders>
          </w:tcPr>
          <w:p w:rsidR="00AD61D3" w:rsidRPr="00CE5F29" w:rsidRDefault="00AD61D3" w:rsidP="00F07578">
            <w:pPr>
              <w:ind w:left="54"/>
              <w:rPr>
                <w:rFonts w:ascii="Times New Roman" w:hAnsi="Times New Roman"/>
                <w:b/>
                <w:sz w:val="24"/>
                <w:szCs w:val="24"/>
              </w:rPr>
            </w:pPr>
            <w:r w:rsidRPr="00CE5F29">
              <w:rPr>
                <w:rFonts w:ascii="Times New Roman" w:hAnsi="Times New Roman"/>
                <w:b/>
                <w:sz w:val="24"/>
                <w:szCs w:val="24"/>
              </w:rPr>
              <w:t>Negatívne“</w:t>
            </w:r>
          </w:p>
        </w:tc>
      </w:tr>
    </w:tbl>
    <w:p w:rsidR="00AD61D3" w:rsidRPr="004A6AFD" w:rsidRDefault="00AD61D3" w:rsidP="00AD61D3">
      <w:pPr>
        <w:ind w:right="141"/>
        <w:rPr>
          <w:rFonts w:ascii="Times New Roman" w:hAnsi="Times New Roman"/>
          <w:b/>
          <w:sz w:val="24"/>
          <w:szCs w:val="24"/>
        </w:rPr>
      </w:pPr>
    </w:p>
    <w:tbl>
      <w:tblPr>
        <w:tblStyle w:val="Mriekatabuky"/>
        <w:tblW w:w="9176" w:type="dxa"/>
        <w:tblLayout w:type="fixed"/>
        <w:tblLook w:val="04A0" w:firstRow="1" w:lastRow="0" w:firstColumn="1" w:lastColumn="0" w:noHBand="0" w:noVBand="1"/>
      </w:tblPr>
      <w:tblGrid>
        <w:gridCol w:w="9176"/>
      </w:tblGrid>
      <w:tr w:rsidR="00AD61D3" w:rsidRPr="004A6AFD" w:rsidTr="00F07578">
        <w:tc>
          <w:tcPr>
            <w:tcW w:w="9176" w:type="dxa"/>
            <w:tcBorders>
              <w:bottom w:val="nil"/>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Poznámky</w:t>
            </w:r>
          </w:p>
        </w:tc>
      </w:tr>
      <w:tr w:rsidR="00AD61D3" w:rsidRPr="004A6AFD" w:rsidTr="00F07578">
        <w:trPr>
          <w:trHeight w:val="713"/>
        </w:trPr>
        <w:tc>
          <w:tcPr>
            <w:tcW w:w="9176" w:type="dxa"/>
            <w:tcBorders>
              <w:top w:val="nil"/>
              <w:bottom w:val="single" w:sz="4" w:space="0" w:color="FFFFFF" w:themeColor="background1"/>
            </w:tcBorders>
          </w:tcPr>
          <w:p w:rsidR="00AD61D3" w:rsidRDefault="00196E2D" w:rsidP="00196E2D">
            <w:pPr>
              <w:jc w:val="both"/>
              <w:rPr>
                <w:rFonts w:ascii="Times New Roman" w:hAnsi="Times New Roman"/>
                <w:sz w:val="24"/>
                <w:szCs w:val="24"/>
                <w:lang w:eastAsia="sk-SK"/>
              </w:rPr>
            </w:pPr>
            <w:r>
              <w:rPr>
                <w:rFonts w:ascii="Times New Roman" w:hAnsi="Times New Roman"/>
                <w:sz w:val="24"/>
                <w:szCs w:val="24"/>
                <w:lang w:eastAsia="sk-SK"/>
              </w:rPr>
              <w:t>Výber miestneho poplatku za rozvoj zabezpečujú obce</w:t>
            </w:r>
            <w:r w:rsidRPr="00242926">
              <w:rPr>
                <w:rFonts w:ascii="Times New Roman" w:hAnsi="Times New Roman"/>
                <w:sz w:val="24"/>
                <w:szCs w:val="24"/>
                <w:lang w:eastAsia="sk-SK"/>
              </w:rPr>
              <w:t>, v</w:t>
            </w:r>
            <w:r>
              <w:rPr>
                <w:rFonts w:ascii="Times New Roman" w:hAnsi="Times New Roman"/>
                <w:sz w:val="24"/>
                <w:szCs w:val="24"/>
                <w:lang w:eastAsia="sk-SK"/>
              </w:rPr>
              <w:t> </w:t>
            </w:r>
            <w:r w:rsidRPr="00242926">
              <w:rPr>
                <w:rFonts w:ascii="Times New Roman" w:hAnsi="Times New Roman"/>
                <w:sz w:val="24"/>
                <w:szCs w:val="24"/>
                <w:lang w:eastAsia="sk-SK"/>
              </w:rPr>
              <w:t>Bratislave</w:t>
            </w:r>
            <w:r>
              <w:rPr>
                <w:rFonts w:ascii="Times New Roman" w:hAnsi="Times New Roman"/>
                <w:sz w:val="24"/>
                <w:szCs w:val="24"/>
                <w:lang w:eastAsia="sk-SK"/>
              </w:rPr>
              <w:t xml:space="preserve"> a Košiciach </w:t>
            </w:r>
            <w:r w:rsidRPr="00242926">
              <w:rPr>
                <w:rFonts w:ascii="Times New Roman" w:hAnsi="Times New Roman"/>
                <w:sz w:val="24"/>
                <w:szCs w:val="24"/>
                <w:lang w:eastAsia="sk-SK"/>
              </w:rPr>
              <w:t>mestsk</w:t>
            </w:r>
            <w:r>
              <w:rPr>
                <w:rFonts w:ascii="Times New Roman" w:hAnsi="Times New Roman"/>
                <w:sz w:val="24"/>
                <w:szCs w:val="24"/>
                <w:lang w:eastAsia="sk-SK"/>
              </w:rPr>
              <w:t>é</w:t>
            </w:r>
            <w:r w:rsidRPr="00242926">
              <w:rPr>
                <w:rFonts w:ascii="Times New Roman" w:hAnsi="Times New Roman"/>
                <w:sz w:val="24"/>
                <w:szCs w:val="24"/>
                <w:lang w:eastAsia="sk-SK"/>
              </w:rPr>
              <w:t xml:space="preserve"> čas</w:t>
            </w:r>
            <w:r>
              <w:rPr>
                <w:rFonts w:ascii="Times New Roman" w:hAnsi="Times New Roman"/>
                <w:sz w:val="24"/>
                <w:szCs w:val="24"/>
                <w:lang w:eastAsia="sk-SK"/>
              </w:rPr>
              <w:t>ti. Predložený návrh nebude mať vplyv na výšku sadzby poplatku a nekladie</w:t>
            </w:r>
            <w:r w:rsidRPr="00D175A5">
              <w:rPr>
                <w:rFonts w:ascii="Times New Roman" w:hAnsi="Times New Roman"/>
                <w:sz w:val="24"/>
                <w:szCs w:val="24"/>
                <w:lang w:eastAsia="sk-SK"/>
              </w:rPr>
              <w:t xml:space="preserve"> zvýšené požiadavky na zamestnancov </w:t>
            </w:r>
            <w:r>
              <w:rPr>
                <w:rFonts w:ascii="Times New Roman" w:hAnsi="Times New Roman"/>
                <w:sz w:val="24"/>
                <w:szCs w:val="24"/>
                <w:lang w:eastAsia="sk-SK"/>
              </w:rPr>
              <w:t>štátnej</w:t>
            </w:r>
            <w:r w:rsidRPr="00D175A5">
              <w:rPr>
                <w:rFonts w:ascii="Times New Roman" w:hAnsi="Times New Roman"/>
                <w:sz w:val="24"/>
                <w:szCs w:val="24"/>
                <w:lang w:eastAsia="sk-SK"/>
              </w:rPr>
              <w:t xml:space="preserve"> správy, nemá vplyv na </w:t>
            </w:r>
            <w:r>
              <w:rPr>
                <w:rFonts w:ascii="Times New Roman" w:hAnsi="Times New Roman"/>
                <w:sz w:val="24"/>
                <w:szCs w:val="24"/>
                <w:lang w:eastAsia="sk-SK"/>
              </w:rPr>
              <w:t xml:space="preserve">daňové </w:t>
            </w:r>
            <w:r w:rsidRPr="00D175A5">
              <w:rPr>
                <w:rFonts w:ascii="Times New Roman" w:hAnsi="Times New Roman"/>
                <w:sz w:val="24"/>
                <w:szCs w:val="24"/>
                <w:lang w:eastAsia="sk-SK"/>
              </w:rPr>
              <w:t xml:space="preserve">procesy </w:t>
            </w:r>
            <w:r>
              <w:rPr>
                <w:rFonts w:ascii="Times New Roman" w:hAnsi="Times New Roman"/>
                <w:sz w:val="24"/>
                <w:szCs w:val="24"/>
                <w:lang w:eastAsia="sk-SK"/>
              </w:rPr>
              <w:t>v štátnej správe.</w:t>
            </w:r>
          </w:p>
          <w:p w:rsidR="00196E2D" w:rsidRDefault="00196E2D" w:rsidP="00196E2D">
            <w:pPr>
              <w:jc w:val="both"/>
              <w:rPr>
                <w:rFonts w:ascii="Times New Roman" w:hAnsi="Times New Roman"/>
                <w:sz w:val="24"/>
                <w:szCs w:val="24"/>
                <w:lang w:eastAsia="sk-SK"/>
              </w:rPr>
            </w:pPr>
          </w:p>
          <w:p w:rsidR="00196E2D" w:rsidRPr="00D175A5" w:rsidRDefault="00196E2D" w:rsidP="00196E2D">
            <w:pPr>
              <w:jc w:val="both"/>
              <w:rPr>
                <w:rFonts w:ascii="Times New Roman" w:hAnsi="Times New Roman"/>
                <w:sz w:val="24"/>
                <w:szCs w:val="24"/>
                <w:lang w:eastAsia="sk-SK"/>
              </w:rPr>
            </w:pPr>
            <w:r w:rsidRPr="00D175A5">
              <w:rPr>
                <w:rFonts w:ascii="Times New Roman" w:hAnsi="Times New Roman"/>
                <w:sz w:val="24"/>
                <w:szCs w:val="24"/>
                <w:lang w:eastAsia="sk-SK"/>
              </w:rPr>
              <w:t xml:space="preserve">Navrhovanou zmenou </w:t>
            </w:r>
            <w:r>
              <w:rPr>
                <w:rFonts w:ascii="Times New Roman" w:hAnsi="Times New Roman"/>
                <w:sz w:val="24"/>
                <w:szCs w:val="24"/>
                <w:lang w:eastAsia="sk-SK"/>
              </w:rPr>
              <w:t>dôjde k potrebe úpravy súčasných všeobecne záväzných nariadení (VZN) obcí a mestských častí Bratislavy a Košíc. Predpokladá sa mie</w:t>
            </w:r>
            <w:r w:rsidR="00752B0F">
              <w:rPr>
                <w:rFonts w:ascii="Times New Roman" w:hAnsi="Times New Roman"/>
                <w:sz w:val="24"/>
                <w:szCs w:val="24"/>
                <w:lang w:eastAsia="sk-SK"/>
              </w:rPr>
              <w:t>r</w:t>
            </w:r>
            <w:r>
              <w:rPr>
                <w:rFonts w:ascii="Times New Roman" w:hAnsi="Times New Roman"/>
                <w:sz w:val="24"/>
                <w:szCs w:val="24"/>
                <w:lang w:eastAsia="sk-SK"/>
              </w:rPr>
              <w:t>ne</w:t>
            </w:r>
            <w:r w:rsidRPr="00D175A5">
              <w:rPr>
                <w:rFonts w:ascii="Times New Roman" w:hAnsi="Times New Roman"/>
                <w:sz w:val="24"/>
                <w:szCs w:val="24"/>
                <w:lang w:eastAsia="sk-SK"/>
              </w:rPr>
              <w:t xml:space="preserve"> pozitívny vplyv na správanie sa podnikateľov</w:t>
            </w:r>
            <w:r>
              <w:rPr>
                <w:rFonts w:ascii="Times New Roman" w:hAnsi="Times New Roman"/>
                <w:sz w:val="24"/>
                <w:szCs w:val="24"/>
                <w:lang w:eastAsia="sk-SK"/>
              </w:rPr>
              <w:t xml:space="preserve"> v súvislosti so zmenou všeobecnej oznamovacej po</w:t>
            </w:r>
            <w:r w:rsidR="00752B0F">
              <w:rPr>
                <w:rFonts w:ascii="Times New Roman" w:hAnsi="Times New Roman"/>
                <w:sz w:val="24"/>
                <w:szCs w:val="24"/>
                <w:lang w:eastAsia="sk-SK"/>
              </w:rPr>
              <w:t>vinnosti pri viacúčelovej stavbe</w:t>
            </w:r>
            <w:r>
              <w:rPr>
                <w:rFonts w:ascii="Times New Roman" w:hAnsi="Times New Roman"/>
                <w:sz w:val="24"/>
                <w:szCs w:val="24"/>
                <w:lang w:eastAsia="sk-SK"/>
              </w:rPr>
              <w:t xml:space="preserve"> na individuálne prípady.</w:t>
            </w:r>
            <w:r w:rsidRPr="00D175A5">
              <w:rPr>
                <w:rFonts w:ascii="Times New Roman" w:hAnsi="Times New Roman"/>
                <w:sz w:val="24"/>
                <w:szCs w:val="24"/>
                <w:lang w:eastAsia="sk-SK"/>
              </w:rPr>
              <w:t xml:space="preserve"> </w:t>
            </w:r>
            <w:r>
              <w:rPr>
                <w:rFonts w:ascii="Times New Roman" w:hAnsi="Times New Roman"/>
                <w:sz w:val="24"/>
                <w:szCs w:val="24"/>
                <w:lang w:eastAsia="sk-SK"/>
              </w:rPr>
              <w:t xml:space="preserve">Navrhovaná úprava </w:t>
            </w:r>
            <w:r w:rsidRPr="00D175A5">
              <w:rPr>
                <w:rFonts w:ascii="Times New Roman" w:hAnsi="Times New Roman"/>
                <w:sz w:val="24"/>
                <w:szCs w:val="24"/>
                <w:lang w:eastAsia="sk-SK"/>
              </w:rPr>
              <w:t>neznamen</w:t>
            </w:r>
            <w:r>
              <w:rPr>
                <w:rFonts w:ascii="Times New Roman" w:hAnsi="Times New Roman"/>
                <w:sz w:val="24"/>
                <w:szCs w:val="24"/>
                <w:lang w:eastAsia="sk-SK"/>
              </w:rPr>
              <w:t>á</w:t>
            </w:r>
            <w:r w:rsidRPr="00D175A5">
              <w:rPr>
                <w:rFonts w:ascii="Times New Roman" w:hAnsi="Times New Roman"/>
                <w:sz w:val="24"/>
                <w:szCs w:val="24"/>
                <w:lang w:eastAsia="sk-SK"/>
              </w:rPr>
              <w:t xml:space="preserve"> výpadok, ale súčasne ani dodatočný príjem</w:t>
            </w:r>
            <w:r>
              <w:rPr>
                <w:rFonts w:ascii="Times New Roman" w:hAnsi="Times New Roman"/>
                <w:sz w:val="24"/>
                <w:szCs w:val="24"/>
                <w:lang w:eastAsia="sk-SK"/>
              </w:rPr>
              <w:t xml:space="preserve"> obcí</w:t>
            </w:r>
            <w:r w:rsidRPr="00D175A5">
              <w:rPr>
                <w:rFonts w:ascii="Times New Roman" w:hAnsi="Times New Roman"/>
                <w:sz w:val="24"/>
                <w:szCs w:val="24"/>
                <w:lang w:eastAsia="sk-SK"/>
              </w:rPr>
              <w:t>.</w:t>
            </w:r>
          </w:p>
          <w:p w:rsidR="00196E2D" w:rsidRDefault="00196E2D" w:rsidP="00196E2D">
            <w:pPr>
              <w:jc w:val="both"/>
              <w:rPr>
                <w:rFonts w:ascii="Times New Roman" w:hAnsi="Times New Roman"/>
                <w:sz w:val="24"/>
                <w:szCs w:val="24"/>
                <w:lang w:eastAsia="sk-SK"/>
              </w:rPr>
            </w:pPr>
          </w:p>
          <w:p w:rsidR="00752B0F" w:rsidRPr="00752B0F" w:rsidRDefault="00752B0F" w:rsidP="00196E2D">
            <w:pPr>
              <w:jc w:val="both"/>
              <w:rPr>
                <w:rFonts w:ascii="Times New Roman" w:hAnsi="Times New Roman"/>
                <w:b/>
                <w:sz w:val="24"/>
                <w:szCs w:val="24"/>
                <w:lang w:eastAsia="sk-SK"/>
              </w:rPr>
            </w:pPr>
            <w:r w:rsidRPr="00752B0F">
              <w:rPr>
                <w:rFonts w:ascii="Times New Roman" w:hAnsi="Times New Roman"/>
                <w:b/>
                <w:sz w:val="24"/>
                <w:szCs w:val="24"/>
                <w:lang w:eastAsia="sk-SK"/>
              </w:rPr>
              <w:t>Analýza finančných vplyvov</w:t>
            </w:r>
          </w:p>
          <w:p w:rsidR="00196E2D" w:rsidRDefault="00196E2D" w:rsidP="00196E2D">
            <w:pPr>
              <w:jc w:val="both"/>
              <w:rPr>
                <w:rFonts w:ascii="Times New Roman" w:hAnsi="Times New Roman"/>
                <w:sz w:val="24"/>
                <w:szCs w:val="24"/>
                <w:lang w:eastAsia="sk-SK"/>
              </w:rPr>
            </w:pPr>
            <w:r>
              <w:rPr>
                <w:rFonts w:ascii="Times New Roman" w:hAnsi="Times New Roman"/>
                <w:sz w:val="24"/>
                <w:szCs w:val="24"/>
                <w:lang w:eastAsia="sk-SK"/>
              </w:rPr>
              <w:t xml:space="preserve">V roku 2018 malo miestny poplatok za rozvoj v Slovenskej republike zavedených 98 obcí. </w:t>
            </w:r>
            <w:r w:rsidRPr="00D175A5">
              <w:rPr>
                <w:rFonts w:ascii="Times New Roman" w:hAnsi="Times New Roman"/>
                <w:sz w:val="24"/>
                <w:szCs w:val="24"/>
                <w:lang w:eastAsia="sk-SK"/>
              </w:rPr>
              <w:t xml:space="preserve">Celkový výber </w:t>
            </w:r>
            <w:r>
              <w:rPr>
                <w:rFonts w:ascii="Times New Roman" w:hAnsi="Times New Roman"/>
                <w:sz w:val="24"/>
                <w:szCs w:val="24"/>
                <w:lang w:eastAsia="sk-SK"/>
              </w:rPr>
              <w:t xml:space="preserve">miestneho poplatku  za rozvoj za rok 2018 bol 13,1 mil. EUR (t. z. uhradený poplatok na účty obcí). Pozitívny vplyv zvýšenia právnej istoty, spresnenia pojmov by mal vykompenzovať mierne negatívny vplyv spresnenia </w:t>
            </w:r>
            <w:r w:rsidRPr="00361324">
              <w:rPr>
                <w:rFonts w:ascii="Times New Roman" w:hAnsi="Times New Roman"/>
                <w:sz w:val="24"/>
                <w:szCs w:val="24"/>
                <w:lang w:eastAsia="sk-SK"/>
              </w:rPr>
              <w:t xml:space="preserve">výmery podlahovej plochy nadzemnej </w:t>
            </w:r>
            <w:r w:rsidRPr="00361324">
              <w:rPr>
                <w:rFonts w:ascii="Times New Roman" w:hAnsi="Times New Roman"/>
                <w:sz w:val="24"/>
                <w:szCs w:val="24"/>
                <w:lang w:eastAsia="sk-SK"/>
              </w:rPr>
              <w:lastRenderedPageBreak/>
              <w:t>časti stavby</w:t>
            </w:r>
            <w:r>
              <w:rPr>
                <w:rFonts w:ascii="Times New Roman" w:hAnsi="Times New Roman"/>
                <w:sz w:val="24"/>
                <w:szCs w:val="24"/>
                <w:lang w:eastAsia="sk-SK"/>
              </w:rPr>
              <w:t xml:space="preserve">, kde sa spresnili časti podlahovej plochy, ktoré sa do </w:t>
            </w:r>
            <w:r w:rsidRPr="00361324">
              <w:rPr>
                <w:rFonts w:ascii="Times New Roman" w:hAnsi="Times New Roman"/>
                <w:sz w:val="24"/>
                <w:szCs w:val="24"/>
                <w:lang w:eastAsia="sk-SK"/>
              </w:rPr>
              <w:t>základu poplatku nezapočítav</w:t>
            </w:r>
            <w:r>
              <w:rPr>
                <w:rFonts w:ascii="Times New Roman" w:hAnsi="Times New Roman"/>
                <w:sz w:val="24"/>
                <w:szCs w:val="24"/>
                <w:lang w:eastAsia="sk-SK"/>
              </w:rPr>
              <w:t>ajú</w:t>
            </w:r>
            <w:r w:rsidRPr="00361324">
              <w:rPr>
                <w:rFonts w:ascii="Times New Roman" w:hAnsi="Times New Roman"/>
                <w:sz w:val="24"/>
                <w:szCs w:val="24"/>
                <w:lang w:eastAsia="sk-SK"/>
              </w:rPr>
              <w:t xml:space="preserve"> </w:t>
            </w:r>
            <w:r>
              <w:rPr>
                <w:rFonts w:ascii="Times New Roman" w:hAnsi="Times New Roman"/>
                <w:sz w:val="24"/>
                <w:szCs w:val="24"/>
                <w:lang w:eastAsia="sk-SK"/>
              </w:rPr>
              <w:t>(</w:t>
            </w:r>
            <w:r w:rsidRPr="00361324">
              <w:rPr>
                <w:rFonts w:ascii="Times New Roman" w:hAnsi="Times New Roman"/>
                <w:sz w:val="24"/>
                <w:szCs w:val="24"/>
                <w:lang w:eastAsia="sk-SK"/>
              </w:rPr>
              <w:t xml:space="preserve">podlahová plocha výťahovej šachty, </w:t>
            </w:r>
            <w:r w:rsidR="00752B0F" w:rsidRPr="00361324">
              <w:rPr>
                <w:rFonts w:ascii="Times New Roman" w:hAnsi="Times New Roman"/>
                <w:sz w:val="24"/>
                <w:szCs w:val="24"/>
                <w:lang w:eastAsia="sk-SK"/>
              </w:rPr>
              <w:t xml:space="preserve">podlahová plocha </w:t>
            </w:r>
            <w:r w:rsidRPr="00361324">
              <w:rPr>
                <w:rFonts w:ascii="Times New Roman" w:hAnsi="Times New Roman"/>
                <w:sz w:val="24"/>
                <w:szCs w:val="24"/>
                <w:lang w:eastAsia="sk-SK"/>
              </w:rPr>
              <w:t>schodiska vrátane plochy medziposchodia, balkónu, lodžie, terasy bez trvalého presklenia a šachty s rozvodmi médií a</w:t>
            </w:r>
            <w:r>
              <w:rPr>
                <w:rFonts w:ascii="Times New Roman" w:hAnsi="Times New Roman"/>
                <w:sz w:val="24"/>
                <w:szCs w:val="24"/>
                <w:lang w:eastAsia="sk-SK"/>
              </w:rPr>
              <w:t> </w:t>
            </w:r>
            <w:r w:rsidRPr="00361324">
              <w:rPr>
                <w:rFonts w:ascii="Times New Roman" w:hAnsi="Times New Roman"/>
                <w:sz w:val="24"/>
                <w:szCs w:val="24"/>
                <w:lang w:eastAsia="sk-SK"/>
              </w:rPr>
              <w:t>odpadov</w:t>
            </w:r>
            <w:r>
              <w:rPr>
                <w:rFonts w:ascii="Times New Roman" w:hAnsi="Times New Roman"/>
                <w:sz w:val="24"/>
                <w:szCs w:val="24"/>
                <w:lang w:eastAsia="sk-SK"/>
              </w:rPr>
              <w:t>)</w:t>
            </w:r>
            <w:r w:rsidRPr="00361324">
              <w:rPr>
                <w:rFonts w:ascii="Times New Roman" w:hAnsi="Times New Roman"/>
                <w:sz w:val="24"/>
                <w:szCs w:val="24"/>
                <w:lang w:eastAsia="sk-SK"/>
              </w:rPr>
              <w:t>.</w:t>
            </w:r>
            <w:r>
              <w:rPr>
                <w:rFonts w:ascii="Times New Roman" w:hAnsi="Times New Roman"/>
                <w:sz w:val="24"/>
                <w:szCs w:val="24"/>
                <w:lang w:eastAsia="sk-SK"/>
              </w:rPr>
              <w:t xml:space="preserve"> Na základe expertného odhadu sa predpokladá, že uvedený návrh by mal mať </w:t>
            </w:r>
            <w:r w:rsidRPr="00752B0F">
              <w:rPr>
                <w:rFonts w:ascii="Times New Roman" w:hAnsi="Times New Roman"/>
                <w:sz w:val="24"/>
                <w:szCs w:val="24"/>
                <w:lang w:eastAsia="sk-SK"/>
              </w:rPr>
              <w:t>neutrálny rozpočtový vplyv na verejné financie,</w:t>
            </w:r>
            <w:r>
              <w:rPr>
                <w:rFonts w:ascii="Times New Roman" w:hAnsi="Times New Roman"/>
                <w:sz w:val="24"/>
                <w:szCs w:val="24"/>
                <w:lang w:eastAsia="sk-SK"/>
              </w:rPr>
              <w:t xml:space="preserve"> keďže pozitívne a negatívne vplyvy na celkový výnos miestneho poplatku za rozvoj sa navzájom vykompenzujú.</w:t>
            </w:r>
          </w:p>
          <w:p w:rsidR="00196E2D" w:rsidRDefault="00196E2D" w:rsidP="00196E2D">
            <w:pPr>
              <w:jc w:val="both"/>
              <w:rPr>
                <w:rFonts w:ascii="Times New Roman" w:hAnsi="Times New Roman"/>
                <w:sz w:val="24"/>
                <w:szCs w:val="24"/>
                <w:lang w:eastAsia="sk-SK"/>
              </w:rPr>
            </w:pPr>
          </w:p>
          <w:p w:rsidR="00752B0F" w:rsidRPr="00752B0F" w:rsidRDefault="00752B0F" w:rsidP="00196E2D">
            <w:pPr>
              <w:jc w:val="both"/>
              <w:rPr>
                <w:rFonts w:ascii="Times New Roman" w:hAnsi="Times New Roman"/>
                <w:b/>
                <w:sz w:val="24"/>
                <w:szCs w:val="24"/>
                <w:lang w:eastAsia="sk-SK"/>
              </w:rPr>
            </w:pPr>
            <w:r w:rsidRPr="00752B0F">
              <w:rPr>
                <w:rFonts w:ascii="Times New Roman" w:hAnsi="Times New Roman"/>
                <w:b/>
                <w:sz w:val="24"/>
                <w:szCs w:val="24"/>
                <w:lang w:eastAsia="sk-SK"/>
              </w:rPr>
              <w:t>Analýza vplyvov na podnikateľské prostredie</w:t>
            </w:r>
          </w:p>
          <w:p w:rsidR="00196E2D" w:rsidRPr="00752B0F" w:rsidRDefault="00196E2D" w:rsidP="00196E2D">
            <w:pPr>
              <w:jc w:val="both"/>
              <w:rPr>
                <w:rFonts w:ascii="Times New Roman" w:hAnsi="Times New Roman"/>
                <w:sz w:val="24"/>
                <w:szCs w:val="24"/>
              </w:rPr>
            </w:pPr>
            <w:r w:rsidRPr="00C757E2">
              <w:rPr>
                <w:rFonts w:ascii="Times New Roman" w:hAnsi="Times New Roman"/>
                <w:sz w:val="24"/>
                <w:szCs w:val="24"/>
              </w:rPr>
              <w:t>Uvedený návrh sa dotkne všetkých podnikateľských subjektov, ktorým je vydané právoplatné stavebné povolenie, ktorým sa povoľuje stavba, je im vydané oznámenie stavebného úradu k ohlásenej stavbe ktorá je ohlásená stavebnému úradu, majú vydané právoplatné rozhodnutie o povolení zmeny stavby pred jej dokončením alebo im je vydané právoplatné rozhodnutie o dodatočnom povolení stavby na pozemnú stavbu, ktorá je predmetom poplatku a nachádza sa na území obce</w:t>
            </w:r>
            <w:r w:rsidR="00752B0F">
              <w:rPr>
                <w:rFonts w:ascii="Times New Roman" w:hAnsi="Times New Roman"/>
                <w:sz w:val="24"/>
                <w:szCs w:val="24"/>
              </w:rPr>
              <w:t>,</w:t>
            </w:r>
            <w:r w:rsidRPr="00C757E2">
              <w:rPr>
                <w:rFonts w:ascii="Times New Roman" w:hAnsi="Times New Roman"/>
                <w:sz w:val="24"/>
                <w:szCs w:val="24"/>
              </w:rPr>
              <w:t xml:space="preserve"> kde je zavedený miestny poplatok za rozvoj. V súčasnosti ide o približne o územie 82 obcí. Návrh sa teda netýka plošne všetkých podnikateľov, ale iba tých</w:t>
            </w:r>
            <w:r w:rsidR="00752B0F">
              <w:rPr>
                <w:rFonts w:ascii="Times New Roman" w:hAnsi="Times New Roman"/>
                <w:sz w:val="24"/>
                <w:szCs w:val="24"/>
              </w:rPr>
              <w:t>,</w:t>
            </w:r>
            <w:r w:rsidRPr="00C757E2">
              <w:rPr>
                <w:rFonts w:ascii="Times New Roman" w:hAnsi="Times New Roman"/>
                <w:sz w:val="24"/>
                <w:szCs w:val="24"/>
              </w:rPr>
              <w:t xml:space="preserve"> ktorí na území vybraných obcí realizujú pozemnú stavbu, ktorá je predmetom poplatku. Z dostupnej štatistiky nie je možné rozčleniť právnické osoby na MSP a ostatné</w:t>
            </w:r>
            <w:r w:rsidRPr="00752B0F">
              <w:rPr>
                <w:rFonts w:ascii="Times New Roman" w:hAnsi="Times New Roman"/>
                <w:sz w:val="24"/>
                <w:szCs w:val="24"/>
              </w:rPr>
              <w:t>. Vplyv na podnikateľské subjekty je v dôsledku zvýšenia právnej istoty a jednoznačného ustálenia právnej úpravy pozitívny.</w:t>
            </w:r>
          </w:p>
          <w:p w:rsidR="00196E2D" w:rsidRDefault="00196E2D" w:rsidP="00196E2D">
            <w:pPr>
              <w:jc w:val="both"/>
              <w:rPr>
                <w:rFonts w:ascii="Times New Roman" w:hAnsi="Times New Roman"/>
                <w:sz w:val="24"/>
                <w:szCs w:val="24"/>
              </w:rPr>
            </w:pPr>
          </w:p>
          <w:p w:rsidR="00196E2D" w:rsidRPr="00C757E2" w:rsidRDefault="00752B0F" w:rsidP="00196E2D">
            <w:pPr>
              <w:jc w:val="both"/>
              <w:rPr>
                <w:rFonts w:ascii="Times New Roman" w:hAnsi="Times New Roman"/>
                <w:sz w:val="24"/>
                <w:szCs w:val="24"/>
              </w:rPr>
            </w:pPr>
            <w:r>
              <w:rPr>
                <w:rFonts w:ascii="Times New Roman" w:hAnsi="Times New Roman"/>
                <w:sz w:val="24"/>
                <w:szCs w:val="24"/>
              </w:rPr>
              <w:t>Predpokladá sa z</w:t>
            </w:r>
            <w:r w:rsidR="00196E2D" w:rsidRPr="00C757E2">
              <w:rPr>
                <w:rFonts w:ascii="Times New Roman" w:hAnsi="Times New Roman"/>
                <w:sz w:val="24"/>
                <w:szCs w:val="24"/>
              </w:rPr>
              <w:t>níženie administratívnych nákladov vďaka eliminácii súčasnej plošnej administratívnej záťaže poplatníkov, ktorí zrušením pôvodného ustanovenia § 4 ods. 3 zákona a nahradením novým ustanovením už nebudú musieť povinne splniť si oznamovaciu povinnosť pri vymedzených stavbách najneskôr v momente vzniku poplatkovej povinnosti.</w:t>
            </w:r>
          </w:p>
          <w:p w:rsidR="00196E2D" w:rsidRDefault="00752B0F" w:rsidP="00196E2D">
            <w:pPr>
              <w:jc w:val="both"/>
              <w:rPr>
                <w:rFonts w:ascii="Times New Roman" w:hAnsi="Times New Roman"/>
                <w:sz w:val="24"/>
                <w:szCs w:val="24"/>
              </w:rPr>
            </w:pPr>
            <w:r>
              <w:rPr>
                <w:rFonts w:ascii="Times New Roman" w:hAnsi="Times New Roman"/>
                <w:sz w:val="24"/>
                <w:szCs w:val="24"/>
              </w:rPr>
              <w:t>Predpokladá sa zvýšenie</w:t>
            </w:r>
            <w:r w:rsidR="00196E2D" w:rsidRPr="00C757E2">
              <w:rPr>
                <w:rFonts w:ascii="Times New Roman" w:hAnsi="Times New Roman"/>
                <w:sz w:val="24"/>
                <w:szCs w:val="24"/>
              </w:rPr>
              <w:t xml:space="preserve"> administratívnych nákladov </w:t>
            </w:r>
            <w:r>
              <w:rPr>
                <w:rFonts w:ascii="Times New Roman" w:hAnsi="Times New Roman"/>
                <w:sz w:val="24"/>
                <w:szCs w:val="24"/>
              </w:rPr>
              <w:t xml:space="preserve">tým </w:t>
            </w:r>
            <w:r w:rsidR="00196E2D" w:rsidRPr="00C757E2">
              <w:rPr>
                <w:rFonts w:ascii="Times New Roman" w:hAnsi="Times New Roman"/>
                <w:sz w:val="24"/>
                <w:szCs w:val="24"/>
              </w:rPr>
              <w:t>podnikateľským subjektom, ktor</w:t>
            </w:r>
            <w:r>
              <w:rPr>
                <w:rFonts w:ascii="Times New Roman" w:hAnsi="Times New Roman"/>
                <w:sz w:val="24"/>
                <w:szCs w:val="24"/>
              </w:rPr>
              <w:t>ým obec zašle individuálnu výzvu</w:t>
            </w:r>
            <w:r w:rsidR="00196E2D" w:rsidRPr="00C757E2">
              <w:rPr>
                <w:rFonts w:ascii="Times New Roman" w:hAnsi="Times New Roman"/>
                <w:sz w:val="24"/>
                <w:szCs w:val="24"/>
              </w:rPr>
              <w:t xml:space="preserve"> na oznámenie výmery podlahovej plochy nadzemnej časti realizovanej stavby v štruktúre podľa účelu jej využitia tak, ako je uvedené v prílohe návrhu zákona. Predpokladá sa, že tento inštitút bude voči poplatníkom využ</w:t>
            </w:r>
            <w:r>
              <w:rPr>
                <w:rFonts w:ascii="Times New Roman" w:hAnsi="Times New Roman"/>
                <w:sz w:val="24"/>
                <w:szCs w:val="24"/>
              </w:rPr>
              <w:t>ívaný sporadicky a individuálne a</w:t>
            </w:r>
            <w:r w:rsidR="00196E2D" w:rsidRPr="00C757E2">
              <w:rPr>
                <w:rFonts w:ascii="Times New Roman" w:hAnsi="Times New Roman"/>
                <w:sz w:val="24"/>
                <w:szCs w:val="24"/>
              </w:rPr>
              <w:t xml:space="preserve"> bude sa týkať menšieho počtu podnikateľských subjektov.</w:t>
            </w:r>
          </w:p>
          <w:p w:rsidR="005E4F97" w:rsidRDefault="005E4F97" w:rsidP="00196E2D">
            <w:pPr>
              <w:jc w:val="both"/>
              <w:rPr>
                <w:rFonts w:ascii="Times New Roman" w:hAnsi="Times New Roman"/>
                <w:sz w:val="24"/>
                <w:szCs w:val="24"/>
              </w:rPr>
            </w:pPr>
          </w:p>
          <w:p w:rsidR="00196E2D" w:rsidRDefault="005E4F97" w:rsidP="00196E2D">
            <w:pPr>
              <w:jc w:val="both"/>
              <w:rPr>
                <w:rFonts w:ascii="Times New Roman" w:hAnsi="Times New Roman"/>
                <w:sz w:val="24"/>
                <w:szCs w:val="24"/>
                <w:lang w:eastAsia="sk-SK"/>
              </w:rPr>
            </w:pPr>
            <w:r w:rsidRPr="00C757E2">
              <w:rPr>
                <w:rFonts w:ascii="Times New Roman" w:hAnsi="Times New Roman"/>
                <w:b/>
                <w:sz w:val="24"/>
                <w:szCs w:val="24"/>
              </w:rPr>
              <w:t>Analýza vplyvov na životné prostredie</w:t>
            </w:r>
          </w:p>
          <w:p w:rsidR="00196E2D" w:rsidRPr="00C24CC2" w:rsidRDefault="005E4F97" w:rsidP="00752B0F">
            <w:pPr>
              <w:jc w:val="both"/>
              <w:rPr>
                <w:rFonts w:ascii="Times New Roman" w:hAnsi="Times New Roman"/>
                <w:sz w:val="24"/>
                <w:szCs w:val="24"/>
              </w:rPr>
            </w:pPr>
            <w:r w:rsidRPr="00C757E2">
              <w:rPr>
                <w:rFonts w:ascii="Times New Roman" w:hAnsi="Times New Roman"/>
                <w:sz w:val="24"/>
                <w:szCs w:val="24"/>
              </w:rPr>
              <w:t xml:space="preserve">Doplnenie ustanovenia v § 3 ods. 2, na základe ktorého sa bude z podlahovej plochy realizovanej stavby odpočítavať pôvodná podlahová plocha nadzemnej časti zbúranej stavby, </w:t>
            </w:r>
            <w:r w:rsidR="00752B0F">
              <w:rPr>
                <w:rFonts w:ascii="Times New Roman" w:hAnsi="Times New Roman"/>
                <w:sz w:val="24"/>
                <w:szCs w:val="24"/>
              </w:rPr>
              <w:t>bude mať mier</w:t>
            </w:r>
            <w:r w:rsidRPr="00C757E2">
              <w:rPr>
                <w:rFonts w:ascii="Times New Roman" w:hAnsi="Times New Roman"/>
                <w:sz w:val="24"/>
                <w:szCs w:val="24"/>
              </w:rPr>
              <w:t xml:space="preserve">ne pozitívny vplyv na hospodárenie s pôdnym fondom, keďže sa v zákone jasne vymedzí spôsob zápočtu pôvodnej podlahovej plochy do základu poplatku. Zvýši sa tým motivácia na rekultiváciu predtým zabranej a zastavanej pôdy – napr. odstránenie starých nevyužiteľných rodinných domov na novú bytovú výstavbu, resp. nová výstavba v tzv. </w:t>
            </w:r>
            <w:proofErr w:type="spellStart"/>
            <w:r w:rsidRPr="00C757E2">
              <w:rPr>
                <w:rFonts w:ascii="Times New Roman" w:hAnsi="Times New Roman"/>
                <w:sz w:val="24"/>
                <w:szCs w:val="24"/>
              </w:rPr>
              <w:t>brownfieldoch</w:t>
            </w:r>
            <w:proofErr w:type="spellEnd"/>
            <w:r w:rsidRPr="00C757E2">
              <w:rPr>
                <w:rFonts w:ascii="Times New Roman" w:hAnsi="Times New Roman"/>
                <w:sz w:val="24"/>
                <w:szCs w:val="24"/>
              </w:rPr>
              <w:t xml:space="preserve"> a iných pozemkoch s konštrukčne nevhodnými, resp. </w:t>
            </w:r>
            <w:proofErr w:type="spellStart"/>
            <w:r w:rsidRPr="00C757E2">
              <w:rPr>
                <w:rFonts w:ascii="Times New Roman" w:hAnsi="Times New Roman"/>
                <w:sz w:val="24"/>
                <w:szCs w:val="24"/>
              </w:rPr>
              <w:t>nezrekonštruovateľnými</w:t>
            </w:r>
            <w:proofErr w:type="spellEnd"/>
            <w:r w:rsidRPr="00C757E2">
              <w:rPr>
                <w:rFonts w:ascii="Times New Roman" w:hAnsi="Times New Roman"/>
                <w:sz w:val="24"/>
                <w:szCs w:val="24"/>
              </w:rPr>
              <w:t xml:space="preserve"> stavbami.</w:t>
            </w:r>
          </w:p>
        </w:tc>
      </w:tr>
      <w:tr w:rsidR="00AD61D3" w:rsidRPr="004A6AFD" w:rsidTr="00F07578">
        <w:tc>
          <w:tcPr>
            <w:tcW w:w="9176" w:type="dxa"/>
            <w:tcBorders>
              <w:bottom w:val="single" w:sz="4" w:space="0" w:color="FFFFFF" w:themeColor="background1"/>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lastRenderedPageBreak/>
              <w:t>Kontakt na spracovateľa</w:t>
            </w:r>
          </w:p>
        </w:tc>
      </w:tr>
      <w:tr w:rsidR="00AD61D3" w:rsidRPr="004A6AFD" w:rsidTr="00F07578">
        <w:trPr>
          <w:trHeight w:val="586"/>
        </w:trPr>
        <w:tc>
          <w:tcPr>
            <w:tcW w:w="9176" w:type="dxa"/>
            <w:tcBorders>
              <w:top w:val="single" w:sz="4" w:space="0" w:color="FFFFFF" w:themeColor="background1"/>
            </w:tcBorders>
            <w:shd w:val="clear" w:color="auto" w:fill="FFFFFF" w:themeFill="background1"/>
          </w:tcPr>
          <w:p w:rsidR="00AD61D3" w:rsidRPr="003C25DF" w:rsidRDefault="003C25DF" w:rsidP="00F07578">
            <w:pPr>
              <w:rPr>
                <w:rFonts w:ascii="Times New Roman" w:hAnsi="Times New Roman"/>
                <w:sz w:val="24"/>
                <w:szCs w:val="24"/>
                <w:lang w:val="en-US"/>
              </w:rPr>
            </w:pPr>
            <w:proofErr w:type="spellStart"/>
            <w:r>
              <w:rPr>
                <w:rFonts w:ascii="Times New Roman" w:hAnsi="Times New Roman"/>
                <w:sz w:val="24"/>
                <w:szCs w:val="24"/>
              </w:rPr>
              <w:t>peter</w:t>
            </w:r>
            <w:r w:rsidR="00781D2A">
              <w:rPr>
                <w:rFonts w:ascii="Times New Roman" w:hAnsi="Times New Roman"/>
                <w:sz w:val="24"/>
                <w:szCs w:val="24"/>
              </w:rPr>
              <w:t>_</w:t>
            </w:r>
            <w:r>
              <w:rPr>
                <w:rFonts w:ascii="Times New Roman" w:hAnsi="Times New Roman"/>
                <w:sz w:val="24"/>
                <w:szCs w:val="24"/>
              </w:rPr>
              <w:t>antal</w:t>
            </w:r>
            <w:proofErr w:type="spellEnd"/>
            <w:r>
              <w:rPr>
                <w:rFonts w:ascii="Times New Roman" w:hAnsi="Times New Roman"/>
                <w:sz w:val="24"/>
                <w:szCs w:val="24"/>
                <w:lang w:val="en-US"/>
              </w:rPr>
              <w:t>@nrsr.sk</w:t>
            </w:r>
          </w:p>
        </w:tc>
      </w:tr>
      <w:tr w:rsidR="00AD61D3" w:rsidRPr="004A6AFD" w:rsidTr="00F07578">
        <w:tc>
          <w:tcPr>
            <w:tcW w:w="9176" w:type="dxa"/>
            <w:tcBorders>
              <w:bottom w:val="single" w:sz="4" w:space="0" w:color="FFFFFF" w:themeColor="background1"/>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Zdroje</w:t>
            </w:r>
          </w:p>
        </w:tc>
      </w:tr>
      <w:tr w:rsidR="00AD61D3" w:rsidRPr="004A6AFD" w:rsidTr="00F07578">
        <w:trPr>
          <w:trHeight w:val="401"/>
        </w:trPr>
        <w:tc>
          <w:tcPr>
            <w:tcW w:w="9176" w:type="dxa"/>
            <w:tcBorders>
              <w:top w:val="single" w:sz="4" w:space="0" w:color="FFFFFF" w:themeColor="background1"/>
            </w:tcBorders>
            <w:shd w:val="clear" w:color="auto" w:fill="FFFFFF" w:themeFill="background1"/>
          </w:tcPr>
          <w:p w:rsidR="00AD61D3" w:rsidRPr="00C24CC2" w:rsidRDefault="00AD61D3" w:rsidP="00F07578">
            <w:pPr>
              <w:jc w:val="both"/>
              <w:rPr>
                <w:rFonts w:ascii="Times New Roman" w:hAnsi="Times New Roman"/>
                <w:sz w:val="24"/>
                <w:szCs w:val="24"/>
              </w:rPr>
            </w:pPr>
          </w:p>
        </w:tc>
      </w:tr>
      <w:tr w:rsidR="00AD61D3" w:rsidRPr="004A6AFD" w:rsidTr="00F07578">
        <w:tc>
          <w:tcPr>
            <w:tcW w:w="9176" w:type="dxa"/>
            <w:tcBorders>
              <w:bottom w:val="single" w:sz="4" w:space="0" w:color="FFFFFF" w:themeColor="background1"/>
            </w:tcBorders>
            <w:shd w:val="clear" w:color="auto" w:fill="E2E2E2"/>
          </w:tcPr>
          <w:p w:rsidR="00AD61D3" w:rsidRPr="004A6AFD" w:rsidRDefault="00AD61D3" w:rsidP="00F07578">
            <w:pPr>
              <w:pStyle w:val="Odsekzoznamu"/>
              <w:numPr>
                <w:ilvl w:val="0"/>
                <w:numId w:val="10"/>
              </w:numPr>
              <w:spacing w:after="0" w:line="240" w:lineRule="auto"/>
              <w:ind w:left="426"/>
              <w:rPr>
                <w:rFonts w:ascii="Times New Roman" w:hAnsi="Times New Roman"/>
                <w:b/>
                <w:sz w:val="24"/>
                <w:szCs w:val="24"/>
              </w:rPr>
            </w:pPr>
            <w:r w:rsidRPr="004A6AFD">
              <w:rPr>
                <w:rFonts w:ascii="Times New Roman" w:hAnsi="Times New Roman"/>
                <w:b/>
                <w:sz w:val="24"/>
                <w:szCs w:val="24"/>
              </w:rPr>
              <w:t>Stanovisko Komisie pre posudzovanie vybraných vplyvov z PPK</w:t>
            </w:r>
          </w:p>
        </w:tc>
      </w:tr>
      <w:tr w:rsidR="00AD61D3" w:rsidRPr="004A6AFD" w:rsidTr="00F07578">
        <w:tc>
          <w:tcPr>
            <w:tcW w:w="9176" w:type="dxa"/>
            <w:tcBorders>
              <w:top w:val="single" w:sz="4" w:space="0" w:color="FFFFFF" w:themeColor="background1"/>
            </w:tcBorders>
            <w:shd w:val="clear" w:color="auto" w:fill="FFFFFF" w:themeFill="background1"/>
          </w:tcPr>
          <w:p w:rsidR="00AD61D3" w:rsidRPr="004A6AFD" w:rsidRDefault="00AD61D3" w:rsidP="00F07578">
            <w:pPr>
              <w:jc w:val="both"/>
              <w:rPr>
                <w:rFonts w:ascii="Times New Roman" w:hAnsi="Times New Roman"/>
                <w:b/>
                <w:sz w:val="24"/>
                <w:szCs w:val="24"/>
              </w:rPr>
            </w:pPr>
          </w:p>
        </w:tc>
      </w:tr>
    </w:tbl>
    <w:p w:rsidR="00A85B48" w:rsidRDefault="00A85B48" w:rsidP="005E4F97">
      <w:pPr>
        <w:spacing w:after="200" w:line="276" w:lineRule="auto"/>
      </w:pPr>
    </w:p>
    <w:sectPr w:rsidR="00A85B48" w:rsidSect="0023156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0D1" w:rsidRDefault="003050D1">
      <w:pPr>
        <w:spacing w:after="0" w:line="240" w:lineRule="auto"/>
      </w:pPr>
      <w:r>
        <w:separator/>
      </w:r>
    </w:p>
  </w:endnote>
  <w:endnote w:type="continuationSeparator" w:id="0">
    <w:p w:rsidR="003050D1" w:rsidRDefault="0030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09611"/>
      <w:docPartObj>
        <w:docPartGallery w:val="Page Numbers (Bottom of Page)"/>
        <w:docPartUnique/>
      </w:docPartObj>
    </w:sdtPr>
    <w:sdtEndPr>
      <w:rPr>
        <w:rFonts w:ascii="Times New Roman" w:hAnsi="Times New Roman" w:cs="Times New Roman"/>
        <w:sz w:val="24"/>
        <w:szCs w:val="24"/>
      </w:rPr>
    </w:sdtEndPr>
    <w:sdtContent>
      <w:p w:rsidR="0084342D" w:rsidRPr="00231568" w:rsidRDefault="00AD61D3">
        <w:pPr>
          <w:pStyle w:val="Pta"/>
          <w:jc w:val="right"/>
          <w:rPr>
            <w:rFonts w:ascii="Times New Roman" w:hAnsi="Times New Roman" w:cs="Times New Roman"/>
            <w:sz w:val="24"/>
            <w:szCs w:val="24"/>
          </w:rPr>
        </w:pPr>
        <w:r w:rsidRPr="00231568">
          <w:rPr>
            <w:rFonts w:ascii="Times New Roman" w:hAnsi="Times New Roman" w:cs="Times New Roman"/>
            <w:sz w:val="24"/>
            <w:szCs w:val="24"/>
          </w:rPr>
          <w:fldChar w:fldCharType="begin"/>
        </w:r>
        <w:r w:rsidRPr="00231568">
          <w:rPr>
            <w:rFonts w:ascii="Times New Roman" w:hAnsi="Times New Roman" w:cs="Times New Roman"/>
            <w:sz w:val="24"/>
            <w:szCs w:val="24"/>
          </w:rPr>
          <w:instrText>PAGE   \* MERGEFORMAT</w:instrText>
        </w:r>
        <w:r w:rsidRPr="00231568">
          <w:rPr>
            <w:rFonts w:ascii="Times New Roman" w:hAnsi="Times New Roman" w:cs="Times New Roman"/>
            <w:sz w:val="24"/>
            <w:szCs w:val="24"/>
          </w:rPr>
          <w:fldChar w:fldCharType="separate"/>
        </w:r>
        <w:r w:rsidR="009E2E38">
          <w:rPr>
            <w:rFonts w:ascii="Times New Roman" w:hAnsi="Times New Roman" w:cs="Times New Roman"/>
            <w:noProof/>
            <w:sz w:val="24"/>
            <w:szCs w:val="24"/>
          </w:rPr>
          <w:t>10</w:t>
        </w:r>
        <w:r w:rsidRPr="00231568">
          <w:rPr>
            <w:rFonts w:ascii="Times New Roman" w:hAnsi="Times New Roman" w:cs="Times New Roman"/>
            <w:sz w:val="24"/>
            <w:szCs w:val="24"/>
          </w:rPr>
          <w:fldChar w:fldCharType="end"/>
        </w:r>
      </w:p>
    </w:sdtContent>
  </w:sdt>
  <w:p w:rsidR="0084342D" w:rsidRDefault="003050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0D1" w:rsidRDefault="003050D1">
      <w:pPr>
        <w:spacing w:after="0" w:line="240" w:lineRule="auto"/>
      </w:pPr>
      <w:r>
        <w:separator/>
      </w:r>
    </w:p>
  </w:footnote>
  <w:footnote w:type="continuationSeparator" w:id="0">
    <w:p w:rsidR="003050D1" w:rsidRDefault="00305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5E1"/>
    <w:multiLevelType w:val="hybridMultilevel"/>
    <w:tmpl w:val="E6282E16"/>
    <w:lvl w:ilvl="0" w:tplc="8D44D0F0">
      <w:start w:val="2"/>
      <w:numFmt w:val="lowerLetter"/>
      <w:lvlText w:val="%1)"/>
      <w:lvlJc w:val="left"/>
      <w:pPr>
        <w:ind w:left="1440" w:hanging="360"/>
      </w:pPr>
      <w:rPr>
        <w:rFonts w:cs="Times New Roman" w:hint="default"/>
      </w:rPr>
    </w:lvl>
    <w:lvl w:ilvl="1" w:tplc="041B0017">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FA1458F"/>
    <w:multiLevelType w:val="hybridMultilevel"/>
    <w:tmpl w:val="B20AD7E8"/>
    <w:lvl w:ilvl="0" w:tplc="E506D1E4">
      <w:start w:val="1"/>
      <w:numFmt w:val="upperRoman"/>
      <w:lvlText w:val="%1."/>
      <w:lvlJc w:val="left"/>
      <w:pPr>
        <w:ind w:left="1004" w:hanging="7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15:restartNumberingAfterBreak="0">
    <w:nsid w:val="1B943C20"/>
    <w:multiLevelType w:val="singleLevel"/>
    <w:tmpl w:val="A292463C"/>
    <w:lvl w:ilvl="0">
      <w:start w:val="1"/>
      <w:numFmt w:val="lowerLetter"/>
      <w:lvlText w:val="%1)"/>
      <w:lvlJc w:val="left"/>
      <w:pPr>
        <w:tabs>
          <w:tab w:val="num" w:pos="1130"/>
        </w:tabs>
        <w:ind w:left="1130" w:hanging="420"/>
      </w:pPr>
      <w:rPr>
        <w:rFonts w:cs="Times New Roman"/>
      </w:rPr>
    </w:lvl>
  </w:abstractNum>
  <w:abstractNum w:abstractNumId="3"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7CCA"/>
    <w:multiLevelType w:val="multilevel"/>
    <w:tmpl w:val="25B85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1EC07DA"/>
    <w:multiLevelType w:val="hybridMultilevel"/>
    <w:tmpl w:val="49B416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3AF20FA"/>
    <w:multiLevelType w:val="hybridMultilevel"/>
    <w:tmpl w:val="97F2B7D4"/>
    <w:lvl w:ilvl="0" w:tplc="E3DAA078">
      <w:start w:val="3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Times New Roman"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Times New Roman"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2F4A5F9C"/>
    <w:multiLevelType w:val="hybridMultilevel"/>
    <w:tmpl w:val="38B61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98015F"/>
    <w:multiLevelType w:val="hybridMultilevel"/>
    <w:tmpl w:val="18944192"/>
    <w:lvl w:ilvl="0" w:tplc="4F749A9E">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0BB08A6"/>
    <w:multiLevelType w:val="hybridMultilevel"/>
    <w:tmpl w:val="97620AF0"/>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17">
      <w:start w:val="1"/>
      <w:numFmt w:val="lowerLetter"/>
      <w:lvlText w:val="%2)"/>
      <w:lvlJc w:val="left"/>
      <w:pPr>
        <w:tabs>
          <w:tab w:val="num" w:pos="1620"/>
        </w:tabs>
        <w:ind w:left="1620" w:hanging="360"/>
      </w:pPr>
      <w:rPr>
        <w:rFonts w:cs="Times New Roman"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Times New Roman"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Times New Roman"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3" w15:restartNumberingAfterBreak="0">
    <w:nsid w:val="6BF03261"/>
    <w:multiLevelType w:val="hybridMultilevel"/>
    <w:tmpl w:val="69926042"/>
    <w:lvl w:ilvl="0" w:tplc="54082824">
      <w:start w:val="1"/>
      <w:numFmt w:val="decimal"/>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ED53852"/>
    <w:multiLevelType w:val="hybridMultilevel"/>
    <w:tmpl w:val="CFBE24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753C5B3F"/>
    <w:multiLevelType w:val="multilevel"/>
    <w:tmpl w:val="25B85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79DC3029"/>
    <w:multiLevelType w:val="hybridMultilevel"/>
    <w:tmpl w:val="0D748EDA"/>
    <w:lvl w:ilvl="0" w:tplc="3A1A8A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BDE54EF"/>
    <w:multiLevelType w:val="hybridMultilevel"/>
    <w:tmpl w:val="419C796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
  </w:num>
  <w:num w:numId="2">
    <w:abstractNumId w:val="12"/>
  </w:num>
  <w:num w:numId="3">
    <w:abstractNumId w:val="10"/>
  </w:num>
  <w:num w:numId="4">
    <w:abstractNumId w:val="3"/>
  </w:num>
  <w:num w:numId="5">
    <w:abstractNumId w:val="0"/>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7"/>
  </w:num>
  <w:num w:numId="11">
    <w:abstractNumId w:val="5"/>
  </w:num>
  <w:num w:numId="12">
    <w:abstractNumId w:val="16"/>
  </w:num>
  <w:num w:numId="13">
    <w:abstractNumId w:val="11"/>
  </w:num>
  <w:num w:numId="14">
    <w:abstractNumId w:val="14"/>
  </w:num>
  <w:num w:numId="15">
    <w:abstractNumId w:val="7"/>
  </w:num>
  <w:num w:numId="16">
    <w:abstractNumId w:val="6"/>
  </w:num>
  <w:num w:numId="17">
    <w:abstractNumId w:val="2"/>
    <w:lvlOverride w:ilvl="0">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D3"/>
    <w:rsid w:val="00024C2F"/>
    <w:rsid w:val="00196E2D"/>
    <w:rsid w:val="003050D1"/>
    <w:rsid w:val="003102C3"/>
    <w:rsid w:val="0039373D"/>
    <w:rsid w:val="003C25DF"/>
    <w:rsid w:val="00494A86"/>
    <w:rsid w:val="004F3EDE"/>
    <w:rsid w:val="005E4F97"/>
    <w:rsid w:val="005E6C74"/>
    <w:rsid w:val="00602887"/>
    <w:rsid w:val="006046BF"/>
    <w:rsid w:val="006B1C88"/>
    <w:rsid w:val="006C3550"/>
    <w:rsid w:val="00752B0F"/>
    <w:rsid w:val="00781D2A"/>
    <w:rsid w:val="00804790"/>
    <w:rsid w:val="00846632"/>
    <w:rsid w:val="008C2840"/>
    <w:rsid w:val="009D12F9"/>
    <w:rsid w:val="009E2E38"/>
    <w:rsid w:val="00A25230"/>
    <w:rsid w:val="00A85B48"/>
    <w:rsid w:val="00AD61D3"/>
    <w:rsid w:val="00AE53C9"/>
    <w:rsid w:val="00B30628"/>
    <w:rsid w:val="00C21630"/>
    <w:rsid w:val="00D92C3C"/>
    <w:rsid w:val="00EC5B05"/>
    <w:rsid w:val="00EE334E"/>
    <w:rsid w:val="00F50F91"/>
    <w:rsid w:val="00FA2E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EE31"/>
  <w15:chartTrackingRefBased/>
  <w15:docId w15:val="{BE7D7FC2-156E-4B1A-88C9-9ADC6E4C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61D3"/>
  </w:style>
  <w:style w:type="paragraph" w:styleId="Nadpis3">
    <w:name w:val="heading 3"/>
    <w:aliases w:val="Tab"/>
    <w:basedOn w:val="Normlny"/>
    <w:next w:val="Normlny"/>
    <w:link w:val="Nadpis3Char"/>
    <w:uiPriority w:val="99"/>
    <w:qFormat/>
    <w:rsid w:val="00AD61D3"/>
    <w:pPr>
      <w:keepNext/>
      <w:spacing w:after="0" w:line="240" w:lineRule="auto"/>
      <w:outlineLvl w:val="2"/>
    </w:pPr>
    <w:rPr>
      <w:rFonts w:ascii="Arial Narrow" w:eastAsia="Times New Roman" w:hAnsi="Arial Narrow" w:cs="Arial"/>
      <w:b/>
      <w:bCs/>
      <w:sz w:val="20"/>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Tab Char"/>
    <w:basedOn w:val="Predvolenpsmoodseku"/>
    <w:link w:val="Nadpis3"/>
    <w:uiPriority w:val="99"/>
    <w:rsid w:val="00AD61D3"/>
    <w:rPr>
      <w:rFonts w:ascii="Arial Narrow" w:eastAsia="Times New Roman" w:hAnsi="Arial Narrow" w:cs="Arial"/>
      <w:b/>
      <w:bCs/>
      <w:sz w:val="20"/>
      <w:szCs w:val="26"/>
      <w:lang w:eastAsia="sk-SK"/>
    </w:rPr>
  </w:style>
  <w:style w:type="paragraph" w:styleId="Hlavika">
    <w:name w:val="header"/>
    <w:basedOn w:val="Normlny"/>
    <w:link w:val="HlavikaChar"/>
    <w:uiPriority w:val="99"/>
    <w:unhideWhenUsed/>
    <w:rsid w:val="00AD61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D61D3"/>
  </w:style>
  <w:style w:type="paragraph" w:styleId="Pta">
    <w:name w:val="footer"/>
    <w:basedOn w:val="Normlny"/>
    <w:link w:val="PtaChar"/>
    <w:uiPriority w:val="99"/>
    <w:unhideWhenUsed/>
    <w:rsid w:val="00AD61D3"/>
    <w:pPr>
      <w:tabs>
        <w:tab w:val="center" w:pos="4536"/>
        <w:tab w:val="right" w:pos="9072"/>
      </w:tabs>
      <w:spacing w:after="0" w:line="240" w:lineRule="auto"/>
    </w:pPr>
  </w:style>
  <w:style w:type="character" w:customStyle="1" w:styleId="PtaChar">
    <w:name w:val="Päta Char"/>
    <w:basedOn w:val="Predvolenpsmoodseku"/>
    <w:link w:val="Pta"/>
    <w:uiPriority w:val="99"/>
    <w:rsid w:val="00AD61D3"/>
  </w:style>
  <w:style w:type="paragraph" w:styleId="Odsekzoznamu">
    <w:name w:val="List Paragraph"/>
    <w:aliases w:val="body,Odsek zoznamu2,Odsek zoznamu1,Odsek"/>
    <w:basedOn w:val="Normlny"/>
    <w:link w:val="OdsekzoznamuChar"/>
    <w:uiPriority w:val="34"/>
    <w:qFormat/>
    <w:rsid w:val="00AD61D3"/>
    <w:pPr>
      <w:spacing w:after="200" w:line="276" w:lineRule="auto"/>
      <w:ind w:left="720"/>
      <w:contextualSpacing/>
    </w:pPr>
    <w:rPr>
      <w:rFonts w:ascii="Arial Narrow" w:eastAsia="Times New Roman" w:hAnsi="Arial Narrow" w:cs="Times New Roman"/>
      <w:szCs w:val="36"/>
    </w:rPr>
  </w:style>
  <w:style w:type="character" w:styleId="Zstupntext">
    <w:name w:val="Placeholder Text"/>
    <w:basedOn w:val="Predvolenpsmoodseku"/>
    <w:uiPriority w:val="99"/>
    <w:semiHidden/>
    <w:rsid w:val="00AD61D3"/>
    <w:rPr>
      <w:rFonts w:ascii="Times New Roman" w:hAnsi="Times New Roman" w:cs="Times New Roman"/>
      <w:color w:val="000000"/>
    </w:rPr>
  </w:style>
  <w:style w:type="character" w:customStyle="1" w:styleId="OdsekzoznamuChar">
    <w:name w:val="Odsek zoznamu Char"/>
    <w:aliases w:val="body Char,Odsek zoznamu2 Char,Odsek zoznamu1 Char,Odsek Char"/>
    <w:basedOn w:val="Predvolenpsmoodseku"/>
    <w:link w:val="Odsekzoznamu"/>
    <w:uiPriority w:val="34"/>
    <w:locked/>
    <w:rsid w:val="00AD61D3"/>
    <w:rPr>
      <w:rFonts w:ascii="Arial Narrow" w:eastAsia="Times New Roman" w:hAnsi="Arial Narrow" w:cs="Times New Roman"/>
      <w:szCs w:val="36"/>
    </w:rPr>
  </w:style>
  <w:style w:type="paragraph" w:styleId="Normlnywebov">
    <w:name w:val="Normal (Web)"/>
    <w:basedOn w:val="Normlny"/>
    <w:uiPriority w:val="99"/>
    <w:semiHidden/>
    <w:unhideWhenUsed/>
    <w:rsid w:val="00AD61D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D61D3"/>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semiHidden/>
    <w:rsid w:val="00AD61D3"/>
    <w:rPr>
      <w:rFonts w:ascii="Tahoma" w:eastAsia="Times New Roman" w:hAnsi="Tahoma" w:cs="Tahoma"/>
      <w:sz w:val="16"/>
      <w:szCs w:val="16"/>
    </w:rPr>
  </w:style>
  <w:style w:type="paragraph" w:styleId="Nzov">
    <w:name w:val="Title"/>
    <w:basedOn w:val="Normlny"/>
    <w:link w:val="NzovChar"/>
    <w:uiPriority w:val="10"/>
    <w:qFormat/>
    <w:rsid w:val="00AD61D3"/>
    <w:pPr>
      <w:pBdr>
        <w:bottom w:val="single" w:sz="4" w:space="1" w:color="auto"/>
      </w:pBdr>
      <w:autoSpaceDE w:val="0"/>
      <w:autoSpaceDN w:val="0"/>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10"/>
    <w:rsid w:val="00AD61D3"/>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rsid w:val="00AD61D3"/>
    <w:pPr>
      <w:spacing w:after="0" w:line="240" w:lineRule="auto"/>
      <w:ind w:firstLine="709"/>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AD61D3"/>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AD61D3"/>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AD61D3"/>
    <w:rPr>
      <w:rFonts w:ascii="Times New Roman" w:eastAsia="Times New Roman" w:hAnsi="Times New Roman" w:cs="Times New Roman"/>
      <w:sz w:val="24"/>
      <w:szCs w:val="24"/>
      <w:lang w:eastAsia="cs-CZ"/>
    </w:rPr>
  </w:style>
  <w:style w:type="character" w:styleId="Zvraznenie">
    <w:name w:val="Emphasis"/>
    <w:basedOn w:val="Predvolenpsmoodseku"/>
    <w:uiPriority w:val="20"/>
    <w:qFormat/>
    <w:rsid w:val="00AD61D3"/>
    <w:rPr>
      <w:rFonts w:cs="Times New Roman"/>
      <w:i/>
    </w:rPr>
  </w:style>
  <w:style w:type="paragraph" w:customStyle="1" w:styleId="c02alineaalta">
    <w:name w:val="c02alineaalta"/>
    <w:basedOn w:val="Normlny"/>
    <w:rsid w:val="00AD61D3"/>
    <w:pPr>
      <w:spacing w:after="240" w:line="240" w:lineRule="auto"/>
      <w:ind w:left="567"/>
      <w:jc w:val="both"/>
    </w:pPr>
    <w:rPr>
      <w:rFonts w:ascii="Arial" w:eastAsia="Times New Roman" w:hAnsi="Arial" w:cs="Arial"/>
      <w:lang w:eastAsia="sk-SK"/>
    </w:rPr>
  </w:style>
  <w:style w:type="paragraph" w:customStyle="1" w:styleId="Zkladntext0">
    <w:name w:val="Zkladn text"/>
    <w:rsid w:val="00AD61D3"/>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paragraph" w:customStyle="1" w:styleId="Zkladntext1">
    <w:name w:val="Základní text"/>
    <w:rsid w:val="00AD61D3"/>
    <w:pPr>
      <w:widowControl w:val="0"/>
      <w:spacing w:after="0" w:line="240" w:lineRule="auto"/>
    </w:pPr>
    <w:rPr>
      <w:rFonts w:ascii="Times New Roman" w:eastAsia="Times New Roman" w:hAnsi="Times New Roman" w:cs="Times New Roman"/>
      <w:color w:val="000000"/>
      <w:sz w:val="20"/>
      <w:szCs w:val="20"/>
      <w:lang w:val="cs-CZ" w:eastAsia="sk-SK"/>
    </w:rPr>
  </w:style>
  <w:style w:type="character" w:styleId="slostrany">
    <w:name w:val="page number"/>
    <w:basedOn w:val="Predvolenpsmoodseku"/>
    <w:uiPriority w:val="99"/>
    <w:rsid w:val="00AD61D3"/>
    <w:rPr>
      <w:rFonts w:cs="Times New Roman"/>
    </w:rPr>
  </w:style>
  <w:style w:type="table" w:styleId="Mriekatabuky">
    <w:name w:val="Table Grid"/>
    <w:basedOn w:val="Normlnatabuka"/>
    <w:uiPriority w:val="59"/>
    <w:rsid w:val="00AD6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semiHidden/>
    <w:unhideWhenUsed/>
    <w:rsid w:val="00AD61D3"/>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D61D3"/>
    <w:rPr>
      <w:rFonts w:ascii="Times New Roman" w:eastAsia="Times New Roman" w:hAnsi="Times New Roman" w:cs="Times New Roman"/>
      <w:sz w:val="20"/>
      <w:szCs w:val="20"/>
      <w:lang w:eastAsia="sk-SK"/>
    </w:rPr>
  </w:style>
  <w:style w:type="character" w:customStyle="1" w:styleId="awspan1">
    <w:name w:val="awspan1"/>
    <w:basedOn w:val="Predvolenpsmoodseku"/>
    <w:rsid w:val="00AD61D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3409</Words>
  <Characters>19436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Mifková, Miroslava</dc:creator>
  <cp:keywords/>
  <dc:description/>
  <cp:lastModifiedBy>Mifková, Miroslava</cp:lastModifiedBy>
  <cp:revision>22</cp:revision>
  <dcterms:created xsi:type="dcterms:W3CDTF">2019-08-20T12:45:00Z</dcterms:created>
  <dcterms:modified xsi:type="dcterms:W3CDTF">2019-08-23T09:40:00Z</dcterms:modified>
</cp:coreProperties>
</file>