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spacing w:val="20"/>
          <w:kern w:val="1"/>
          <w:sz w:val="24"/>
          <w:szCs w:val="24"/>
        </w:rPr>
      </w:pPr>
      <w:r w:rsidRPr="008A2235">
        <w:rPr>
          <w:rFonts w:ascii="TimesNewRomanPS-BoldMT" w:hAnsi="TimesNewRomanPS-BoldMT" w:cs="TimesNewRomanPS-BoldMT"/>
          <w:b/>
          <w:bCs/>
          <w:spacing w:val="20"/>
          <w:kern w:val="1"/>
          <w:sz w:val="24"/>
          <w:szCs w:val="24"/>
        </w:rPr>
        <w:t>NÁRODNÁ  RADA  SLOVENSKEJ  REPUBLIKY</w:t>
      </w:r>
    </w:p>
    <w:p w:rsidR="003B628D" w:rsidRPr="008A2235" w:rsidRDefault="003B628D" w:rsidP="003B628D">
      <w:pPr>
        <w:widowControl w:val="0"/>
        <w:autoSpaceDE w:val="0"/>
        <w:autoSpaceDN w:val="0"/>
        <w:adjustRightInd w:val="0"/>
        <w:spacing w:before="120" w:after="0" w:line="276" w:lineRule="auto"/>
        <w:ind w:right="-1"/>
        <w:jc w:val="center"/>
        <w:rPr>
          <w:rFonts w:ascii="TimesNewRomanPSMT" w:hAnsi="TimesNewRomanPSMT" w:cs="TimesNewRomanPSMT"/>
          <w:spacing w:val="20"/>
          <w:kern w:val="1"/>
          <w:sz w:val="24"/>
          <w:szCs w:val="24"/>
        </w:rPr>
      </w:pPr>
    </w:p>
    <w:p w:rsidR="003B628D" w:rsidRPr="008A2235" w:rsidRDefault="003B628D" w:rsidP="003B628D">
      <w:pPr>
        <w:widowControl w:val="0"/>
        <w:autoSpaceDE w:val="0"/>
        <w:autoSpaceDN w:val="0"/>
        <w:adjustRightInd w:val="0"/>
        <w:spacing w:before="120" w:after="0" w:line="276" w:lineRule="auto"/>
        <w:ind w:right="-1"/>
        <w:jc w:val="center"/>
        <w:rPr>
          <w:rFonts w:ascii="TimesNewRomanPSMT" w:hAnsi="TimesNewRomanPSMT" w:cs="TimesNewRomanPSMT"/>
          <w:spacing w:val="20"/>
          <w:kern w:val="1"/>
          <w:sz w:val="24"/>
          <w:szCs w:val="24"/>
        </w:rPr>
      </w:pPr>
      <w:r w:rsidRPr="008A2235">
        <w:rPr>
          <w:rFonts w:ascii="TimesNewRomanPSMT" w:hAnsi="TimesNewRomanPSMT" w:cs="TimesNewRomanPSMT"/>
          <w:spacing w:val="20"/>
          <w:kern w:val="1"/>
          <w:sz w:val="24"/>
          <w:szCs w:val="24"/>
        </w:rPr>
        <w:t>VII. volebné obdobie</w:t>
      </w:r>
    </w:p>
    <w:p w:rsidR="003B628D" w:rsidRPr="008A2235" w:rsidRDefault="003B628D" w:rsidP="003B628D">
      <w:pPr>
        <w:widowControl w:val="0"/>
        <w:autoSpaceDE w:val="0"/>
        <w:autoSpaceDN w:val="0"/>
        <w:adjustRightInd w:val="0"/>
        <w:spacing w:before="120" w:after="0" w:line="276" w:lineRule="auto"/>
        <w:ind w:right="-1"/>
        <w:rPr>
          <w:rFonts w:ascii="TimesNewRomanPS-BoldMT" w:hAnsi="TimesNewRomanPS-BoldMT" w:cs="TimesNewRomanPS-BoldMT"/>
          <w:b/>
          <w:bCs/>
          <w:spacing w:val="30"/>
          <w:kern w:val="1"/>
          <w:sz w:val="24"/>
          <w:szCs w:val="24"/>
        </w:rPr>
      </w:pP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spacing w:val="30"/>
          <w:kern w:val="1"/>
          <w:sz w:val="24"/>
          <w:szCs w:val="24"/>
        </w:rPr>
      </w:pPr>
      <w:r w:rsidRPr="008A2235">
        <w:rPr>
          <w:rFonts w:ascii="TimesNewRomanPS-BoldMT" w:hAnsi="TimesNewRomanPS-BoldMT" w:cs="TimesNewRomanPS-BoldMT"/>
          <w:b/>
          <w:bCs/>
          <w:spacing w:val="30"/>
          <w:kern w:val="1"/>
          <w:sz w:val="24"/>
          <w:szCs w:val="24"/>
        </w:rPr>
        <w:t>Návrh</w:t>
      </w: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spacing w:val="30"/>
          <w:kern w:val="1"/>
          <w:sz w:val="24"/>
          <w:szCs w:val="24"/>
        </w:rPr>
      </w:pP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spacing w:val="30"/>
          <w:kern w:val="1"/>
          <w:sz w:val="24"/>
          <w:szCs w:val="24"/>
        </w:rPr>
      </w:pPr>
      <w:r w:rsidRPr="008A2235">
        <w:rPr>
          <w:rFonts w:ascii="TimesNewRomanPS-BoldMT" w:hAnsi="TimesNewRomanPS-BoldMT" w:cs="TimesNewRomanPS-BoldMT"/>
          <w:b/>
          <w:bCs/>
          <w:spacing w:val="30"/>
          <w:kern w:val="1"/>
          <w:sz w:val="24"/>
          <w:szCs w:val="24"/>
        </w:rPr>
        <w:t>zákon</w:t>
      </w:r>
    </w:p>
    <w:p w:rsidR="003B628D" w:rsidRPr="008A2235" w:rsidRDefault="003B628D" w:rsidP="003B628D">
      <w:pPr>
        <w:widowControl w:val="0"/>
        <w:autoSpaceDE w:val="0"/>
        <w:autoSpaceDN w:val="0"/>
        <w:adjustRightInd w:val="0"/>
        <w:spacing w:before="120" w:after="0" w:line="276" w:lineRule="auto"/>
        <w:ind w:right="-1"/>
        <w:jc w:val="center"/>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before="120" w:after="0" w:line="276" w:lineRule="auto"/>
        <w:ind w:right="-1"/>
        <w:jc w:val="center"/>
        <w:rPr>
          <w:rFonts w:ascii="TimesNewRomanPSMT" w:hAnsi="TimesNewRomanPSMT" w:cs="TimesNewRomanPSMT"/>
          <w:kern w:val="1"/>
          <w:sz w:val="24"/>
          <w:szCs w:val="24"/>
        </w:rPr>
      </w:pPr>
      <w:r w:rsidRPr="008A2235">
        <w:rPr>
          <w:rFonts w:ascii="TimesNewRomanPSMT" w:hAnsi="TimesNewRomanPSMT" w:cs="TimesNewRomanPSMT"/>
          <w:kern w:val="1"/>
          <w:sz w:val="24"/>
          <w:szCs w:val="24"/>
        </w:rPr>
        <w:t>z ... 2019,</w:t>
      </w:r>
    </w:p>
    <w:p w:rsidR="003B628D" w:rsidRPr="008A2235" w:rsidRDefault="003B628D" w:rsidP="003B628D">
      <w:pPr>
        <w:widowControl w:val="0"/>
        <w:autoSpaceDE w:val="0"/>
        <w:autoSpaceDN w:val="0"/>
        <w:adjustRightInd w:val="0"/>
        <w:spacing w:before="120" w:after="0" w:line="276" w:lineRule="auto"/>
        <w:ind w:right="-1"/>
        <w:jc w:val="center"/>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kern w:val="1"/>
          <w:sz w:val="24"/>
          <w:szCs w:val="24"/>
        </w:rPr>
      </w:pPr>
      <w:r w:rsidRPr="008A2235">
        <w:rPr>
          <w:rFonts w:ascii="TimesNewRomanPS-BoldMT" w:hAnsi="TimesNewRomanPS-BoldMT" w:cs="TimesNewRomanPS-BoldMT"/>
          <w:b/>
          <w:bCs/>
          <w:kern w:val="1"/>
          <w:sz w:val="24"/>
          <w:szCs w:val="24"/>
        </w:rPr>
        <w:t xml:space="preserve">ktorým sa mení a dopĺňa zákon č. 161/2015 Z. z. Civilný </w:t>
      </w:r>
      <w:proofErr w:type="spellStart"/>
      <w:r w:rsidRPr="008A2235">
        <w:rPr>
          <w:rFonts w:ascii="TimesNewRomanPS-BoldMT" w:hAnsi="TimesNewRomanPS-BoldMT" w:cs="TimesNewRomanPS-BoldMT"/>
          <w:b/>
          <w:bCs/>
          <w:kern w:val="1"/>
          <w:sz w:val="24"/>
          <w:szCs w:val="24"/>
        </w:rPr>
        <w:t>mimosporový</w:t>
      </w:r>
      <w:proofErr w:type="spellEnd"/>
      <w:r w:rsidRPr="008A2235">
        <w:rPr>
          <w:rFonts w:ascii="TimesNewRomanPS-BoldMT" w:hAnsi="TimesNewRomanPS-BoldMT" w:cs="TimesNewRomanPS-BoldMT"/>
          <w:b/>
          <w:bCs/>
          <w:kern w:val="1"/>
          <w:sz w:val="24"/>
          <w:szCs w:val="24"/>
        </w:rPr>
        <w:t xml:space="preserve"> poriadok v znení </w:t>
      </w:r>
      <w:r w:rsidRPr="008A2235">
        <w:rPr>
          <w:rFonts w:ascii="TimesNewRomanPS-BoldMT" w:hAnsi="TimesNewRomanPS-BoldMT" w:cs="TimesNewRomanPS-BoldMT"/>
          <w:b/>
          <w:bCs/>
          <w:color w:val="000000"/>
          <w:sz w:val="24"/>
          <w:szCs w:val="24"/>
        </w:rPr>
        <w:t xml:space="preserve"> zákona Národnej rady Slovenskej republiky </w:t>
      </w:r>
      <w:r w:rsidRPr="008A2235">
        <w:rPr>
          <w:rFonts w:ascii="TimesNewRomanPS-BoldMT" w:hAnsi="TimesNewRomanPS-BoldMT" w:cs="TimesNewRomanPS-BoldMT"/>
          <w:b/>
          <w:bCs/>
          <w:kern w:val="1"/>
          <w:sz w:val="24"/>
          <w:szCs w:val="24"/>
        </w:rPr>
        <w:t>č. 137/2019 Z. z.</w:t>
      </w: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kern w:val="1"/>
          <w:sz w:val="24"/>
          <w:szCs w:val="24"/>
        </w:rPr>
      </w:pPr>
    </w:p>
    <w:p w:rsidR="003B628D" w:rsidRPr="008A2235" w:rsidRDefault="003B628D" w:rsidP="003B628D">
      <w:pPr>
        <w:widowControl w:val="0"/>
        <w:autoSpaceDE w:val="0"/>
        <w:autoSpaceDN w:val="0"/>
        <w:adjustRightInd w:val="0"/>
        <w:spacing w:before="120" w:after="0" w:line="276" w:lineRule="auto"/>
        <w:ind w:right="-1"/>
        <w:jc w:val="both"/>
        <w:rPr>
          <w:rFonts w:ascii="TimesNewRomanPSMT" w:hAnsi="TimesNewRomanPSMT" w:cs="TimesNewRomanPSMT"/>
          <w:kern w:val="1"/>
          <w:sz w:val="24"/>
          <w:szCs w:val="24"/>
        </w:rPr>
      </w:pPr>
      <w:r w:rsidRPr="008A2235">
        <w:rPr>
          <w:rFonts w:ascii="TimesNewRomanPSMT" w:hAnsi="TimesNewRomanPSMT" w:cs="TimesNewRomanPSMT"/>
          <w:kern w:val="1"/>
          <w:sz w:val="24"/>
          <w:szCs w:val="24"/>
        </w:rPr>
        <w:t xml:space="preserve">Národná rada Slovenskej republiky sa uzniesla na tomto zákone: </w:t>
      </w:r>
    </w:p>
    <w:p w:rsidR="003B628D" w:rsidRPr="008A2235" w:rsidRDefault="003B628D" w:rsidP="003B628D">
      <w:pPr>
        <w:widowControl w:val="0"/>
        <w:autoSpaceDE w:val="0"/>
        <w:autoSpaceDN w:val="0"/>
        <w:adjustRightInd w:val="0"/>
        <w:spacing w:before="120" w:after="0" w:line="276" w:lineRule="auto"/>
        <w:ind w:right="-1"/>
        <w:jc w:val="both"/>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kern w:val="1"/>
          <w:sz w:val="24"/>
          <w:szCs w:val="24"/>
        </w:rPr>
      </w:pPr>
      <w:r w:rsidRPr="008A2235">
        <w:rPr>
          <w:rFonts w:ascii="TimesNewRomanPS-BoldMT" w:hAnsi="TimesNewRomanPS-BoldMT" w:cs="TimesNewRomanPS-BoldMT"/>
          <w:b/>
          <w:bCs/>
          <w:kern w:val="1"/>
          <w:sz w:val="24"/>
          <w:szCs w:val="24"/>
        </w:rPr>
        <w:t>Čl. I</w:t>
      </w:r>
    </w:p>
    <w:p w:rsidR="003B628D" w:rsidRPr="008A2235" w:rsidRDefault="003B628D" w:rsidP="003B628D">
      <w:pPr>
        <w:widowControl w:val="0"/>
        <w:autoSpaceDE w:val="0"/>
        <w:autoSpaceDN w:val="0"/>
        <w:adjustRightInd w:val="0"/>
        <w:spacing w:before="120" w:after="0" w:line="276" w:lineRule="auto"/>
        <w:ind w:right="-1"/>
        <w:jc w:val="both"/>
        <w:rPr>
          <w:rFonts w:ascii="TimesNewRomanPSMT" w:hAnsi="TimesNewRomanPSMT" w:cs="TimesNewRomanPSMT"/>
          <w:color w:val="231F20"/>
          <w:kern w:val="1"/>
          <w:sz w:val="24"/>
          <w:szCs w:val="24"/>
        </w:rPr>
      </w:pPr>
      <w:r w:rsidRPr="008A2235">
        <w:rPr>
          <w:rFonts w:ascii="TimesNewRomanPSMT" w:hAnsi="TimesNewRomanPSMT" w:cs="TimesNewRomanPSMT"/>
          <w:color w:val="231F20"/>
          <w:kern w:val="1"/>
          <w:sz w:val="24"/>
          <w:szCs w:val="24"/>
        </w:rPr>
        <w:t xml:space="preserve">Zákon č. </w:t>
      </w:r>
      <w:r w:rsidRPr="008A2235">
        <w:rPr>
          <w:rFonts w:ascii="TimesNewRomanPSMT" w:hAnsi="TimesNewRomanPSMT" w:cs="TimesNewRomanPSMT"/>
          <w:kern w:val="1"/>
          <w:sz w:val="24"/>
          <w:szCs w:val="24"/>
        </w:rPr>
        <w:t xml:space="preserve">161/2015 Z. z. Civilný </w:t>
      </w:r>
      <w:proofErr w:type="spellStart"/>
      <w:r w:rsidRPr="008A2235">
        <w:rPr>
          <w:rFonts w:ascii="TimesNewRomanPSMT" w:hAnsi="TimesNewRomanPSMT" w:cs="TimesNewRomanPSMT"/>
          <w:kern w:val="1"/>
          <w:sz w:val="24"/>
          <w:szCs w:val="24"/>
        </w:rPr>
        <w:t>mimosporový</w:t>
      </w:r>
      <w:proofErr w:type="spellEnd"/>
      <w:r w:rsidRPr="008A2235">
        <w:rPr>
          <w:rFonts w:ascii="TimesNewRomanPSMT" w:hAnsi="TimesNewRomanPSMT" w:cs="TimesNewRomanPSMT"/>
          <w:kern w:val="1"/>
          <w:sz w:val="24"/>
          <w:szCs w:val="24"/>
        </w:rPr>
        <w:t xml:space="preserve"> poriadok</w:t>
      </w:r>
      <w:r w:rsidRPr="008A2235">
        <w:rPr>
          <w:rFonts w:ascii="TimesNewRomanPSMT" w:hAnsi="TimesNewRomanPSMT" w:cs="TimesNewRomanPSMT"/>
          <w:color w:val="231F20"/>
          <w:kern w:val="1"/>
          <w:sz w:val="24"/>
          <w:szCs w:val="24"/>
        </w:rPr>
        <w:t xml:space="preserve">  </w:t>
      </w:r>
      <w:r w:rsidRPr="008A2235">
        <w:rPr>
          <w:rFonts w:ascii="TimesNewRomanPSMT" w:hAnsi="TimesNewRomanPSMT" w:cs="TimesNewRomanPSMT"/>
          <w:kern w:val="1"/>
          <w:sz w:val="24"/>
          <w:szCs w:val="24"/>
        </w:rPr>
        <w:t xml:space="preserve">v znení </w:t>
      </w:r>
      <w:r w:rsidRPr="008A2235">
        <w:rPr>
          <w:rFonts w:ascii="TimesNewRomanPSMT" w:hAnsi="TimesNewRomanPSMT" w:cs="TimesNewRomanPSMT"/>
          <w:color w:val="000000"/>
          <w:sz w:val="24"/>
          <w:szCs w:val="24"/>
        </w:rPr>
        <w:t xml:space="preserve"> zákona Národnej rady Slovenskej republiky </w:t>
      </w:r>
      <w:r w:rsidRPr="008A2235">
        <w:rPr>
          <w:rFonts w:ascii="TimesNewRomanPSMT" w:hAnsi="TimesNewRomanPSMT" w:cs="TimesNewRomanPSMT"/>
          <w:kern w:val="1"/>
          <w:sz w:val="24"/>
          <w:szCs w:val="24"/>
        </w:rPr>
        <w:t xml:space="preserve">č. 137/2019 Z. z. </w:t>
      </w:r>
      <w:r w:rsidRPr="008A2235">
        <w:rPr>
          <w:rFonts w:ascii="TimesNewRomanPSMT" w:hAnsi="TimesNewRomanPSMT" w:cs="TimesNewRomanPSMT"/>
          <w:color w:val="231F20"/>
          <w:kern w:val="1"/>
          <w:sz w:val="24"/>
          <w:szCs w:val="24"/>
        </w:rPr>
        <w:t>sa mení a dopĺňa takto:</w:t>
      </w:r>
    </w:p>
    <w:p w:rsidR="003B628D" w:rsidRPr="008A2235" w:rsidRDefault="003B628D" w:rsidP="003B628D">
      <w:pPr>
        <w:widowControl w:val="0"/>
        <w:autoSpaceDE w:val="0"/>
        <w:autoSpaceDN w:val="0"/>
        <w:adjustRightInd w:val="0"/>
        <w:spacing w:before="120" w:after="0" w:line="276" w:lineRule="auto"/>
        <w:ind w:right="-1"/>
        <w:jc w:val="both"/>
        <w:rPr>
          <w:rFonts w:ascii="TimesNewRomanPSMT" w:hAnsi="TimesNewRomanPSMT" w:cs="TimesNewRomanPSMT"/>
          <w:kern w:val="1"/>
          <w:sz w:val="24"/>
          <w:szCs w:val="24"/>
        </w:rPr>
      </w:pPr>
    </w:p>
    <w:p w:rsidR="003B628D" w:rsidRPr="008A2235"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8A2235">
        <w:rPr>
          <w:rFonts w:ascii="TimesNewRomanPSMT" w:hAnsi="TimesNewRomanPSMT" w:cs="TimesNewRomanPSMT"/>
          <w:kern w:val="1"/>
          <w:sz w:val="24"/>
          <w:szCs w:val="24"/>
        </w:rPr>
        <w:t>§ 28 znie:</w:t>
      </w:r>
    </w:p>
    <w:p w:rsidR="003B628D" w:rsidRPr="008A2235" w:rsidRDefault="003B628D" w:rsidP="003B628D">
      <w:pPr>
        <w:widowControl w:val="0"/>
        <w:tabs>
          <w:tab w:val="left" w:pos="566"/>
        </w:tabs>
        <w:autoSpaceDE w:val="0"/>
        <w:autoSpaceDN w:val="0"/>
        <w:adjustRightInd w:val="0"/>
        <w:spacing w:after="0" w:line="276" w:lineRule="auto"/>
        <w:ind w:right="-1"/>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color w:val="000000"/>
          <w:kern w:val="1"/>
          <w:sz w:val="24"/>
          <w:szCs w:val="24"/>
        </w:rPr>
      </w:pPr>
      <w:r w:rsidRPr="008A2235">
        <w:rPr>
          <w:rFonts w:ascii="TimesNewRomanPSMT" w:hAnsi="TimesNewRomanPSMT" w:cs="TimesNewRomanPSMT"/>
          <w:color w:val="000000"/>
          <w:kern w:val="1"/>
          <w:sz w:val="24"/>
          <w:szCs w:val="24"/>
        </w:rPr>
        <w:t xml:space="preserve">“(1) Navrhovateľ môže počas konania so súhlasom súdu meniť návrh na začatie konania. V konaniach, ktoré možno začať len na návrh, zmenený návrh doručí súd ostatným účastníkom do vlastných rúk, ak neboli prítomní na pojednávaní, na ktorom došlo k zmene. </w:t>
      </w:r>
    </w:p>
    <w:p w:rsidR="003B628D" w:rsidRPr="008A2235" w:rsidRDefault="003B628D" w:rsidP="003B628D">
      <w:pPr>
        <w:widowControl w:val="0"/>
        <w:autoSpaceDE w:val="0"/>
        <w:autoSpaceDN w:val="0"/>
        <w:adjustRightInd w:val="0"/>
        <w:spacing w:after="0" w:line="276" w:lineRule="auto"/>
        <w:ind w:right="-1" w:firstLine="567"/>
        <w:jc w:val="both"/>
        <w:rPr>
          <w:rFonts w:ascii="TimesNewRomanPSMT" w:hAnsi="TimesNewRomanPSMT" w:cs="TimesNewRomanPSMT"/>
          <w:color w:val="000000"/>
          <w:kern w:val="1"/>
          <w:sz w:val="24"/>
          <w:szCs w:val="24"/>
        </w:rPr>
      </w:pPr>
    </w:p>
    <w:p w:rsidR="003B628D" w:rsidRPr="008A2235" w:rsidRDefault="003B628D" w:rsidP="003B628D">
      <w:pPr>
        <w:widowControl w:val="0"/>
        <w:autoSpaceDE w:val="0"/>
        <w:autoSpaceDN w:val="0"/>
        <w:adjustRightInd w:val="0"/>
        <w:spacing w:after="0" w:line="276" w:lineRule="auto"/>
        <w:ind w:right="-1" w:firstLine="567"/>
        <w:jc w:val="both"/>
        <w:rPr>
          <w:rFonts w:ascii="TimesNewRomanPSMT" w:hAnsi="TimesNewRomanPSMT" w:cs="TimesNewRomanPSMT"/>
          <w:color w:val="000000"/>
          <w:kern w:val="1"/>
          <w:sz w:val="24"/>
          <w:szCs w:val="24"/>
        </w:rPr>
      </w:pPr>
      <w:r w:rsidRPr="008A2235">
        <w:rPr>
          <w:rFonts w:ascii="TimesNewRomanPSMT" w:hAnsi="TimesNewRomanPSMT" w:cs="TimesNewRomanPSMT"/>
          <w:color w:val="000000"/>
          <w:kern w:val="1"/>
          <w:sz w:val="24"/>
          <w:szCs w:val="24"/>
        </w:rPr>
        <w:t>(2) V konaniach, ktoré možno začať len na návrh , zmenu návrhu súd nepripustí, ak by výsledky konania nemohli byť podkladom pre konanie o zmenenom návrhu. Po vydaní uznesenia, ktorým súd zmenu návrhu nepripustil, pokračuje v konaní o pôvodnom návrhu.”</w:t>
      </w:r>
    </w:p>
    <w:p w:rsidR="003B628D" w:rsidRPr="008A2235" w:rsidRDefault="003B628D" w:rsidP="003B628D">
      <w:pPr>
        <w:widowControl w:val="0"/>
        <w:tabs>
          <w:tab w:val="left" w:pos="566"/>
        </w:tabs>
        <w:autoSpaceDE w:val="0"/>
        <w:autoSpaceDN w:val="0"/>
        <w:adjustRightInd w:val="0"/>
        <w:spacing w:after="0" w:line="276" w:lineRule="auto"/>
        <w:ind w:right="-1"/>
        <w:rPr>
          <w:rFonts w:ascii="TimesNewRomanPSMT" w:hAnsi="TimesNewRomanPSMT" w:cs="TimesNewRomanPSMT"/>
          <w:kern w:val="1"/>
          <w:sz w:val="24"/>
          <w:szCs w:val="24"/>
        </w:rPr>
      </w:pPr>
    </w:p>
    <w:p w:rsidR="003B628D" w:rsidRPr="008A2235" w:rsidRDefault="003B628D" w:rsidP="003B628D">
      <w:pPr>
        <w:widowControl w:val="0"/>
        <w:tabs>
          <w:tab w:val="left" w:pos="566"/>
        </w:tabs>
        <w:autoSpaceDE w:val="0"/>
        <w:autoSpaceDN w:val="0"/>
        <w:adjustRightInd w:val="0"/>
        <w:spacing w:after="0" w:line="276" w:lineRule="auto"/>
        <w:ind w:right="-1"/>
        <w:rPr>
          <w:rFonts w:ascii="TimesNewRomanPSMT" w:hAnsi="TimesNewRomanPSMT" w:cs="TimesNewRomanPSMT"/>
          <w:kern w:val="1"/>
          <w:sz w:val="24"/>
          <w:szCs w:val="24"/>
        </w:rPr>
      </w:pPr>
    </w:p>
    <w:p w:rsidR="003B628D" w:rsidRPr="008A2235"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8A2235">
        <w:rPr>
          <w:rFonts w:ascii="TimesNewRomanPSMT" w:hAnsi="TimesNewRomanPSMT" w:cs="TimesNewRomanPSMT"/>
          <w:kern w:val="1"/>
          <w:sz w:val="24"/>
          <w:szCs w:val="24"/>
        </w:rPr>
        <w:t>V § 29 sa za odsek 3 vkladá nový odsek 4, ktorý znie:</w:t>
      </w:r>
    </w:p>
    <w:p w:rsidR="003B628D" w:rsidRPr="008A2235"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rPr>
      </w:pPr>
    </w:p>
    <w:p w:rsidR="003B628D" w:rsidRPr="008A2235" w:rsidRDefault="003B628D" w:rsidP="003B628D">
      <w:pPr>
        <w:widowControl w:val="0"/>
        <w:tabs>
          <w:tab w:val="left" w:pos="291"/>
          <w:tab w:val="left" w:pos="487"/>
        </w:tabs>
        <w:autoSpaceDE w:val="0"/>
        <w:autoSpaceDN w:val="0"/>
        <w:adjustRightInd w:val="0"/>
        <w:spacing w:after="0" w:line="276" w:lineRule="auto"/>
        <w:ind w:right="-1"/>
        <w:jc w:val="both"/>
        <w:rPr>
          <w:rFonts w:ascii="TimesNewRomanPSMT" w:hAnsi="TimesNewRomanPSMT" w:cs="TimesNewRomanPSMT"/>
          <w:color w:val="000000"/>
          <w:kern w:val="1"/>
          <w:sz w:val="24"/>
          <w:szCs w:val="24"/>
        </w:rPr>
      </w:pPr>
      <w:r>
        <w:rPr>
          <w:rFonts w:ascii="TimesNewRomanPSMT" w:hAnsi="TimesNewRomanPSMT" w:cs="TimesNewRomanPSMT"/>
          <w:color w:val="000000"/>
          <w:kern w:val="1"/>
          <w:sz w:val="24"/>
          <w:szCs w:val="24"/>
        </w:rPr>
        <w:t xml:space="preserve">      “(4) </w:t>
      </w:r>
      <w:r w:rsidRPr="008A2235">
        <w:rPr>
          <w:rFonts w:ascii="TimesNewRomanPSMT" w:hAnsi="TimesNewRomanPSMT" w:cs="TimesNewRomanPSMT"/>
          <w:color w:val="000000"/>
          <w:kern w:val="1"/>
          <w:sz w:val="24"/>
          <w:szCs w:val="24"/>
        </w:rPr>
        <w:t>V konaniach, ktoré začal súd bez návrhu, ak pominú dôvody, pre ktoré tak urobil, súd konanie zastaví.”</w:t>
      </w:r>
    </w:p>
    <w:p w:rsidR="003B628D" w:rsidRPr="008A2235" w:rsidRDefault="003B628D" w:rsidP="003B628D">
      <w:pPr>
        <w:widowControl w:val="0"/>
        <w:tabs>
          <w:tab w:val="left" w:pos="291"/>
          <w:tab w:val="left" w:pos="487"/>
        </w:tabs>
        <w:autoSpaceDE w:val="0"/>
        <w:autoSpaceDN w:val="0"/>
        <w:adjustRightInd w:val="0"/>
        <w:spacing w:after="0" w:line="276" w:lineRule="auto"/>
        <w:ind w:right="-1"/>
        <w:jc w:val="both"/>
        <w:rPr>
          <w:rFonts w:ascii="TimesNewRomanPSMT" w:hAnsi="TimesNewRomanPSMT" w:cs="TimesNewRomanPSMT"/>
          <w:kern w:val="1"/>
          <w:sz w:val="24"/>
          <w:szCs w:val="24"/>
        </w:rPr>
      </w:pPr>
    </w:p>
    <w:p w:rsidR="003B628D" w:rsidRPr="008A2235"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8A2235">
        <w:rPr>
          <w:rFonts w:ascii="TimesNewRomanPSMT" w:hAnsi="TimesNewRomanPSMT" w:cs="TimesNewRomanPSMT"/>
          <w:kern w:val="1"/>
          <w:sz w:val="24"/>
          <w:szCs w:val="24"/>
        </w:rPr>
        <w:t xml:space="preserve"> Doterajší text § 36 sa označuje ako odsek 1 a dopĺňa odsekmi 2 a 3, ktoré znejú:</w:t>
      </w:r>
    </w:p>
    <w:p w:rsidR="003B628D" w:rsidRPr="008A2235" w:rsidRDefault="003B628D" w:rsidP="003B628D">
      <w:pPr>
        <w:widowControl w:val="0"/>
        <w:autoSpaceDE w:val="0"/>
        <w:autoSpaceDN w:val="0"/>
        <w:adjustRightInd w:val="0"/>
        <w:spacing w:after="0" w:line="276" w:lineRule="auto"/>
        <w:ind w:left="1353" w:right="-1"/>
        <w:jc w:val="both"/>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 xml:space="preserve">„(2) </w:t>
      </w:r>
      <w:r w:rsidRPr="008A2235">
        <w:rPr>
          <w:rFonts w:ascii="TimesNewRomanPSMT" w:hAnsi="TimesNewRomanPSMT" w:cs="TimesNewRomanPSMT"/>
          <w:kern w:val="1"/>
          <w:sz w:val="24"/>
          <w:szCs w:val="24"/>
        </w:rPr>
        <w:t xml:space="preserve">Súkromné znalecké posudky sú v konaniach podľa </w:t>
      </w:r>
      <w:r>
        <w:rPr>
          <w:rFonts w:ascii="TimesNewRomanPSMT" w:hAnsi="TimesNewRomanPSMT" w:cs="TimesNewRomanPSMT"/>
          <w:kern w:val="1"/>
          <w:sz w:val="24"/>
          <w:szCs w:val="24"/>
        </w:rPr>
        <w:t xml:space="preserve">druhého </w:t>
      </w:r>
      <w:r w:rsidRPr="008A2235">
        <w:rPr>
          <w:rFonts w:ascii="TimesNewRomanPSMT" w:hAnsi="TimesNewRomanPSMT" w:cs="TimesNewRomanPSMT"/>
          <w:kern w:val="1"/>
          <w:sz w:val="24"/>
          <w:szCs w:val="24"/>
        </w:rPr>
        <w:t>a piateho dielu</w:t>
      </w:r>
      <w:r>
        <w:rPr>
          <w:rFonts w:ascii="TimesNewRomanPSMT" w:hAnsi="TimesNewRomanPSMT" w:cs="TimesNewRomanPSMT"/>
          <w:kern w:val="1"/>
          <w:sz w:val="24"/>
          <w:szCs w:val="24"/>
        </w:rPr>
        <w:t xml:space="preserve"> prvej hlavy </w:t>
      </w:r>
      <w:r w:rsidRPr="008A2235">
        <w:rPr>
          <w:rFonts w:ascii="TimesNewRomanPSMT" w:hAnsi="TimesNewRomanPSMT" w:cs="TimesNewRomanPSMT"/>
          <w:kern w:val="1"/>
          <w:sz w:val="24"/>
          <w:szCs w:val="24"/>
        </w:rPr>
        <w:t>druhej č</w:t>
      </w:r>
      <w:r>
        <w:rPr>
          <w:rFonts w:ascii="TimesNewRomanPSMT" w:hAnsi="TimesNewRomanPSMT" w:cs="TimesNewRomanPSMT"/>
          <w:kern w:val="1"/>
          <w:sz w:val="24"/>
          <w:szCs w:val="24"/>
        </w:rPr>
        <w:t>asti a tretej</w:t>
      </w:r>
      <w:r w:rsidRPr="008A2235">
        <w:rPr>
          <w:rFonts w:ascii="TimesNewRomanPSMT" w:hAnsi="TimesNewRomanPSMT" w:cs="TimesNewRomanPSMT"/>
          <w:kern w:val="1"/>
          <w:sz w:val="24"/>
          <w:szCs w:val="24"/>
        </w:rPr>
        <w:t xml:space="preserve"> časti tohto zákona vylúč</w:t>
      </w:r>
      <w:r>
        <w:rPr>
          <w:rFonts w:ascii="TimesNewRomanPSMT" w:hAnsi="TimesNewRomanPSMT" w:cs="TimesNewRomanPSMT"/>
          <w:kern w:val="1"/>
          <w:sz w:val="24"/>
          <w:szCs w:val="24"/>
        </w:rPr>
        <w:t>ené. Súd na súkromné znalecké posudky predložené účastníkmi konania neprihliada.</w:t>
      </w: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after="0" w:line="276" w:lineRule="auto"/>
        <w:ind w:right="-1" w:firstLine="426"/>
        <w:jc w:val="both"/>
        <w:rPr>
          <w:rFonts w:ascii="TimesNewRomanPSMT" w:hAnsi="TimesNewRomanPSMT" w:cs="TimesNewRomanPSMT"/>
          <w:kern w:val="1"/>
          <w:sz w:val="24"/>
          <w:szCs w:val="24"/>
        </w:rPr>
      </w:pPr>
      <w:r>
        <w:rPr>
          <w:rFonts w:ascii="TimesNewRomanPSMT" w:hAnsi="TimesNewRomanPSMT" w:cs="TimesNewRomanPSMT"/>
          <w:kern w:val="1"/>
          <w:sz w:val="24"/>
          <w:szCs w:val="24"/>
        </w:rPr>
        <w:t>(3</w:t>
      </w:r>
      <w:r w:rsidRPr="008A2235">
        <w:rPr>
          <w:rFonts w:ascii="TimesNewRomanPSMT" w:hAnsi="TimesNewRomanPSMT" w:cs="TimesNewRomanPSMT"/>
          <w:kern w:val="1"/>
          <w:sz w:val="24"/>
          <w:szCs w:val="24"/>
        </w:rPr>
        <w:t xml:space="preserve">) Zo znaleckého dokazovania nariadeného súdom </w:t>
      </w:r>
      <w:r>
        <w:rPr>
          <w:rFonts w:ascii="TimesNewRomanPSMT" w:hAnsi="TimesNewRomanPSMT" w:cs="TimesNewRomanPSMT"/>
          <w:kern w:val="1"/>
          <w:sz w:val="24"/>
          <w:szCs w:val="24"/>
        </w:rPr>
        <w:t xml:space="preserve">vyhotoví znalec alebo znalcom poverená osoba </w:t>
      </w:r>
      <w:r w:rsidRPr="008A2235">
        <w:rPr>
          <w:rFonts w:ascii="TimesNewRomanPSMT" w:hAnsi="TimesNewRomanPSMT" w:cs="TimesNewRomanPSMT"/>
          <w:kern w:val="1"/>
          <w:sz w:val="24"/>
          <w:szCs w:val="24"/>
        </w:rPr>
        <w:t xml:space="preserve">v rámci konaní podľa </w:t>
      </w:r>
      <w:r>
        <w:rPr>
          <w:rFonts w:ascii="TimesNewRomanPSMT" w:hAnsi="TimesNewRomanPSMT" w:cs="TimesNewRomanPSMT"/>
          <w:kern w:val="1"/>
          <w:sz w:val="24"/>
          <w:szCs w:val="24"/>
        </w:rPr>
        <w:t xml:space="preserve">druhého </w:t>
      </w:r>
      <w:r w:rsidRPr="008A2235">
        <w:rPr>
          <w:rFonts w:ascii="TimesNewRomanPSMT" w:hAnsi="TimesNewRomanPSMT" w:cs="TimesNewRomanPSMT"/>
          <w:kern w:val="1"/>
          <w:sz w:val="24"/>
          <w:szCs w:val="24"/>
        </w:rPr>
        <w:t>a piateho dielu</w:t>
      </w:r>
      <w:r>
        <w:rPr>
          <w:rFonts w:ascii="TimesNewRomanPSMT" w:hAnsi="TimesNewRomanPSMT" w:cs="TimesNewRomanPSMT"/>
          <w:kern w:val="1"/>
          <w:sz w:val="24"/>
          <w:szCs w:val="24"/>
        </w:rPr>
        <w:t xml:space="preserve"> prvej hlavy </w:t>
      </w:r>
      <w:r w:rsidRPr="008A2235">
        <w:rPr>
          <w:rFonts w:ascii="TimesNewRomanPSMT" w:hAnsi="TimesNewRomanPSMT" w:cs="TimesNewRomanPSMT"/>
          <w:kern w:val="1"/>
          <w:sz w:val="24"/>
          <w:szCs w:val="24"/>
        </w:rPr>
        <w:t>druhej č</w:t>
      </w:r>
      <w:r>
        <w:rPr>
          <w:rFonts w:ascii="TimesNewRomanPSMT" w:hAnsi="TimesNewRomanPSMT" w:cs="TimesNewRomanPSMT"/>
          <w:kern w:val="1"/>
          <w:sz w:val="24"/>
          <w:szCs w:val="24"/>
        </w:rPr>
        <w:t>asti a tretej</w:t>
      </w:r>
      <w:r w:rsidRPr="008A2235">
        <w:rPr>
          <w:rFonts w:ascii="TimesNewRomanPSMT" w:hAnsi="TimesNewRomanPSMT" w:cs="TimesNewRomanPSMT"/>
          <w:kern w:val="1"/>
          <w:sz w:val="24"/>
          <w:szCs w:val="24"/>
        </w:rPr>
        <w:t xml:space="preserve"> časti tohto zákona </w:t>
      </w:r>
      <w:r>
        <w:rPr>
          <w:rFonts w:ascii="TimesNewRomanPSMT" w:hAnsi="TimesNewRomanPSMT" w:cs="TimesNewRomanPSMT"/>
          <w:kern w:val="1"/>
          <w:sz w:val="24"/>
          <w:szCs w:val="24"/>
        </w:rPr>
        <w:t xml:space="preserve">vyhotoví </w:t>
      </w:r>
      <w:r w:rsidRPr="008A2235">
        <w:rPr>
          <w:rFonts w:ascii="TimesNewRomanPSMT" w:hAnsi="TimesNewRomanPSMT" w:cs="TimesNewRomanPSMT"/>
          <w:kern w:val="1"/>
          <w:sz w:val="24"/>
          <w:szCs w:val="24"/>
        </w:rPr>
        <w:t>audiovizuálny záznam</w:t>
      </w:r>
      <w:r>
        <w:rPr>
          <w:rFonts w:ascii="TimesNewRomanPSMT" w:hAnsi="TimesNewRomanPSMT" w:cs="TimesNewRomanPSMT"/>
          <w:kern w:val="1"/>
          <w:sz w:val="24"/>
          <w:szCs w:val="24"/>
        </w:rPr>
        <w:t xml:space="preserve"> v prípade, že sa úkon znalca týka maloletého</w:t>
      </w:r>
      <w:r w:rsidRPr="008A2235">
        <w:rPr>
          <w:rFonts w:ascii="TimesNewRomanPSMT" w:hAnsi="TimesNewRomanPSMT" w:cs="TimesNewRomanPSMT"/>
          <w:kern w:val="1"/>
          <w:sz w:val="24"/>
          <w:szCs w:val="24"/>
        </w:rPr>
        <w:t>.“</w:t>
      </w:r>
    </w:p>
    <w:p w:rsidR="003B628D" w:rsidRPr="008A2235" w:rsidRDefault="003B628D" w:rsidP="003B628D">
      <w:pPr>
        <w:widowControl w:val="0"/>
        <w:autoSpaceDE w:val="0"/>
        <w:autoSpaceDN w:val="0"/>
        <w:adjustRightInd w:val="0"/>
        <w:spacing w:after="0" w:line="276" w:lineRule="auto"/>
        <w:ind w:left="1353" w:right="-1"/>
        <w:jc w:val="both"/>
        <w:rPr>
          <w:rFonts w:ascii="TimesNewRomanPSMT" w:hAnsi="TimesNewRomanPSMT" w:cs="TimesNewRomanPSMT"/>
          <w:kern w:val="1"/>
          <w:sz w:val="24"/>
          <w:szCs w:val="24"/>
        </w:rPr>
      </w:pPr>
    </w:p>
    <w:p w:rsidR="003B628D"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8A2235">
        <w:rPr>
          <w:rFonts w:ascii="TimesNewRomanPSMT" w:hAnsi="TimesNewRomanPSMT" w:cs="TimesNewRomanPSMT"/>
          <w:kern w:val="1"/>
          <w:sz w:val="24"/>
          <w:szCs w:val="24"/>
        </w:rPr>
        <w:t>V § 42 sa za slovo “desiatich” vkladá slovo “pracovných”.</w:t>
      </w:r>
    </w:p>
    <w:p w:rsidR="003B628D" w:rsidRDefault="003B628D" w:rsidP="003B628D">
      <w:pPr>
        <w:widowControl w:val="0"/>
        <w:autoSpaceDE w:val="0"/>
        <w:autoSpaceDN w:val="0"/>
        <w:adjustRightInd w:val="0"/>
        <w:spacing w:after="0" w:line="276" w:lineRule="auto"/>
        <w:ind w:left="720" w:right="-1"/>
        <w:rPr>
          <w:rFonts w:ascii="TimesNewRomanPSMT" w:hAnsi="TimesNewRomanPSMT" w:cs="TimesNewRomanPSMT"/>
          <w:kern w:val="1"/>
          <w:sz w:val="24"/>
          <w:szCs w:val="24"/>
        </w:rPr>
      </w:pPr>
    </w:p>
    <w:p w:rsidR="003B628D" w:rsidRPr="00B93589"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B93589">
        <w:rPr>
          <w:rFonts w:ascii="TimesNewRomanPSMT" w:hAnsi="TimesNewRomanPSMT" w:cs="TimesNewRomanPSMT"/>
          <w:kern w:val="1"/>
          <w:sz w:val="24"/>
          <w:szCs w:val="24"/>
        </w:rPr>
        <w:t xml:space="preserve">Doterajší text § 58 sa označuje ako odsek 1 a dopĺňa sa odsekom 2, ktorý znie: </w:t>
      </w:r>
    </w:p>
    <w:p w:rsidR="003B628D"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rPr>
      </w:pPr>
      <w:r>
        <w:rPr>
          <w:rFonts w:ascii="TimesNewRomanPSMT" w:hAnsi="TimesNewRomanPSMT" w:cs="TimesNewRomanPSMT"/>
          <w:kern w:val="1"/>
          <w:sz w:val="24"/>
          <w:szCs w:val="24"/>
        </w:rPr>
        <w:t xml:space="preserve">“(2) </w:t>
      </w:r>
      <w:r w:rsidRPr="008A2235">
        <w:rPr>
          <w:rFonts w:ascii="TimesNewRomanPSMT" w:hAnsi="TimesNewRomanPSMT" w:cs="TimesNewRomanPSMT"/>
          <w:kern w:val="1"/>
          <w:sz w:val="24"/>
          <w:szCs w:val="24"/>
        </w:rPr>
        <w:t>O trovách štátu môže súd rozhodnúť osobitným uznesením aj po rozhodnutí, ktorým sa konanie končí.”</w:t>
      </w:r>
    </w:p>
    <w:p w:rsidR="003B628D" w:rsidRPr="008A2235"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u w:val="single"/>
        </w:rPr>
      </w:pPr>
    </w:p>
    <w:p w:rsidR="003B628D" w:rsidRPr="008A2235"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8A2235">
        <w:rPr>
          <w:rFonts w:ascii="TimesNewRomanPSMT" w:hAnsi="TimesNewRomanPSMT" w:cs="TimesNewRomanPSMT"/>
          <w:kern w:val="1"/>
          <w:sz w:val="24"/>
          <w:szCs w:val="24"/>
        </w:rPr>
        <w:t xml:space="preserve">§ 120 znie: </w:t>
      </w:r>
    </w:p>
    <w:p w:rsidR="003B628D" w:rsidRPr="008A2235"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rPr>
      </w:pPr>
      <w:r w:rsidRPr="008A2235">
        <w:rPr>
          <w:rFonts w:ascii="TimesNewRomanPSMT" w:hAnsi="TimesNewRomanPSMT" w:cs="TimesNewRomanPSMT"/>
          <w:kern w:val="1"/>
          <w:sz w:val="24"/>
          <w:szCs w:val="24"/>
        </w:rPr>
        <w:t xml:space="preserve">  “(1) Súd rozhoduje </w:t>
      </w:r>
      <w:r>
        <w:rPr>
          <w:rFonts w:ascii="TimesNewRomanPSMT" w:hAnsi="TimesNewRomanPSMT" w:cs="TimesNewRomanPSMT"/>
          <w:kern w:val="1"/>
          <w:sz w:val="24"/>
          <w:szCs w:val="24"/>
        </w:rPr>
        <w:t xml:space="preserve">končeným rozhodnutím vo veci samej </w:t>
      </w:r>
      <w:r w:rsidRPr="008A2235">
        <w:rPr>
          <w:rFonts w:ascii="TimesNewRomanPSMT" w:hAnsi="TimesNewRomanPSMT" w:cs="TimesNewRomanPSMT"/>
          <w:kern w:val="1"/>
          <w:sz w:val="24"/>
          <w:szCs w:val="24"/>
        </w:rPr>
        <w:t>vo veciach starostlivosti súdu o maloleté deti rozsudkom.</w:t>
      </w:r>
    </w:p>
    <w:p w:rsidR="003B628D" w:rsidRPr="008A2235"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rPr>
      </w:pPr>
      <w:r>
        <w:rPr>
          <w:rFonts w:ascii="TimesNewRomanPSMT" w:hAnsi="TimesNewRomanPSMT" w:cs="TimesNewRomanPSMT"/>
          <w:kern w:val="1"/>
          <w:sz w:val="24"/>
          <w:szCs w:val="24"/>
        </w:rPr>
        <w:t xml:space="preserve">   </w:t>
      </w:r>
      <w:r w:rsidRPr="008A2235">
        <w:rPr>
          <w:rFonts w:ascii="TimesNewRomanPSMT" w:hAnsi="TimesNewRomanPSMT" w:cs="TimesNewRomanPSMT"/>
          <w:kern w:val="1"/>
          <w:sz w:val="24"/>
          <w:szCs w:val="24"/>
        </w:rPr>
        <w:t>(2) Rozhodnutie okrem všeobecných náležitostí obsahuje aj pouč</w:t>
      </w:r>
      <w:r>
        <w:rPr>
          <w:rFonts w:ascii="TimesNewRomanPSMT" w:hAnsi="TimesNewRomanPSMT" w:cs="TimesNewRomanPSMT"/>
          <w:kern w:val="1"/>
          <w:sz w:val="24"/>
          <w:szCs w:val="24"/>
        </w:rPr>
        <w:t>enie o spôsoboch jeho v</w:t>
      </w:r>
      <w:r w:rsidRPr="008A2235">
        <w:rPr>
          <w:rFonts w:ascii="TimesNewRomanPSMT" w:hAnsi="TimesNewRomanPSMT" w:cs="TimesNewRomanPSMT"/>
          <w:kern w:val="1"/>
          <w:sz w:val="24"/>
          <w:szCs w:val="24"/>
        </w:rPr>
        <w:t>ýkonu.”</w:t>
      </w:r>
    </w:p>
    <w:p w:rsidR="003B628D" w:rsidRPr="008A2235" w:rsidRDefault="003B628D" w:rsidP="003B628D">
      <w:pPr>
        <w:widowControl w:val="0"/>
        <w:autoSpaceDE w:val="0"/>
        <w:autoSpaceDN w:val="0"/>
        <w:adjustRightInd w:val="0"/>
        <w:spacing w:after="0" w:line="276" w:lineRule="auto"/>
        <w:ind w:left="720" w:right="-1" w:hanging="360"/>
        <w:rPr>
          <w:rFonts w:ascii="TimesNewRomanPSMT" w:hAnsi="TimesNewRomanPSMT" w:cs="TimesNewRomanPSMT"/>
          <w:kern w:val="1"/>
          <w:sz w:val="24"/>
          <w:szCs w:val="24"/>
          <w:u w:val="single"/>
        </w:rPr>
      </w:pPr>
    </w:p>
    <w:p w:rsidR="003B628D"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8A2235">
        <w:rPr>
          <w:rFonts w:ascii="TimesNewRomanPSMT" w:hAnsi="TimesNewRomanPSMT" w:cs="TimesNewRomanPSMT"/>
          <w:kern w:val="1"/>
          <w:sz w:val="24"/>
          <w:szCs w:val="24"/>
        </w:rPr>
        <w:t>V § 144 ods. 1 sa za slovo “manžel” vkladá slovo “alebo opatrovník”.</w:t>
      </w:r>
    </w:p>
    <w:p w:rsidR="003B628D" w:rsidRDefault="003B628D" w:rsidP="003B628D">
      <w:pPr>
        <w:widowControl w:val="0"/>
        <w:autoSpaceDE w:val="0"/>
        <w:autoSpaceDN w:val="0"/>
        <w:adjustRightInd w:val="0"/>
        <w:spacing w:after="0" w:line="276" w:lineRule="auto"/>
        <w:ind w:left="720" w:right="-1"/>
        <w:rPr>
          <w:rFonts w:ascii="TimesNewRomanPSMT" w:hAnsi="TimesNewRomanPSMT" w:cs="TimesNewRomanPSMT"/>
          <w:kern w:val="1"/>
          <w:sz w:val="24"/>
          <w:szCs w:val="24"/>
        </w:rPr>
      </w:pPr>
    </w:p>
    <w:p w:rsidR="003B628D"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325D03">
        <w:rPr>
          <w:rFonts w:ascii="TimesNewRomanPSMT" w:hAnsi="TimesNewRomanPSMT" w:cs="TimesNewRomanPSMT"/>
          <w:kern w:val="1"/>
          <w:sz w:val="24"/>
          <w:szCs w:val="24"/>
        </w:rPr>
        <w:t>V § 154 sa slovo “navrhovateľa” nahrádza slovami “osoby oprávnenej na výživné”.</w:t>
      </w:r>
    </w:p>
    <w:p w:rsidR="003B628D" w:rsidRDefault="003B628D" w:rsidP="003B628D">
      <w:pPr>
        <w:pStyle w:val="Odsekzoznamu"/>
        <w:rPr>
          <w:rFonts w:ascii="TimesNewRomanPSMT" w:hAnsi="TimesNewRomanPSMT" w:cs="TimesNewRomanPSMT"/>
          <w:kern w:val="1"/>
          <w:sz w:val="24"/>
          <w:szCs w:val="24"/>
        </w:rPr>
      </w:pPr>
    </w:p>
    <w:p w:rsidR="003B628D"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325D03">
        <w:rPr>
          <w:rFonts w:ascii="TimesNewRomanPSMT" w:hAnsi="TimesNewRomanPSMT" w:cs="TimesNewRomanPSMT"/>
          <w:kern w:val="1"/>
          <w:sz w:val="24"/>
          <w:szCs w:val="24"/>
        </w:rPr>
        <w:t>V § 156  sa slovo “navrhovateľ” nahrádza slova</w:t>
      </w:r>
      <w:r>
        <w:rPr>
          <w:rFonts w:ascii="TimesNewRomanPSMT" w:hAnsi="TimesNewRomanPSMT" w:cs="TimesNewRomanPSMT"/>
          <w:kern w:val="1"/>
          <w:sz w:val="24"/>
          <w:szCs w:val="24"/>
        </w:rPr>
        <w:t>mi “osoba oprávnená na výživné”.</w:t>
      </w:r>
    </w:p>
    <w:p w:rsidR="003B628D" w:rsidRDefault="003B628D" w:rsidP="003B628D">
      <w:pPr>
        <w:pStyle w:val="Odsekzoznamu"/>
        <w:rPr>
          <w:rFonts w:ascii="TimesNewRomanPSMT" w:hAnsi="TimesNewRomanPSMT" w:cs="TimesNewRomanPSMT"/>
          <w:kern w:val="1"/>
          <w:sz w:val="24"/>
          <w:szCs w:val="24"/>
        </w:rPr>
      </w:pPr>
    </w:p>
    <w:p w:rsidR="003B628D"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Pr>
          <w:rFonts w:ascii="TimesNewRomanPSMT" w:hAnsi="TimesNewRomanPSMT" w:cs="TimesNewRomanPSMT"/>
          <w:kern w:val="1"/>
          <w:sz w:val="24"/>
          <w:szCs w:val="24"/>
        </w:rPr>
        <w:t xml:space="preserve">Za </w:t>
      </w:r>
      <w:r w:rsidRPr="00325D03">
        <w:rPr>
          <w:rFonts w:ascii="TimesNewRomanPSMT" w:hAnsi="TimesNewRomanPSMT" w:cs="TimesNewRomanPSMT"/>
          <w:kern w:val="1"/>
          <w:sz w:val="24"/>
          <w:szCs w:val="24"/>
        </w:rPr>
        <w:t>§ 364 sa vkladá § 364a, ktorý znie:</w:t>
      </w:r>
    </w:p>
    <w:p w:rsidR="003B628D" w:rsidRDefault="003B628D" w:rsidP="003B628D">
      <w:pPr>
        <w:widowControl w:val="0"/>
        <w:autoSpaceDE w:val="0"/>
        <w:autoSpaceDN w:val="0"/>
        <w:adjustRightInd w:val="0"/>
        <w:spacing w:after="0" w:line="276" w:lineRule="auto"/>
        <w:ind w:right="-1" w:firstLine="357"/>
        <w:rPr>
          <w:rFonts w:ascii="TimesNewRomanPSMT" w:hAnsi="TimesNewRomanPSMT" w:cs="TimesNewRomanPSMT"/>
          <w:kern w:val="1"/>
          <w:sz w:val="24"/>
          <w:szCs w:val="24"/>
          <w:u w:val="single"/>
        </w:rPr>
      </w:pPr>
    </w:p>
    <w:p w:rsidR="003B628D" w:rsidRPr="00FC0D98" w:rsidRDefault="003B628D" w:rsidP="003B628D">
      <w:pPr>
        <w:widowControl w:val="0"/>
        <w:autoSpaceDE w:val="0"/>
        <w:autoSpaceDN w:val="0"/>
        <w:adjustRightInd w:val="0"/>
        <w:spacing w:after="0" w:line="276" w:lineRule="auto"/>
        <w:ind w:right="-1" w:firstLine="357"/>
        <w:rPr>
          <w:rFonts w:ascii="TimesNewRomanPSMT" w:hAnsi="TimesNewRomanPSMT" w:cs="TimesNewRomanPSMT"/>
          <w:kern w:val="1"/>
          <w:sz w:val="24"/>
          <w:szCs w:val="24"/>
        </w:rPr>
      </w:pPr>
      <w:r w:rsidRPr="00FC0D98">
        <w:rPr>
          <w:rFonts w:ascii="TimesNewRomanPSMT" w:hAnsi="TimesNewRomanPSMT" w:cs="TimesNewRomanPSMT"/>
          <w:kern w:val="1"/>
          <w:sz w:val="24"/>
          <w:szCs w:val="24"/>
        </w:rPr>
        <w:t>„Konanie o neodkladnom opatrení začaté podľa tejto časti nie je možné prerušiť.“</w:t>
      </w:r>
    </w:p>
    <w:p w:rsidR="003B628D" w:rsidRDefault="003B628D" w:rsidP="003B628D">
      <w:pPr>
        <w:widowControl w:val="0"/>
        <w:autoSpaceDE w:val="0"/>
        <w:autoSpaceDN w:val="0"/>
        <w:adjustRightInd w:val="0"/>
        <w:spacing w:after="0" w:line="276" w:lineRule="auto"/>
        <w:ind w:right="-1" w:firstLine="357"/>
        <w:rPr>
          <w:rFonts w:ascii="TimesNewRomanPSMT" w:hAnsi="TimesNewRomanPSMT" w:cs="TimesNewRomanPSMT"/>
          <w:kern w:val="1"/>
          <w:sz w:val="24"/>
          <w:szCs w:val="24"/>
        </w:rPr>
      </w:pPr>
    </w:p>
    <w:p w:rsidR="003B628D" w:rsidRPr="008A2235" w:rsidRDefault="003B628D" w:rsidP="003B628D">
      <w:pPr>
        <w:widowControl w:val="0"/>
        <w:numPr>
          <w:ilvl w:val="0"/>
          <w:numId w:val="1"/>
        </w:numPr>
        <w:autoSpaceDE w:val="0"/>
        <w:autoSpaceDN w:val="0"/>
        <w:adjustRightInd w:val="0"/>
        <w:spacing w:after="0" w:line="276"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Za </w:t>
      </w:r>
      <w:r w:rsidRPr="008A2235">
        <w:rPr>
          <w:rFonts w:ascii="TimesNewRomanPSMT" w:hAnsi="TimesNewRomanPSMT" w:cs="TimesNewRomanPSMT"/>
          <w:kern w:val="1"/>
          <w:sz w:val="24"/>
          <w:szCs w:val="24"/>
        </w:rPr>
        <w:t>§ 366 sa vkladá § 366a, ktorý znie:</w:t>
      </w:r>
    </w:p>
    <w:p w:rsidR="003B628D" w:rsidRPr="008A2235" w:rsidRDefault="003B628D" w:rsidP="003B628D">
      <w:pPr>
        <w:widowControl w:val="0"/>
        <w:autoSpaceDE w:val="0"/>
        <w:autoSpaceDN w:val="0"/>
        <w:adjustRightInd w:val="0"/>
        <w:spacing w:after="0" w:line="276" w:lineRule="auto"/>
        <w:ind w:left="360" w:right="-1"/>
        <w:jc w:val="both"/>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r w:rsidRPr="008A2235">
        <w:rPr>
          <w:rFonts w:ascii="TimesNewRomanPSMT" w:hAnsi="TimesNewRomanPSMT" w:cs="TimesNewRomanPSMT"/>
          <w:kern w:val="1"/>
          <w:sz w:val="24"/>
          <w:szCs w:val="24"/>
        </w:rPr>
        <w:t>„(1) Pri rozhodovaní o výživnom na maloleté dieťa môže súd neodkladným opatrením      nariadiť platiť výživné v primeranej výške zo</w:t>
      </w:r>
      <w:r>
        <w:rPr>
          <w:rFonts w:ascii="TimesNewRomanPSMT" w:hAnsi="TimesNewRomanPSMT" w:cs="TimesNewRomanPSMT"/>
          <w:kern w:val="1"/>
          <w:sz w:val="24"/>
          <w:szCs w:val="24"/>
        </w:rPr>
        <w:t>dpovedajúcej aktuálnym potrebám</w:t>
      </w:r>
      <w:r w:rsidRPr="008A2235">
        <w:rPr>
          <w:rFonts w:ascii="TimesNewRomanPSMT" w:hAnsi="TimesNewRomanPSMT" w:cs="TimesNewRomanPSMT"/>
          <w:kern w:val="1"/>
          <w:sz w:val="24"/>
          <w:szCs w:val="24"/>
        </w:rPr>
        <w:t xml:space="preserve"> maloletého dieťaťa.</w:t>
      </w: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r w:rsidRPr="008A2235">
        <w:rPr>
          <w:rFonts w:ascii="TimesNewRomanPSMT" w:hAnsi="TimesNewRomanPSMT" w:cs="TimesNewRomanPSMT"/>
          <w:kern w:val="1"/>
          <w:sz w:val="24"/>
          <w:szCs w:val="24"/>
        </w:rPr>
        <w:t xml:space="preserve">(2) O návrhu na nariadenie neodkladného opatrenia rozhodne súd najneskôr do siedmich </w:t>
      </w:r>
      <w:r>
        <w:rPr>
          <w:rFonts w:ascii="TimesNewRomanPSMT" w:hAnsi="TimesNewRomanPSMT" w:cs="TimesNewRomanPSMT"/>
          <w:kern w:val="1"/>
          <w:sz w:val="24"/>
          <w:szCs w:val="24"/>
        </w:rPr>
        <w:t xml:space="preserve">pracovných </w:t>
      </w:r>
      <w:r w:rsidRPr="008A2235">
        <w:rPr>
          <w:rFonts w:ascii="TimesNewRomanPSMT" w:hAnsi="TimesNewRomanPSMT" w:cs="TimesNewRomanPSMT"/>
          <w:kern w:val="1"/>
          <w:sz w:val="24"/>
          <w:szCs w:val="24"/>
        </w:rPr>
        <w:t>dní od doručenia návrhu. V tejto</w:t>
      </w:r>
      <w:r>
        <w:rPr>
          <w:rFonts w:ascii="TimesNewRomanPSMT" w:hAnsi="TimesNewRomanPSMT" w:cs="TimesNewRomanPSMT"/>
          <w:kern w:val="1"/>
          <w:sz w:val="24"/>
          <w:szCs w:val="24"/>
        </w:rPr>
        <w:t xml:space="preserve"> lehote súd uznesenie vyhotoví.</w:t>
      </w: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r>
        <w:rPr>
          <w:rFonts w:ascii="TimesNewRomanPSMT" w:hAnsi="TimesNewRomanPSMT" w:cs="TimesNewRomanPSMT"/>
          <w:kern w:val="1"/>
          <w:sz w:val="24"/>
          <w:szCs w:val="24"/>
        </w:rPr>
        <w:lastRenderedPageBreak/>
        <w:t xml:space="preserve">(3) </w:t>
      </w:r>
      <w:r w:rsidRPr="008A2235">
        <w:rPr>
          <w:rFonts w:ascii="TimesNewRomanPSMT" w:hAnsi="TimesNewRomanPSMT" w:cs="TimesNewRomanPSMT"/>
          <w:kern w:val="1"/>
          <w:sz w:val="24"/>
          <w:szCs w:val="24"/>
        </w:rPr>
        <w:t>Uznesenie o nariadení neodkladného opatrenia je vykonateľ</w:t>
      </w:r>
      <w:r>
        <w:rPr>
          <w:rFonts w:ascii="TimesNewRomanPSMT" w:hAnsi="TimesNewRomanPSMT" w:cs="TimesNewRomanPSMT"/>
          <w:kern w:val="1"/>
          <w:sz w:val="24"/>
          <w:szCs w:val="24"/>
        </w:rPr>
        <w:t>né vyhotovením.</w:t>
      </w:r>
    </w:p>
    <w:p w:rsidR="003B628D"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after="0" w:line="276" w:lineRule="auto"/>
        <w:ind w:right="-1" w:firstLine="360"/>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(4) </w:t>
      </w:r>
      <w:r w:rsidRPr="008A2235">
        <w:rPr>
          <w:rFonts w:ascii="TimesNewRomanPSMT" w:hAnsi="TimesNewRomanPSMT" w:cs="TimesNewRomanPSMT"/>
          <w:kern w:val="1"/>
          <w:sz w:val="24"/>
          <w:szCs w:val="24"/>
        </w:rPr>
        <w:t>Vo veciach rozhodovania o výživnom na maloleté dieťa sa ustanovenie § 366 neuplatňuje.“</w:t>
      </w:r>
    </w:p>
    <w:p w:rsidR="003B628D" w:rsidRPr="008A2235" w:rsidRDefault="003B628D" w:rsidP="003B628D">
      <w:pPr>
        <w:widowControl w:val="0"/>
        <w:autoSpaceDE w:val="0"/>
        <w:autoSpaceDN w:val="0"/>
        <w:adjustRightInd w:val="0"/>
        <w:spacing w:after="0" w:line="276" w:lineRule="auto"/>
        <w:ind w:left="1133" w:right="-1"/>
        <w:jc w:val="both"/>
        <w:rPr>
          <w:rFonts w:ascii="TimesNewRomanPSMT" w:hAnsi="TimesNewRomanPSMT" w:cs="TimesNewRomanPSMT"/>
          <w:kern w:val="1"/>
          <w:sz w:val="24"/>
          <w:szCs w:val="24"/>
        </w:rPr>
      </w:pPr>
    </w:p>
    <w:p w:rsidR="003B628D" w:rsidRPr="008A2235" w:rsidRDefault="003B628D" w:rsidP="003B628D">
      <w:pPr>
        <w:widowControl w:val="0"/>
        <w:numPr>
          <w:ilvl w:val="0"/>
          <w:numId w:val="1"/>
        </w:numPr>
        <w:autoSpaceDE w:val="0"/>
        <w:autoSpaceDN w:val="0"/>
        <w:adjustRightInd w:val="0"/>
        <w:spacing w:after="0" w:line="276" w:lineRule="auto"/>
        <w:ind w:right="-1"/>
        <w:rPr>
          <w:rFonts w:ascii="TimesNewRomanPSMT" w:hAnsi="TimesNewRomanPSMT" w:cs="TimesNewRomanPSMT"/>
          <w:kern w:val="1"/>
          <w:sz w:val="24"/>
          <w:szCs w:val="24"/>
        </w:rPr>
      </w:pPr>
      <w:r w:rsidRPr="008A2235">
        <w:rPr>
          <w:rFonts w:ascii="TimesNewRomanPSMT" w:hAnsi="TimesNewRomanPSMT" w:cs="TimesNewRomanPSMT"/>
          <w:kern w:val="1"/>
          <w:sz w:val="24"/>
          <w:szCs w:val="24"/>
        </w:rPr>
        <w:t>§ 367 vrátane nadpisu znie:</w:t>
      </w:r>
    </w:p>
    <w:p w:rsidR="003B628D" w:rsidRPr="008A2235" w:rsidRDefault="003B628D" w:rsidP="003B628D">
      <w:pPr>
        <w:widowControl w:val="0"/>
        <w:tabs>
          <w:tab w:val="left" w:pos="709"/>
        </w:tabs>
        <w:autoSpaceDE w:val="0"/>
        <w:autoSpaceDN w:val="0"/>
        <w:adjustRightInd w:val="0"/>
        <w:spacing w:before="120" w:after="0" w:line="276" w:lineRule="auto"/>
        <w:ind w:left="714" w:right="-1"/>
        <w:jc w:val="both"/>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after="0" w:line="276" w:lineRule="auto"/>
        <w:ind w:left="1147" w:right="-1"/>
        <w:jc w:val="center"/>
        <w:rPr>
          <w:rFonts w:ascii="TimesNewRomanPS-BoldMT" w:hAnsi="TimesNewRomanPS-BoldMT" w:cs="TimesNewRomanPS-BoldMT"/>
          <w:b/>
          <w:bCs/>
          <w:kern w:val="1"/>
          <w:sz w:val="24"/>
          <w:szCs w:val="24"/>
        </w:rPr>
      </w:pPr>
      <w:r w:rsidRPr="008A2235">
        <w:rPr>
          <w:rFonts w:ascii="TimesNewRomanPS-BoldMT" w:hAnsi="TimesNewRomanPS-BoldMT" w:cs="TimesNewRomanPS-BoldMT"/>
          <w:b/>
          <w:bCs/>
          <w:kern w:val="1"/>
          <w:sz w:val="24"/>
          <w:szCs w:val="24"/>
        </w:rPr>
        <w:t>„§ 367</w:t>
      </w:r>
    </w:p>
    <w:p w:rsidR="003B628D" w:rsidRPr="008A2235" w:rsidRDefault="003B628D" w:rsidP="003B628D">
      <w:pPr>
        <w:widowControl w:val="0"/>
        <w:autoSpaceDE w:val="0"/>
        <w:autoSpaceDN w:val="0"/>
        <w:adjustRightInd w:val="0"/>
        <w:spacing w:after="0" w:line="276" w:lineRule="auto"/>
        <w:ind w:left="1147" w:right="-1"/>
        <w:jc w:val="center"/>
        <w:rPr>
          <w:rFonts w:ascii="TimesNewRomanPSMT" w:hAnsi="TimesNewRomanPSMT" w:cs="TimesNewRomanPSMT"/>
          <w:kern w:val="1"/>
          <w:sz w:val="24"/>
          <w:szCs w:val="24"/>
        </w:rPr>
      </w:pPr>
      <w:r w:rsidRPr="008A2235">
        <w:rPr>
          <w:rFonts w:ascii="TimesNewRomanPS-BoldMT" w:hAnsi="TimesNewRomanPS-BoldMT" w:cs="TimesNewRomanPS-BoldMT"/>
          <w:b/>
          <w:bCs/>
          <w:kern w:val="1"/>
          <w:sz w:val="24"/>
          <w:szCs w:val="24"/>
        </w:rPr>
        <w:t>Neodkladné opatrenie vo veciach osobnej starostlivosti o maloletého</w:t>
      </w:r>
    </w:p>
    <w:p w:rsidR="003B628D" w:rsidRPr="008A2235" w:rsidRDefault="003B628D" w:rsidP="003B628D">
      <w:pPr>
        <w:widowControl w:val="0"/>
        <w:autoSpaceDE w:val="0"/>
        <w:autoSpaceDN w:val="0"/>
        <w:adjustRightInd w:val="0"/>
        <w:spacing w:after="0" w:line="276" w:lineRule="auto"/>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(1)</w:t>
      </w:r>
      <w:r w:rsidRPr="008A2235">
        <w:rPr>
          <w:rFonts w:ascii="TimesNewRomanPSMT" w:hAnsi="TimesNewRomanPSMT" w:cs="TimesNewRomanPSMT"/>
          <w:kern w:val="1"/>
          <w:sz w:val="24"/>
          <w:szCs w:val="24"/>
        </w:rPr>
        <w:t xml:space="preserve"> Neodkladným opatrením môže súd nariadiť, aby te</w:t>
      </w:r>
      <w:r>
        <w:rPr>
          <w:rFonts w:ascii="TimesNewRomanPSMT" w:hAnsi="TimesNewRomanPSMT" w:cs="TimesNewRomanPSMT"/>
          <w:kern w:val="1"/>
          <w:sz w:val="24"/>
          <w:szCs w:val="24"/>
        </w:rPr>
        <w:t xml:space="preserve">n, kto má maloletého pri sebe, </w:t>
      </w:r>
      <w:r w:rsidRPr="008A2235">
        <w:rPr>
          <w:rFonts w:ascii="TimesNewRomanPSMT" w:hAnsi="TimesNewRomanPSMT" w:cs="TimesNewRomanPSMT"/>
          <w:kern w:val="1"/>
          <w:sz w:val="24"/>
          <w:szCs w:val="24"/>
        </w:rPr>
        <w:t>maloletého odovzdal do starostlivosti toho, koho označ</w:t>
      </w:r>
      <w:r>
        <w:rPr>
          <w:rFonts w:ascii="TimesNewRomanPSMT" w:hAnsi="TimesNewRomanPSMT" w:cs="TimesNewRomanPSMT"/>
          <w:kern w:val="1"/>
          <w:sz w:val="24"/>
          <w:szCs w:val="24"/>
        </w:rPr>
        <w:t xml:space="preserve">í súd, alebo do striedavej </w:t>
      </w:r>
      <w:r w:rsidRPr="008A2235">
        <w:rPr>
          <w:rFonts w:ascii="TimesNewRomanPSMT" w:hAnsi="TimesNewRomanPSMT" w:cs="TimesNewRomanPSMT"/>
          <w:kern w:val="1"/>
          <w:sz w:val="24"/>
          <w:szCs w:val="24"/>
        </w:rPr>
        <w:t>osobnej  star</w:t>
      </w:r>
      <w:r>
        <w:rPr>
          <w:rFonts w:ascii="TimesNewRomanPSMT" w:hAnsi="TimesNewRomanPSMT" w:cs="TimesNewRomanPSMT"/>
          <w:kern w:val="1"/>
          <w:sz w:val="24"/>
          <w:szCs w:val="24"/>
        </w:rPr>
        <w:t>ostlivosti.</w:t>
      </w: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(2) </w:t>
      </w:r>
      <w:r w:rsidRPr="008A2235">
        <w:rPr>
          <w:rFonts w:ascii="TimesNewRomanPSMT" w:hAnsi="TimesNewRomanPSMT" w:cs="TimesNewRomanPSMT"/>
          <w:kern w:val="1"/>
          <w:sz w:val="24"/>
          <w:szCs w:val="24"/>
        </w:rPr>
        <w:t>Neodkladným opatrením môže súd nariadiť primeraný styk zohľadňujúci potreby maloletého, ktorým bude zabezpečené udržanie a rozvíjanie vzťahu medzi maloletým a rodičom, ktorému maloletý nebol zverený do osobnej starostlivosti.</w:t>
      </w: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(3) </w:t>
      </w:r>
      <w:r w:rsidRPr="008A2235">
        <w:rPr>
          <w:rFonts w:ascii="TimesNewRomanPSMT" w:hAnsi="TimesNewRomanPSMT" w:cs="TimesNewRomanPSMT"/>
          <w:kern w:val="1"/>
          <w:sz w:val="24"/>
          <w:szCs w:val="24"/>
        </w:rPr>
        <w:t>O návrhu na nariadenie neodkladného opatrenia rozhodne súd najneskôr do siedmich pracovných dní od doručenia návrhu. V tejto</w:t>
      </w:r>
      <w:r>
        <w:rPr>
          <w:rFonts w:ascii="TimesNewRomanPSMT" w:hAnsi="TimesNewRomanPSMT" w:cs="TimesNewRomanPSMT"/>
          <w:kern w:val="1"/>
          <w:sz w:val="24"/>
          <w:szCs w:val="24"/>
        </w:rPr>
        <w:t xml:space="preserve"> lehote súd uznesenie vyhotoví.</w:t>
      </w: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(4) </w:t>
      </w:r>
      <w:r w:rsidRPr="008A2235">
        <w:rPr>
          <w:rFonts w:ascii="TimesNewRomanPSMT" w:hAnsi="TimesNewRomanPSMT" w:cs="TimesNewRomanPSMT"/>
          <w:kern w:val="1"/>
          <w:sz w:val="24"/>
          <w:szCs w:val="24"/>
        </w:rPr>
        <w:t>Uznesenie o nariadení neodkladného opatrenia je vykonateľné vyhlásením; ak sa nevyhlasuje, je vykonateľné, len č</w:t>
      </w:r>
      <w:r>
        <w:rPr>
          <w:rFonts w:ascii="TimesNewRomanPSMT" w:hAnsi="TimesNewRomanPSMT" w:cs="TimesNewRomanPSMT"/>
          <w:kern w:val="1"/>
          <w:sz w:val="24"/>
          <w:szCs w:val="24"/>
        </w:rPr>
        <w:t>o bolo vyhotovené.</w:t>
      </w:r>
    </w:p>
    <w:p w:rsidR="003B628D"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p>
    <w:p w:rsidR="003B628D" w:rsidRPr="008A2235"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r>
        <w:rPr>
          <w:rFonts w:ascii="TimesNewRomanPSMT" w:hAnsi="TimesNewRomanPSMT" w:cs="TimesNewRomanPSMT"/>
          <w:kern w:val="1"/>
          <w:sz w:val="24"/>
          <w:szCs w:val="24"/>
        </w:rPr>
        <w:t xml:space="preserve">(5) </w:t>
      </w:r>
      <w:r w:rsidRPr="008A2235">
        <w:rPr>
          <w:rFonts w:ascii="TimesNewRomanPSMT" w:hAnsi="TimesNewRomanPSMT" w:cs="TimesNewRomanPSMT"/>
          <w:kern w:val="1"/>
          <w:sz w:val="24"/>
          <w:szCs w:val="24"/>
        </w:rPr>
        <w:t>Uznesenie o nariadení neodkladného opatrenia súd môže doručiť účastníkom až pri uskutočnení jeho výkonu, ak je predpoklad, že by bol výkon rozhodnutia inak zmarený. Účastníkom, ktorí neboli prítomní pri výkone uznesenia, doručí súd uznesenie spolu so zápisnicou o priebehu výkonu dodatočne.“</w:t>
      </w:r>
    </w:p>
    <w:p w:rsidR="003B628D" w:rsidRPr="008A2235" w:rsidRDefault="003B628D" w:rsidP="003B628D">
      <w:pPr>
        <w:widowControl w:val="0"/>
        <w:autoSpaceDE w:val="0"/>
        <w:autoSpaceDN w:val="0"/>
        <w:adjustRightInd w:val="0"/>
        <w:spacing w:after="0" w:line="276" w:lineRule="auto"/>
        <w:ind w:right="-1"/>
        <w:jc w:val="both"/>
        <w:rPr>
          <w:rFonts w:ascii="TimesNewRomanPSMT" w:hAnsi="TimesNewRomanPSMT" w:cs="TimesNewRomanPSMT"/>
          <w:kern w:val="1"/>
          <w:sz w:val="24"/>
          <w:szCs w:val="24"/>
        </w:rPr>
      </w:pPr>
    </w:p>
    <w:p w:rsidR="003B628D" w:rsidRPr="00F70643" w:rsidRDefault="003B628D" w:rsidP="003B628D">
      <w:pPr>
        <w:widowControl w:val="0"/>
        <w:numPr>
          <w:ilvl w:val="0"/>
          <w:numId w:val="1"/>
        </w:numPr>
        <w:autoSpaceDE w:val="0"/>
        <w:autoSpaceDN w:val="0"/>
        <w:adjustRightInd w:val="0"/>
        <w:spacing w:after="0" w:line="276" w:lineRule="auto"/>
        <w:ind w:right="-1"/>
        <w:jc w:val="both"/>
        <w:rPr>
          <w:rFonts w:ascii="TimesNewRomanPSMT" w:hAnsi="TimesNewRomanPSMT" w:cs="TimesNewRomanPSMT"/>
          <w:kern w:val="1"/>
          <w:sz w:val="24"/>
          <w:szCs w:val="24"/>
        </w:rPr>
      </w:pPr>
      <w:r w:rsidRPr="008A2235">
        <w:rPr>
          <w:rFonts w:ascii="TimesNewRomanPSMT" w:hAnsi="TimesNewRomanPSMT" w:cs="TimesNewRomanPSMT"/>
          <w:kern w:val="1"/>
          <w:sz w:val="24"/>
          <w:szCs w:val="24"/>
        </w:rPr>
        <w:t>V § 376 ods. 3 sa vypúšťa slovo “vždy”.</w:t>
      </w:r>
    </w:p>
    <w:p w:rsidR="003B628D" w:rsidRPr="008A2235" w:rsidRDefault="003B628D" w:rsidP="003B628D">
      <w:pPr>
        <w:widowControl w:val="0"/>
        <w:autoSpaceDE w:val="0"/>
        <w:autoSpaceDN w:val="0"/>
        <w:adjustRightInd w:val="0"/>
        <w:spacing w:after="0" w:line="276" w:lineRule="auto"/>
        <w:ind w:right="-1"/>
        <w:jc w:val="both"/>
        <w:rPr>
          <w:rFonts w:ascii="TimesNewRomanPS-BoldMT" w:hAnsi="TimesNewRomanPS-BoldMT" w:cs="TimesNewRomanPS-BoldMT"/>
          <w:b/>
          <w:bCs/>
          <w:kern w:val="1"/>
          <w:sz w:val="24"/>
          <w:szCs w:val="24"/>
        </w:rPr>
      </w:pP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kern w:val="1"/>
          <w:sz w:val="24"/>
          <w:szCs w:val="24"/>
        </w:rPr>
      </w:pPr>
      <w:r w:rsidRPr="008A2235">
        <w:rPr>
          <w:rFonts w:ascii="TimesNewRomanPS-BoldMT" w:hAnsi="TimesNewRomanPS-BoldMT" w:cs="TimesNewRomanPS-BoldMT"/>
          <w:b/>
          <w:bCs/>
          <w:kern w:val="1"/>
          <w:sz w:val="24"/>
          <w:szCs w:val="24"/>
        </w:rPr>
        <w:t>Čl. II</w:t>
      </w:r>
    </w:p>
    <w:p w:rsidR="003B628D" w:rsidRPr="008A2235" w:rsidRDefault="003B628D" w:rsidP="003B628D">
      <w:pPr>
        <w:widowControl w:val="0"/>
        <w:autoSpaceDE w:val="0"/>
        <w:autoSpaceDN w:val="0"/>
        <w:adjustRightInd w:val="0"/>
        <w:spacing w:before="120" w:after="0" w:line="276" w:lineRule="auto"/>
        <w:ind w:right="-1"/>
        <w:jc w:val="center"/>
        <w:rPr>
          <w:rFonts w:ascii="TimesNewRomanPS-BoldMT" w:hAnsi="TimesNewRomanPS-BoldMT" w:cs="TimesNewRomanPS-BoldMT"/>
          <w:b/>
          <w:bCs/>
          <w:kern w:val="1"/>
          <w:sz w:val="24"/>
          <w:szCs w:val="24"/>
        </w:rPr>
      </w:pPr>
    </w:p>
    <w:p w:rsidR="003B628D" w:rsidRPr="008A2235" w:rsidRDefault="003B628D" w:rsidP="003B628D">
      <w:pPr>
        <w:widowControl w:val="0"/>
        <w:autoSpaceDE w:val="0"/>
        <w:autoSpaceDN w:val="0"/>
        <w:adjustRightInd w:val="0"/>
        <w:spacing w:before="120" w:after="0" w:line="276" w:lineRule="auto"/>
        <w:ind w:right="-1" w:firstLine="708"/>
        <w:rPr>
          <w:rFonts w:ascii="TimesNewRomanPS-BoldMT" w:hAnsi="TimesNewRomanPS-BoldMT" w:cs="TimesNewRomanPS-BoldMT"/>
          <w:b/>
          <w:bCs/>
          <w:kern w:val="1"/>
          <w:sz w:val="24"/>
          <w:szCs w:val="24"/>
        </w:rPr>
      </w:pPr>
      <w:r w:rsidRPr="008A2235">
        <w:rPr>
          <w:rFonts w:ascii="TimesNewRomanPSMT" w:hAnsi="TimesNewRomanPSMT" w:cs="TimesNewRomanPSMT"/>
          <w:kern w:val="1"/>
          <w:sz w:val="24"/>
          <w:szCs w:val="24"/>
        </w:rPr>
        <w:t>Tento zákon nadobúda účinnosť 1.1</w:t>
      </w:r>
      <w:r>
        <w:rPr>
          <w:rFonts w:ascii="TimesNewRomanPSMT" w:hAnsi="TimesNewRomanPSMT" w:cs="TimesNewRomanPSMT"/>
          <w:kern w:val="1"/>
          <w:sz w:val="24"/>
          <w:szCs w:val="24"/>
        </w:rPr>
        <w:t>1.2019</w:t>
      </w:r>
      <w:r w:rsidRPr="008A2235">
        <w:rPr>
          <w:rFonts w:ascii="TimesNewRomanPSMT" w:hAnsi="TimesNewRomanPSMT" w:cs="TimesNewRomanPSMT"/>
          <w:kern w:val="1"/>
          <w:sz w:val="24"/>
          <w:szCs w:val="24"/>
        </w:rPr>
        <w:t>.</w:t>
      </w:r>
      <w:r w:rsidRPr="008A2235">
        <w:rPr>
          <w:rFonts w:ascii="TimesNewRomanPS-BoldMT" w:hAnsi="TimesNewRomanPS-BoldMT" w:cs="TimesNewRomanPS-BoldMT"/>
          <w:b/>
          <w:bCs/>
          <w:kern w:val="1"/>
          <w:sz w:val="24"/>
          <w:szCs w:val="24"/>
        </w:rPr>
        <w:t xml:space="preserve"> </w:t>
      </w:r>
    </w:p>
    <w:p w:rsidR="009232ED" w:rsidRDefault="009232ED">
      <w:bookmarkStart w:id="0" w:name="_GoBack"/>
      <w:bookmarkEnd w:id="0"/>
    </w:p>
    <w:sectPr w:rsidR="009232ED">
      <w:pgSz w:w="11905" w:h="16837"/>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8DAED2C"/>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39"/>
    <w:rsid w:val="00254139"/>
    <w:rsid w:val="003B628D"/>
    <w:rsid w:val="009232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BD146-1330-46C3-803F-BA4C4AE8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628D"/>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B62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2019-08-22T07:38:00Z</dcterms:created>
  <dcterms:modified xsi:type="dcterms:W3CDTF">2019-08-22T07:38:00Z</dcterms:modified>
</cp:coreProperties>
</file>