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5A1" w:rsidRPr="008051C9" w:rsidRDefault="009D45A1" w:rsidP="009D45A1">
      <w:pPr>
        <w:pStyle w:val="Normlnywebov"/>
        <w:spacing w:before="120" w:beforeAutospacing="0" w:after="0" w:afterAutospacing="0" w:line="276" w:lineRule="auto"/>
        <w:jc w:val="center"/>
      </w:pPr>
      <w:r w:rsidRPr="008051C9">
        <w:rPr>
          <w:b/>
          <w:caps/>
          <w:spacing w:val="30"/>
        </w:rPr>
        <w:t>Dôvodová správa</w:t>
      </w:r>
    </w:p>
    <w:p w:rsidR="009D45A1" w:rsidRPr="008051C9" w:rsidRDefault="009D45A1" w:rsidP="009D45A1">
      <w:pPr>
        <w:pStyle w:val="Nadpis1"/>
        <w:spacing w:before="120" w:line="276" w:lineRule="auto"/>
        <w:jc w:val="left"/>
        <w:rPr>
          <w:rFonts w:ascii="Times New Roman" w:hAnsi="Times New Roman"/>
          <w:sz w:val="24"/>
          <w:szCs w:val="24"/>
        </w:rPr>
      </w:pPr>
    </w:p>
    <w:p w:rsidR="009D45A1" w:rsidRPr="008051C9" w:rsidRDefault="009D45A1" w:rsidP="009D45A1">
      <w:pPr>
        <w:pStyle w:val="Nadpis1"/>
        <w:spacing w:before="120" w:line="276" w:lineRule="auto"/>
        <w:jc w:val="left"/>
        <w:rPr>
          <w:rFonts w:ascii="Times New Roman" w:hAnsi="Times New Roman"/>
          <w:sz w:val="24"/>
          <w:szCs w:val="24"/>
        </w:rPr>
      </w:pPr>
      <w:r w:rsidRPr="008051C9">
        <w:rPr>
          <w:rFonts w:ascii="Times New Roman" w:hAnsi="Times New Roman"/>
          <w:sz w:val="24"/>
          <w:szCs w:val="24"/>
        </w:rPr>
        <w:t>A. Všeobecná časť</w:t>
      </w:r>
    </w:p>
    <w:p w:rsidR="009D45A1" w:rsidRPr="008051C9" w:rsidRDefault="009D45A1" w:rsidP="009D45A1">
      <w:pPr>
        <w:pStyle w:val="Nadpis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D45A1" w:rsidRPr="008051C9" w:rsidRDefault="009D45A1" w:rsidP="009D45A1">
      <w:pPr>
        <w:pStyle w:val="Nadpis1"/>
        <w:spacing w:line="276" w:lineRule="auto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8051C9">
        <w:rPr>
          <w:rFonts w:ascii="Times New Roman" w:hAnsi="Times New Roman"/>
          <w:b w:val="0"/>
          <w:sz w:val="24"/>
          <w:szCs w:val="24"/>
        </w:rPr>
        <w:t>Návrh zákona, ktorým sa mení a dopĺňa zákon č. 30/2019 Z. z</w:t>
      </w:r>
      <w:r w:rsidR="00062DCC">
        <w:rPr>
          <w:rFonts w:ascii="Times New Roman" w:eastAsiaTheme="majorEastAsia" w:hAnsi="Times New Roman"/>
          <w:b w:val="0"/>
          <w:bCs w:val="0"/>
          <w:color w:val="000000" w:themeColor="text1"/>
          <w:kern w:val="1"/>
          <w:sz w:val="24"/>
          <w:szCs w:val="24"/>
          <w:lang w:eastAsia="hi-IN" w:bidi="hi-IN"/>
        </w:rPr>
        <w:t xml:space="preserve">. </w:t>
      </w:r>
      <w:r w:rsidRPr="008051C9">
        <w:rPr>
          <w:rFonts w:ascii="Times New Roman" w:hAnsi="Times New Roman"/>
          <w:b w:val="0"/>
          <w:bCs w:val="0"/>
          <w:color w:val="000000" w:themeColor="text1"/>
          <w:kern w:val="36"/>
          <w:sz w:val="24"/>
          <w:szCs w:val="24"/>
        </w:rPr>
        <w:t xml:space="preserve"> </w:t>
      </w:r>
      <w:r w:rsidRPr="008051C9">
        <w:rPr>
          <w:rFonts w:ascii="Times New Roman" w:hAnsi="Times New Roman"/>
          <w:b w:val="0"/>
          <w:bCs w:val="0"/>
          <w:color w:val="000000" w:themeColor="text1"/>
          <w:kern w:val="0"/>
          <w:sz w:val="24"/>
          <w:szCs w:val="24"/>
        </w:rPr>
        <w:t>o hazardných hrách a o zmene a doplnení niektorých zákonov</w:t>
      </w:r>
      <w:r w:rsidR="00E422FF">
        <w:rPr>
          <w:rFonts w:ascii="Times New Roman" w:hAnsi="Times New Roman"/>
          <w:b w:val="0"/>
          <w:bCs w:val="0"/>
          <w:color w:val="000000" w:themeColor="text1"/>
          <w:kern w:val="0"/>
          <w:sz w:val="24"/>
          <w:szCs w:val="24"/>
        </w:rPr>
        <w:t xml:space="preserve"> </w:t>
      </w:r>
      <w:r w:rsidR="00E422FF" w:rsidRPr="00E422FF">
        <w:rPr>
          <w:rFonts w:ascii="Times New Roman" w:hAnsi="Times New Roman"/>
          <w:b w:val="0"/>
          <w:color w:val="000000" w:themeColor="text1"/>
          <w:sz w:val="24"/>
          <w:szCs w:val="24"/>
        </w:rPr>
        <w:t>v znení zákona č. 221/2019 Z. z.</w:t>
      </w:r>
      <w:r w:rsidR="00E422F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051C9">
        <w:rPr>
          <w:rFonts w:ascii="Times New Roman" w:hAnsi="Times New Roman"/>
          <w:b w:val="0"/>
          <w:sz w:val="24"/>
          <w:szCs w:val="24"/>
        </w:rPr>
        <w:t xml:space="preserve"> (ďalej len „návrh zákona“) predkladajú poslanci Národnej rady Slovenskej republiky Peter PČOLINSKÝ, Boris KOLLÁR, Milan KRAJNIAK, Adriana PČOLINSKÁ, Peter ŠTARCHOŇ</w:t>
      </w:r>
      <w:r w:rsidR="00F6106A">
        <w:rPr>
          <w:rFonts w:ascii="Times New Roman" w:hAnsi="Times New Roman"/>
          <w:b w:val="0"/>
          <w:sz w:val="24"/>
          <w:szCs w:val="24"/>
        </w:rPr>
        <w:t>.</w:t>
      </w:r>
    </w:p>
    <w:p w:rsidR="009D45A1" w:rsidRPr="008051C9" w:rsidRDefault="009D45A1" w:rsidP="009D45A1">
      <w:pPr>
        <w:pStyle w:val="Nadpis1"/>
        <w:spacing w:line="276" w:lineRule="auto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bookmarkStart w:id="0" w:name="_GoBack"/>
      <w:bookmarkEnd w:id="0"/>
    </w:p>
    <w:p w:rsidR="009D45A1" w:rsidRPr="008051C9" w:rsidRDefault="009D45A1" w:rsidP="009D45A1">
      <w:pPr>
        <w:pStyle w:val="Nadpis1"/>
        <w:spacing w:line="276" w:lineRule="auto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8051C9">
        <w:rPr>
          <w:rFonts w:ascii="Times New Roman" w:hAnsi="Times New Roman"/>
          <w:b w:val="0"/>
          <w:sz w:val="24"/>
          <w:szCs w:val="24"/>
        </w:rPr>
        <w:t xml:space="preserve">Každý štát, ktorého cieľom je úprimná snaha chrániť svojich občanov, má právo regulovať podnikanie v oblasti hazardných hier, k čomu patrí aj regulácia podmienok, za ktorých sa hrania takýchto hier môžu zúčastniť jednotlivci. </w:t>
      </w:r>
    </w:p>
    <w:p w:rsidR="009D45A1" w:rsidRPr="008051C9" w:rsidRDefault="009D45A1" w:rsidP="009D45A1">
      <w:pPr>
        <w:pStyle w:val="Nadpis1"/>
        <w:spacing w:line="276" w:lineRule="auto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</w:p>
    <w:p w:rsidR="009D45A1" w:rsidRPr="008051C9" w:rsidRDefault="009D45A1" w:rsidP="009D45A1">
      <w:pPr>
        <w:pStyle w:val="Nadpis1"/>
        <w:spacing w:line="276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051C9">
        <w:rPr>
          <w:rFonts w:ascii="Times New Roman" w:hAnsi="Times New Roman"/>
          <w:sz w:val="24"/>
          <w:szCs w:val="24"/>
        </w:rPr>
        <w:t>Cieľom návrhu zákona je doplniť pravidlá ochrany hráčov hazardných hier a zakázať stávkovanie tým osobám, ktoré sú evidované</w:t>
      </w:r>
      <w:r w:rsidRPr="008051C9">
        <w:rPr>
          <w:rFonts w:ascii="Times New Roman" w:hAnsi="Times New Roman"/>
          <w:color w:val="000000" w:themeColor="text1"/>
          <w:sz w:val="24"/>
          <w:szCs w:val="24"/>
        </w:rPr>
        <w:t xml:space="preserve"> registri fyzických osôb vylúčených z hrania hazardných hier.</w:t>
      </w:r>
    </w:p>
    <w:p w:rsidR="009D45A1" w:rsidRPr="008051C9" w:rsidRDefault="009D45A1" w:rsidP="009D45A1">
      <w:pPr>
        <w:pStyle w:val="Nadpis1"/>
        <w:spacing w:line="276" w:lineRule="auto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</w:p>
    <w:p w:rsidR="009D45A1" w:rsidRPr="008051C9" w:rsidRDefault="009D45A1" w:rsidP="009D45A1">
      <w:pPr>
        <w:pStyle w:val="Nadpis1"/>
        <w:spacing w:line="276" w:lineRule="auto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8051C9">
        <w:rPr>
          <w:rFonts w:ascii="Times New Roman" w:hAnsi="Times New Roman"/>
          <w:b w:val="0"/>
          <w:sz w:val="24"/>
          <w:szCs w:val="24"/>
        </w:rPr>
        <w:t>Týmto opatrením sa obmedzia negatívne (najmä finančné a sociálne) následky hrania týchto hier na ich životy , a to:</w:t>
      </w:r>
    </w:p>
    <w:p w:rsidR="009D45A1" w:rsidRPr="008051C9" w:rsidRDefault="009D45A1" w:rsidP="009D45A1">
      <w:pPr>
        <w:pStyle w:val="Normlnywebov"/>
        <w:numPr>
          <w:ilvl w:val="0"/>
          <w:numId w:val="1"/>
        </w:numPr>
        <w:spacing w:before="120" w:beforeAutospacing="0" w:after="120" w:afterAutospacing="0" w:line="276" w:lineRule="auto"/>
        <w:jc w:val="both"/>
      </w:pPr>
      <w:r w:rsidRPr="008051C9">
        <w:t>eliminovaním účasti na takýchto hrách osobám, ktoré sa nachádzajú v situácii, keď hranie hazardných hier predstavuje ohrozenie ich života, zdravia, základných životných podmienok alebo splácanie ich záväzkov,</w:t>
      </w:r>
    </w:p>
    <w:p w:rsidR="009D45A1" w:rsidRPr="008051C9" w:rsidRDefault="009D45A1" w:rsidP="009D45A1">
      <w:pPr>
        <w:pStyle w:val="Normlnywebov"/>
        <w:numPr>
          <w:ilvl w:val="0"/>
          <w:numId w:val="1"/>
        </w:numPr>
        <w:spacing w:before="120" w:beforeAutospacing="0" w:after="120" w:afterAutospacing="0" w:line="276" w:lineRule="auto"/>
        <w:jc w:val="both"/>
      </w:pPr>
      <w:r w:rsidRPr="008051C9">
        <w:t>ochranou účelu poskytovania dávok v hmotnej núdzi.</w:t>
      </w:r>
    </w:p>
    <w:p w:rsidR="009D45A1" w:rsidRPr="008051C9" w:rsidRDefault="009D45A1" w:rsidP="009D45A1">
      <w:pPr>
        <w:pStyle w:val="Normlnywebov"/>
        <w:spacing w:before="120" w:beforeAutospacing="0" w:after="0" w:afterAutospacing="0" w:line="276" w:lineRule="auto"/>
        <w:ind w:firstLine="708"/>
        <w:jc w:val="both"/>
        <w:rPr>
          <w:b/>
        </w:rPr>
      </w:pPr>
    </w:p>
    <w:p w:rsidR="009D45A1" w:rsidRPr="008051C9" w:rsidRDefault="009D45A1" w:rsidP="009D45A1">
      <w:pPr>
        <w:ind w:firstLine="708"/>
        <w:jc w:val="both"/>
        <w:rPr>
          <w:rFonts w:ascii="Times New Roman" w:hAnsi="Times New Roman"/>
          <w:color w:val="000000"/>
          <w:szCs w:val="24"/>
        </w:rPr>
      </w:pPr>
      <w:r w:rsidRPr="008051C9">
        <w:rPr>
          <w:rFonts w:ascii="Times New Roman" w:hAnsi="Times New Roman"/>
          <w:color w:val="000000"/>
          <w:szCs w:val="24"/>
        </w:rPr>
        <w:t xml:space="preserve">Predkladaný návrh zákona nemá  vplyv na rozpočet verejnej správy, nemá vplyv na podnikateľské prostredie, má pozitívne sociálne vplyvy a  </w:t>
      </w:r>
      <w:r w:rsidRPr="008051C9">
        <w:rPr>
          <w:rFonts w:ascii="Times New Roman" w:hAnsi="Times New Roman"/>
          <w:szCs w:val="24"/>
        </w:rPr>
        <w:t xml:space="preserve">vplyv  na manželstvo, rodičovstvo a rodinu, </w:t>
      </w:r>
      <w:r w:rsidRPr="008051C9">
        <w:rPr>
          <w:rFonts w:ascii="Times New Roman" w:hAnsi="Times New Roman"/>
          <w:color w:val="000000"/>
          <w:szCs w:val="24"/>
        </w:rPr>
        <w:t xml:space="preserve"> ne</w:t>
      </w:r>
      <w:r w:rsidR="00B23A6A">
        <w:rPr>
          <w:rFonts w:ascii="Times New Roman" w:hAnsi="Times New Roman"/>
          <w:color w:val="000000"/>
          <w:szCs w:val="24"/>
        </w:rPr>
        <w:t xml:space="preserve">má vplyv na životné prostredie a </w:t>
      </w:r>
      <w:r w:rsidRPr="008051C9">
        <w:rPr>
          <w:rFonts w:ascii="Times New Roman" w:hAnsi="Times New Roman"/>
          <w:color w:val="000000"/>
          <w:szCs w:val="24"/>
        </w:rPr>
        <w:t xml:space="preserve"> nemá ani vplyv na informatizáciu spoločnosti. </w:t>
      </w:r>
    </w:p>
    <w:p w:rsidR="009D45A1" w:rsidRPr="008051C9" w:rsidRDefault="009D45A1" w:rsidP="009D45A1">
      <w:pPr>
        <w:pStyle w:val="Normlnywebov"/>
        <w:spacing w:before="120" w:after="0" w:line="276" w:lineRule="auto"/>
        <w:ind w:firstLine="708"/>
        <w:jc w:val="both"/>
        <w:rPr>
          <w:b/>
          <w:color w:val="000000"/>
        </w:rPr>
      </w:pPr>
      <w:r w:rsidRPr="008051C9">
        <w:rPr>
          <w:color w:val="000000"/>
        </w:rPr>
        <w:t>Návrh zákona je v súlade s Ústavou Slovenskej republiky, ústavnými zákonmi a ostatnými všeobecne záväznými právnymi predpismi Slovenskej republiky, medzinárodnými zmluvami a inými medzinárodnými dokumentmi, ktorými</w:t>
      </w:r>
      <w:r w:rsidR="00B23A6A">
        <w:rPr>
          <w:color w:val="000000"/>
        </w:rPr>
        <w:t xml:space="preserve"> je Slovenská republika viazaná</w:t>
      </w:r>
      <w:r w:rsidRPr="008051C9">
        <w:rPr>
          <w:color w:val="000000"/>
        </w:rPr>
        <w:t xml:space="preserve"> ako aj s právom Európskej únie.</w:t>
      </w:r>
    </w:p>
    <w:p w:rsidR="009D45A1" w:rsidRDefault="009D45A1" w:rsidP="009D45A1">
      <w:pPr>
        <w:jc w:val="both"/>
        <w:rPr>
          <w:b/>
          <w:szCs w:val="28"/>
        </w:rPr>
      </w:pPr>
    </w:p>
    <w:p w:rsidR="009D45A1" w:rsidRPr="006E5713" w:rsidRDefault="009D45A1" w:rsidP="009D45A1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9D45A1" w:rsidRDefault="009D45A1" w:rsidP="009D45A1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9D45A1" w:rsidRDefault="009D45A1" w:rsidP="009D45A1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9D45A1" w:rsidRDefault="009D45A1" w:rsidP="009D45A1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8051C9" w:rsidRDefault="008051C9" w:rsidP="009D45A1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9D45A1" w:rsidRDefault="009D45A1" w:rsidP="009D45A1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9D45A1" w:rsidRPr="006E5713" w:rsidRDefault="009D45A1" w:rsidP="009D45A1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6E5713">
        <w:rPr>
          <w:rFonts w:ascii="Book Antiqua" w:hAnsi="Book Antiqua"/>
          <w:b/>
          <w:sz w:val="22"/>
          <w:szCs w:val="22"/>
        </w:rPr>
        <w:t>B. Osobitná časť</w:t>
      </w:r>
    </w:p>
    <w:p w:rsidR="009D45A1" w:rsidRPr="006E5713" w:rsidRDefault="009D45A1" w:rsidP="009D45A1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9D45A1" w:rsidRPr="008051C9" w:rsidRDefault="009D45A1" w:rsidP="009D45A1">
      <w:pPr>
        <w:pStyle w:val="Normlnywebov"/>
        <w:spacing w:before="120" w:beforeAutospacing="0" w:after="0" w:afterAutospacing="0" w:line="276" w:lineRule="auto"/>
        <w:jc w:val="both"/>
        <w:rPr>
          <w:b/>
        </w:rPr>
      </w:pPr>
      <w:r w:rsidRPr="008051C9">
        <w:rPr>
          <w:b/>
        </w:rPr>
        <w:t>K Čl. I</w:t>
      </w:r>
    </w:p>
    <w:p w:rsidR="009D45A1" w:rsidRPr="004E25B6" w:rsidRDefault="009D45A1" w:rsidP="009D45A1">
      <w:pPr>
        <w:widowControl w:val="0"/>
        <w:tabs>
          <w:tab w:val="left" w:pos="861"/>
        </w:tabs>
        <w:suppressAutoHyphens/>
        <w:autoSpaceDE w:val="0"/>
        <w:autoSpaceDN w:val="0"/>
        <w:adjustRightInd w:val="0"/>
        <w:spacing w:before="120" w:after="0"/>
        <w:ind w:right="-2"/>
        <w:contextualSpacing w:val="0"/>
        <w:jc w:val="both"/>
        <w:rPr>
          <w:rFonts w:ascii="Times New Roman" w:eastAsia="SimSun" w:hAnsi="Times New Roman"/>
          <w:b/>
          <w:kern w:val="1"/>
          <w:szCs w:val="24"/>
          <w:lang w:eastAsia="hi-IN" w:bidi="hi-IN"/>
        </w:rPr>
      </w:pPr>
      <w:r w:rsidRPr="008051C9">
        <w:rPr>
          <w:rFonts w:ascii="Times New Roman" w:eastAsia="SimSun" w:hAnsi="Times New Roman"/>
          <w:color w:val="000000" w:themeColor="text1"/>
          <w:kern w:val="1"/>
          <w:szCs w:val="24"/>
          <w:lang w:eastAsia="hi-IN" w:bidi="hi-IN"/>
        </w:rPr>
        <w:t>Navrhuje sa rozšíriť druhy hazardných hier</w:t>
      </w:r>
      <w:r w:rsidR="008051C9" w:rsidRPr="008051C9">
        <w:rPr>
          <w:rFonts w:ascii="Times New Roman" w:eastAsia="SimSun" w:hAnsi="Times New Roman"/>
          <w:color w:val="000000" w:themeColor="text1"/>
          <w:kern w:val="1"/>
          <w:szCs w:val="24"/>
          <w:lang w:eastAsia="hi-IN" w:bidi="hi-IN"/>
        </w:rPr>
        <w:t xml:space="preserve"> o stávkové hry</w:t>
      </w:r>
      <w:r w:rsidRPr="008051C9">
        <w:rPr>
          <w:rFonts w:ascii="Times New Roman" w:eastAsia="SimSun" w:hAnsi="Times New Roman"/>
          <w:color w:val="000000" w:themeColor="text1"/>
          <w:kern w:val="1"/>
          <w:szCs w:val="24"/>
          <w:lang w:eastAsia="hi-IN" w:bidi="hi-IN"/>
        </w:rPr>
        <w:t xml:space="preserve">, v ktorých sa </w:t>
      </w:r>
      <w:r w:rsidRPr="004E25B6">
        <w:rPr>
          <w:rFonts w:ascii="Times New Roman" w:eastAsia="SimSun" w:hAnsi="Times New Roman"/>
          <w:color w:val="000000" w:themeColor="text1"/>
          <w:kern w:val="1"/>
          <w:szCs w:val="24"/>
          <w:lang w:eastAsia="hi-IN" w:bidi="hi-IN"/>
        </w:rPr>
        <w:t xml:space="preserve"> zakazuje fyzickým osobám evidovaným v registri fyzických osôb vylúč</w:t>
      </w:r>
      <w:r w:rsidRPr="008051C9">
        <w:rPr>
          <w:rFonts w:ascii="Times New Roman" w:eastAsia="SimSun" w:hAnsi="Times New Roman"/>
          <w:color w:val="000000" w:themeColor="text1"/>
          <w:kern w:val="1"/>
          <w:szCs w:val="24"/>
          <w:lang w:eastAsia="hi-IN" w:bidi="hi-IN"/>
        </w:rPr>
        <w:t>ených z hrania hazardných hier. Zároveň sa rozširujú povinnosti p</w:t>
      </w:r>
      <w:r w:rsidRPr="004E25B6">
        <w:rPr>
          <w:rFonts w:ascii="Times New Roman" w:eastAsia="SimSun" w:hAnsi="Times New Roman"/>
          <w:color w:val="000000" w:themeColor="text1"/>
          <w:kern w:val="1"/>
          <w:szCs w:val="24"/>
          <w:lang w:eastAsia="hi-IN" w:bidi="hi-IN"/>
        </w:rPr>
        <w:t>revádzkovateľ</w:t>
      </w:r>
      <w:r w:rsidRPr="008051C9">
        <w:rPr>
          <w:rFonts w:ascii="Times New Roman" w:eastAsia="SimSun" w:hAnsi="Times New Roman"/>
          <w:color w:val="000000" w:themeColor="text1"/>
          <w:kern w:val="1"/>
          <w:szCs w:val="24"/>
          <w:lang w:eastAsia="hi-IN" w:bidi="hi-IN"/>
        </w:rPr>
        <w:t xml:space="preserve">a </w:t>
      </w:r>
      <w:r w:rsidR="008051C9" w:rsidRPr="008051C9">
        <w:rPr>
          <w:rFonts w:ascii="Times New Roman" w:eastAsia="SimSun" w:hAnsi="Times New Roman"/>
          <w:color w:val="000000" w:themeColor="text1"/>
          <w:kern w:val="1"/>
          <w:szCs w:val="24"/>
          <w:lang w:eastAsia="hi-IN" w:bidi="hi-IN"/>
        </w:rPr>
        <w:t>stávkovej hry</w:t>
      </w:r>
      <w:r w:rsidRPr="004E25B6">
        <w:rPr>
          <w:rFonts w:ascii="Times New Roman" w:eastAsia="SimSun" w:hAnsi="Times New Roman"/>
          <w:color w:val="000000" w:themeColor="text1"/>
          <w:kern w:val="1"/>
          <w:szCs w:val="24"/>
          <w:lang w:eastAsia="hi-IN" w:bidi="hi-IN"/>
        </w:rPr>
        <w:t xml:space="preserve"> týmto fyzickým osobám </w:t>
      </w:r>
      <w:r w:rsidRPr="008051C9">
        <w:rPr>
          <w:rFonts w:ascii="Times New Roman" w:eastAsia="SimSun" w:hAnsi="Times New Roman"/>
          <w:color w:val="000000" w:themeColor="text1"/>
          <w:kern w:val="1"/>
          <w:szCs w:val="24"/>
          <w:lang w:eastAsia="hi-IN" w:bidi="hi-IN"/>
        </w:rPr>
        <w:t>ne</w:t>
      </w:r>
      <w:r w:rsidRPr="004E25B6">
        <w:rPr>
          <w:rFonts w:ascii="Times New Roman" w:eastAsia="SimSun" w:hAnsi="Times New Roman"/>
          <w:color w:val="000000" w:themeColor="text1"/>
          <w:kern w:val="1"/>
          <w:szCs w:val="24"/>
          <w:lang w:eastAsia="hi-IN" w:bidi="hi-IN"/>
        </w:rPr>
        <w:t xml:space="preserve">umožniť účasť na takej hazardnej hre. Prevádzkovateľ hazardnej hry, ktorý prevádzkuje </w:t>
      </w:r>
      <w:r w:rsidRPr="008051C9">
        <w:rPr>
          <w:rFonts w:ascii="Times New Roman" w:eastAsia="SimSun" w:hAnsi="Times New Roman"/>
          <w:color w:val="000000" w:themeColor="text1"/>
          <w:kern w:val="1"/>
          <w:szCs w:val="24"/>
          <w:lang w:eastAsia="hi-IN" w:bidi="hi-IN"/>
        </w:rPr>
        <w:t xml:space="preserve">stávkovú hru </w:t>
      </w:r>
      <w:r w:rsidRPr="004E25B6">
        <w:rPr>
          <w:rFonts w:ascii="Times New Roman" w:eastAsia="SimSun" w:hAnsi="Times New Roman"/>
          <w:color w:val="000000" w:themeColor="text1"/>
          <w:kern w:val="1"/>
          <w:szCs w:val="24"/>
          <w:lang w:eastAsia="hi-IN" w:bidi="hi-IN"/>
        </w:rPr>
        <w:t xml:space="preserve">je na tieto účely povinný využívať register vylúčených osôb a požadovať predloženie preukazu totožnosti. Prevádzkovateľ internetovej hry je na tieto účely povinný požadovať údaje z preukazu </w:t>
      </w:r>
      <w:r w:rsidR="008051C9" w:rsidRPr="008051C9">
        <w:rPr>
          <w:rFonts w:ascii="Times New Roman" w:eastAsia="SimSun" w:hAnsi="Times New Roman"/>
          <w:color w:val="000000" w:themeColor="text1"/>
          <w:kern w:val="1"/>
          <w:szCs w:val="24"/>
          <w:lang w:eastAsia="hi-IN" w:bidi="hi-IN"/>
        </w:rPr>
        <w:t xml:space="preserve">totožnosti a z ďalšieho dokladu, </w:t>
      </w:r>
      <w:r w:rsidRPr="004E25B6">
        <w:rPr>
          <w:rFonts w:ascii="Times New Roman" w:eastAsia="SimSun" w:hAnsi="Times New Roman"/>
          <w:color w:val="000000" w:themeColor="text1"/>
          <w:kern w:val="1"/>
          <w:szCs w:val="24"/>
          <w:lang w:eastAsia="hi-IN" w:bidi="hi-IN"/>
        </w:rPr>
        <w:t xml:space="preserve"> kópie ktorých mu na tieto účely zasiela fyzická osoba, ktorá má záujem zúčastniť sa na hazardnej hre a využívať register vylúčených osôb pri každom prihlásení sa hráča na jeho hráčsky účet</w:t>
      </w:r>
      <w:r w:rsidRPr="004E25B6">
        <w:rPr>
          <w:rFonts w:ascii="Times New Roman" w:eastAsia="SimSun" w:hAnsi="Times New Roman"/>
          <w:color w:val="494949"/>
          <w:kern w:val="1"/>
          <w:szCs w:val="24"/>
          <w:lang w:eastAsia="hi-IN" w:bidi="hi-IN"/>
        </w:rPr>
        <w:t>.</w:t>
      </w:r>
    </w:p>
    <w:p w:rsidR="009D45A1" w:rsidRPr="008051C9" w:rsidRDefault="009D45A1" w:rsidP="009D45A1">
      <w:pPr>
        <w:pStyle w:val="Normlnywebov"/>
        <w:spacing w:before="120" w:beforeAutospacing="0" w:after="0" w:afterAutospacing="0" w:line="276" w:lineRule="auto"/>
        <w:jc w:val="both"/>
      </w:pPr>
    </w:p>
    <w:p w:rsidR="009D45A1" w:rsidRPr="008051C9" w:rsidRDefault="008051C9" w:rsidP="009D45A1">
      <w:pPr>
        <w:pStyle w:val="Normlnywebov"/>
        <w:spacing w:before="120" w:beforeAutospacing="0" w:after="0" w:afterAutospacing="0" w:line="276" w:lineRule="auto"/>
        <w:jc w:val="both"/>
        <w:rPr>
          <w:b/>
        </w:rPr>
      </w:pPr>
      <w:r w:rsidRPr="008051C9">
        <w:rPr>
          <w:b/>
        </w:rPr>
        <w:t>K Čl.  II</w:t>
      </w:r>
    </w:p>
    <w:p w:rsidR="009D45A1" w:rsidRPr="008051C9" w:rsidRDefault="00B23A6A" w:rsidP="009D45A1">
      <w:pPr>
        <w:pStyle w:val="Normlnywebov"/>
        <w:spacing w:before="120" w:beforeAutospacing="0" w:after="0" w:afterAutospacing="0" w:line="276" w:lineRule="auto"/>
        <w:ind w:firstLine="708"/>
        <w:jc w:val="both"/>
      </w:pPr>
      <w:r>
        <w:t>Účinnosť predkladaného zákona</w:t>
      </w:r>
      <w:r w:rsidR="009D45A1" w:rsidRPr="008051C9">
        <w:t xml:space="preserve">, </w:t>
      </w:r>
      <w:r w:rsidR="00026AE0">
        <w:t>p</w:t>
      </w:r>
      <w:r w:rsidR="009D45A1" w:rsidRPr="008051C9">
        <w:t xml:space="preserve">o zohľadnení </w:t>
      </w:r>
      <w:proofErr w:type="spellStart"/>
      <w:r w:rsidR="009D45A1" w:rsidRPr="008051C9">
        <w:t>legisvakančnej</w:t>
      </w:r>
      <w:proofErr w:type="spellEnd"/>
      <w:r w:rsidR="009D45A1" w:rsidRPr="008051C9">
        <w:t xml:space="preserve"> lehoty, navrhuje</w:t>
      </w:r>
      <w:r w:rsidR="00026AE0">
        <w:t xml:space="preserve">me </w:t>
      </w:r>
      <w:r w:rsidR="009D45A1" w:rsidRPr="008051C9">
        <w:t xml:space="preserve"> od 1.  </w:t>
      </w:r>
      <w:r w:rsidR="00026AE0">
        <w:t>januára 2020</w:t>
      </w:r>
      <w:r w:rsidR="009D45A1" w:rsidRPr="008051C9">
        <w:t>.</w:t>
      </w:r>
    </w:p>
    <w:p w:rsidR="009D45A1" w:rsidRDefault="009D45A1" w:rsidP="009D45A1">
      <w:pPr>
        <w:pStyle w:val="Normlnywebov"/>
        <w:spacing w:before="120" w:beforeAutospacing="0" w:after="0" w:afterAutospacing="0" w:line="276" w:lineRule="auto"/>
        <w:jc w:val="center"/>
        <w:rPr>
          <w:rFonts w:ascii="Book Antiqua" w:hAnsi="Book Antiqua"/>
          <w:b/>
          <w:caps/>
          <w:spacing w:val="30"/>
          <w:sz w:val="22"/>
          <w:szCs w:val="22"/>
        </w:rPr>
      </w:pPr>
    </w:p>
    <w:p w:rsidR="00FE7D87" w:rsidRDefault="00FE7D87"/>
    <w:sectPr w:rsidR="00FE7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3316A"/>
    <w:multiLevelType w:val="hybridMultilevel"/>
    <w:tmpl w:val="764E1362"/>
    <w:lvl w:ilvl="0" w:tplc="07A8FF5E">
      <w:start w:val="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5A1"/>
    <w:rsid w:val="00026AE0"/>
    <w:rsid w:val="00062DCC"/>
    <w:rsid w:val="008051C9"/>
    <w:rsid w:val="009D45A1"/>
    <w:rsid w:val="00B23A6A"/>
    <w:rsid w:val="00C375D7"/>
    <w:rsid w:val="00E422FF"/>
    <w:rsid w:val="00F6106A"/>
    <w:rsid w:val="00FE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5C872"/>
  <w15:chartTrackingRefBased/>
  <w15:docId w15:val="{F51359C2-BFD5-4DED-9462-82D990E9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D45A1"/>
    <w:pPr>
      <w:spacing w:after="200" w:line="276" w:lineRule="auto"/>
      <w:contextualSpacing/>
    </w:pPr>
    <w:rPr>
      <w:rFonts w:ascii="Book Antiqua" w:eastAsia="Times New Roman" w:hAnsi="Book Antiqua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9D45A1"/>
    <w:pPr>
      <w:keepNext/>
      <w:autoSpaceDE w:val="0"/>
      <w:autoSpaceDN w:val="0"/>
      <w:adjustRightInd w:val="0"/>
      <w:spacing w:after="0" w:line="240" w:lineRule="auto"/>
      <w:contextualSpacing w:val="0"/>
      <w:jc w:val="center"/>
      <w:outlineLvl w:val="0"/>
    </w:pPr>
    <w:rPr>
      <w:rFonts w:ascii="Cambria" w:hAnsi="Cambria"/>
      <w:b/>
      <w:bCs/>
      <w:kern w:val="32"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D45A1"/>
    <w:rPr>
      <w:rFonts w:ascii="Cambria" w:eastAsia="Times New Roman" w:hAnsi="Cambria" w:cs="Times New Roman"/>
      <w:b/>
      <w:bCs/>
      <w:kern w:val="32"/>
      <w:sz w:val="32"/>
      <w:szCs w:val="32"/>
      <w:lang w:eastAsia="sk-SK"/>
    </w:rPr>
  </w:style>
  <w:style w:type="paragraph" w:styleId="Normlnywebov">
    <w:name w:val="Normal (Web)"/>
    <w:basedOn w:val="Normlny"/>
    <w:uiPriority w:val="99"/>
    <w:rsid w:val="009D45A1"/>
    <w:pPr>
      <w:spacing w:before="100" w:beforeAutospacing="1" w:after="100" w:afterAutospacing="1" w:line="240" w:lineRule="auto"/>
      <w:contextualSpacing w:val="0"/>
    </w:pPr>
    <w:rPr>
      <w:rFonts w:ascii="Times New Roman" w:hAnsi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62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62DC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Pčolinská, Adriana (asistent)</dc:creator>
  <cp:keywords/>
  <dc:description/>
  <cp:lastModifiedBy>Pčolinská, Adriana (asistent)</cp:lastModifiedBy>
  <cp:revision>13</cp:revision>
  <cp:lastPrinted>2019-08-23T09:08:00Z</cp:lastPrinted>
  <dcterms:created xsi:type="dcterms:W3CDTF">2019-08-01T12:02:00Z</dcterms:created>
  <dcterms:modified xsi:type="dcterms:W3CDTF">2019-08-23T09:12:00Z</dcterms:modified>
</cp:coreProperties>
</file>