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01" w:rsidRPr="00855FFA" w:rsidRDefault="005071CB" w:rsidP="00095A37">
      <w:pPr>
        <w:pStyle w:val="Nzov"/>
        <w:widowControl/>
        <w:pBdr>
          <w:bottom w:val="single" w:sz="12" w:space="1" w:color="auto"/>
        </w:pBdr>
        <w:tabs>
          <w:tab w:val="left" w:pos="567"/>
        </w:tabs>
        <w:spacing w:before="120" w:line="276" w:lineRule="auto"/>
        <w:rPr>
          <w:rFonts w:ascii="Times New Roman" w:hAnsi="Times New Roman"/>
          <w:sz w:val="24"/>
          <w:szCs w:val="24"/>
          <w:u w:val="none"/>
        </w:rPr>
      </w:pPr>
      <w:r w:rsidRPr="00855FFA">
        <w:rPr>
          <w:rFonts w:ascii="Times New Roman" w:hAnsi="Times New Roman"/>
          <w:sz w:val="24"/>
          <w:szCs w:val="24"/>
          <w:u w:val="none"/>
        </w:rPr>
        <w:t>N Á R O D N Á   R A D A   S L O V E N S K E J   R E P U B L I K Y</w:t>
      </w:r>
    </w:p>
    <w:p w:rsidR="00F37801" w:rsidRPr="00855FFA" w:rsidRDefault="00F37801" w:rsidP="00095A37">
      <w:pPr>
        <w:tabs>
          <w:tab w:val="left" w:pos="567"/>
        </w:tabs>
        <w:spacing w:before="120" w:line="276" w:lineRule="auto"/>
        <w:jc w:val="both"/>
        <w:rPr>
          <w:rFonts w:cs="Times New Roman"/>
          <w:b/>
          <w:u w:val="single"/>
        </w:rPr>
      </w:pPr>
    </w:p>
    <w:p w:rsidR="00F37801" w:rsidRPr="00855FFA" w:rsidRDefault="005071CB" w:rsidP="00095A37">
      <w:pPr>
        <w:tabs>
          <w:tab w:val="left" w:pos="567"/>
        </w:tabs>
        <w:spacing w:before="120" w:line="276" w:lineRule="auto"/>
        <w:jc w:val="center"/>
        <w:rPr>
          <w:rFonts w:cs="Times New Roman"/>
        </w:rPr>
      </w:pPr>
      <w:r w:rsidRPr="00855FFA">
        <w:rPr>
          <w:rFonts w:cs="Times New Roman"/>
        </w:rPr>
        <w:t>VI</w:t>
      </w:r>
      <w:r w:rsidR="00EE3FA2" w:rsidRPr="00855FFA">
        <w:rPr>
          <w:rFonts w:cs="Times New Roman"/>
        </w:rPr>
        <w:t>I</w:t>
      </w:r>
      <w:r w:rsidRPr="00855FFA">
        <w:rPr>
          <w:rFonts w:cs="Times New Roman"/>
        </w:rPr>
        <w:t>. volebné obdobie</w:t>
      </w:r>
    </w:p>
    <w:p w:rsidR="00F37801" w:rsidRPr="00855FFA" w:rsidRDefault="00F37801" w:rsidP="005B79C8">
      <w:pPr>
        <w:tabs>
          <w:tab w:val="left" w:pos="567"/>
        </w:tabs>
        <w:spacing w:before="120" w:line="276" w:lineRule="auto"/>
        <w:rPr>
          <w:rFonts w:cs="Times New Roman"/>
        </w:rPr>
      </w:pPr>
    </w:p>
    <w:p w:rsidR="00F37801" w:rsidRPr="00855FFA" w:rsidRDefault="005071CB" w:rsidP="00095A37">
      <w:pPr>
        <w:tabs>
          <w:tab w:val="left" w:pos="567"/>
        </w:tabs>
        <w:spacing w:before="120" w:line="276" w:lineRule="auto"/>
        <w:jc w:val="center"/>
        <w:rPr>
          <w:rFonts w:cs="Times New Roman"/>
          <w:bCs/>
        </w:rPr>
      </w:pPr>
      <w:r w:rsidRPr="00855FFA">
        <w:rPr>
          <w:rFonts w:cs="Times New Roman"/>
          <w:bCs/>
        </w:rPr>
        <w:t>NÁVRH</w:t>
      </w:r>
    </w:p>
    <w:p w:rsidR="00F37801" w:rsidRPr="00855FFA" w:rsidRDefault="00F37801" w:rsidP="00095A37">
      <w:pPr>
        <w:tabs>
          <w:tab w:val="left" w:pos="567"/>
        </w:tabs>
        <w:spacing w:before="120" w:line="276" w:lineRule="auto"/>
        <w:jc w:val="center"/>
        <w:rPr>
          <w:rFonts w:cs="Times New Roman"/>
          <w:bCs/>
        </w:rPr>
      </w:pPr>
    </w:p>
    <w:p w:rsidR="00F37801" w:rsidRPr="00855FFA" w:rsidRDefault="005071CB" w:rsidP="00095A37">
      <w:pPr>
        <w:tabs>
          <w:tab w:val="left" w:pos="567"/>
        </w:tabs>
        <w:spacing w:before="120" w:line="276" w:lineRule="auto"/>
        <w:jc w:val="center"/>
        <w:rPr>
          <w:rFonts w:cs="Times New Roman"/>
          <w:b/>
          <w:bCs/>
        </w:rPr>
      </w:pPr>
      <w:r w:rsidRPr="00855FFA">
        <w:rPr>
          <w:rFonts w:cs="Times New Roman"/>
          <w:b/>
          <w:bCs/>
        </w:rPr>
        <w:t>Z á k o n</w:t>
      </w:r>
    </w:p>
    <w:p w:rsidR="00F37801" w:rsidRPr="00855FFA" w:rsidRDefault="00F37801" w:rsidP="00095A37">
      <w:pPr>
        <w:tabs>
          <w:tab w:val="left" w:pos="567"/>
        </w:tabs>
        <w:spacing w:before="120" w:line="276" w:lineRule="auto"/>
        <w:jc w:val="center"/>
        <w:rPr>
          <w:rFonts w:cs="Times New Roman"/>
          <w:b/>
          <w:bCs/>
        </w:rPr>
      </w:pPr>
    </w:p>
    <w:p w:rsidR="00F37801" w:rsidRPr="00855FFA" w:rsidRDefault="005071CB" w:rsidP="00095A37">
      <w:pPr>
        <w:tabs>
          <w:tab w:val="left" w:pos="567"/>
        </w:tabs>
        <w:spacing w:before="120" w:line="276" w:lineRule="auto"/>
        <w:jc w:val="center"/>
        <w:rPr>
          <w:rFonts w:cs="Times New Roman"/>
          <w:bCs/>
        </w:rPr>
      </w:pPr>
      <w:r w:rsidRPr="00855FFA">
        <w:rPr>
          <w:rFonts w:cs="Times New Roman"/>
          <w:bCs/>
        </w:rPr>
        <w:t xml:space="preserve">z  </w:t>
      </w:r>
      <w:r w:rsidR="00901CA0" w:rsidRPr="00855FFA">
        <w:rPr>
          <w:rFonts w:cs="Times New Roman"/>
        </w:rPr>
        <w:t xml:space="preserve">... </w:t>
      </w:r>
      <w:r w:rsidRPr="00855FFA">
        <w:rPr>
          <w:rFonts w:cs="Times New Roman"/>
        </w:rPr>
        <w:t>201</w:t>
      </w:r>
      <w:r w:rsidR="000567A8" w:rsidRPr="00855FFA">
        <w:rPr>
          <w:rFonts w:cs="Times New Roman"/>
        </w:rPr>
        <w:t>9</w:t>
      </w:r>
      <w:r w:rsidRPr="00855FFA">
        <w:rPr>
          <w:rFonts w:cs="Times New Roman"/>
        </w:rPr>
        <w:t>,</w:t>
      </w:r>
      <w:r w:rsidRPr="00855FFA">
        <w:rPr>
          <w:rFonts w:cs="Times New Roman"/>
          <w:bCs/>
        </w:rPr>
        <w:t xml:space="preserve"> </w:t>
      </w:r>
    </w:p>
    <w:p w:rsidR="00F37801" w:rsidRPr="00855FFA" w:rsidRDefault="00F37801" w:rsidP="005B79C8">
      <w:pPr>
        <w:tabs>
          <w:tab w:val="left" w:pos="567"/>
          <w:tab w:val="left" w:pos="2324"/>
        </w:tabs>
        <w:spacing w:before="120" w:line="276" w:lineRule="auto"/>
        <w:rPr>
          <w:rFonts w:cs="Times New Roman"/>
          <w:b/>
        </w:rPr>
      </w:pPr>
    </w:p>
    <w:p w:rsidR="000567A8" w:rsidRPr="00855FFA" w:rsidRDefault="005071CB" w:rsidP="000567A8">
      <w:pPr>
        <w:pStyle w:val="Nadpis1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sk-SK" w:bidi="ar-SA"/>
        </w:rPr>
      </w:pPr>
      <w:r w:rsidRPr="00855F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ktorým sa </w:t>
      </w:r>
      <w:r w:rsidR="00F37801" w:rsidRPr="00855F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dopĺňa</w:t>
      </w:r>
      <w:r w:rsidRPr="00855F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zákon</w:t>
      </w:r>
      <w:r w:rsidR="000567A8" w:rsidRPr="00855F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č. </w:t>
      </w:r>
      <w:r w:rsidRPr="00855F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67A8" w:rsidRPr="00855FF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sk-SK" w:bidi="ar-SA"/>
        </w:rPr>
        <w:t xml:space="preserve">30/2019 Z. z. </w:t>
      </w:r>
      <w:r w:rsidR="000567A8" w:rsidRPr="00855FFA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sk-SK" w:bidi="ar-SA"/>
        </w:rPr>
        <w:t>o hazardných hrách a o zmene a doplnení niektorých zákonov</w:t>
      </w:r>
      <w:r w:rsidR="00FA199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sk-SK" w:bidi="ar-SA"/>
        </w:rPr>
        <w:t xml:space="preserve"> v znení zákona č. 221/2019 Z. z. </w:t>
      </w:r>
    </w:p>
    <w:p w:rsidR="0045658E" w:rsidRPr="00855FFA" w:rsidRDefault="0045658E" w:rsidP="000567A8">
      <w:pPr>
        <w:tabs>
          <w:tab w:val="left" w:pos="567"/>
          <w:tab w:val="left" w:pos="2324"/>
        </w:tabs>
        <w:spacing w:before="120" w:line="276" w:lineRule="auto"/>
        <w:jc w:val="center"/>
        <w:rPr>
          <w:rFonts w:cs="Times New Roman"/>
          <w:b/>
          <w:color w:val="000000" w:themeColor="text1"/>
        </w:rPr>
      </w:pPr>
    </w:p>
    <w:p w:rsidR="00EF091F" w:rsidRPr="00855FFA" w:rsidRDefault="005071CB" w:rsidP="00095A37">
      <w:pPr>
        <w:tabs>
          <w:tab w:val="left" w:pos="567"/>
          <w:tab w:val="left" w:pos="2324"/>
        </w:tabs>
        <w:spacing w:before="120" w:line="276" w:lineRule="auto"/>
        <w:rPr>
          <w:rFonts w:cs="Times New Roman"/>
        </w:rPr>
      </w:pPr>
      <w:r w:rsidRPr="00855FFA">
        <w:rPr>
          <w:rFonts w:cs="Times New Roman"/>
        </w:rPr>
        <w:t>Národná rada Slovenskej republiky sa uzniesla na tomto zákone:</w:t>
      </w:r>
    </w:p>
    <w:p w:rsidR="00EF091F" w:rsidRPr="00855FFA" w:rsidRDefault="00EF091F" w:rsidP="00095A37">
      <w:pPr>
        <w:tabs>
          <w:tab w:val="left" w:pos="567"/>
          <w:tab w:val="left" w:pos="2324"/>
        </w:tabs>
        <w:spacing w:before="120" w:line="276" w:lineRule="auto"/>
        <w:jc w:val="center"/>
        <w:rPr>
          <w:rFonts w:cs="Times New Roman"/>
          <w:b/>
        </w:rPr>
      </w:pPr>
    </w:p>
    <w:p w:rsidR="00EF091F" w:rsidRPr="00855FFA" w:rsidRDefault="005071CB" w:rsidP="00095A37">
      <w:pPr>
        <w:tabs>
          <w:tab w:val="left" w:pos="567"/>
          <w:tab w:val="left" w:pos="2324"/>
        </w:tabs>
        <w:spacing w:before="120" w:line="276" w:lineRule="auto"/>
        <w:jc w:val="center"/>
        <w:rPr>
          <w:rFonts w:cs="Times New Roman"/>
          <w:b/>
        </w:rPr>
      </w:pPr>
      <w:r w:rsidRPr="00855FFA">
        <w:rPr>
          <w:rFonts w:cs="Times New Roman"/>
          <w:b/>
        </w:rPr>
        <w:t>Čl. I</w:t>
      </w:r>
    </w:p>
    <w:p w:rsidR="00A90DA3" w:rsidRPr="00855FFA" w:rsidRDefault="00A90DA3" w:rsidP="00095A37">
      <w:pPr>
        <w:tabs>
          <w:tab w:val="left" w:pos="567"/>
          <w:tab w:val="left" w:pos="2324"/>
        </w:tabs>
        <w:spacing w:before="120" w:line="276" w:lineRule="auto"/>
        <w:jc w:val="center"/>
        <w:rPr>
          <w:rFonts w:cs="Times New Roman"/>
        </w:rPr>
      </w:pPr>
    </w:p>
    <w:p w:rsidR="005517A3" w:rsidRPr="00855FFA" w:rsidRDefault="005071CB" w:rsidP="00095A37">
      <w:pPr>
        <w:tabs>
          <w:tab w:val="left" w:pos="851"/>
        </w:tabs>
        <w:autoSpaceDE w:val="0"/>
        <w:autoSpaceDN w:val="0"/>
        <w:adjustRightInd w:val="0"/>
        <w:spacing w:before="120" w:line="276" w:lineRule="auto"/>
        <w:ind w:right="-2"/>
        <w:jc w:val="both"/>
        <w:rPr>
          <w:rFonts w:cs="Times New Roman"/>
        </w:rPr>
      </w:pPr>
      <w:bookmarkStart w:id="0" w:name="_GoBack"/>
      <w:bookmarkEnd w:id="0"/>
      <w:r w:rsidRPr="00855FFA">
        <w:rPr>
          <w:rFonts w:cs="Times New Roman"/>
        </w:rPr>
        <w:t xml:space="preserve">Zákon č. </w:t>
      </w:r>
      <w:r w:rsidR="000567A8" w:rsidRPr="00855FFA">
        <w:rPr>
          <w:rFonts w:cs="Times New Roman"/>
          <w:color w:val="000000" w:themeColor="text1"/>
        </w:rPr>
        <w:t xml:space="preserve"> </w:t>
      </w:r>
      <w:r w:rsidR="000567A8" w:rsidRPr="00855FFA">
        <w:rPr>
          <w:rFonts w:eastAsia="Times New Roman" w:cs="Times New Roman"/>
          <w:color w:val="000000" w:themeColor="text1"/>
          <w:kern w:val="36"/>
          <w:lang w:eastAsia="sk-SK" w:bidi="ar-SA"/>
        </w:rPr>
        <w:t xml:space="preserve">30/2019 Z. z. </w:t>
      </w:r>
      <w:r w:rsidR="000567A8" w:rsidRPr="00855FFA">
        <w:rPr>
          <w:rFonts w:eastAsia="Times New Roman" w:cs="Times New Roman"/>
          <w:color w:val="000000" w:themeColor="text1"/>
          <w:kern w:val="0"/>
          <w:lang w:eastAsia="sk-SK" w:bidi="ar-SA"/>
        </w:rPr>
        <w:t>o hazardných hrách a o zmene a doplnení niektorých zákonov</w:t>
      </w:r>
      <w:r w:rsidR="000567A8" w:rsidRPr="00855FFA">
        <w:rPr>
          <w:rFonts w:cs="Times New Roman"/>
        </w:rPr>
        <w:t xml:space="preserve"> </w:t>
      </w:r>
      <w:r w:rsidR="0089268F">
        <w:rPr>
          <w:rFonts w:cs="Times New Roman"/>
        </w:rPr>
        <w:t xml:space="preserve">v znení zákona č. 221/2019 Z. z. </w:t>
      </w:r>
      <w:r w:rsidRPr="00855FFA">
        <w:rPr>
          <w:rFonts w:cs="Times New Roman"/>
        </w:rPr>
        <w:t>sa dopĺňa takto:</w:t>
      </w:r>
    </w:p>
    <w:p w:rsidR="005517A3" w:rsidRPr="00855FFA" w:rsidRDefault="005517A3" w:rsidP="00095A37">
      <w:pPr>
        <w:tabs>
          <w:tab w:val="left" w:pos="851"/>
        </w:tabs>
        <w:autoSpaceDE w:val="0"/>
        <w:autoSpaceDN w:val="0"/>
        <w:adjustRightInd w:val="0"/>
        <w:spacing w:before="120" w:line="276" w:lineRule="auto"/>
        <w:ind w:right="-2"/>
        <w:jc w:val="both"/>
        <w:rPr>
          <w:rFonts w:cs="Times New Roman"/>
        </w:rPr>
      </w:pPr>
    </w:p>
    <w:p w:rsidR="00095A37" w:rsidRPr="00855FFA" w:rsidRDefault="005517A3" w:rsidP="00864F14">
      <w:pPr>
        <w:tabs>
          <w:tab w:val="left" w:pos="851"/>
        </w:tabs>
        <w:autoSpaceDE w:val="0"/>
        <w:autoSpaceDN w:val="0"/>
        <w:adjustRightInd w:val="0"/>
        <w:spacing w:before="120" w:line="276" w:lineRule="auto"/>
        <w:ind w:right="-2"/>
        <w:jc w:val="both"/>
        <w:rPr>
          <w:rFonts w:cs="Times New Roman"/>
        </w:rPr>
      </w:pPr>
      <w:r w:rsidRPr="00855FFA">
        <w:rPr>
          <w:rFonts w:cs="Times New Roman"/>
        </w:rPr>
        <w:t xml:space="preserve">V § </w:t>
      </w:r>
      <w:r w:rsidR="000567A8" w:rsidRPr="00855FFA">
        <w:rPr>
          <w:rFonts w:cs="Times New Roman"/>
        </w:rPr>
        <w:t xml:space="preserve">33  odsek 2 znie </w:t>
      </w:r>
      <w:r w:rsidRPr="00855FFA">
        <w:rPr>
          <w:rFonts w:cs="Times New Roman"/>
        </w:rPr>
        <w:t>:</w:t>
      </w:r>
    </w:p>
    <w:p w:rsidR="0030326E" w:rsidRPr="00855FFA" w:rsidRDefault="000567A8" w:rsidP="00864F14">
      <w:pPr>
        <w:tabs>
          <w:tab w:val="left" w:pos="861"/>
        </w:tabs>
        <w:autoSpaceDE w:val="0"/>
        <w:autoSpaceDN w:val="0"/>
        <w:adjustRightInd w:val="0"/>
        <w:spacing w:before="120" w:line="276" w:lineRule="auto"/>
        <w:ind w:right="-2"/>
        <w:jc w:val="both"/>
        <w:rPr>
          <w:rFonts w:cs="Times New Roman"/>
          <w:b/>
        </w:rPr>
      </w:pPr>
      <w:r w:rsidRPr="00855FFA">
        <w:rPr>
          <w:rFonts w:cs="Times New Roman"/>
        </w:rPr>
        <w:t>„(2)</w:t>
      </w:r>
      <w:r w:rsidR="005517A3" w:rsidRPr="00855FFA">
        <w:rPr>
          <w:rFonts w:cs="Times New Roman"/>
        </w:rPr>
        <w:t xml:space="preserve"> </w:t>
      </w:r>
      <w:r w:rsidRPr="00855FFA">
        <w:rPr>
          <w:rFonts w:cs="Times New Roman"/>
          <w:color w:val="000000" w:themeColor="text1"/>
        </w:rPr>
        <w:t xml:space="preserve">Účasť na hazardných hrách podľa </w:t>
      </w:r>
      <w:hyperlink r:id="rId8" w:anchor="paragraf-4.odsek-2.pismeno-c" w:tooltip="Odkaz na predpis alebo ustanovenie" w:history="1">
        <w:r w:rsidRPr="00855FFA">
          <w:rPr>
            <w:rFonts w:cs="Times New Roman"/>
            <w:bCs/>
            <w:color w:val="000000" w:themeColor="text1"/>
          </w:rPr>
          <w:t>§ 4 ods. 2 písm. c)</w:t>
        </w:r>
      </w:hyperlink>
      <w:r w:rsidRPr="00855FFA">
        <w:rPr>
          <w:rFonts w:cs="Times New Roman"/>
          <w:color w:val="000000" w:themeColor="text1"/>
        </w:rPr>
        <w:t xml:space="preserve"> </w:t>
      </w:r>
      <w:hyperlink r:id="rId9" w:anchor="paragraf-4.odsek-2.pismeno-e" w:tooltip="Odkaz na predpis alebo ustanovenie" w:history="1">
        <w:r w:rsidRPr="00855FFA">
          <w:rPr>
            <w:rFonts w:cs="Times New Roman"/>
            <w:bCs/>
            <w:color w:val="000000" w:themeColor="text1"/>
          </w:rPr>
          <w:t xml:space="preserve"> až h)</w:t>
        </w:r>
      </w:hyperlink>
      <w:r w:rsidRPr="00855FFA">
        <w:rPr>
          <w:rFonts w:cs="Times New Roman"/>
          <w:color w:val="000000" w:themeColor="text1"/>
        </w:rPr>
        <w:t xml:space="preserve">, </w:t>
      </w:r>
      <w:hyperlink r:id="rId10" w:anchor="paragraf-5.odsek-12" w:tooltip="Odkaz na predpis alebo ustanovenie" w:history="1">
        <w:r w:rsidRPr="00855FFA">
          <w:rPr>
            <w:rFonts w:cs="Times New Roman"/>
            <w:bCs/>
            <w:color w:val="000000" w:themeColor="text1"/>
          </w:rPr>
          <w:t>§ 5 ods. 12</w:t>
        </w:r>
      </w:hyperlink>
      <w:r w:rsidRPr="00855FFA">
        <w:rPr>
          <w:rFonts w:cs="Times New Roman"/>
          <w:color w:val="000000" w:themeColor="text1"/>
        </w:rPr>
        <w:t xml:space="preserve"> a </w:t>
      </w:r>
      <w:hyperlink r:id="rId11" w:anchor="paragraf-30" w:tooltip="Odkaz na predpis alebo ustanovenie" w:history="1">
        <w:r w:rsidRPr="00855FFA">
          <w:rPr>
            <w:rFonts w:cs="Times New Roman"/>
            <w:bCs/>
            <w:color w:val="000000" w:themeColor="text1"/>
          </w:rPr>
          <w:t>§ 30</w:t>
        </w:r>
      </w:hyperlink>
      <w:r w:rsidRPr="00855FFA">
        <w:rPr>
          <w:rFonts w:cs="Times New Roman"/>
          <w:color w:val="000000" w:themeColor="text1"/>
        </w:rPr>
        <w:t xml:space="preserve"> sa zakazuje aj fyzickým osobám evidovaným v registri fyzických osôb vylúčených z hrania hazardných hier (ďalej len „register vylúčených osôb“). Prevádzkovateľ hazardnej hry uvedenej v prvej vete nesmie týmto fyzickým osobám umožniť účasť na takej hazardnej hre. Prevádzkovateľ hazardnej hry, ktorý prevádzkuje niektorú z hazardných hier podľa </w:t>
      </w:r>
      <w:hyperlink r:id="rId12" w:anchor="paragraf-4.odsek-2.pismeno-c" w:tooltip="Odkaz na predpis alebo ustanovenie" w:history="1">
        <w:r w:rsidRPr="00855FFA">
          <w:rPr>
            <w:rFonts w:cs="Times New Roman"/>
            <w:bCs/>
            <w:color w:val="000000" w:themeColor="text1"/>
          </w:rPr>
          <w:t>§ 4 ods. 2 písm. c)</w:t>
        </w:r>
      </w:hyperlink>
      <w:r w:rsidRPr="00855FFA">
        <w:rPr>
          <w:rFonts w:cs="Times New Roman"/>
          <w:color w:val="000000" w:themeColor="text1"/>
        </w:rPr>
        <w:t xml:space="preserve"> až h) a </w:t>
      </w:r>
      <w:hyperlink r:id="rId13" w:anchor="paragraf-5.odsek-12" w:tooltip="Odkaz na predpis alebo ustanovenie" w:history="1">
        <w:r w:rsidRPr="00855FFA">
          <w:rPr>
            <w:rFonts w:cs="Times New Roman"/>
            <w:bCs/>
            <w:color w:val="000000" w:themeColor="text1"/>
          </w:rPr>
          <w:t>§ 5 ods. 12</w:t>
        </w:r>
      </w:hyperlink>
      <w:r w:rsidRPr="00855FFA">
        <w:rPr>
          <w:rFonts w:cs="Times New Roman"/>
          <w:color w:val="000000" w:themeColor="text1"/>
        </w:rPr>
        <w:t>, je na tieto účely povinný využívať register vylúčených osôb a požadovať predloženie preukazu totožnosti; na účely výkonu dozoru je aj osoba poverená výkonom dozoru oprávnená požadovať predloženie preukazu totožnosti. Prevádzkovateľ internetovej hry je na tieto účely povinný požadovať údaje z preukazu totožnosti a z ďalšieho dokladu</w:t>
      </w:r>
      <w:r w:rsidRPr="00855FFA">
        <w:rPr>
          <w:rFonts w:cs="Times New Roman"/>
          <w:color w:val="000000" w:themeColor="text1"/>
          <w:vertAlign w:val="superscript"/>
        </w:rPr>
        <w:t>,</w:t>
      </w:r>
      <w:hyperlink r:id="rId14" w:anchor="poznamky.poznamka-29" w:tooltip="Odkaz na predpis alebo ustanovenie" w:history="1">
        <w:r w:rsidRPr="00855FFA">
          <w:rPr>
            <w:rFonts w:cs="Times New Roman"/>
            <w:bCs/>
            <w:color w:val="000000" w:themeColor="text1"/>
            <w:vertAlign w:val="superscript"/>
          </w:rPr>
          <w:t>29)</w:t>
        </w:r>
      </w:hyperlink>
      <w:r w:rsidRPr="00855FFA">
        <w:rPr>
          <w:rFonts w:cs="Times New Roman"/>
          <w:color w:val="000000" w:themeColor="text1"/>
        </w:rPr>
        <w:t xml:space="preserve"> kópie ktorých mu na tieto účely zasiela fyzická osoba, ktorá má záujem zúčastniť sa na hazardnej hre a využívať register vylúčených osôb pri každom prihlásení sa hráča na jeho hráčsky účet</w:t>
      </w:r>
      <w:r w:rsidRPr="00855FFA">
        <w:rPr>
          <w:rFonts w:cs="Times New Roman"/>
          <w:color w:val="494949"/>
        </w:rPr>
        <w:t>.</w:t>
      </w:r>
      <w:r w:rsidR="004A3AB7" w:rsidRPr="00855FFA">
        <w:rPr>
          <w:rFonts w:cs="Times New Roman"/>
          <w:color w:val="494949"/>
        </w:rPr>
        <w:t>“.</w:t>
      </w:r>
    </w:p>
    <w:p w:rsidR="000567A8" w:rsidRPr="00855FFA" w:rsidRDefault="000567A8" w:rsidP="009A179A">
      <w:pPr>
        <w:tabs>
          <w:tab w:val="left" w:pos="851"/>
        </w:tabs>
        <w:autoSpaceDE w:val="0"/>
        <w:autoSpaceDN w:val="0"/>
        <w:adjustRightInd w:val="0"/>
        <w:spacing w:before="120" w:line="276" w:lineRule="auto"/>
        <w:ind w:right="-2"/>
        <w:jc w:val="center"/>
        <w:rPr>
          <w:rFonts w:cs="Times New Roman"/>
          <w:b/>
        </w:rPr>
      </w:pPr>
    </w:p>
    <w:p w:rsidR="00864F14" w:rsidRDefault="00864F14" w:rsidP="009A179A">
      <w:pPr>
        <w:tabs>
          <w:tab w:val="left" w:pos="851"/>
        </w:tabs>
        <w:autoSpaceDE w:val="0"/>
        <w:autoSpaceDN w:val="0"/>
        <w:adjustRightInd w:val="0"/>
        <w:spacing w:before="120" w:line="276" w:lineRule="auto"/>
        <w:ind w:right="-2"/>
        <w:jc w:val="center"/>
        <w:rPr>
          <w:rFonts w:cs="Times New Roman"/>
          <w:b/>
        </w:rPr>
      </w:pPr>
    </w:p>
    <w:p w:rsidR="00DF1E3B" w:rsidRPr="00855FFA" w:rsidRDefault="00DF1E3B" w:rsidP="009A179A">
      <w:pPr>
        <w:tabs>
          <w:tab w:val="left" w:pos="851"/>
        </w:tabs>
        <w:autoSpaceDE w:val="0"/>
        <w:autoSpaceDN w:val="0"/>
        <w:adjustRightInd w:val="0"/>
        <w:spacing w:before="120" w:line="276" w:lineRule="auto"/>
        <w:ind w:right="-2"/>
        <w:jc w:val="center"/>
        <w:rPr>
          <w:rFonts w:cs="Times New Roman"/>
          <w:b/>
        </w:rPr>
      </w:pPr>
    </w:p>
    <w:p w:rsidR="005517A3" w:rsidRPr="00855FFA" w:rsidRDefault="005071CB" w:rsidP="009A179A">
      <w:pPr>
        <w:tabs>
          <w:tab w:val="left" w:pos="851"/>
        </w:tabs>
        <w:autoSpaceDE w:val="0"/>
        <w:autoSpaceDN w:val="0"/>
        <w:adjustRightInd w:val="0"/>
        <w:spacing w:before="120" w:line="276" w:lineRule="auto"/>
        <w:ind w:right="-2"/>
        <w:jc w:val="center"/>
        <w:rPr>
          <w:rFonts w:cs="Times New Roman"/>
          <w:b/>
        </w:rPr>
      </w:pPr>
      <w:r w:rsidRPr="00855FFA">
        <w:rPr>
          <w:rFonts w:cs="Times New Roman"/>
          <w:b/>
        </w:rPr>
        <w:lastRenderedPageBreak/>
        <w:t>Č</w:t>
      </w:r>
      <w:r w:rsidR="005B79C8" w:rsidRPr="00855FFA">
        <w:rPr>
          <w:rFonts w:cs="Times New Roman"/>
          <w:b/>
        </w:rPr>
        <w:t>l. II</w:t>
      </w:r>
    </w:p>
    <w:p w:rsidR="00415FCE" w:rsidRPr="00855FFA" w:rsidRDefault="00415FCE" w:rsidP="009A179A">
      <w:pPr>
        <w:tabs>
          <w:tab w:val="left" w:pos="851"/>
        </w:tabs>
        <w:autoSpaceDE w:val="0"/>
        <w:autoSpaceDN w:val="0"/>
        <w:adjustRightInd w:val="0"/>
        <w:spacing w:before="120" w:line="276" w:lineRule="auto"/>
        <w:ind w:right="-2"/>
        <w:jc w:val="center"/>
        <w:rPr>
          <w:rFonts w:cs="Times New Roman"/>
          <w:b/>
        </w:rPr>
      </w:pPr>
    </w:p>
    <w:p w:rsidR="005517A3" w:rsidRPr="00855FFA" w:rsidRDefault="009A179A" w:rsidP="00095A37">
      <w:pPr>
        <w:tabs>
          <w:tab w:val="left" w:pos="851"/>
        </w:tabs>
        <w:autoSpaceDE w:val="0"/>
        <w:autoSpaceDN w:val="0"/>
        <w:adjustRightInd w:val="0"/>
        <w:spacing w:before="120" w:line="276" w:lineRule="auto"/>
        <w:ind w:right="-2"/>
        <w:jc w:val="both"/>
        <w:rPr>
          <w:rFonts w:cs="Times New Roman"/>
        </w:rPr>
      </w:pPr>
      <w:r w:rsidRPr="00855FFA">
        <w:rPr>
          <w:rFonts w:cs="Times New Roman"/>
        </w:rPr>
        <w:tab/>
      </w:r>
      <w:r w:rsidR="005071CB" w:rsidRPr="00855FFA">
        <w:rPr>
          <w:rFonts w:cs="Times New Roman"/>
        </w:rPr>
        <w:t>Tento zákon na</w:t>
      </w:r>
      <w:r w:rsidR="00A90DA3" w:rsidRPr="00855FFA">
        <w:rPr>
          <w:rFonts w:cs="Times New Roman"/>
        </w:rPr>
        <w:t>d</w:t>
      </w:r>
      <w:r w:rsidR="005071CB" w:rsidRPr="00855FFA">
        <w:rPr>
          <w:rFonts w:cs="Times New Roman"/>
        </w:rPr>
        <w:t>obúda účinnosť</w:t>
      </w:r>
      <w:r w:rsidR="000567A8" w:rsidRPr="00855FFA">
        <w:rPr>
          <w:rFonts w:cs="Times New Roman"/>
        </w:rPr>
        <w:t xml:space="preserve"> 1. </w:t>
      </w:r>
      <w:r w:rsidR="00A90DA3" w:rsidRPr="00855FFA">
        <w:rPr>
          <w:rFonts w:cs="Times New Roman"/>
        </w:rPr>
        <w:t>januára</w:t>
      </w:r>
      <w:r w:rsidR="000567A8" w:rsidRPr="00855FFA">
        <w:rPr>
          <w:rFonts w:cs="Times New Roman"/>
        </w:rPr>
        <w:t xml:space="preserve"> 2020.</w:t>
      </w:r>
    </w:p>
    <w:sectPr w:rsidR="005517A3" w:rsidRPr="00855FFA" w:rsidSect="00F37801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C6" w:rsidRDefault="00EC11C6">
      <w:r>
        <w:separator/>
      </w:r>
    </w:p>
  </w:endnote>
  <w:endnote w:type="continuationSeparator" w:id="0">
    <w:p w:rsidR="00EC11C6" w:rsidRDefault="00EC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78" w:rsidRPr="00BC6D0D" w:rsidRDefault="00257378" w:rsidP="00F37801">
    <w:pPr>
      <w:pStyle w:val="Pta"/>
      <w:framePr w:wrap="around" w:vAnchor="text" w:hAnchor="margin" w:xAlign="center"/>
      <w:rPr>
        <w:rStyle w:val="slostrany"/>
        <w:sz w:val="24"/>
      </w:rPr>
    </w:pPr>
  </w:p>
  <w:p w:rsidR="00257378" w:rsidRDefault="00257378" w:rsidP="00F37801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C6" w:rsidRDefault="00EC11C6">
      <w:r>
        <w:separator/>
      </w:r>
    </w:p>
  </w:footnote>
  <w:footnote w:type="continuationSeparator" w:id="0">
    <w:p w:rsidR="00EC11C6" w:rsidRDefault="00EC1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49247B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A78"/>
    <w:multiLevelType w:val="hybridMultilevel"/>
    <w:tmpl w:val="C6785EF8"/>
    <w:lvl w:ilvl="0" w:tplc="4E50CDF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22A2101C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6F966C10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0ED683A8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5B309BEA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CE481498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9230E0EC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803285FA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3AC4E55E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D7732E9"/>
    <w:multiLevelType w:val="hybridMultilevel"/>
    <w:tmpl w:val="BCCA1572"/>
    <w:lvl w:ilvl="0" w:tplc="8F42619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EB86F172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367CA7F8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5268D1EA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7C3A284C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520AB9D8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106C73EC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835E4356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C5B2BAD4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EDB18ED"/>
    <w:multiLevelType w:val="hybridMultilevel"/>
    <w:tmpl w:val="FDD2FDA0"/>
    <w:lvl w:ilvl="0" w:tplc="20B0697E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 w:tplc="926CC830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599891C6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ED101B9A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5086A81A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9CCE274E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5576FECE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D5246580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3A0E7FDE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 w15:restartNumberingAfterBreak="0">
    <w:nsid w:val="34501AC2"/>
    <w:multiLevelType w:val="hybridMultilevel"/>
    <w:tmpl w:val="84E49AF2"/>
    <w:lvl w:ilvl="0" w:tplc="A15CAE7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 w:tplc="582AAD1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974B03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8FC1B5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DC43E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D78D10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1B224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ED434C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8C23F9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444A02D8"/>
    <w:multiLevelType w:val="hybridMultilevel"/>
    <w:tmpl w:val="44E45E3C"/>
    <w:lvl w:ilvl="0" w:tplc="9EEE89F4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 w:tplc="CD887F88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FE4C505C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487AC95C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56B0F982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714AB45A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5C3CFCF2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65C6FAEE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4286609A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4CF2302E"/>
    <w:multiLevelType w:val="hybridMultilevel"/>
    <w:tmpl w:val="EAB0E75E"/>
    <w:lvl w:ilvl="0" w:tplc="FA6C88A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 w:tplc="03645A64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 w:tplc="4498D2FA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 w:tplc="3D706FCC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 w:tplc="7DBAD6B8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 w:tplc="09D6C2A0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 w:tplc="2CE0E3DA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 w:tplc="B39280B6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 w:tplc="6CC42D3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7CAE764A"/>
    <w:multiLevelType w:val="hybridMultilevel"/>
    <w:tmpl w:val="203ACC20"/>
    <w:lvl w:ilvl="0" w:tplc="239A4F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632A8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6908B6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A3C534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6C412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4E6CD4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EACF4C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EB6B38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ADE981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7EE26D95"/>
    <w:multiLevelType w:val="hybridMultilevel"/>
    <w:tmpl w:val="5D7E3634"/>
    <w:lvl w:ilvl="0" w:tplc="6C68329C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 w:tplc="E264A3BE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 w:tplc="37E48620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 w:tplc="1ADE2484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 w:tplc="5016B3AE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 w:tplc="99887C0C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 w:tplc="5EA8EED0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 w:tplc="231EA292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 w:tplc="621EAE70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1F"/>
    <w:rsid w:val="00007D40"/>
    <w:rsid w:val="00023867"/>
    <w:rsid w:val="00031297"/>
    <w:rsid w:val="000420EB"/>
    <w:rsid w:val="00051DA5"/>
    <w:rsid w:val="000567A8"/>
    <w:rsid w:val="00071F8D"/>
    <w:rsid w:val="000836C3"/>
    <w:rsid w:val="00087811"/>
    <w:rsid w:val="0009076E"/>
    <w:rsid w:val="000919CB"/>
    <w:rsid w:val="00095A37"/>
    <w:rsid w:val="000A21BF"/>
    <w:rsid w:val="000C1A88"/>
    <w:rsid w:val="000C38BE"/>
    <w:rsid w:val="000C7AE8"/>
    <w:rsid w:val="000D295D"/>
    <w:rsid w:val="00101985"/>
    <w:rsid w:val="0015442C"/>
    <w:rsid w:val="00156FC2"/>
    <w:rsid w:val="001604FD"/>
    <w:rsid w:val="00166F19"/>
    <w:rsid w:val="00171FF1"/>
    <w:rsid w:val="00173705"/>
    <w:rsid w:val="00183547"/>
    <w:rsid w:val="001A031B"/>
    <w:rsid w:val="001C49BC"/>
    <w:rsid w:val="001C7DDB"/>
    <w:rsid w:val="001E35C0"/>
    <w:rsid w:val="001F2D81"/>
    <w:rsid w:val="00202A3E"/>
    <w:rsid w:val="002250D4"/>
    <w:rsid w:val="00232006"/>
    <w:rsid w:val="00233174"/>
    <w:rsid w:val="00233D33"/>
    <w:rsid w:val="002457AE"/>
    <w:rsid w:val="00257378"/>
    <w:rsid w:val="00264CFD"/>
    <w:rsid w:val="00294490"/>
    <w:rsid w:val="002F7931"/>
    <w:rsid w:val="0030326E"/>
    <w:rsid w:val="0030700C"/>
    <w:rsid w:val="00314B18"/>
    <w:rsid w:val="0031759E"/>
    <w:rsid w:val="0034672C"/>
    <w:rsid w:val="003644F0"/>
    <w:rsid w:val="00375109"/>
    <w:rsid w:val="003C3886"/>
    <w:rsid w:val="003C5B38"/>
    <w:rsid w:val="003C5D1D"/>
    <w:rsid w:val="003E1015"/>
    <w:rsid w:val="003F0BAA"/>
    <w:rsid w:val="003F3428"/>
    <w:rsid w:val="004059AE"/>
    <w:rsid w:val="004109D8"/>
    <w:rsid w:val="00415FCE"/>
    <w:rsid w:val="004202A0"/>
    <w:rsid w:val="004220E9"/>
    <w:rsid w:val="00423CC9"/>
    <w:rsid w:val="00431802"/>
    <w:rsid w:val="00432F5C"/>
    <w:rsid w:val="00437F87"/>
    <w:rsid w:val="00445B3A"/>
    <w:rsid w:val="004469FA"/>
    <w:rsid w:val="0045658E"/>
    <w:rsid w:val="00463237"/>
    <w:rsid w:val="0047023F"/>
    <w:rsid w:val="00473D3D"/>
    <w:rsid w:val="004858FD"/>
    <w:rsid w:val="00497897"/>
    <w:rsid w:val="004A3AB7"/>
    <w:rsid w:val="004A433E"/>
    <w:rsid w:val="004A4ED1"/>
    <w:rsid w:val="004D56B4"/>
    <w:rsid w:val="004D59E0"/>
    <w:rsid w:val="004F6D9C"/>
    <w:rsid w:val="005071CB"/>
    <w:rsid w:val="005139B0"/>
    <w:rsid w:val="00530EBA"/>
    <w:rsid w:val="005339C8"/>
    <w:rsid w:val="005517A3"/>
    <w:rsid w:val="00562B02"/>
    <w:rsid w:val="0057124E"/>
    <w:rsid w:val="00571956"/>
    <w:rsid w:val="00586F6B"/>
    <w:rsid w:val="005A0328"/>
    <w:rsid w:val="005A419F"/>
    <w:rsid w:val="005B79C8"/>
    <w:rsid w:val="005C7FEB"/>
    <w:rsid w:val="005F113A"/>
    <w:rsid w:val="005F18D7"/>
    <w:rsid w:val="00604F14"/>
    <w:rsid w:val="00611869"/>
    <w:rsid w:val="006201AB"/>
    <w:rsid w:val="006626C1"/>
    <w:rsid w:val="006630AB"/>
    <w:rsid w:val="00665427"/>
    <w:rsid w:val="00681205"/>
    <w:rsid w:val="0068408C"/>
    <w:rsid w:val="006B570E"/>
    <w:rsid w:val="006B6705"/>
    <w:rsid w:val="006E61A7"/>
    <w:rsid w:val="006E7CA7"/>
    <w:rsid w:val="00724395"/>
    <w:rsid w:val="007307F8"/>
    <w:rsid w:val="00736B65"/>
    <w:rsid w:val="00764ADE"/>
    <w:rsid w:val="007658ED"/>
    <w:rsid w:val="007840EB"/>
    <w:rsid w:val="007923A8"/>
    <w:rsid w:val="007A1F0C"/>
    <w:rsid w:val="007A2FC3"/>
    <w:rsid w:val="007A4281"/>
    <w:rsid w:val="007C33BB"/>
    <w:rsid w:val="007D34B7"/>
    <w:rsid w:val="007D5B08"/>
    <w:rsid w:val="00800CA5"/>
    <w:rsid w:val="00812023"/>
    <w:rsid w:val="00815CFA"/>
    <w:rsid w:val="00821104"/>
    <w:rsid w:val="00822CB1"/>
    <w:rsid w:val="008366A4"/>
    <w:rsid w:val="00843BEA"/>
    <w:rsid w:val="00843C36"/>
    <w:rsid w:val="008457C6"/>
    <w:rsid w:val="00852AC9"/>
    <w:rsid w:val="00855FFA"/>
    <w:rsid w:val="00857047"/>
    <w:rsid w:val="0086231E"/>
    <w:rsid w:val="00864F14"/>
    <w:rsid w:val="00870F7B"/>
    <w:rsid w:val="00876E92"/>
    <w:rsid w:val="008775D8"/>
    <w:rsid w:val="0089268F"/>
    <w:rsid w:val="008B79C1"/>
    <w:rsid w:val="008E01EF"/>
    <w:rsid w:val="008E4BA0"/>
    <w:rsid w:val="008F7419"/>
    <w:rsid w:val="00901CA0"/>
    <w:rsid w:val="00910DE2"/>
    <w:rsid w:val="00926FB6"/>
    <w:rsid w:val="00933933"/>
    <w:rsid w:val="0093755B"/>
    <w:rsid w:val="00941C73"/>
    <w:rsid w:val="00953E26"/>
    <w:rsid w:val="009817CB"/>
    <w:rsid w:val="00981902"/>
    <w:rsid w:val="009A179A"/>
    <w:rsid w:val="009B3E26"/>
    <w:rsid w:val="009D0718"/>
    <w:rsid w:val="009D20AF"/>
    <w:rsid w:val="009E0852"/>
    <w:rsid w:val="00A15449"/>
    <w:rsid w:val="00A23C0F"/>
    <w:rsid w:val="00A4408D"/>
    <w:rsid w:val="00A77DCA"/>
    <w:rsid w:val="00A81120"/>
    <w:rsid w:val="00A90DA3"/>
    <w:rsid w:val="00A950DC"/>
    <w:rsid w:val="00A96F6B"/>
    <w:rsid w:val="00AA3C5D"/>
    <w:rsid w:val="00AA7A4B"/>
    <w:rsid w:val="00AB614A"/>
    <w:rsid w:val="00AC4102"/>
    <w:rsid w:val="00AD3AFD"/>
    <w:rsid w:val="00AE47BD"/>
    <w:rsid w:val="00B23C69"/>
    <w:rsid w:val="00B33B11"/>
    <w:rsid w:val="00B35F30"/>
    <w:rsid w:val="00B43E3E"/>
    <w:rsid w:val="00B44238"/>
    <w:rsid w:val="00B44944"/>
    <w:rsid w:val="00B577B0"/>
    <w:rsid w:val="00B606B2"/>
    <w:rsid w:val="00B73F0B"/>
    <w:rsid w:val="00B92788"/>
    <w:rsid w:val="00B93DAD"/>
    <w:rsid w:val="00BA4471"/>
    <w:rsid w:val="00BB408F"/>
    <w:rsid w:val="00BC14EE"/>
    <w:rsid w:val="00BC1E40"/>
    <w:rsid w:val="00BC493C"/>
    <w:rsid w:val="00BC6D0D"/>
    <w:rsid w:val="00BD3537"/>
    <w:rsid w:val="00BD40C9"/>
    <w:rsid w:val="00BD541D"/>
    <w:rsid w:val="00BD620D"/>
    <w:rsid w:val="00BF5B3D"/>
    <w:rsid w:val="00C07041"/>
    <w:rsid w:val="00C22C43"/>
    <w:rsid w:val="00C4095E"/>
    <w:rsid w:val="00C7416E"/>
    <w:rsid w:val="00C830D6"/>
    <w:rsid w:val="00C86F23"/>
    <w:rsid w:val="00CA6975"/>
    <w:rsid w:val="00CB37DA"/>
    <w:rsid w:val="00CC06E5"/>
    <w:rsid w:val="00CE2BDC"/>
    <w:rsid w:val="00CF1D33"/>
    <w:rsid w:val="00CF5E13"/>
    <w:rsid w:val="00CF6752"/>
    <w:rsid w:val="00D0735E"/>
    <w:rsid w:val="00D157CE"/>
    <w:rsid w:val="00D17BFF"/>
    <w:rsid w:val="00D3052E"/>
    <w:rsid w:val="00D31076"/>
    <w:rsid w:val="00D31977"/>
    <w:rsid w:val="00D3659A"/>
    <w:rsid w:val="00D445AA"/>
    <w:rsid w:val="00D62277"/>
    <w:rsid w:val="00D74B35"/>
    <w:rsid w:val="00D96C74"/>
    <w:rsid w:val="00DA2934"/>
    <w:rsid w:val="00DB0866"/>
    <w:rsid w:val="00DB43E1"/>
    <w:rsid w:val="00DB5E1E"/>
    <w:rsid w:val="00DB5F64"/>
    <w:rsid w:val="00DC678F"/>
    <w:rsid w:val="00DD682C"/>
    <w:rsid w:val="00DF16DD"/>
    <w:rsid w:val="00DF1E3B"/>
    <w:rsid w:val="00E02994"/>
    <w:rsid w:val="00E1489F"/>
    <w:rsid w:val="00E1782F"/>
    <w:rsid w:val="00E2267B"/>
    <w:rsid w:val="00E606B1"/>
    <w:rsid w:val="00E61535"/>
    <w:rsid w:val="00E8426D"/>
    <w:rsid w:val="00E96F0D"/>
    <w:rsid w:val="00EB22D1"/>
    <w:rsid w:val="00EB4B50"/>
    <w:rsid w:val="00EB5BFF"/>
    <w:rsid w:val="00EC00AB"/>
    <w:rsid w:val="00EC11C6"/>
    <w:rsid w:val="00EC3D9C"/>
    <w:rsid w:val="00ED5DCF"/>
    <w:rsid w:val="00EE3FA2"/>
    <w:rsid w:val="00EF091F"/>
    <w:rsid w:val="00EF6C8E"/>
    <w:rsid w:val="00F12D73"/>
    <w:rsid w:val="00F14A1A"/>
    <w:rsid w:val="00F37801"/>
    <w:rsid w:val="00F642B8"/>
    <w:rsid w:val="00F75E6A"/>
    <w:rsid w:val="00F762CF"/>
    <w:rsid w:val="00F8033F"/>
    <w:rsid w:val="00F94AB2"/>
    <w:rsid w:val="00F97DDD"/>
    <w:rsid w:val="00FA1998"/>
    <w:rsid w:val="00FB62AA"/>
    <w:rsid w:val="00FC79F5"/>
    <w:rsid w:val="00FE0128"/>
    <w:rsid w:val="00FE6E4E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5CE67"/>
  <w15:docId w15:val="{58E80DC6-5DA2-498E-9CA0-60CAC2B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91F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sk-SK"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67A8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67A8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567A8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7023F"/>
    <w:pPr>
      <w:widowControl/>
      <w:numPr>
        <w:ilvl w:val="4"/>
        <w:numId w:val="1"/>
      </w:numPr>
      <w:suppressAutoHyphens w:val="0"/>
      <w:autoSpaceDE w:val="0"/>
      <w:autoSpaceDN w:val="0"/>
      <w:spacing w:before="240" w:after="60"/>
      <w:outlineLvl w:val="4"/>
    </w:pPr>
    <w:rPr>
      <w:rFonts w:ascii="Calibri" w:eastAsia="Times New Roman" w:hAnsi="Calibri" w:cs="Times New Roman"/>
      <w:b/>
      <w:i/>
      <w:kern w:val="0"/>
      <w:sz w:val="26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7023F"/>
    <w:pPr>
      <w:widowControl/>
      <w:numPr>
        <w:ilvl w:val="5"/>
        <w:numId w:val="1"/>
      </w:numPr>
      <w:suppressAutoHyphens w:val="0"/>
      <w:autoSpaceDE w:val="0"/>
      <w:autoSpaceDN w:val="0"/>
      <w:spacing w:before="240" w:after="60"/>
      <w:outlineLvl w:val="5"/>
    </w:pPr>
    <w:rPr>
      <w:rFonts w:ascii="Calibri" w:eastAsia="Times New Roman" w:hAnsi="Calibri" w:cs="Times New Roman"/>
      <w:b/>
      <w:kern w:val="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7023F"/>
    <w:pPr>
      <w:widowControl/>
      <w:numPr>
        <w:ilvl w:val="6"/>
        <w:numId w:val="1"/>
      </w:numPr>
      <w:suppressAutoHyphens w:val="0"/>
      <w:autoSpaceDE w:val="0"/>
      <w:autoSpaceDN w:val="0"/>
      <w:spacing w:before="240" w:after="60"/>
      <w:outlineLvl w:val="6"/>
    </w:pPr>
    <w:rPr>
      <w:rFonts w:ascii="Calibri" w:eastAsia="Times New Roman" w:hAnsi="Calibri" w:cs="Times New Roman"/>
      <w:kern w:val="0"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47023F"/>
    <w:pPr>
      <w:widowControl/>
      <w:numPr>
        <w:ilvl w:val="7"/>
        <w:numId w:val="1"/>
      </w:numPr>
      <w:suppressAutoHyphens w:val="0"/>
      <w:autoSpaceDE w:val="0"/>
      <w:autoSpaceDN w:val="0"/>
      <w:spacing w:before="240" w:after="60"/>
      <w:outlineLvl w:val="7"/>
    </w:pPr>
    <w:rPr>
      <w:rFonts w:ascii="Calibri" w:eastAsia="Times New Roman" w:hAnsi="Calibri" w:cs="Times New Roman"/>
      <w:i/>
      <w:kern w:val="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47023F"/>
    <w:pPr>
      <w:widowControl/>
      <w:numPr>
        <w:ilvl w:val="8"/>
        <w:numId w:val="1"/>
      </w:numPr>
      <w:suppressAutoHyphens w:val="0"/>
      <w:autoSpaceDE w:val="0"/>
      <w:autoSpaceDN w:val="0"/>
      <w:spacing w:before="240" w:after="60"/>
      <w:outlineLvl w:val="8"/>
    </w:pPr>
    <w:rPr>
      <w:rFonts w:ascii="Calibri" w:eastAsia="Times New Roman" w:hAnsi="Calibri" w:cs="Times New Roman"/>
      <w:kern w:val="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locked/>
    <w:rsid w:val="0047023F"/>
    <w:rPr>
      <w:rFonts w:eastAsia="Times New Roman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47023F"/>
    <w:rPr>
      <w:rFonts w:eastAsia="Times New Roman" w:cs="Times New Roman"/>
      <w:b/>
      <w:rtl w:val="0"/>
      <w:cs w:val="0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47023F"/>
    <w:rPr>
      <w:rFonts w:eastAsia="Times New Roman" w:cs="Times New Roman"/>
      <w:sz w:val="24"/>
      <w:rtl w:val="0"/>
      <w:cs w:val="0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47023F"/>
    <w:rPr>
      <w:rFonts w:eastAsia="Times New Roman" w:cs="Times New Roman"/>
      <w:i/>
      <w:sz w:val="24"/>
      <w:rtl w:val="0"/>
      <w:cs w:val="0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47023F"/>
    <w:rPr>
      <w:rFonts w:eastAsia="Times New Roman" w:cs="Times New Roman"/>
      <w:rtl w:val="0"/>
      <w:cs w:val="0"/>
    </w:rPr>
  </w:style>
  <w:style w:type="paragraph" w:customStyle="1" w:styleId="Nadpis1orobas">
    <w:name w:val="Nadpis 1.Čo robí (časť)"/>
    <w:basedOn w:val="Normlny"/>
    <w:next w:val="Normlny"/>
    <w:uiPriority w:val="99"/>
    <w:rsid w:val="0047023F"/>
    <w:pPr>
      <w:keepNext/>
      <w:widowControl/>
      <w:numPr>
        <w:numId w:val="1"/>
      </w:numPr>
      <w:suppressAutoHyphens w:val="0"/>
      <w:autoSpaceDE w:val="0"/>
      <w:autoSpaceDN w:val="0"/>
      <w:spacing w:before="360"/>
      <w:outlineLvl w:val="0"/>
    </w:pPr>
    <w:rPr>
      <w:rFonts w:eastAsia="Times New Roman" w:cs="Times New Roman"/>
      <w:b/>
      <w:bCs/>
      <w:kern w:val="32"/>
      <w:sz w:val="28"/>
      <w:szCs w:val="28"/>
      <w:lang w:eastAsia="sk-SK" w:bidi="ar-SA"/>
    </w:rPr>
  </w:style>
  <w:style w:type="paragraph" w:styleId="Pta">
    <w:name w:val="footer"/>
    <w:basedOn w:val="Normlny"/>
    <w:link w:val="PtaChar"/>
    <w:uiPriority w:val="99"/>
    <w:rsid w:val="00EF091F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EF091F"/>
    <w:rPr>
      <w:rFonts w:ascii="Arial" w:hAnsi="Arial" w:cs="Times New Roman"/>
      <w:sz w:val="20"/>
      <w:rtl w:val="0"/>
      <w:cs w:val="0"/>
      <w:lang w:val="x-none" w:eastAsia="sk-SK"/>
    </w:rPr>
  </w:style>
  <w:style w:type="character" w:styleId="slostrany">
    <w:name w:val="page number"/>
    <w:basedOn w:val="Predvolenpsmoodseku"/>
    <w:uiPriority w:val="99"/>
    <w:rsid w:val="00EF091F"/>
    <w:rPr>
      <w:rFonts w:cs="Times New Roman"/>
      <w:rtl w:val="0"/>
      <w:cs w:val="0"/>
    </w:rPr>
  </w:style>
  <w:style w:type="paragraph" w:styleId="Zkladntext">
    <w:name w:val="Body Text"/>
    <w:basedOn w:val="Normlny"/>
    <w:link w:val="ZkladntextChar"/>
    <w:uiPriority w:val="99"/>
    <w:unhideWhenUsed/>
    <w:rsid w:val="00F3780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37801"/>
    <w:rPr>
      <w:rFonts w:ascii="Times New Roman" w:hAnsi="Times New Roman" w:cs="Times New Roman"/>
      <w:sz w:val="24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0"/>
      <w:u w:val="single"/>
    </w:rPr>
  </w:style>
  <w:style w:type="character" w:customStyle="1" w:styleId="NzovChar">
    <w:name w:val="Názov Char"/>
    <w:basedOn w:val="Predvolenpsmoodseku"/>
    <w:link w:val="Nzov"/>
    <w:uiPriority w:val="10"/>
    <w:locked/>
    <w:rsid w:val="00F37801"/>
    <w:rPr>
      <w:rFonts w:ascii="Arial Narrow" w:hAnsi="Arial Narrow" w:cs="Times New Roman"/>
      <w:b/>
      <w:sz w:val="28"/>
      <w:u w:val="single"/>
      <w:rtl w:val="0"/>
      <w:cs w:val="0"/>
    </w:rPr>
  </w:style>
  <w:style w:type="paragraph" w:customStyle="1" w:styleId="Nadpis2loha">
    <w:name w:val="Nadpis 2.Úloha"/>
    <w:basedOn w:val="Normlny"/>
    <w:uiPriority w:val="99"/>
    <w:rsid w:val="0047023F"/>
    <w:pPr>
      <w:widowControl/>
      <w:numPr>
        <w:ilvl w:val="1"/>
        <w:numId w:val="1"/>
      </w:numPr>
      <w:suppressAutoHyphens w:val="0"/>
      <w:autoSpaceDE w:val="0"/>
      <w:autoSpaceDN w:val="0"/>
      <w:spacing w:before="120"/>
      <w:jc w:val="both"/>
      <w:outlineLvl w:val="1"/>
    </w:pPr>
    <w:rPr>
      <w:rFonts w:eastAsia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lny"/>
    <w:uiPriority w:val="99"/>
    <w:rsid w:val="0047023F"/>
    <w:pPr>
      <w:keepNext/>
      <w:widowControl/>
      <w:numPr>
        <w:ilvl w:val="2"/>
        <w:numId w:val="1"/>
      </w:numPr>
      <w:suppressAutoHyphens w:val="0"/>
      <w:autoSpaceDE w:val="0"/>
      <w:autoSpaceDN w:val="0"/>
      <w:spacing w:before="120"/>
      <w:ind w:left="2269"/>
      <w:outlineLvl w:val="2"/>
    </w:pPr>
    <w:rPr>
      <w:rFonts w:eastAsia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lny"/>
    <w:next w:val="Nadpis2loha"/>
    <w:uiPriority w:val="99"/>
    <w:rsid w:val="0047023F"/>
    <w:pPr>
      <w:widowControl/>
      <w:numPr>
        <w:ilvl w:val="3"/>
        <w:numId w:val="1"/>
      </w:numPr>
      <w:suppressAutoHyphens w:val="0"/>
      <w:autoSpaceDE w:val="0"/>
      <w:autoSpaceDN w:val="0"/>
      <w:spacing w:before="120" w:after="120"/>
      <w:outlineLvl w:val="3"/>
    </w:pPr>
    <w:rPr>
      <w:rFonts w:eastAsia="Times New Roman" w:cs="Times New Roman"/>
      <w:i/>
      <w:iCs/>
      <w:kern w:val="0"/>
      <w:lang w:eastAsia="sk-SK" w:bidi="ar-SA"/>
    </w:rPr>
  </w:style>
  <w:style w:type="paragraph" w:customStyle="1" w:styleId="ColorfulList-Accent11">
    <w:name w:val="Colorful List - Accent 11"/>
    <w:basedOn w:val="Normlny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7047"/>
    <w:rPr>
      <w:rFonts w:ascii="Tahoma" w:hAnsi="Tahoma"/>
      <w:sz w:val="14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57047"/>
    <w:rPr>
      <w:rFonts w:ascii="Tahoma" w:eastAsia="SimSun" w:hAnsi="Tahoma" w:cs="Times New Roman"/>
      <w:kern w:val="1"/>
      <w:sz w:val="14"/>
      <w:rtl w:val="0"/>
      <w:cs w:val="0"/>
      <w:lang w:val="x-none" w:eastAsia="hi-IN" w:bidi="hi-IN"/>
    </w:rPr>
  </w:style>
  <w:style w:type="paragraph" w:customStyle="1" w:styleId="titulok">
    <w:name w:val="titulok"/>
    <w:basedOn w:val="Normlny"/>
    <w:rsid w:val="00BD541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0567A8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val="sk-SK" w:eastAsia="hi-IN" w:bidi="hi-I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67A8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val="sk-SK" w:eastAsia="hi-IN" w:bidi="hi-I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67A8"/>
    <w:rPr>
      <w:rFonts w:asciiTheme="majorHAnsi" w:eastAsiaTheme="majorEastAsia" w:hAnsiTheme="majorHAnsi" w:cs="Mangal"/>
      <w:i/>
      <w:iCs/>
      <w:color w:val="365F91" w:themeColor="accent1" w:themeShade="BF"/>
      <w:kern w:val="1"/>
      <w:sz w:val="24"/>
      <w:szCs w:val="21"/>
      <w:lang w:val="sk-SK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49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98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3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3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94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30/20190601" TargetMode="External"/><Relationship Id="rId13" Type="http://schemas.openxmlformats.org/officeDocument/2006/relationships/hyperlink" Target="https://www.slov-lex.sk/pravne-predpisy/SK/ZZ/2019/30/201906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9/30/201906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9/30/201906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lov-lex.sk/pravne-predpisy/SK/ZZ/2019/30/201906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9/30/20190601" TargetMode="External"/><Relationship Id="rId14" Type="http://schemas.openxmlformats.org/officeDocument/2006/relationships/hyperlink" Target="https://www.slov-lex.sk/pravne-predpisy/SK/ZZ/2019/30/201906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3BE8-21A1-4AAB-8C4D-34427CFC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 Priezvisko</dc:creator>
  <cp:lastModifiedBy>Pčolinská, Adriana (asistent)</cp:lastModifiedBy>
  <cp:revision>14</cp:revision>
  <cp:lastPrinted>2019-08-23T09:03:00Z</cp:lastPrinted>
  <dcterms:created xsi:type="dcterms:W3CDTF">2019-08-01T11:33:00Z</dcterms:created>
  <dcterms:modified xsi:type="dcterms:W3CDTF">2019-08-23T09:03:00Z</dcterms:modified>
</cp:coreProperties>
</file>