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75D" w:rsidRPr="008762A6" w:rsidRDefault="0000375D" w:rsidP="0000375D">
      <w:pPr>
        <w:widowControl w:val="0"/>
        <w:jc w:val="center"/>
        <w:rPr>
          <w:b/>
        </w:rPr>
      </w:pPr>
      <w:r w:rsidRPr="008762A6">
        <w:rPr>
          <w:b/>
        </w:rPr>
        <w:t>DOLOŽKA ZLUČITEĽNOSTI</w:t>
      </w:r>
    </w:p>
    <w:p w:rsidR="0000375D" w:rsidRPr="008762A6" w:rsidRDefault="0000375D" w:rsidP="0000375D">
      <w:pPr>
        <w:widowControl w:val="0"/>
        <w:spacing w:after="120"/>
        <w:jc w:val="center"/>
        <w:rPr>
          <w:b/>
          <w:bCs/>
        </w:rPr>
      </w:pPr>
      <w:r w:rsidRPr="008762A6">
        <w:rPr>
          <w:b/>
          <w:bCs/>
        </w:rPr>
        <w:t>návrhu zákona s právom Európskej únie</w:t>
      </w:r>
    </w:p>
    <w:p w:rsidR="0000375D" w:rsidRPr="008762A6" w:rsidRDefault="0000375D" w:rsidP="0000375D">
      <w:pPr>
        <w:widowControl w:val="0"/>
        <w:spacing w:before="120"/>
      </w:pPr>
    </w:p>
    <w:p w:rsidR="009F1A41" w:rsidRDefault="009F1A41" w:rsidP="00A713C5">
      <w:pPr>
        <w:pStyle w:val="Normlnywebov"/>
        <w:jc w:val="both"/>
        <w:rPr>
          <w:caps/>
        </w:rPr>
      </w:pPr>
      <w:r>
        <w:rPr>
          <w:b/>
        </w:rPr>
        <w:t>1. Navrhovateľ zákona:</w:t>
      </w:r>
      <w:r w:rsidR="00F02D24">
        <w:t xml:space="preserve"> poslanci</w:t>
      </w:r>
      <w:r w:rsidR="007F375C">
        <w:t xml:space="preserve"> </w:t>
      </w:r>
      <w:r>
        <w:t xml:space="preserve"> Národnej rady Slovenskej republiky</w:t>
      </w:r>
      <w:r w:rsidR="007F375C" w:rsidRPr="007F375C">
        <w:t xml:space="preserve"> </w:t>
      </w:r>
      <w:r w:rsidR="007F375C">
        <w:t>Adrian</w:t>
      </w:r>
      <w:r w:rsidR="00F02D24">
        <w:t>a</w:t>
      </w:r>
      <w:r w:rsidR="007F375C">
        <w:t xml:space="preserve"> </w:t>
      </w:r>
      <w:r w:rsidR="00F02D24">
        <w:rPr>
          <w:caps/>
        </w:rPr>
        <w:t>PčolinskÁ</w:t>
      </w:r>
      <w:r w:rsidR="007F375C">
        <w:t xml:space="preserve">, </w:t>
      </w:r>
      <w:r w:rsidR="001120E9">
        <w:t xml:space="preserve">Boris KOLLÁR, </w:t>
      </w:r>
      <w:r w:rsidR="007F375C">
        <w:t xml:space="preserve">Milan </w:t>
      </w:r>
      <w:r w:rsidR="007F375C">
        <w:rPr>
          <w:caps/>
        </w:rPr>
        <w:t>Krajniak</w:t>
      </w:r>
      <w:r w:rsidR="007F375C">
        <w:t>, Pet</w:t>
      </w:r>
      <w:r w:rsidR="00F02D24">
        <w:t>e</w:t>
      </w:r>
      <w:r w:rsidR="007F375C">
        <w:t xml:space="preserve">r </w:t>
      </w:r>
      <w:r w:rsidR="007F375C">
        <w:rPr>
          <w:caps/>
        </w:rPr>
        <w:t>Pčolinsk</w:t>
      </w:r>
      <w:r w:rsidR="00F02D24">
        <w:rPr>
          <w:caps/>
        </w:rPr>
        <w:t>Ý</w:t>
      </w:r>
      <w:r w:rsidR="00704B97">
        <w:rPr>
          <w:caps/>
        </w:rPr>
        <w:t xml:space="preserve">, </w:t>
      </w:r>
      <w:r w:rsidR="00704B97">
        <w:t>Peter</w:t>
      </w:r>
      <w:r w:rsidR="00704B97">
        <w:rPr>
          <w:caps/>
        </w:rPr>
        <w:t xml:space="preserve"> ŠTARCHOŇ</w:t>
      </w:r>
    </w:p>
    <w:p w:rsidR="00A713C5" w:rsidRPr="00981477" w:rsidRDefault="009F1A41" w:rsidP="00A713C5">
      <w:pPr>
        <w:pStyle w:val="F2-ZkladnText"/>
      </w:pPr>
      <w:r>
        <w:rPr>
          <w:b/>
        </w:rPr>
        <w:t>2. Názov návrhu zákona:</w:t>
      </w:r>
      <w:r w:rsidR="003F06CF">
        <w:t xml:space="preserve"> N</w:t>
      </w:r>
      <w:r>
        <w:t xml:space="preserve">ávrh zákona, </w:t>
      </w:r>
      <w:r w:rsidR="00A713C5" w:rsidRPr="00981477">
        <w:t xml:space="preserve">ktorým sa mení a dopĺňa zákon č. 260/2011 Z. z. o ukončení a spôsobe usporiadania niektorých nájomných vzťahov k bytom a o doplnení zákona Národnej rady Slovenskej republiky č. 18/1996 Z. z. o cenách v znení neskorších predpisov </w:t>
      </w:r>
      <w:r w:rsidR="00A713C5">
        <w:t>a ktorým sa mení a dopĺňa zákon č.  261/2011 Z. z. o poskytovaní dotácií na obstaranie náhradných nájomných bytov v znení neskorších predpisov</w:t>
      </w:r>
    </w:p>
    <w:p w:rsidR="009F1A41" w:rsidRDefault="009F1A41" w:rsidP="00A713C5">
      <w:pPr>
        <w:pStyle w:val="Normlnywebov"/>
        <w:spacing w:before="0" w:after="0"/>
        <w:ind w:left="284" w:hanging="284"/>
        <w:jc w:val="both"/>
        <w:rPr>
          <w:b/>
        </w:rPr>
      </w:pPr>
      <w:r>
        <w:rPr>
          <w:b/>
        </w:rPr>
        <w:t>3. Predmet návrhu zákona:</w:t>
      </w:r>
    </w:p>
    <w:p w:rsidR="009F1A41" w:rsidRDefault="009F1A41" w:rsidP="009F1A41">
      <w:pPr>
        <w:pStyle w:val="Normlnywebov"/>
        <w:numPr>
          <w:ilvl w:val="0"/>
          <w:numId w:val="1"/>
        </w:numPr>
        <w:spacing w:before="0" w:after="0"/>
        <w:jc w:val="both"/>
      </w:pPr>
      <w:r>
        <w:t>nie je upravený v primárnom práve Európskej únie,</w:t>
      </w:r>
    </w:p>
    <w:p w:rsidR="009F1A41" w:rsidRDefault="009F1A41" w:rsidP="009F1A41">
      <w:pPr>
        <w:pStyle w:val="Normlnywebov"/>
        <w:numPr>
          <w:ilvl w:val="0"/>
          <w:numId w:val="1"/>
        </w:numPr>
        <w:spacing w:before="0" w:after="0"/>
        <w:jc w:val="both"/>
      </w:pPr>
      <w:r>
        <w:t>nie je upravená v  sekundárnom práve Európskej únie</w:t>
      </w:r>
      <w:r>
        <w:rPr>
          <w:snapToGrid w:val="0"/>
          <w:lang w:eastAsia="cs-CZ"/>
        </w:rPr>
        <w:t>,</w:t>
      </w:r>
    </w:p>
    <w:p w:rsidR="009F1A41" w:rsidRDefault="009F1A41" w:rsidP="009F1A41">
      <w:pPr>
        <w:pStyle w:val="Normlnywebov"/>
        <w:numPr>
          <w:ilvl w:val="0"/>
          <w:numId w:val="1"/>
        </w:numPr>
        <w:spacing w:before="0" w:after="0"/>
        <w:jc w:val="both"/>
      </w:pPr>
      <w:r>
        <w:t>nie je upravený v judikatúre Súdneho dvora Európskej únie. </w:t>
      </w:r>
    </w:p>
    <w:p w:rsidR="009F1A41" w:rsidRDefault="009F1A41" w:rsidP="009F1A41">
      <w:pPr>
        <w:pStyle w:val="Normlnywebov"/>
        <w:spacing w:before="0" w:after="0"/>
        <w:jc w:val="both"/>
        <w:rPr>
          <w:b/>
        </w:rPr>
      </w:pPr>
    </w:p>
    <w:p w:rsidR="009F1A41" w:rsidRDefault="009F1A41" w:rsidP="009F1A41">
      <w:pPr>
        <w:pStyle w:val="Normlnywebov"/>
        <w:spacing w:before="0" w:after="0"/>
        <w:jc w:val="both"/>
      </w:pPr>
      <w:r>
        <w:rPr>
          <w:b/>
        </w:rPr>
        <w:t>Vzhľadom na to, že predmet návrhu zákona nie je upravený v práve Európskej únie, je bezpredmetné vyjadrovať sa k bodom 4. a 5.</w:t>
      </w: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3F06CF" w:rsidRDefault="003F06CF" w:rsidP="0000375D">
      <w:pPr>
        <w:pStyle w:val="Normlnywebov"/>
        <w:spacing w:before="0" w:beforeAutospacing="0" w:after="0" w:afterAutospacing="0"/>
        <w:ind w:right="-108"/>
        <w:jc w:val="center"/>
        <w:rPr>
          <w:b/>
          <w:bCs/>
        </w:rPr>
      </w:pPr>
    </w:p>
    <w:p w:rsidR="00704B97" w:rsidRPr="00704B97" w:rsidRDefault="00704B97" w:rsidP="00704B97">
      <w:pPr>
        <w:jc w:val="center"/>
        <w:rPr>
          <w:b/>
          <w:bCs/>
          <w:caps/>
        </w:rPr>
      </w:pPr>
      <w:r w:rsidRPr="00704B97">
        <w:rPr>
          <w:b/>
          <w:bCs/>
          <w:caps/>
        </w:rPr>
        <w:lastRenderedPageBreak/>
        <w:t>Doložka vybraných vplyvov</w:t>
      </w:r>
    </w:p>
    <w:p w:rsidR="00704B97" w:rsidRPr="00704B97" w:rsidRDefault="00704B97" w:rsidP="00704B97">
      <w:pPr>
        <w:ind w:left="426"/>
        <w:contextualSpacing/>
        <w:rPr>
          <w:b/>
        </w:rPr>
      </w:pPr>
    </w:p>
    <w:p w:rsidR="00704B97" w:rsidRPr="00704B97" w:rsidRDefault="00704B97" w:rsidP="00704B97">
      <w:pPr>
        <w:ind w:left="426"/>
        <w:contextualSpacing/>
        <w:rPr>
          <w:b/>
        </w:rPr>
      </w:pPr>
    </w:p>
    <w:tbl>
      <w:tblPr>
        <w:tblStyle w:val="Mriekatabuky1"/>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704B97" w:rsidRPr="00704B97" w:rsidTr="00057ECB">
        <w:tc>
          <w:tcPr>
            <w:tcW w:w="9180" w:type="dxa"/>
            <w:gridSpan w:val="10"/>
            <w:tcBorders>
              <w:bottom w:val="single" w:sz="4" w:space="0" w:color="FFFFFF" w:themeColor="background1"/>
            </w:tcBorders>
            <w:shd w:val="clear" w:color="auto" w:fill="E2E2E2"/>
          </w:tcPr>
          <w:p w:rsidR="00704B97" w:rsidRPr="00704B97" w:rsidRDefault="00704B97" w:rsidP="00704B97">
            <w:pPr>
              <w:numPr>
                <w:ilvl w:val="0"/>
                <w:numId w:val="2"/>
              </w:numPr>
              <w:ind w:left="426"/>
              <w:contextualSpacing/>
              <w:rPr>
                <w:b/>
              </w:rPr>
            </w:pPr>
            <w:r w:rsidRPr="00704B97">
              <w:rPr>
                <w:b/>
              </w:rPr>
              <w:t>Základné údaje</w:t>
            </w:r>
          </w:p>
        </w:tc>
      </w:tr>
      <w:tr w:rsidR="00704B97" w:rsidRPr="00704B97" w:rsidTr="00057ECB">
        <w:tc>
          <w:tcPr>
            <w:tcW w:w="9180" w:type="dxa"/>
            <w:gridSpan w:val="10"/>
            <w:tcBorders>
              <w:bottom w:val="single" w:sz="4" w:space="0" w:color="FFFFFF" w:themeColor="background1"/>
            </w:tcBorders>
            <w:shd w:val="clear" w:color="auto" w:fill="E2E2E2"/>
          </w:tcPr>
          <w:p w:rsidR="00704B97" w:rsidRPr="00704B97" w:rsidRDefault="00704B97" w:rsidP="00704B97">
            <w:pPr>
              <w:rPr>
                <w:b/>
              </w:rPr>
            </w:pPr>
            <w:r w:rsidRPr="00704B97">
              <w:rPr>
                <w:b/>
              </w:rPr>
              <w:t>Názov materiálu</w:t>
            </w:r>
          </w:p>
        </w:tc>
      </w:tr>
      <w:tr w:rsidR="00704B97" w:rsidRPr="00704B97" w:rsidTr="00057ECB">
        <w:tc>
          <w:tcPr>
            <w:tcW w:w="9180" w:type="dxa"/>
            <w:gridSpan w:val="10"/>
            <w:tcBorders>
              <w:top w:val="single" w:sz="4" w:space="0" w:color="FFFFFF" w:themeColor="background1"/>
              <w:bottom w:val="single" w:sz="4" w:space="0" w:color="auto"/>
            </w:tcBorders>
          </w:tcPr>
          <w:p w:rsidR="00704B97" w:rsidRPr="00704B97" w:rsidRDefault="00704B97" w:rsidP="00704B97">
            <w:pPr>
              <w:pStyle w:val="F2-ZkladnText"/>
              <w:rPr>
                <w:sz w:val="20"/>
              </w:rPr>
            </w:pPr>
            <w:r w:rsidRPr="00704B97">
              <w:rPr>
                <w:sz w:val="20"/>
              </w:rPr>
              <w:t>Návrh zákona, ktorým sa mení a dopĺňa zákon č. 260/2011 Z. z. o ukončení a spôsobe usporiadania niektorých nájomných vzťahov k bytom a o doplnení zákona Národnej rady Slovenskej republiky č. 18/1996 Z. z. o cenách v znení neskorších predpisov a ktorým sa mení a dopĺňa zákon č.  261/2011 Z. z. o poskytovaní dotácií na obstaranie náhradných nájomných bytov v znení neskorších predpisov</w:t>
            </w:r>
          </w:p>
          <w:p w:rsidR="00704B97" w:rsidRPr="00704B97" w:rsidRDefault="00704B97" w:rsidP="00704B97">
            <w:pPr>
              <w:suppressAutoHyphens/>
              <w:spacing w:after="120" w:line="276" w:lineRule="auto"/>
              <w:ind w:left="22" w:hanging="22"/>
              <w:jc w:val="both"/>
              <w:rPr>
                <w:sz w:val="20"/>
                <w:szCs w:val="20"/>
              </w:rPr>
            </w:pPr>
          </w:p>
        </w:tc>
      </w:tr>
      <w:tr w:rsidR="00704B97" w:rsidRPr="00704B97" w:rsidTr="00057ECB">
        <w:tc>
          <w:tcPr>
            <w:tcW w:w="9180" w:type="dxa"/>
            <w:gridSpan w:val="10"/>
            <w:tcBorders>
              <w:top w:val="single" w:sz="4" w:space="0" w:color="auto"/>
              <w:left w:val="single" w:sz="4" w:space="0" w:color="auto"/>
              <w:bottom w:val="single" w:sz="4" w:space="0" w:color="FFFFFF" w:themeColor="background1"/>
            </w:tcBorders>
            <w:shd w:val="clear" w:color="auto" w:fill="E2E2E2"/>
          </w:tcPr>
          <w:p w:rsidR="00704B97" w:rsidRPr="00704B97" w:rsidRDefault="00704B97" w:rsidP="00704B97">
            <w:pPr>
              <w:ind w:left="142"/>
              <w:contextualSpacing/>
              <w:rPr>
                <w:b/>
              </w:rPr>
            </w:pPr>
            <w:r w:rsidRPr="00704B97">
              <w:rPr>
                <w:b/>
              </w:rPr>
              <w:t>Predkladateľ (a spolupredkladateľ)</w:t>
            </w:r>
          </w:p>
        </w:tc>
      </w:tr>
      <w:tr w:rsidR="00704B97" w:rsidRPr="00704B97" w:rsidTr="00057ECB">
        <w:tc>
          <w:tcPr>
            <w:tcW w:w="9180" w:type="dxa"/>
            <w:gridSpan w:val="10"/>
            <w:tcBorders>
              <w:top w:val="single" w:sz="4" w:space="0" w:color="FFFFFF" w:themeColor="background1"/>
              <w:left w:val="single" w:sz="4" w:space="0" w:color="auto"/>
              <w:bottom w:val="single" w:sz="4" w:space="0" w:color="auto"/>
            </w:tcBorders>
            <w:shd w:val="clear" w:color="auto" w:fill="FFFFFF" w:themeFill="background1"/>
          </w:tcPr>
          <w:p w:rsidR="00704B97" w:rsidRPr="00704B97" w:rsidRDefault="00704B97" w:rsidP="00704B97">
            <w:pPr>
              <w:pStyle w:val="Normlnywebov"/>
              <w:jc w:val="both"/>
              <w:rPr>
                <w:sz w:val="20"/>
                <w:szCs w:val="20"/>
              </w:rPr>
            </w:pPr>
            <w:r w:rsidRPr="00704B97">
              <w:rPr>
                <w:sz w:val="20"/>
                <w:szCs w:val="20"/>
              </w:rPr>
              <w:t xml:space="preserve">Poslanci  Národnej rady Slovenskej republiky Adriana </w:t>
            </w:r>
            <w:r w:rsidRPr="00704B97">
              <w:rPr>
                <w:caps/>
                <w:sz w:val="20"/>
                <w:szCs w:val="20"/>
              </w:rPr>
              <w:t>PčolinskÁ</w:t>
            </w:r>
            <w:r w:rsidRPr="00704B97">
              <w:rPr>
                <w:sz w:val="20"/>
                <w:szCs w:val="20"/>
              </w:rPr>
              <w:t xml:space="preserve">, Boris KOLLÁR, Milan </w:t>
            </w:r>
            <w:r w:rsidRPr="00704B97">
              <w:rPr>
                <w:caps/>
                <w:sz w:val="20"/>
                <w:szCs w:val="20"/>
              </w:rPr>
              <w:t>Krajniak</w:t>
            </w:r>
            <w:r w:rsidRPr="00704B97">
              <w:rPr>
                <w:sz w:val="20"/>
                <w:szCs w:val="20"/>
              </w:rPr>
              <w:t xml:space="preserve">, Peter </w:t>
            </w:r>
            <w:r w:rsidRPr="00704B97">
              <w:rPr>
                <w:caps/>
                <w:sz w:val="20"/>
                <w:szCs w:val="20"/>
              </w:rPr>
              <w:t xml:space="preserve">PčolinskÝ, </w:t>
            </w:r>
            <w:r w:rsidRPr="00704B97">
              <w:rPr>
                <w:sz w:val="20"/>
                <w:szCs w:val="20"/>
              </w:rPr>
              <w:t>Peter</w:t>
            </w:r>
            <w:r w:rsidRPr="00704B97">
              <w:rPr>
                <w:caps/>
                <w:sz w:val="20"/>
                <w:szCs w:val="20"/>
              </w:rPr>
              <w:t xml:space="preserve"> ŠTARCHOŇ</w:t>
            </w:r>
          </w:p>
        </w:tc>
      </w:tr>
      <w:tr w:rsidR="00704B97" w:rsidRPr="00704B97" w:rsidTr="00057ECB">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rsidR="00704B97" w:rsidRPr="00704B97" w:rsidRDefault="00704B97" w:rsidP="00704B97">
            <w:pPr>
              <w:ind w:left="142"/>
              <w:contextualSpacing/>
              <w:rPr>
                <w:b/>
              </w:rPr>
            </w:pPr>
            <w:r w:rsidRPr="00704B97">
              <w:rPr>
                <w:b/>
              </w:rPr>
              <w:t>Charakter predkladaného materiálu</w:t>
            </w:r>
          </w:p>
        </w:tc>
        <w:sdt>
          <w:sdtPr>
            <w:id w:val="-6989077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704B97" w:rsidRPr="00704B97" w:rsidRDefault="00704B97" w:rsidP="00704B97">
                <w:pPr>
                  <w:jc w:val="center"/>
                </w:pPr>
                <w:r w:rsidRPr="00704B97">
                  <w:rPr>
                    <w:rFonts w:ascii="Segoe UI Symbol" w:eastAsia="MS Mincho" w:hAnsi="Segoe UI Symbol" w:cs="Segoe UI Symbol"/>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tcPr>
          <w:p w:rsidR="00704B97" w:rsidRPr="00704B97" w:rsidRDefault="00704B97" w:rsidP="00704B97">
            <w:r w:rsidRPr="00704B97">
              <w:t>Materiál nelegislatívnej povahy</w:t>
            </w:r>
          </w:p>
        </w:tc>
      </w:tr>
      <w:tr w:rsidR="00704B97" w:rsidRPr="00704B97" w:rsidTr="00057ECB">
        <w:tc>
          <w:tcPr>
            <w:tcW w:w="4212" w:type="dxa"/>
            <w:gridSpan w:val="2"/>
            <w:vMerge/>
            <w:tcBorders>
              <w:top w:val="nil"/>
              <w:left w:val="single" w:sz="4" w:space="0" w:color="auto"/>
              <w:bottom w:val="single" w:sz="4" w:space="0" w:color="FFFFFF" w:themeColor="background1"/>
            </w:tcBorders>
            <w:shd w:val="clear" w:color="auto" w:fill="E2E2E2"/>
          </w:tcPr>
          <w:p w:rsidR="00704B97" w:rsidRPr="00704B97" w:rsidRDefault="00704B97" w:rsidP="00704B97"/>
        </w:tc>
        <w:sdt>
          <w:sdtPr>
            <w:id w:val="-145588339"/>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704B97" w:rsidRPr="00704B97" w:rsidRDefault="00704B97" w:rsidP="00704B97">
                <w:pPr>
                  <w:jc w:val="center"/>
                </w:pPr>
                <w:r w:rsidRPr="00704B97">
                  <w:rPr>
                    <w:rFonts w:ascii="Segoe UI Symbol" w:eastAsia="MS Gothic" w:hAnsi="Segoe UI Symbol" w:cs="Segoe UI Symbol"/>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704B97" w:rsidRPr="00704B97" w:rsidRDefault="00704B97" w:rsidP="00704B97">
            <w:pPr>
              <w:ind w:left="175" w:hanging="175"/>
            </w:pPr>
            <w:r w:rsidRPr="00704B97">
              <w:t>Materiál legislatívnej povahy</w:t>
            </w:r>
          </w:p>
        </w:tc>
      </w:tr>
      <w:tr w:rsidR="00704B97" w:rsidRPr="00704B97" w:rsidTr="00057ECB">
        <w:tc>
          <w:tcPr>
            <w:tcW w:w="4212" w:type="dxa"/>
            <w:gridSpan w:val="2"/>
            <w:vMerge/>
            <w:tcBorders>
              <w:top w:val="nil"/>
              <w:left w:val="single" w:sz="4" w:space="0" w:color="auto"/>
              <w:bottom w:val="single" w:sz="4" w:space="0" w:color="auto"/>
            </w:tcBorders>
            <w:shd w:val="clear" w:color="auto" w:fill="E2E2E2"/>
          </w:tcPr>
          <w:p w:rsidR="00704B97" w:rsidRPr="00704B97" w:rsidRDefault="00704B97" w:rsidP="00704B97"/>
        </w:tc>
        <w:sdt>
          <w:sdtPr>
            <w:id w:val="-1883475976"/>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704B97" w:rsidRPr="00704B97" w:rsidRDefault="00704B97" w:rsidP="00704B97">
                <w:pPr>
                  <w:jc w:val="center"/>
                </w:pPr>
                <w:r w:rsidRPr="00704B97">
                  <w:rPr>
                    <w:rFonts w:ascii="Segoe UI Symbol" w:eastAsia="MS Mincho" w:hAnsi="Segoe UI Symbol" w:cs="Segoe UI Symbol"/>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704B97" w:rsidRPr="00704B97" w:rsidRDefault="00704B97" w:rsidP="00704B97">
            <w:r w:rsidRPr="00704B97">
              <w:t>Transpozícia práva EÚ</w:t>
            </w:r>
          </w:p>
        </w:tc>
      </w:tr>
      <w:tr w:rsidR="00704B97" w:rsidRPr="00704B97" w:rsidTr="00057ECB">
        <w:trPr>
          <w:trHeight w:val="461"/>
        </w:trPr>
        <w:tc>
          <w:tcPr>
            <w:tcW w:w="9180" w:type="dxa"/>
            <w:gridSpan w:val="10"/>
            <w:tcBorders>
              <w:top w:val="single" w:sz="4" w:space="0" w:color="auto"/>
              <w:left w:val="single" w:sz="4" w:space="0" w:color="auto"/>
              <w:bottom w:val="single" w:sz="4" w:space="0" w:color="FFFFFF" w:themeColor="background1"/>
            </w:tcBorders>
            <w:shd w:val="clear" w:color="auto" w:fill="FFFFFF" w:themeFill="background1"/>
          </w:tcPr>
          <w:p w:rsidR="00704B97" w:rsidRPr="00704B97" w:rsidRDefault="00704B97" w:rsidP="00704B97">
            <w:pPr>
              <w:rPr>
                <w:i/>
              </w:rPr>
            </w:pPr>
          </w:p>
          <w:p w:rsidR="00704B97" w:rsidRPr="00704B97" w:rsidRDefault="00704B97" w:rsidP="00704B97"/>
        </w:tc>
      </w:tr>
      <w:tr w:rsidR="00704B97" w:rsidRPr="00704B97" w:rsidTr="00057ECB">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rsidR="00704B97" w:rsidRPr="00704B97" w:rsidRDefault="00704B97" w:rsidP="00704B97">
            <w:pPr>
              <w:ind w:left="142"/>
              <w:contextualSpacing/>
              <w:rPr>
                <w:b/>
              </w:rPr>
            </w:pPr>
            <w:r w:rsidRPr="00704B97">
              <w:rPr>
                <w:b/>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tcPr>
          <w:p w:rsidR="00704B97" w:rsidRPr="00704B97" w:rsidRDefault="00704B97" w:rsidP="00704B97">
            <w:pPr>
              <w:rPr>
                <w:i/>
              </w:rPr>
            </w:pPr>
          </w:p>
        </w:tc>
      </w:tr>
      <w:tr w:rsidR="00704B97" w:rsidRPr="00704B97" w:rsidTr="00057ECB">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704B97" w:rsidRPr="00704B97" w:rsidRDefault="00704B97" w:rsidP="00704B97">
            <w:pPr>
              <w:ind w:left="142"/>
              <w:contextualSpacing/>
              <w:rPr>
                <w:b/>
              </w:rPr>
            </w:pPr>
            <w:r w:rsidRPr="00704B97">
              <w:rPr>
                <w:b/>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cPr>
          <w:p w:rsidR="00704B97" w:rsidRPr="00704B97" w:rsidRDefault="00704B97" w:rsidP="00704B97">
            <w:pPr>
              <w:rPr>
                <w:i/>
              </w:rPr>
            </w:pPr>
          </w:p>
        </w:tc>
      </w:tr>
      <w:tr w:rsidR="00704B97" w:rsidRPr="00704B97" w:rsidTr="00057ECB">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704B97" w:rsidRPr="00704B97" w:rsidRDefault="00704B97" w:rsidP="00704B97">
            <w:pPr>
              <w:ind w:left="142"/>
              <w:contextualSpacing/>
              <w:rPr>
                <w:b/>
              </w:rPr>
            </w:pPr>
            <w:r w:rsidRPr="00704B97">
              <w:rPr>
                <w:b/>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cPr>
          <w:p w:rsidR="00704B97" w:rsidRPr="00704B97" w:rsidRDefault="00704B97" w:rsidP="00704B97">
            <w:pPr>
              <w:rPr>
                <w:i/>
              </w:rPr>
            </w:pPr>
          </w:p>
        </w:tc>
      </w:tr>
      <w:tr w:rsidR="00704B97" w:rsidRPr="00704B97" w:rsidTr="00057ECB">
        <w:tc>
          <w:tcPr>
            <w:tcW w:w="9180" w:type="dxa"/>
            <w:gridSpan w:val="10"/>
            <w:tcBorders>
              <w:top w:val="single" w:sz="4" w:space="0" w:color="auto"/>
              <w:left w:val="nil"/>
              <w:bottom w:val="single" w:sz="4" w:space="0" w:color="auto"/>
              <w:right w:val="nil"/>
            </w:tcBorders>
            <w:shd w:val="clear" w:color="auto" w:fill="FFFFFF" w:themeFill="background1"/>
          </w:tcPr>
          <w:p w:rsidR="00704B97" w:rsidRPr="00704B97" w:rsidRDefault="00704B97" w:rsidP="00704B97"/>
        </w:tc>
      </w:tr>
      <w:tr w:rsidR="00704B97" w:rsidRPr="00704B97" w:rsidTr="00057ECB">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704B97" w:rsidRPr="00704B97" w:rsidRDefault="00704B97" w:rsidP="00704B97">
            <w:pPr>
              <w:numPr>
                <w:ilvl w:val="0"/>
                <w:numId w:val="2"/>
              </w:numPr>
              <w:ind w:left="426"/>
              <w:contextualSpacing/>
              <w:rPr>
                <w:b/>
              </w:rPr>
            </w:pPr>
            <w:r w:rsidRPr="00704B97">
              <w:rPr>
                <w:b/>
              </w:rPr>
              <w:t>Definovanie problému</w:t>
            </w:r>
          </w:p>
        </w:tc>
      </w:tr>
      <w:tr w:rsidR="00704B97" w:rsidRPr="00704B97" w:rsidTr="00057ECB">
        <w:trPr>
          <w:trHeight w:val="718"/>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704B97" w:rsidRPr="00704B97" w:rsidRDefault="00704B97" w:rsidP="00704B97">
            <w:pPr>
              <w:ind w:firstLine="708"/>
              <w:contextualSpacing/>
              <w:jc w:val="both"/>
              <w:rPr>
                <w:rFonts w:eastAsiaTheme="minorHAnsi"/>
                <w:color w:val="000000" w:themeColor="text1"/>
                <w:sz w:val="20"/>
                <w:szCs w:val="20"/>
                <w:lang w:eastAsia="en-US"/>
              </w:rPr>
            </w:pPr>
            <w:r w:rsidRPr="00704B97">
              <w:rPr>
                <w:sz w:val="20"/>
                <w:szCs w:val="20"/>
              </w:rPr>
              <w:t>Súčasne platný zákon č. 260/2011 Z. z. o ukončení a spôsobe usporiadania niektorých nájomných vzťahov k bytom a o doplnení zákona Národnej rady Slovenskej republiky č. 18/1996 Z. z. o cenách v znení neskorších predpisov (ďalej len „zákon“) upravuje vzťahy medzi prenajímateľmi a nájomcami nevyvážene, a to v prospech prenajímateľov, pričom do riešenia týchto vzťahov sú zatiahnuté tak obce, ktoré sú povinné poskytnúť nájomcom v prípade výpovede z nájmu bytové náhrady, ako aj štát, ktorý poskytuje obciam zo svojho rozpočtu dotácie, aby mohli bremeno bytových náhrad finančne utiahnuť. Mechanizmus, ktorý tento zákon vytvoril síce na jednej strane zmierňuje, resp. odstraňuje majetkové krivdy na strane prenajímateľov, zároveň však vytvára nové majetkové krivdy na strane nájomcov.</w:t>
            </w:r>
          </w:p>
          <w:p w:rsidR="00704B97" w:rsidRPr="00704B97" w:rsidRDefault="00704B97" w:rsidP="00704B97">
            <w:pPr>
              <w:jc w:val="both"/>
              <w:rPr>
                <w:b/>
              </w:rPr>
            </w:pPr>
          </w:p>
        </w:tc>
      </w:tr>
      <w:tr w:rsidR="00704B97" w:rsidRPr="00704B97" w:rsidTr="00057ECB">
        <w:tc>
          <w:tcPr>
            <w:tcW w:w="9180" w:type="dxa"/>
            <w:gridSpan w:val="10"/>
            <w:tcBorders>
              <w:top w:val="single" w:sz="4" w:space="0" w:color="auto"/>
              <w:left w:val="single" w:sz="4" w:space="0" w:color="auto"/>
              <w:bottom w:val="nil"/>
              <w:right w:val="single" w:sz="4" w:space="0" w:color="auto"/>
            </w:tcBorders>
            <w:shd w:val="clear" w:color="auto" w:fill="E2E2E2"/>
          </w:tcPr>
          <w:p w:rsidR="00704B97" w:rsidRPr="00704B97" w:rsidRDefault="00704B97" w:rsidP="00704B97">
            <w:pPr>
              <w:numPr>
                <w:ilvl w:val="0"/>
                <w:numId w:val="2"/>
              </w:numPr>
              <w:ind w:left="426"/>
              <w:contextualSpacing/>
              <w:rPr>
                <w:b/>
              </w:rPr>
            </w:pPr>
            <w:r w:rsidRPr="00704B97">
              <w:rPr>
                <w:b/>
              </w:rPr>
              <w:t>Ciele a výsledný stav</w:t>
            </w:r>
          </w:p>
        </w:tc>
      </w:tr>
      <w:tr w:rsidR="00704B97" w:rsidRPr="00704B97" w:rsidTr="00057ECB">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F17A17" w:rsidRPr="00F17A17" w:rsidRDefault="00704B97" w:rsidP="00F17A17">
            <w:pPr>
              <w:contextualSpacing/>
              <w:jc w:val="both"/>
              <w:rPr>
                <w:sz w:val="20"/>
                <w:szCs w:val="20"/>
              </w:rPr>
            </w:pPr>
            <w:r w:rsidRPr="00704B97">
              <w:rPr>
                <w:rFonts w:eastAsiaTheme="minorHAnsi"/>
                <w:color w:val="000000" w:themeColor="text1"/>
                <w:sz w:val="20"/>
                <w:szCs w:val="20"/>
                <w:lang w:eastAsia="en-US"/>
              </w:rPr>
              <w:t xml:space="preserve">Hlavným účelom predloženého návrhu zákona </w:t>
            </w:r>
            <w:r w:rsidR="00F17A17" w:rsidRPr="00F17A17">
              <w:rPr>
                <w:rFonts w:eastAsiaTheme="minorHAnsi"/>
                <w:color w:val="000000" w:themeColor="text1"/>
                <w:sz w:val="20"/>
                <w:szCs w:val="20"/>
                <w:lang w:eastAsia="en-US"/>
              </w:rPr>
              <w:t xml:space="preserve"> je priniesť</w:t>
            </w:r>
            <w:r w:rsidR="00F17A17" w:rsidRPr="00F17A17">
              <w:rPr>
                <w:sz w:val="20"/>
                <w:szCs w:val="20"/>
              </w:rPr>
              <w:t xml:space="preserve"> skutočné riešenie vzájomných vzťahov prenajímateľ – nájomca – obec – štát a to tak, aby tieto vzťahy boli vyvážené a v prospech všetkých zainteresovaných skupín. Kľúčovými prínosmi sú zavedenie finančnej náhrady (tak, ako si to želá viac ako 80% dotknutých nájomcov), princíp dobrovoľnosti a slobodného výberu nájomcu medzi bytovou náhradou a finančnou náhradou, spravodlivý mechanizmus prispievania na nájomné zo strany obce prenajímateľovi a možnosť obce získať dotáciu od štátu na poskytovanie finančných náhrad.</w:t>
            </w:r>
          </w:p>
          <w:p w:rsidR="00704B97" w:rsidRPr="00704B97" w:rsidRDefault="00704B97" w:rsidP="00704B97">
            <w:pPr>
              <w:jc w:val="both"/>
              <w:rPr>
                <w:sz w:val="20"/>
                <w:szCs w:val="20"/>
              </w:rPr>
            </w:pPr>
          </w:p>
        </w:tc>
      </w:tr>
      <w:tr w:rsidR="00704B97" w:rsidRPr="00704B97" w:rsidTr="00057ECB">
        <w:tc>
          <w:tcPr>
            <w:tcW w:w="9180" w:type="dxa"/>
            <w:gridSpan w:val="10"/>
            <w:tcBorders>
              <w:top w:val="single" w:sz="4" w:space="0" w:color="auto"/>
              <w:left w:val="single" w:sz="4" w:space="0" w:color="auto"/>
              <w:bottom w:val="nil"/>
              <w:right w:val="single" w:sz="4" w:space="0" w:color="auto"/>
            </w:tcBorders>
            <w:shd w:val="clear" w:color="auto" w:fill="E2E2E2"/>
          </w:tcPr>
          <w:p w:rsidR="00704B97" w:rsidRPr="00704B97" w:rsidRDefault="00704B97" w:rsidP="00704B97">
            <w:pPr>
              <w:numPr>
                <w:ilvl w:val="0"/>
                <w:numId w:val="2"/>
              </w:numPr>
              <w:ind w:left="426"/>
              <w:contextualSpacing/>
              <w:rPr>
                <w:b/>
              </w:rPr>
            </w:pPr>
            <w:r w:rsidRPr="00704B97">
              <w:rPr>
                <w:b/>
              </w:rPr>
              <w:t>Dotknuté subjekty</w:t>
            </w:r>
          </w:p>
        </w:tc>
      </w:tr>
      <w:tr w:rsidR="00704B97" w:rsidRPr="00704B97" w:rsidTr="00057ECB">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704B97" w:rsidRPr="00704B97" w:rsidRDefault="00F17A17" w:rsidP="00F17A17">
            <w:pPr>
              <w:jc w:val="both"/>
              <w:rPr>
                <w:i/>
              </w:rPr>
            </w:pPr>
            <w:r>
              <w:rPr>
                <w:i/>
                <w:sz w:val="20"/>
                <w:szCs w:val="20"/>
              </w:rPr>
              <w:t xml:space="preserve">Prenajímateľ, nájomca, obec, štát. </w:t>
            </w:r>
          </w:p>
        </w:tc>
      </w:tr>
      <w:tr w:rsidR="00704B97" w:rsidRPr="00704B97" w:rsidTr="00057ECB">
        <w:tc>
          <w:tcPr>
            <w:tcW w:w="9180" w:type="dxa"/>
            <w:gridSpan w:val="10"/>
            <w:tcBorders>
              <w:top w:val="single" w:sz="4" w:space="0" w:color="auto"/>
              <w:left w:val="single" w:sz="4" w:space="0" w:color="auto"/>
              <w:bottom w:val="nil"/>
              <w:right w:val="single" w:sz="4" w:space="0" w:color="auto"/>
            </w:tcBorders>
            <w:shd w:val="clear" w:color="auto" w:fill="E2E2E2"/>
          </w:tcPr>
          <w:p w:rsidR="00704B97" w:rsidRPr="00704B97" w:rsidRDefault="00704B97" w:rsidP="00704B97">
            <w:pPr>
              <w:numPr>
                <w:ilvl w:val="0"/>
                <w:numId w:val="2"/>
              </w:numPr>
              <w:ind w:left="426"/>
              <w:contextualSpacing/>
              <w:rPr>
                <w:b/>
              </w:rPr>
            </w:pPr>
            <w:r w:rsidRPr="00704B97">
              <w:rPr>
                <w:b/>
              </w:rPr>
              <w:t>Alternatívne riešenia</w:t>
            </w:r>
          </w:p>
        </w:tc>
      </w:tr>
      <w:tr w:rsidR="00704B97" w:rsidRPr="00704B97" w:rsidTr="00057ECB">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704B97" w:rsidRPr="00704B97" w:rsidRDefault="00704B97" w:rsidP="00704B97">
            <w:pPr>
              <w:jc w:val="both"/>
              <w:rPr>
                <w:i/>
              </w:rPr>
            </w:pPr>
          </w:p>
        </w:tc>
      </w:tr>
      <w:tr w:rsidR="00704B97" w:rsidRPr="00704B97" w:rsidTr="00057ECB">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704B97" w:rsidRPr="00704B97" w:rsidRDefault="00704B97" w:rsidP="00704B97">
            <w:pPr>
              <w:numPr>
                <w:ilvl w:val="0"/>
                <w:numId w:val="2"/>
              </w:numPr>
              <w:ind w:left="426"/>
              <w:contextualSpacing/>
              <w:rPr>
                <w:b/>
              </w:rPr>
            </w:pPr>
            <w:r w:rsidRPr="00704B97">
              <w:rPr>
                <w:b/>
              </w:rPr>
              <w:t>Vykonávacie predpisy</w:t>
            </w:r>
          </w:p>
        </w:tc>
      </w:tr>
      <w:tr w:rsidR="00704B97" w:rsidRPr="00704B97" w:rsidTr="00057ECB">
        <w:tc>
          <w:tcPr>
            <w:tcW w:w="6203" w:type="dxa"/>
            <w:gridSpan w:val="6"/>
            <w:tcBorders>
              <w:top w:val="single" w:sz="4" w:space="0" w:color="FFFFFF" w:themeColor="background1"/>
              <w:left w:val="single" w:sz="4" w:space="0" w:color="auto"/>
              <w:bottom w:val="nil"/>
              <w:right w:val="nil"/>
            </w:tcBorders>
            <w:shd w:val="clear" w:color="auto" w:fill="FFFFFF" w:themeFill="background1"/>
          </w:tcPr>
          <w:p w:rsidR="00704B97" w:rsidRPr="00704B97" w:rsidRDefault="00704B97" w:rsidP="00704B97">
            <w:pPr>
              <w:rPr>
                <w:i/>
                <w:sz w:val="20"/>
                <w:szCs w:val="20"/>
              </w:rPr>
            </w:pPr>
            <w:r w:rsidRPr="00704B97">
              <w:rPr>
                <w:i/>
                <w:sz w:val="20"/>
                <w:szCs w:val="20"/>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704B97" w:rsidRPr="00704B97" w:rsidRDefault="006962EF" w:rsidP="00704B97">
            <w:pPr>
              <w:jc w:val="center"/>
            </w:pPr>
            <w:sdt>
              <w:sdtPr>
                <w:id w:val="-1407611648"/>
                <w14:checkbox>
                  <w14:checked w14:val="0"/>
                  <w14:checkedState w14:val="2612" w14:font="MS Gothic"/>
                  <w14:uncheckedState w14:val="2610" w14:font="MS Gothic"/>
                </w14:checkbox>
              </w:sdtPr>
              <w:sdtEndPr/>
              <w:sdtContent>
                <w:r w:rsidR="00F17A17">
                  <w:rPr>
                    <w:rFonts w:ascii="MS Gothic" w:eastAsia="MS Gothic" w:hAnsi="MS Gothic" w:hint="eastAsia"/>
                  </w:rPr>
                  <w:t>☐</w:t>
                </w:r>
              </w:sdtContent>
            </w:sdt>
            <w:r w:rsidR="00704B97" w:rsidRPr="00704B97">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rsidR="00704B97" w:rsidRPr="00704B97" w:rsidRDefault="006962EF" w:rsidP="00704B97">
            <w:pPr>
              <w:jc w:val="center"/>
            </w:pPr>
            <w:sdt>
              <w:sdtPr>
                <w:id w:val="-1625842802"/>
                <w14:checkbox>
                  <w14:checked w14:val="1"/>
                  <w14:checkedState w14:val="2612" w14:font="MS Gothic"/>
                  <w14:uncheckedState w14:val="2610" w14:font="MS Gothic"/>
                </w14:checkbox>
              </w:sdtPr>
              <w:sdtEndPr/>
              <w:sdtContent>
                <w:r w:rsidR="00F17A17">
                  <w:rPr>
                    <w:rFonts w:ascii="MS Gothic" w:eastAsia="MS Gothic" w:hAnsi="MS Gothic" w:hint="eastAsia"/>
                  </w:rPr>
                  <w:t>☒</w:t>
                </w:r>
              </w:sdtContent>
            </w:sdt>
            <w:r w:rsidR="00704B97" w:rsidRPr="00704B97">
              <w:t xml:space="preserve">  Nie</w:t>
            </w:r>
          </w:p>
        </w:tc>
      </w:tr>
      <w:tr w:rsidR="00704B97" w:rsidRPr="00704B97" w:rsidTr="00057ECB">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704B97" w:rsidRPr="00704B97" w:rsidRDefault="00704B97" w:rsidP="00704B97"/>
        </w:tc>
      </w:tr>
      <w:tr w:rsidR="00704B97" w:rsidRPr="00704B97" w:rsidTr="00057ECB">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704B97" w:rsidRPr="00704B97" w:rsidRDefault="00704B97" w:rsidP="00704B97">
            <w:pPr>
              <w:numPr>
                <w:ilvl w:val="0"/>
                <w:numId w:val="2"/>
              </w:numPr>
              <w:ind w:left="426"/>
              <w:contextualSpacing/>
              <w:rPr>
                <w:b/>
              </w:rPr>
            </w:pPr>
            <w:r w:rsidRPr="00704B97">
              <w:rPr>
                <w:b/>
              </w:rPr>
              <w:t xml:space="preserve">Transpozícia práva EÚ </w:t>
            </w:r>
          </w:p>
        </w:tc>
      </w:tr>
      <w:tr w:rsidR="00704B97" w:rsidRPr="00704B97" w:rsidTr="00057ECB">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rsidR="00704B97" w:rsidRPr="00704B97" w:rsidRDefault="00704B97" w:rsidP="00704B97">
            <w:pPr>
              <w:rPr>
                <w:i/>
              </w:rPr>
            </w:pPr>
          </w:p>
        </w:tc>
      </w:tr>
      <w:tr w:rsidR="00704B97" w:rsidRPr="00704B97" w:rsidTr="00057ECB">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704B97" w:rsidRPr="00704B97" w:rsidRDefault="00704B97" w:rsidP="00704B97">
            <w:pPr>
              <w:jc w:val="center"/>
            </w:pPr>
          </w:p>
        </w:tc>
      </w:tr>
      <w:tr w:rsidR="00704B97" w:rsidRPr="00704B97" w:rsidTr="00057ECB">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704B97" w:rsidRPr="00704B97" w:rsidRDefault="00704B97" w:rsidP="00704B97">
            <w:pPr>
              <w:numPr>
                <w:ilvl w:val="0"/>
                <w:numId w:val="2"/>
              </w:numPr>
              <w:ind w:left="426"/>
              <w:contextualSpacing/>
              <w:rPr>
                <w:b/>
              </w:rPr>
            </w:pPr>
            <w:r w:rsidRPr="00704B97">
              <w:rPr>
                <w:b/>
              </w:rPr>
              <w:lastRenderedPageBreak/>
              <w:t>Preskúmanie účelnosti**</w:t>
            </w:r>
          </w:p>
        </w:tc>
      </w:tr>
      <w:tr w:rsidR="00704B97" w:rsidRPr="00704B97" w:rsidTr="00057ECB">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704B97" w:rsidRPr="00704B97" w:rsidRDefault="00704B97" w:rsidP="00704B97">
            <w:pPr>
              <w:rPr>
                <w:i/>
              </w:rPr>
            </w:pPr>
          </w:p>
        </w:tc>
      </w:tr>
      <w:tr w:rsidR="00704B97" w:rsidRPr="00704B97" w:rsidTr="00057ECB">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rsidR="00704B97" w:rsidRPr="00704B97" w:rsidRDefault="00704B97" w:rsidP="00704B97">
            <w:pPr>
              <w:numPr>
                <w:ilvl w:val="0"/>
                <w:numId w:val="2"/>
              </w:numPr>
              <w:ind w:left="426"/>
              <w:contextualSpacing/>
              <w:rPr>
                <w:b/>
              </w:rPr>
            </w:pPr>
            <w:r w:rsidRPr="00704B97">
              <w:rPr>
                <w:b/>
              </w:rPr>
              <w:t>Vplyvy navrhovaného materiálu</w:t>
            </w:r>
          </w:p>
        </w:tc>
      </w:tr>
      <w:tr w:rsidR="00704B97" w:rsidRPr="00704B97" w:rsidTr="00057ECB">
        <w:tc>
          <w:tcPr>
            <w:tcW w:w="3812" w:type="dxa"/>
            <w:tcBorders>
              <w:top w:val="single" w:sz="4" w:space="0" w:color="auto"/>
              <w:left w:val="single" w:sz="4" w:space="0" w:color="auto"/>
              <w:bottom w:val="nil"/>
              <w:right w:val="single" w:sz="4" w:space="0" w:color="auto"/>
            </w:tcBorders>
            <w:shd w:val="clear" w:color="auto" w:fill="E2E2E2"/>
          </w:tcPr>
          <w:p w:rsidR="00704B97" w:rsidRPr="00704B97" w:rsidRDefault="00704B97" w:rsidP="00704B97">
            <w:pPr>
              <w:rPr>
                <w:b/>
              </w:rPr>
            </w:pPr>
            <w:r w:rsidRPr="00704B97">
              <w:rPr>
                <w:b/>
              </w:rPr>
              <w:t>Vplyvy na rozpočet verejnej správy</w:t>
            </w:r>
          </w:p>
        </w:tc>
        <w:sdt>
          <w:sdtPr>
            <w:rPr>
              <w:b/>
            </w:rPr>
            <w:id w:val="112157543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04B97" w:rsidRPr="00704B97" w:rsidRDefault="006962EF" w:rsidP="00704B97">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704B97" w:rsidRPr="00704B97" w:rsidRDefault="00704B97" w:rsidP="00704B97">
            <w:pPr>
              <w:rPr>
                <w:b/>
              </w:rPr>
            </w:pPr>
            <w:r w:rsidRPr="00704B97">
              <w:rPr>
                <w:b/>
              </w:rPr>
              <w:t>Pozitívne</w:t>
            </w:r>
          </w:p>
        </w:tc>
        <w:sdt>
          <w:sdtPr>
            <w:rPr>
              <w:b/>
            </w:rPr>
            <w:id w:val="-9164058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704B97" w:rsidRPr="00704B97" w:rsidRDefault="00704B97" w:rsidP="00704B97">
                <w:pPr>
                  <w:jc w:val="center"/>
                  <w:rPr>
                    <w:b/>
                  </w:rPr>
                </w:pPr>
                <w:r w:rsidRPr="00704B97">
                  <w:rPr>
                    <w:rFonts w:eastAsia="MS Gothic" w:hint="eastAsia"/>
                    <w:b/>
                  </w:rPr>
                  <w:t>☐</w:t>
                </w:r>
              </w:p>
            </w:tc>
          </w:sdtContent>
        </w:sdt>
        <w:tc>
          <w:tcPr>
            <w:tcW w:w="1133" w:type="dxa"/>
            <w:tcBorders>
              <w:top w:val="single" w:sz="4" w:space="0" w:color="auto"/>
              <w:left w:val="nil"/>
              <w:bottom w:val="single" w:sz="4" w:space="0" w:color="auto"/>
              <w:right w:val="nil"/>
            </w:tcBorders>
          </w:tcPr>
          <w:p w:rsidR="00704B97" w:rsidRPr="00704B97" w:rsidRDefault="00704B97" w:rsidP="00704B97">
            <w:pPr>
              <w:rPr>
                <w:b/>
              </w:rPr>
            </w:pPr>
            <w:r w:rsidRPr="00704B97">
              <w:rPr>
                <w:b/>
              </w:rPr>
              <w:t>Žiadne</w:t>
            </w:r>
          </w:p>
        </w:tc>
        <w:sdt>
          <w:sdtPr>
            <w:rPr>
              <w:b/>
            </w:rPr>
            <w:id w:val="-85364909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04B97" w:rsidRPr="00704B97" w:rsidRDefault="00704B97" w:rsidP="00704B97">
                <w:pPr>
                  <w:ind w:left="-107" w:right="-108"/>
                  <w:jc w:val="center"/>
                  <w:rPr>
                    <w:b/>
                  </w:rPr>
                </w:pPr>
                <w:r w:rsidRPr="00704B97">
                  <w:rPr>
                    <w:rFonts w:eastAsia="MS Gothic" w:hint="eastAsia"/>
                    <w:b/>
                  </w:rPr>
                  <w:t>☒</w:t>
                </w:r>
              </w:p>
            </w:tc>
          </w:sdtContent>
        </w:sdt>
        <w:tc>
          <w:tcPr>
            <w:tcW w:w="1297" w:type="dxa"/>
            <w:tcBorders>
              <w:top w:val="single" w:sz="4" w:space="0" w:color="auto"/>
              <w:left w:val="nil"/>
              <w:bottom w:val="single" w:sz="4" w:space="0" w:color="auto"/>
              <w:right w:val="single" w:sz="4" w:space="0" w:color="auto"/>
            </w:tcBorders>
          </w:tcPr>
          <w:p w:rsidR="00704B97" w:rsidRPr="00704B97" w:rsidRDefault="00704B97" w:rsidP="00704B97">
            <w:pPr>
              <w:ind w:left="34"/>
              <w:rPr>
                <w:b/>
              </w:rPr>
            </w:pPr>
            <w:r w:rsidRPr="00704B97">
              <w:rPr>
                <w:b/>
              </w:rPr>
              <w:t>Negatívne</w:t>
            </w:r>
          </w:p>
        </w:tc>
      </w:tr>
      <w:tr w:rsidR="00704B97" w:rsidRPr="00704B97" w:rsidTr="00057ECB">
        <w:tc>
          <w:tcPr>
            <w:tcW w:w="3812" w:type="dxa"/>
            <w:tcBorders>
              <w:top w:val="nil"/>
              <w:left w:val="single" w:sz="4" w:space="0" w:color="auto"/>
              <w:bottom w:val="single" w:sz="4" w:space="0" w:color="000000" w:themeColor="text1"/>
              <w:right w:val="single" w:sz="4" w:space="0" w:color="auto"/>
            </w:tcBorders>
            <w:shd w:val="clear" w:color="auto" w:fill="E2E2E2"/>
          </w:tcPr>
          <w:p w:rsidR="00704B97" w:rsidRPr="00704B97" w:rsidRDefault="00704B97" w:rsidP="00704B97">
            <w:r w:rsidRPr="00704B97">
              <w:t xml:space="preserve">    z toho rozpočtovo zabezpečené vplyvy</w:t>
            </w:r>
          </w:p>
        </w:tc>
        <w:sdt>
          <w:sdtPr>
            <w:id w:val="-207372912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04B97" w:rsidRPr="00704B97" w:rsidRDefault="00704B97" w:rsidP="00704B97">
                <w:pPr>
                  <w:jc w:val="center"/>
                </w:pPr>
                <w:r w:rsidRPr="00704B97">
                  <w:rPr>
                    <w:rFonts w:eastAsia="MS Gothic" w:hint="eastAsia"/>
                  </w:rPr>
                  <w:t>☐</w:t>
                </w:r>
              </w:p>
            </w:tc>
          </w:sdtContent>
        </w:sdt>
        <w:tc>
          <w:tcPr>
            <w:tcW w:w="1281" w:type="dxa"/>
            <w:gridSpan w:val="2"/>
            <w:tcBorders>
              <w:top w:val="single" w:sz="4" w:space="0" w:color="auto"/>
              <w:left w:val="nil"/>
              <w:bottom w:val="single" w:sz="4" w:space="0" w:color="auto"/>
              <w:right w:val="nil"/>
            </w:tcBorders>
          </w:tcPr>
          <w:p w:rsidR="00704B97" w:rsidRPr="00704B97" w:rsidRDefault="00704B97" w:rsidP="00704B97">
            <w:r w:rsidRPr="00704B97">
              <w:t>Áno</w:t>
            </w:r>
          </w:p>
        </w:tc>
        <w:sdt>
          <w:sdtPr>
            <w:id w:val="-54388876"/>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704B97" w:rsidRPr="00704B97" w:rsidRDefault="00704B97" w:rsidP="00704B97">
                <w:pPr>
                  <w:jc w:val="center"/>
                </w:pPr>
                <w:r w:rsidRPr="00704B97">
                  <w:rPr>
                    <w:rFonts w:eastAsia="MS Gothic" w:hint="eastAsia"/>
                  </w:rPr>
                  <w:t>☒</w:t>
                </w:r>
              </w:p>
            </w:tc>
          </w:sdtContent>
        </w:sdt>
        <w:tc>
          <w:tcPr>
            <w:tcW w:w="1133" w:type="dxa"/>
            <w:tcBorders>
              <w:top w:val="single" w:sz="4" w:space="0" w:color="auto"/>
              <w:left w:val="nil"/>
              <w:bottom w:val="single" w:sz="4" w:space="0" w:color="auto"/>
              <w:right w:val="nil"/>
            </w:tcBorders>
          </w:tcPr>
          <w:p w:rsidR="00704B97" w:rsidRPr="00704B97" w:rsidRDefault="00704B97" w:rsidP="00704B97">
            <w:r w:rsidRPr="00704B97">
              <w:t>Nie</w:t>
            </w:r>
          </w:p>
        </w:tc>
        <w:sdt>
          <w:sdt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04B97" w:rsidRPr="00704B97" w:rsidRDefault="00704B97" w:rsidP="00704B97">
                <w:pPr>
                  <w:ind w:left="-107" w:right="-108"/>
                  <w:jc w:val="center"/>
                </w:pPr>
                <w:r w:rsidRPr="00704B97">
                  <w:rPr>
                    <w:rFonts w:ascii="Segoe UI Symbol" w:eastAsia="MS Gothic" w:hAnsi="Segoe UI Symbol" w:cs="Segoe UI Symbol"/>
                  </w:rPr>
                  <w:t>☐</w:t>
                </w:r>
              </w:p>
            </w:tc>
          </w:sdtContent>
        </w:sdt>
        <w:tc>
          <w:tcPr>
            <w:tcW w:w="1297" w:type="dxa"/>
            <w:tcBorders>
              <w:top w:val="single" w:sz="4" w:space="0" w:color="auto"/>
              <w:left w:val="nil"/>
              <w:bottom w:val="single" w:sz="4" w:space="0" w:color="auto"/>
              <w:right w:val="single" w:sz="4" w:space="0" w:color="auto"/>
            </w:tcBorders>
          </w:tcPr>
          <w:p w:rsidR="00704B97" w:rsidRPr="00704B97" w:rsidRDefault="00704B97" w:rsidP="00704B97">
            <w:pPr>
              <w:ind w:left="34"/>
            </w:pPr>
            <w:r w:rsidRPr="00704B97">
              <w:t>Čiastočne</w:t>
            </w:r>
          </w:p>
        </w:tc>
      </w:tr>
      <w:tr w:rsidR="00704B97" w:rsidRPr="00704B97" w:rsidTr="00057ECB">
        <w:tc>
          <w:tcPr>
            <w:tcW w:w="3812" w:type="dxa"/>
            <w:tcBorders>
              <w:top w:val="single" w:sz="4" w:space="0" w:color="000000" w:themeColor="text1"/>
              <w:left w:val="single" w:sz="4" w:space="0" w:color="auto"/>
              <w:bottom w:val="nil"/>
              <w:right w:val="single" w:sz="4" w:space="0" w:color="auto"/>
            </w:tcBorders>
            <w:shd w:val="clear" w:color="auto" w:fill="E2E2E2"/>
          </w:tcPr>
          <w:p w:rsidR="00704B97" w:rsidRPr="00704B97" w:rsidRDefault="00704B97" w:rsidP="00704B97">
            <w:pPr>
              <w:rPr>
                <w:b/>
              </w:rPr>
            </w:pPr>
            <w:r w:rsidRPr="00704B97">
              <w:rPr>
                <w:b/>
              </w:rPr>
              <w:t>Vplyvy na podnikateľské prostredie</w:t>
            </w:r>
          </w:p>
        </w:tc>
        <w:sdt>
          <w:sdtPr>
            <w:rPr>
              <w:b/>
            </w:rPr>
            <w:id w:val="1328319843"/>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04B97" w:rsidRPr="00704B97" w:rsidRDefault="00704B97" w:rsidP="00704B97">
                <w:pPr>
                  <w:jc w:val="center"/>
                  <w:rPr>
                    <w:b/>
                  </w:rPr>
                </w:pPr>
                <w:r w:rsidRPr="00704B97">
                  <w:rPr>
                    <w:rFonts w:ascii="Segoe UI Symbol" w:eastAsia="MS Mincho" w:hAnsi="Segoe UI Symbol" w:cs="Segoe UI Symbol"/>
                    <w:b/>
                  </w:rPr>
                  <w:t>☐</w:t>
                </w:r>
              </w:p>
            </w:tc>
          </w:sdtContent>
        </w:sdt>
        <w:tc>
          <w:tcPr>
            <w:tcW w:w="1281" w:type="dxa"/>
            <w:gridSpan w:val="2"/>
            <w:tcBorders>
              <w:top w:val="single" w:sz="4" w:space="0" w:color="auto"/>
              <w:left w:val="nil"/>
              <w:bottom w:val="single" w:sz="4" w:space="0" w:color="auto"/>
              <w:right w:val="nil"/>
            </w:tcBorders>
          </w:tcPr>
          <w:p w:rsidR="00704B97" w:rsidRPr="00704B97" w:rsidRDefault="00704B97" w:rsidP="00704B97">
            <w:pPr>
              <w:ind w:right="-108"/>
              <w:rPr>
                <w:b/>
              </w:rPr>
            </w:pPr>
            <w:r w:rsidRPr="00704B97">
              <w:rPr>
                <w:b/>
              </w:rPr>
              <w:t>Pozitívne</w:t>
            </w:r>
          </w:p>
        </w:tc>
        <w:sdt>
          <w:sdtPr>
            <w:rPr>
              <w:b/>
            </w:rPr>
            <w:id w:val="1564608664"/>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704B97" w:rsidRPr="00704B97" w:rsidRDefault="00704B97" w:rsidP="00704B97">
                <w:pPr>
                  <w:jc w:val="center"/>
                  <w:rPr>
                    <w:b/>
                  </w:rPr>
                </w:pPr>
                <w:r w:rsidRPr="00704B97">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rsidR="00704B97" w:rsidRPr="00704B97" w:rsidRDefault="00704B97" w:rsidP="00704B97">
            <w:pPr>
              <w:rPr>
                <w:b/>
              </w:rPr>
            </w:pPr>
            <w:r w:rsidRPr="00704B97">
              <w:rPr>
                <w:b/>
              </w:rPr>
              <w:t>Žiadne</w:t>
            </w:r>
          </w:p>
        </w:tc>
        <w:sdt>
          <w:sdtPr>
            <w:rPr>
              <w:b/>
            </w:rPr>
            <w:id w:val="217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04B97" w:rsidRPr="00704B97" w:rsidRDefault="00704B97" w:rsidP="00704B97">
                <w:pPr>
                  <w:jc w:val="center"/>
                  <w:rPr>
                    <w:b/>
                  </w:rPr>
                </w:pPr>
                <w:r w:rsidRPr="00704B97">
                  <w:rPr>
                    <w:rFonts w:ascii="Segoe UI Symbol" w:eastAsia="MS Mincho"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rsidR="00704B97" w:rsidRPr="00704B97" w:rsidRDefault="00704B97" w:rsidP="00704B97">
            <w:pPr>
              <w:ind w:left="54"/>
              <w:rPr>
                <w:b/>
              </w:rPr>
            </w:pPr>
            <w:r w:rsidRPr="00704B97">
              <w:rPr>
                <w:b/>
              </w:rPr>
              <w:t>Negatívne</w:t>
            </w:r>
          </w:p>
        </w:tc>
      </w:tr>
      <w:tr w:rsidR="00704B97" w:rsidRPr="00704B97" w:rsidTr="00057ECB">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704B97" w:rsidRPr="00704B97" w:rsidRDefault="00704B97" w:rsidP="00704B97">
            <w:r w:rsidRPr="00704B97">
              <w:t xml:space="preserve">    z toho vplyvy na MSP</w:t>
            </w:r>
          </w:p>
        </w:tc>
        <w:sdt>
          <w:sdtPr>
            <w:id w:val="19319380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000000" w:themeColor="text1"/>
                  <w:bottom w:val="single" w:sz="4" w:space="0" w:color="auto"/>
                  <w:right w:val="nil"/>
                </w:tcBorders>
              </w:tcPr>
              <w:p w:rsidR="00704B97" w:rsidRPr="00704B97" w:rsidRDefault="00704B97" w:rsidP="00704B97">
                <w:pPr>
                  <w:jc w:val="center"/>
                </w:pPr>
                <w:r w:rsidRPr="00704B97">
                  <w:rPr>
                    <w:rFonts w:ascii="Segoe UI Symbol" w:eastAsia="MS Mincho" w:hAnsi="Segoe UI Symbol" w:cs="Segoe UI Symbol"/>
                  </w:rPr>
                  <w:t>☐</w:t>
                </w:r>
              </w:p>
            </w:tc>
          </w:sdtContent>
        </w:sdt>
        <w:tc>
          <w:tcPr>
            <w:tcW w:w="1281" w:type="dxa"/>
            <w:gridSpan w:val="2"/>
            <w:tcBorders>
              <w:top w:val="single" w:sz="4" w:space="0" w:color="auto"/>
              <w:left w:val="nil"/>
              <w:bottom w:val="single" w:sz="4" w:space="0" w:color="auto"/>
              <w:right w:val="nil"/>
            </w:tcBorders>
          </w:tcPr>
          <w:p w:rsidR="00704B97" w:rsidRPr="00704B97" w:rsidRDefault="00704B97" w:rsidP="00704B97">
            <w:pPr>
              <w:ind w:right="-108"/>
            </w:pPr>
            <w:r w:rsidRPr="00704B97">
              <w:t>Pozitívne</w:t>
            </w:r>
          </w:p>
        </w:tc>
        <w:sdt>
          <w:sdtPr>
            <w:id w:val="-16960637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704B97" w:rsidRPr="00704B97" w:rsidRDefault="00704B97" w:rsidP="00704B97">
                <w:pPr>
                  <w:jc w:val="center"/>
                </w:pPr>
                <w:r w:rsidRPr="00704B97">
                  <w:rPr>
                    <w:rFonts w:ascii="Segoe UI Symbol" w:eastAsia="MS Gothic" w:hAnsi="Segoe UI Symbol" w:cs="Segoe UI Symbol"/>
                  </w:rPr>
                  <w:t>☐</w:t>
                </w:r>
              </w:p>
            </w:tc>
          </w:sdtContent>
        </w:sdt>
        <w:tc>
          <w:tcPr>
            <w:tcW w:w="1133" w:type="dxa"/>
            <w:tcBorders>
              <w:top w:val="single" w:sz="4" w:space="0" w:color="auto"/>
              <w:left w:val="nil"/>
              <w:bottom w:val="single" w:sz="4" w:space="0" w:color="auto"/>
              <w:right w:val="nil"/>
            </w:tcBorders>
          </w:tcPr>
          <w:p w:rsidR="00704B97" w:rsidRPr="00704B97" w:rsidRDefault="00704B97" w:rsidP="00704B97">
            <w:r w:rsidRPr="00704B97">
              <w:t>Žiadne</w:t>
            </w:r>
          </w:p>
        </w:tc>
        <w:sdt>
          <w:sdtPr>
            <w:id w:val="67176502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04B97" w:rsidRPr="00704B97" w:rsidRDefault="00704B97" w:rsidP="00704B97">
                <w:pPr>
                  <w:jc w:val="center"/>
                </w:pPr>
                <w:r w:rsidRPr="00704B97">
                  <w:rPr>
                    <w:rFonts w:ascii="Segoe UI Symbol" w:eastAsia="MS Mincho" w:hAnsi="Segoe UI Symbol" w:cs="Segoe UI Symbol"/>
                  </w:rPr>
                  <w:t>☐</w:t>
                </w:r>
              </w:p>
            </w:tc>
          </w:sdtContent>
        </w:sdt>
        <w:tc>
          <w:tcPr>
            <w:tcW w:w="1297" w:type="dxa"/>
            <w:tcBorders>
              <w:top w:val="single" w:sz="4" w:space="0" w:color="auto"/>
              <w:left w:val="nil"/>
              <w:bottom w:val="single" w:sz="4" w:space="0" w:color="auto"/>
              <w:right w:val="single" w:sz="4" w:space="0" w:color="auto"/>
            </w:tcBorders>
          </w:tcPr>
          <w:p w:rsidR="00704B97" w:rsidRPr="00704B97" w:rsidRDefault="00704B97" w:rsidP="00704B97">
            <w:pPr>
              <w:ind w:left="54"/>
            </w:pPr>
            <w:r w:rsidRPr="00704B97">
              <w:t>Negatívne</w:t>
            </w:r>
          </w:p>
        </w:tc>
      </w:tr>
      <w:tr w:rsidR="00704B97" w:rsidRPr="00704B97" w:rsidTr="00057ECB">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rsidR="00704B97" w:rsidRPr="00704B97" w:rsidRDefault="00704B97" w:rsidP="00704B97">
            <w:pPr>
              <w:rPr>
                <w:b/>
              </w:rPr>
            </w:pPr>
            <w:r w:rsidRPr="00704B97">
              <w:rPr>
                <w:b/>
              </w:rPr>
              <w:t>Sociálne vplyvy</w:t>
            </w:r>
          </w:p>
        </w:tc>
        <w:sdt>
          <w:sdtPr>
            <w:rPr>
              <w:b/>
            </w:rPr>
            <w:id w:val="44935786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04B97" w:rsidRPr="00704B97" w:rsidRDefault="00704B97" w:rsidP="00704B97">
                <w:pPr>
                  <w:jc w:val="center"/>
                  <w:rPr>
                    <w:b/>
                  </w:rPr>
                </w:pPr>
                <w:r w:rsidRPr="00704B97">
                  <w:rPr>
                    <w:rFonts w:ascii="Segoe UI Symbol" w:eastAsia="MS Gothic" w:hAnsi="Segoe UI Symbol" w:cs="Segoe UI Symbol"/>
                    <w:b/>
                  </w:rPr>
                  <w:t>☒</w:t>
                </w:r>
              </w:p>
            </w:tc>
          </w:sdtContent>
        </w:sdt>
        <w:tc>
          <w:tcPr>
            <w:tcW w:w="1281" w:type="dxa"/>
            <w:gridSpan w:val="2"/>
            <w:tcBorders>
              <w:top w:val="single" w:sz="4" w:space="0" w:color="auto"/>
              <w:left w:val="nil"/>
              <w:bottom w:val="single" w:sz="4" w:space="0" w:color="auto"/>
              <w:right w:val="nil"/>
            </w:tcBorders>
          </w:tcPr>
          <w:p w:rsidR="00704B97" w:rsidRPr="00704B97" w:rsidRDefault="00704B97" w:rsidP="00704B97">
            <w:pPr>
              <w:ind w:right="-108"/>
              <w:rPr>
                <w:b/>
              </w:rPr>
            </w:pPr>
            <w:r w:rsidRPr="00704B97">
              <w:rPr>
                <w:b/>
              </w:rPr>
              <w:t>Pozitívne</w:t>
            </w:r>
          </w:p>
        </w:tc>
        <w:sdt>
          <w:sdtPr>
            <w:rPr>
              <w:b/>
            </w:rPr>
            <w:id w:val="-1719425362"/>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704B97" w:rsidRPr="00704B97" w:rsidRDefault="00704B97" w:rsidP="00704B97">
                <w:pPr>
                  <w:jc w:val="center"/>
                  <w:rPr>
                    <w:b/>
                  </w:rPr>
                </w:pPr>
                <w:r w:rsidRPr="00704B97">
                  <w:rPr>
                    <w:rFonts w:ascii="Segoe UI Symbol" w:eastAsia="MS Mincho" w:hAnsi="Segoe UI Symbol" w:cs="Segoe UI Symbol"/>
                    <w:b/>
                  </w:rPr>
                  <w:t>☐</w:t>
                </w:r>
              </w:p>
            </w:tc>
          </w:sdtContent>
        </w:sdt>
        <w:tc>
          <w:tcPr>
            <w:tcW w:w="1133" w:type="dxa"/>
            <w:tcBorders>
              <w:top w:val="single" w:sz="4" w:space="0" w:color="auto"/>
              <w:left w:val="nil"/>
              <w:bottom w:val="single" w:sz="4" w:space="0" w:color="auto"/>
              <w:right w:val="nil"/>
            </w:tcBorders>
          </w:tcPr>
          <w:p w:rsidR="00704B97" w:rsidRPr="00704B97" w:rsidRDefault="00704B97" w:rsidP="00704B97">
            <w:pPr>
              <w:rPr>
                <w:b/>
              </w:rPr>
            </w:pPr>
            <w:r w:rsidRPr="00704B97">
              <w:rPr>
                <w:b/>
              </w:rPr>
              <w:t>Žiadne</w:t>
            </w:r>
          </w:p>
        </w:tc>
        <w:sdt>
          <w:sdtPr>
            <w:rPr>
              <w:b/>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04B97" w:rsidRPr="00704B97" w:rsidRDefault="00704B97" w:rsidP="00704B97">
                <w:pPr>
                  <w:jc w:val="center"/>
                  <w:rPr>
                    <w:b/>
                  </w:rPr>
                </w:pPr>
                <w:r w:rsidRPr="00704B97">
                  <w:rPr>
                    <w:rFonts w:ascii="Segoe UI Symbol" w:eastAsia="MS Mincho"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rsidR="00704B97" w:rsidRPr="00704B97" w:rsidRDefault="00704B97" w:rsidP="00704B97">
            <w:pPr>
              <w:ind w:left="54"/>
              <w:rPr>
                <w:b/>
              </w:rPr>
            </w:pPr>
            <w:r w:rsidRPr="00704B97">
              <w:rPr>
                <w:b/>
              </w:rPr>
              <w:t>Negatívne</w:t>
            </w:r>
          </w:p>
        </w:tc>
      </w:tr>
      <w:tr w:rsidR="00704B97" w:rsidRPr="00704B97" w:rsidTr="00057ECB">
        <w:tc>
          <w:tcPr>
            <w:tcW w:w="3812" w:type="dxa"/>
            <w:tcBorders>
              <w:top w:val="single" w:sz="4" w:space="0" w:color="auto"/>
              <w:left w:val="single" w:sz="4" w:space="0" w:color="auto"/>
              <w:bottom w:val="single" w:sz="4" w:space="0" w:color="auto"/>
              <w:right w:val="single" w:sz="4" w:space="0" w:color="auto"/>
            </w:tcBorders>
            <w:shd w:val="clear" w:color="auto" w:fill="E2E2E2"/>
          </w:tcPr>
          <w:p w:rsidR="00704B97" w:rsidRPr="00704B97" w:rsidRDefault="00704B97" w:rsidP="00704B97">
            <w:pPr>
              <w:rPr>
                <w:b/>
              </w:rPr>
            </w:pPr>
            <w:r w:rsidRPr="00704B97">
              <w:rPr>
                <w:b/>
              </w:rPr>
              <w:t>Vplyvy na životné prostredie</w:t>
            </w:r>
          </w:p>
        </w:tc>
        <w:sdt>
          <w:sdtPr>
            <w:rPr>
              <w:b/>
            </w:rPr>
            <w:id w:val="3047551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04B97" w:rsidRPr="00704B97" w:rsidRDefault="00704B97" w:rsidP="00704B97">
                <w:pPr>
                  <w:jc w:val="center"/>
                  <w:rPr>
                    <w:b/>
                  </w:rPr>
                </w:pPr>
                <w:r w:rsidRPr="00704B97">
                  <w:rPr>
                    <w:rFonts w:ascii="Segoe UI Symbol" w:eastAsia="MS Mincho" w:hAnsi="Segoe UI Symbol" w:cs="Segoe UI Symbol"/>
                    <w:b/>
                  </w:rPr>
                  <w:t>☐</w:t>
                </w:r>
              </w:p>
            </w:tc>
          </w:sdtContent>
        </w:sdt>
        <w:tc>
          <w:tcPr>
            <w:tcW w:w="1281" w:type="dxa"/>
            <w:gridSpan w:val="2"/>
            <w:tcBorders>
              <w:top w:val="single" w:sz="4" w:space="0" w:color="auto"/>
              <w:left w:val="nil"/>
              <w:bottom w:val="single" w:sz="4" w:space="0" w:color="auto"/>
              <w:right w:val="nil"/>
            </w:tcBorders>
          </w:tcPr>
          <w:p w:rsidR="00704B97" w:rsidRPr="00704B97" w:rsidRDefault="00704B97" w:rsidP="00704B97">
            <w:pPr>
              <w:ind w:right="-108"/>
              <w:rPr>
                <w:b/>
              </w:rPr>
            </w:pPr>
            <w:r w:rsidRPr="00704B97">
              <w:rPr>
                <w:b/>
              </w:rPr>
              <w:t>Pozitívne</w:t>
            </w:r>
          </w:p>
        </w:tc>
        <w:sdt>
          <w:sdtPr>
            <w:rPr>
              <w:b/>
            </w:rPr>
            <w:id w:val="23513619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704B97" w:rsidRPr="00704B97" w:rsidRDefault="00704B97" w:rsidP="00704B97">
                <w:pPr>
                  <w:jc w:val="center"/>
                  <w:rPr>
                    <w:b/>
                  </w:rPr>
                </w:pPr>
                <w:r w:rsidRPr="00704B97">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rsidR="00704B97" w:rsidRPr="00704B97" w:rsidRDefault="00704B97" w:rsidP="00704B97">
            <w:pPr>
              <w:rPr>
                <w:b/>
              </w:rPr>
            </w:pPr>
            <w:r w:rsidRPr="00704B97">
              <w:rPr>
                <w:b/>
              </w:rPr>
              <w:t>Žiadne</w:t>
            </w:r>
          </w:p>
        </w:tc>
        <w:sdt>
          <w:sdtPr>
            <w:rPr>
              <w:b/>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04B97" w:rsidRPr="00704B97" w:rsidRDefault="00704B97" w:rsidP="00704B97">
                <w:pPr>
                  <w:jc w:val="center"/>
                  <w:rPr>
                    <w:b/>
                  </w:rPr>
                </w:pPr>
                <w:r w:rsidRPr="00704B97">
                  <w:rPr>
                    <w:rFonts w:ascii="Segoe UI Symbol" w:eastAsia="MS Mincho"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rsidR="00704B97" w:rsidRPr="00704B97" w:rsidRDefault="00704B97" w:rsidP="00704B97">
            <w:pPr>
              <w:ind w:left="54"/>
              <w:rPr>
                <w:b/>
              </w:rPr>
            </w:pPr>
            <w:r w:rsidRPr="00704B97">
              <w:rPr>
                <w:b/>
              </w:rPr>
              <w:t>Negatívne</w:t>
            </w:r>
          </w:p>
        </w:tc>
      </w:tr>
      <w:tr w:rsidR="00704B97" w:rsidRPr="00704B97" w:rsidTr="00057ECB">
        <w:tc>
          <w:tcPr>
            <w:tcW w:w="3812" w:type="dxa"/>
            <w:tcBorders>
              <w:top w:val="single" w:sz="4" w:space="0" w:color="auto"/>
              <w:left w:val="single" w:sz="4" w:space="0" w:color="auto"/>
              <w:bottom w:val="nil"/>
              <w:right w:val="single" w:sz="4" w:space="0" w:color="auto"/>
            </w:tcBorders>
            <w:shd w:val="clear" w:color="auto" w:fill="E2E2E2"/>
          </w:tcPr>
          <w:p w:rsidR="00704B97" w:rsidRPr="00704B97" w:rsidRDefault="00704B97" w:rsidP="00704B97">
            <w:pPr>
              <w:rPr>
                <w:b/>
              </w:rPr>
            </w:pPr>
            <w:r w:rsidRPr="00704B97">
              <w:rPr>
                <w:b/>
              </w:rPr>
              <w:t>Vplyvy na informatizáciu</w:t>
            </w:r>
          </w:p>
        </w:tc>
        <w:sdt>
          <w:sdtPr>
            <w:rPr>
              <w:b/>
            </w:rPr>
            <w:id w:val="-94075100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nil"/>
                  <w:right w:val="nil"/>
                </w:tcBorders>
              </w:tcPr>
              <w:p w:rsidR="00704B97" w:rsidRPr="00704B97" w:rsidRDefault="00704B97" w:rsidP="00704B97">
                <w:pPr>
                  <w:jc w:val="center"/>
                  <w:rPr>
                    <w:b/>
                  </w:rPr>
                </w:pPr>
                <w:r w:rsidRPr="00704B97">
                  <w:rPr>
                    <w:rFonts w:ascii="Segoe UI Symbol" w:eastAsia="MS Mincho" w:hAnsi="Segoe UI Symbol" w:cs="Segoe UI Symbol"/>
                    <w:b/>
                  </w:rPr>
                  <w:t>☐</w:t>
                </w:r>
              </w:p>
            </w:tc>
          </w:sdtContent>
        </w:sdt>
        <w:tc>
          <w:tcPr>
            <w:tcW w:w="1281" w:type="dxa"/>
            <w:gridSpan w:val="2"/>
            <w:tcBorders>
              <w:top w:val="single" w:sz="4" w:space="0" w:color="auto"/>
              <w:left w:val="nil"/>
              <w:bottom w:val="nil"/>
              <w:right w:val="nil"/>
            </w:tcBorders>
          </w:tcPr>
          <w:p w:rsidR="00704B97" w:rsidRPr="00704B97" w:rsidRDefault="00704B97" w:rsidP="00704B97">
            <w:pPr>
              <w:ind w:right="-108"/>
              <w:rPr>
                <w:b/>
              </w:rPr>
            </w:pPr>
            <w:r w:rsidRPr="00704B97">
              <w:rPr>
                <w:b/>
              </w:rPr>
              <w:t>Pozitívne</w:t>
            </w:r>
          </w:p>
        </w:tc>
        <w:sdt>
          <w:sdtPr>
            <w:rPr>
              <w:b/>
            </w:rPr>
            <w:id w:val="-1126152168"/>
            <w14:checkbox>
              <w14:checked w14:val="1"/>
              <w14:checkedState w14:val="2612" w14:font="MS Gothic"/>
              <w14:uncheckedState w14:val="2610" w14:font="MS Gothic"/>
            </w14:checkbox>
          </w:sdtPr>
          <w:sdtEndPr/>
          <w:sdtContent>
            <w:tc>
              <w:tcPr>
                <w:tcW w:w="569" w:type="dxa"/>
                <w:tcBorders>
                  <w:top w:val="single" w:sz="4" w:space="0" w:color="auto"/>
                  <w:left w:val="nil"/>
                  <w:bottom w:val="nil"/>
                  <w:right w:val="nil"/>
                </w:tcBorders>
              </w:tcPr>
              <w:p w:rsidR="00704B97" w:rsidRPr="00704B97" w:rsidRDefault="00704B97" w:rsidP="00704B97">
                <w:pPr>
                  <w:jc w:val="center"/>
                  <w:rPr>
                    <w:b/>
                  </w:rPr>
                </w:pPr>
                <w:r w:rsidRPr="00704B97">
                  <w:rPr>
                    <w:rFonts w:ascii="Segoe UI Symbol" w:eastAsia="MS Gothic" w:hAnsi="Segoe UI Symbol" w:cs="Segoe UI Symbol"/>
                    <w:b/>
                  </w:rPr>
                  <w:t>☒</w:t>
                </w:r>
              </w:p>
            </w:tc>
          </w:sdtContent>
        </w:sdt>
        <w:tc>
          <w:tcPr>
            <w:tcW w:w="1133" w:type="dxa"/>
            <w:tcBorders>
              <w:top w:val="single" w:sz="4" w:space="0" w:color="auto"/>
              <w:left w:val="nil"/>
              <w:bottom w:val="nil"/>
              <w:right w:val="nil"/>
            </w:tcBorders>
          </w:tcPr>
          <w:p w:rsidR="00704B97" w:rsidRPr="00704B97" w:rsidRDefault="00704B97" w:rsidP="00704B97">
            <w:pPr>
              <w:rPr>
                <w:b/>
              </w:rPr>
            </w:pPr>
            <w:r w:rsidRPr="00704B97">
              <w:rPr>
                <w:b/>
              </w:rPr>
              <w:t>Žiadne</w:t>
            </w:r>
          </w:p>
        </w:tc>
        <w:sdt>
          <w:sdtPr>
            <w:rPr>
              <w:b/>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nil"/>
                  <w:right w:val="nil"/>
                </w:tcBorders>
              </w:tcPr>
              <w:p w:rsidR="00704B97" w:rsidRPr="00704B97" w:rsidRDefault="00704B97" w:rsidP="00704B97">
                <w:pPr>
                  <w:jc w:val="center"/>
                  <w:rPr>
                    <w:b/>
                  </w:rPr>
                </w:pPr>
                <w:r w:rsidRPr="00704B97">
                  <w:rPr>
                    <w:rFonts w:ascii="Segoe UI Symbol" w:eastAsia="MS Mincho" w:hAnsi="Segoe UI Symbol" w:cs="Segoe UI Symbol"/>
                    <w:b/>
                  </w:rPr>
                  <w:t>☐</w:t>
                </w:r>
              </w:p>
            </w:tc>
          </w:sdtContent>
        </w:sdt>
        <w:tc>
          <w:tcPr>
            <w:tcW w:w="1297" w:type="dxa"/>
            <w:tcBorders>
              <w:top w:val="single" w:sz="4" w:space="0" w:color="auto"/>
              <w:left w:val="nil"/>
              <w:bottom w:val="nil"/>
              <w:right w:val="single" w:sz="4" w:space="0" w:color="auto"/>
            </w:tcBorders>
          </w:tcPr>
          <w:p w:rsidR="00704B97" w:rsidRPr="00704B97" w:rsidRDefault="00704B97" w:rsidP="00704B97">
            <w:pPr>
              <w:ind w:left="54"/>
              <w:rPr>
                <w:b/>
              </w:rPr>
            </w:pPr>
            <w:r w:rsidRPr="00704B97">
              <w:rPr>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704B97" w:rsidRPr="00704B97" w:rsidTr="00057ECB">
        <w:tc>
          <w:tcPr>
            <w:tcW w:w="3812" w:type="dxa"/>
            <w:tcBorders>
              <w:top w:val="single" w:sz="4" w:space="0" w:color="auto"/>
              <w:left w:val="single" w:sz="4" w:space="0" w:color="auto"/>
              <w:bottom w:val="nil"/>
              <w:right w:val="single" w:sz="4" w:space="0" w:color="auto"/>
            </w:tcBorders>
            <w:shd w:val="clear" w:color="auto" w:fill="E2E2E2"/>
          </w:tcPr>
          <w:p w:rsidR="00704B97" w:rsidRPr="00704B97" w:rsidRDefault="00704B97" w:rsidP="00704B97">
            <w:pPr>
              <w:rPr>
                <w:b/>
              </w:rPr>
            </w:pPr>
            <w:r w:rsidRPr="00704B97">
              <w:rPr>
                <w:rFonts w:eastAsia="Calibri"/>
                <w:b/>
                <w:lang w:eastAsia="en-US"/>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704B97" w:rsidRPr="00704B97" w:rsidRDefault="00704B97" w:rsidP="00704B97">
            <w:pPr>
              <w:jc w:val="center"/>
              <w:rPr>
                <w:rFonts w:eastAsia="MS Mincho"/>
                <w:b/>
              </w:rPr>
            </w:pPr>
          </w:p>
        </w:tc>
        <w:tc>
          <w:tcPr>
            <w:tcW w:w="1281" w:type="dxa"/>
            <w:tcBorders>
              <w:top w:val="single" w:sz="4" w:space="0" w:color="auto"/>
              <w:left w:val="nil"/>
              <w:bottom w:val="nil"/>
              <w:right w:val="nil"/>
            </w:tcBorders>
            <w:shd w:val="clear" w:color="auto" w:fill="auto"/>
          </w:tcPr>
          <w:p w:rsidR="00704B97" w:rsidRPr="00704B97" w:rsidRDefault="00704B97" w:rsidP="00704B97">
            <w:pPr>
              <w:ind w:right="-108"/>
              <w:rPr>
                <w:b/>
              </w:rPr>
            </w:pPr>
          </w:p>
        </w:tc>
        <w:tc>
          <w:tcPr>
            <w:tcW w:w="569" w:type="dxa"/>
            <w:tcBorders>
              <w:top w:val="single" w:sz="4" w:space="0" w:color="auto"/>
              <w:left w:val="nil"/>
              <w:bottom w:val="nil"/>
              <w:right w:val="nil"/>
            </w:tcBorders>
            <w:shd w:val="clear" w:color="auto" w:fill="auto"/>
          </w:tcPr>
          <w:p w:rsidR="00704B97" w:rsidRPr="00704B97" w:rsidRDefault="00704B97" w:rsidP="00704B97">
            <w:pPr>
              <w:jc w:val="center"/>
              <w:rPr>
                <w:rFonts w:eastAsia="MS Mincho"/>
                <w:b/>
              </w:rPr>
            </w:pPr>
          </w:p>
        </w:tc>
        <w:tc>
          <w:tcPr>
            <w:tcW w:w="1133" w:type="dxa"/>
            <w:tcBorders>
              <w:top w:val="single" w:sz="4" w:space="0" w:color="auto"/>
              <w:left w:val="nil"/>
              <w:bottom w:val="nil"/>
              <w:right w:val="nil"/>
            </w:tcBorders>
            <w:shd w:val="clear" w:color="auto" w:fill="auto"/>
          </w:tcPr>
          <w:p w:rsidR="00704B97" w:rsidRPr="00704B97" w:rsidRDefault="00704B97" w:rsidP="00704B97">
            <w:pPr>
              <w:rPr>
                <w:b/>
              </w:rPr>
            </w:pPr>
          </w:p>
        </w:tc>
        <w:tc>
          <w:tcPr>
            <w:tcW w:w="547" w:type="dxa"/>
            <w:tcBorders>
              <w:top w:val="single" w:sz="4" w:space="0" w:color="auto"/>
              <w:left w:val="nil"/>
              <w:bottom w:val="nil"/>
              <w:right w:val="nil"/>
            </w:tcBorders>
            <w:shd w:val="clear" w:color="auto" w:fill="auto"/>
          </w:tcPr>
          <w:p w:rsidR="00704B97" w:rsidRPr="00704B97" w:rsidRDefault="00704B97" w:rsidP="00704B97">
            <w:pPr>
              <w:jc w:val="center"/>
              <w:rPr>
                <w:rFonts w:eastAsia="MS Mincho"/>
                <w:b/>
              </w:rPr>
            </w:pPr>
          </w:p>
        </w:tc>
        <w:tc>
          <w:tcPr>
            <w:tcW w:w="1297" w:type="dxa"/>
            <w:tcBorders>
              <w:top w:val="single" w:sz="4" w:space="0" w:color="auto"/>
              <w:left w:val="nil"/>
              <w:bottom w:val="nil"/>
              <w:right w:val="single" w:sz="4" w:space="0" w:color="auto"/>
            </w:tcBorders>
            <w:shd w:val="clear" w:color="auto" w:fill="auto"/>
          </w:tcPr>
          <w:p w:rsidR="00704B97" w:rsidRPr="00704B97" w:rsidRDefault="00704B97" w:rsidP="00704B97">
            <w:pPr>
              <w:ind w:left="54"/>
              <w:rPr>
                <w:b/>
              </w:rPr>
            </w:pPr>
          </w:p>
        </w:tc>
      </w:tr>
      <w:tr w:rsidR="00704B97" w:rsidRPr="00704B97" w:rsidTr="00057ECB">
        <w:trPr>
          <w:trHeight w:val="388"/>
        </w:trPr>
        <w:tc>
          <w:tcPr>
            <w:tcW w:w="3812" w:type="dxa"/>
            <w:tcBorders>
              <w:top w:val="nil"/>
              <w:left w:val="single" w:sz="4" w:space="0" w:color="auto"/>
              <w:bottom w:val="nil"/>
              <w:right w:val="single" w:sz="4" w:space="0" w:color="auto"/>
            </w:tcBorders>
            <w:shd w:val="clear" w:color="auto" w:fill="E2E2E2"/>
          </w:tcPr>
          <w:p w:rsidR="00704B97" w:rsidRPr="00704B97" w:rsidRDefault="00704B97" w:rsidP="00704B97">
            <w:pPr>
              <w:ind w:left="196" w:hanging="196"/>
              <w:rPr>
                <w:rFonts w:eastAsia="Calibri"/>
                <w:b/>
                <w:lang w:eastAsia="en-US"/>
              </w:rPr>
            </w:pPr>
            <w:r w:rsidRPr="00704B97">
              <w:rPr>
                <w:rFonts w:eastAsia="Calibri"/>
                <w:b/>
                <w:lang w:eastAsia="en-US"/>
              </w:rPr>
              <w:t xml:space="preserve">    vplyvy služieb verejnej správy na občana</w:t>
            </w:r>
          </w:p>
        </w:tc>
        <w:sdt>
          <w:sdtPr>
            <w:rPr>
              <w:b/>
            </w:rPr>
            <w:id w:val="-1688362683"/>
            <w14:checkbox>
              <w14:checked w14:val="1"/>
              <w14:checkedState w14:val="2612" w14:font="MS Gothic"/>
              <w14:uncheckedState w14:val="2610" w14:font="MS Gothic"/>
            </w14:checkbox>
          </w:sdtPr>
          <w:sdtEndPr/>
          <w:sdtContent>
            <w:tc>
              <w:tcPr>
                <w:tcW w:w="541" w:type="dxa"/>
                <w:tcBorders>
                  <w:top w:val="nil"/>
                  <w:left w:val="single" w:sz="4" w:space="0" w:color="auto"/>
                  <w:bottom w:val="single" w:sz="4" w:space="0" w:color="auto"/>
                  <w:right w:val="nil"/>
                </w:tcBorders>
                <w:shd w:val="clear" w:color="auto" w:fill="auto"/>
              </w:tcPr>
              <w:p w:rsidR="00704B97" w:rsidRPr="00704B97" w:rsidRDefault="006962EF" w:rsidP="00704B97">
                <w:pPr>
                  <w:jc w:val="center"/>
                  <w:rPr>
                    <w:b/>
                  </w:rPr>
                </w:pPr>
                <w:r>
                  <w:rPr>
                    <w:rFonts w:ascii="MS Gothic" w:eastAsia="MS Gothic" w:hAnsi="MS Gothic" w:hint="eastAsia"/>
                    <w:b/>
                  </w:rPr>
                  <w:t>☒</w:t>
                </w:r>
              </w:p>
            </w:tc>
          </w:sdtContent>
        </w:sdt>
        <w:tc>
          <w:tcPr>
            <w:tcW w:w="1281" w:type="dxa"/>
            <w:tcBorders>
              <w:top w:val="nil"/>
              <w:left w:val="nil"/>
              <w:bottom w:val="single" w:sz="4" w:space="0" w:color="auto"/>
              <w:right w:val="nil"/>
            </w:tcBorders>
            <w:shd w:val="clear" w:color="auto" w:fill="auto"/>
          </w:tcPr>
          <w:p w:rsidR="00704B97" w:rsidRPr="00704B97" w:rsidRDefault="00704B97" w:rsidP="00704B97">
            <w:pPr>
              <w:ind w:right="-108"/>
              <w:rPr>
                <w:b/>
              </w:rPr>
            </w:pPr>
            <w:r w:rsidRPr="00704B97">
              <w:rPr>
                <w:b/>
              </w:rPr>
              <w:t>Pozitívne</w:t>
            </w:r>
          </w:p>
        </w:tc>
        <w:sdt>
          <w:sdtPr>
            <w:rPr>
              <w:b/>
            </w:rPr>
            <w:id w:val="884985506"/>
            <w14:checkbox>
              <w14:checked w14:val="1"/>
              <w14:checkedState w14:val="2612" w14:font="MS Gothic"/>
              <w14:uncheckedState w14:val="2610" w14:font="MS Gothic"/>
            </w14:checkbox>
          </w:sdtPr>
          <w:sdtEndPr/>
          <w:sdtContent>
            <w:tc>
              <w:tcPr>
                <w:tcW w:w="569" w:type="dxa"/>
                <w:tcBorders>
                  <w:top w:val="nil"/>
                  <w:left w:val="nil"/>
                  <w:bottom w:val="single" w:sz="4" w:space="0" w:color="auto"/>
                  <w:right w:val="nil"/>
                </w:tcBorders>
                <w:shd w:val="clear" w:color="auto" w:fill="auto"/>
              </w:tcPr>
              <w:p w:rsidR="00704B97" w:rsidRPr="00704B97" w:rsidRDefault="00704B97" w:rsidP="00704B97">
                <w:pPr>
                  <w:jc w:val="center"/>
                  <w:rPr>
                    <w:b/>
                  </w:rPr>
                </w:pPr>
                <w:r w:rsidRPr="00704B97">
                  <w:rPr>
                    <w:rFonts w:ascii="Segoe UI Symbol" w:eastAsia="MS Gothic" w:hAnsi="Segoe UI Symbol" w:cs="Segoe UI Symbol"/>
                    <w:b/>
                  </w:rPr>
                  <w:t>☒</w:t>
                </w:r>
              </w:p>
            </w:tc>
          </w:sdtContent>
        </w:sdt>
        <w:tc>
          <w:tcPr>
            <w:tcW w:w="1133" w:type="dxa"/>
            <w:tcBorders>
              <w:top w:val="nil"/>
              <w:left w:val="nil"/>
              <w:bottom w:val="single" w:sz="4" w:space="0" w:color="auto"/>
              <w:right w:val="nil"/>
            </w:tcBorders>
            <w:shd w:val="clear" w:color="auto" w:fill="auto"/>
          </w:tcPr>
          <w:p w:rsidR="00704B97" w:rsidRPr="00704B97" w:rsidRDefault="00704B97" w:rsidP="00704B97">
            <w:pPr>
              <w:rPr>
                <w:b/>
              </w:rPr>
            </w:pPr>
            <w:r w:rsidRPr="00704B97">
              <w:rPr>
                <w:b/>
              </w:rPr>
              <w:t>Žiadne</w:t>
            </w:r>
          </w:p>
        </w:tc>
        <w:sdt>
          <w:sdtPr>
            <w:rPr>
              <w:b/>
            </w:rPr>
            <w:id w:val="-2146805846"/>
            <w14:checkbox>
              <w14:checked w14:val="0"/>
              <w14:checkedState w14:val="2612" w14:font="MS Gothic"/>
              <w14:uncheckedState w14:val="2610" w14:font="MS Gothic"/>
            </w14:checkbox>
          </w:sdtPr>
          <w:sdtEndPr/>
          <w:sdtContent>
            <w:tc>
              <w:tcPr>
                <w:tcW w:w="547" w:type="dxa"/>
                <w:tcBorders>
                  <w:top w:val="nil"/>
                  <w:left w:val="nil"/>
                  <w:bottom w:val="single" w:sz="4" w:space="0" w:color="auto"/>
                  <w:right w:val="nil"/>
                </w:tcBorders>
                <w:shd w:val="clear" w:color="auto" w:fill="auto"/>
              </w:tcPr>
              <w:p w:rsidR="00704B97" w:rsidRPr="00704B97" w:rsidRDefault="00704B97" w:rsidP="00704B97">
                <w:pPr>
                  <w:jc w:val="center"/>
                  <w:rPr>
                    <w:b/>
                  </w:rPr>
                </w:pPr>
                <w:r w:rsidRPr="00704B97">
                  <w:rPr>
                    <w:rFonts w:ascii="Segoe UI Symbol" w:eastAsia="MS Mincho" w:hAnsi="Segoe UI Symbol" w:cs="Segoe UI Symbol"/>
                    <w:b/>
                  </w:rPr>
                  <w:t>☐</w:t>
                </w:r>
              </w:p>
            </w:tc>
          </w:sdtContent>
        </w:sdt>
        <w:tc>
          <w:tcPr>
            <w:tcW w:w="1297" w:type="dxa"/>
            <w:tcBorders>
              <w:top w:val="nil"/>
              <w:left w:val="nil"/>
              <w:bottom w:val="single" w:sz="4" w:space="0" w:color="auto"/>
              <w:right w:val="single" w:sz="4" w:space="0" w:color="auto"/>
            </w:tcBorders>
            <w:shd w:val="clear" w:color="auto" w:fill="auto"/>
          </w:tcPr>
          <w:p w:rsidR="00704B97" w:rsidRPr="00704B97" w:rsidRDefault="00704B97" w:rsidP="00704B97">
            <w:pPr>
              <w:ind w:left="54"/>
              <w:rPr>
                <w:b/>
              </w:rPr>
            </w:pPr>
            <w:r w:rsidRPr="00704B97">
              <w:rPr>
                <w:b/>
              </w:rPr>
              <w:t>Negatívne</w:t>
            </w:r>
          </w:p>
        </w:tc>
      </w:tr>
      <w:tr w:rsidR="00704B97" w:rsidRPr="00704B97" w:rsidTr="00057ECB">
        <w:tc>
          <w:tcPr>
            <w:tcW w:w="3812" w:type="dxa"/>
            <w:tcBorders>
              <w:top w:val="nil"/>
              <w:left w:val="single" w:sz="4" w:space="0" w:color="auto"/>
              <w:bottom w:val="single" w:sz="4" w:space="0" w:color="auto"/>
              <w:right w:val="single" w:sz="4" w:space="0" w:color="auto"/>
            </w:tcBorders>
            <w:shd w:val="clear" w:color="auto" w:fill="E2E2E2"/>
          </w:tcPr>
          <w:p w:rsidR="00704B97" w:rsidRPr="00704B97" w:rsidRDefault="00704B97" w:rsidP="00704B97">
            <w:pPr>
              <w:ind w:left="168" w:hanging="168"/>
              <w:rPr>
                <w:rFonts w:eastAsia="Calibri"/>
                <w:b/>
                <w:lang w:eastAsia="en-US"/>
              </w:rPr>
            </w:pPr>
            <w:r w:rsidRPr="00704B97">
              <w:rPr>
                <w:rFonts w:eastAsia="Calibri"/>
                <w:b/>
                <w:lang w:eastAsia="en-US"/>
              </w:rPr>
              <w:t xml:space="preserve">    vplyvy na procesy služieb vo verejnej správe</w:t>
            </w:r>
          </w:p>
        </w:tc>
        <w:sdt>
          <w:sdtPr>
            <w:rPr>
              <w:b/>
            </w:rPr>
            <w:id w:val="-11398456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shd w:val="clear" w:color="auto" w:fill="auto"/>
              </w:tcPr>
              <w:p w:rsidR="00704B97" w:rsidRPr="00704B97" w:rsidRDefault="00704B97" w:rsidP="00704B97">
                <w:pPr>
                  <w:jc w:val="center"/>
                  <w:rPr>
                    <w:b/>
                  </w:rPr>
                </w:pPr>
                <w:r w:rsidRPr="00704B97">
                  <w:rPr>
                    <w:rFonts w:ascii="Segoe UI Symbol" w:eastAsia="MS Gothic" w:hAnsi="Segoe UI Symbol" w:cs="Segoe UI Symbol"/>
                    <w:b/>
                  </w:rPr>
                  <w:t>☐</w:t>
                </w:r>
              </w:p>
            </w:tc>
          </w:sdtContent>
        </w:sdt>
        <w:tc>
          <w:tcPr>
            <w:tcW w:w="1281" w:type="dxa"/>
            <w:tcBorders>
              <w:top w:val="single" w:sz="4" w:space="0" w:color="auto"/>
              <w:left w:val="nil"/>
              <w:bottom w:val="single" w:sz="4" w:space="0" w:color="auto"/>
              <w:right w:val="nil"/>
            </w:tcBorders>
            <w:shd w:val="clear" w:color="auto" w:fill="auto"/>
          </w:tcPr>
          <w:p w:rsidR="00704B97" w:rsidRPr="00704B97" w:rsidRDefault="00704B97" w:rsidP="00704B97">
            <w:pPr>
              <w:ind w:right="-108"/>
              <w:rPr>
                <w:b/>
              </w:rPr>
            </w:pPr>
            <w:r w:rsidRPr="00704B97">
              <w:rPr>
                <w:b/>
              </w:rPr>
              <w:t>Pozitívne</w:t>
            </w:r>
          </w:p>
        </w:tc>
        <w:sdt>
          <w:sdtPr>
            <w:rPr>
              <w:b/>
            </w:rPr>
            <w:id w:val="-1325040833"/>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shd w:val="clear" w:color="auto" w:fill="auto"/>
              </w:tcPr>
              <w:p w:rsidR="00704B97" w:rsidRPr="00704B97" w:rsidRDefault="00704B97" w:rsidP="00704B97">
                <w:pPr>
                  <w:jc w:val="center"/>
                  <w:rPr>
                    <w:b/>
                  </w:rPr>
                </w:pPr>
                <w:r w:rsidRPr="00704B97">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shd w:val="clear" w:color="auto" w:fill="auto"/>
          </w:tcPr>
          <w:p w:rsidR="00704B97" w:rsidRPr="00704B97" w:rsidRDefault="00704B97" w:rsidP="00704B97">
            <w:pPr>
              <w:rPr>
                <w:b/>
              </w:rPr>
            </w:pPr>
            <w:r w:rsidRPr="00704B97">
              <w:rPr>
                <w:b/>
              </w:rPr>
              <w:t>Žiadne</w:t>
            </w:r>
          </w:p>
        </w:tc>
        <w:sdt>
          <w:sdtPr>
            <w:rPr>
              <w:b/>
            </w:rPr>
            <w:id w:val="201802918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shd w:val="clear" w:color="auto" w:fill="auto"/>
              </w:tcPr>
              <w:p w:rsidR="00704B97" w:rsidRPr="00704B97" w:rsidRDefault="00704B97" w:rsidP="00704B97">
                <w:pPr>
                  <w:jc w:val="center"/>
                  <w:rPr>
                    <w:b/>
                  </w:rPr>
                </w:pPr>
                <w:r w:rsidRPr="00704B97">
                  <w:rPr>
                    <w:rFonts w:ascii="Segoe UI Symbol" w:eastAsia="MS Mincho" w:hAnsi="Segoe UI Symbol" w:cs="Segoe UI Symbol"/>
                    <w:b/>
                  </w:rPr>
                  <w:t>☐</w:t>
                </w:r>
              </w:p>
            </w:tc>
          </w:sdtContent>
        </w:sdt>
        <w:tc>
          <w:tcPr>
            <w:tcW w:w="1297" w:type="dxa"/>
            <w:tcBorders>
              <w:top w:val="single" w:sz="4" w:space="0" w:color="auto"/>
              <w:left w:val="nil"/>
              <w:bottom w:val="single" w:sz="4" w:space="0" w:color="auto"/>
              <w:right w:val="single" w:sz="4" w:space="0" w:color="auto"/>
            </w:tcBorders>
            <w:shd w:val="clear" w:color="auto" w:fill="auto"/>
          </w:tcPr>
          <w:p w:rsidR="00704B97" w:rsidRPr="00704B97" w:rsidRDefault="00704B97" w:rsidP="00704B97">
            <w:pPr>
              <w:ind w:left="54"/>
              <w:rPr>
                <w:b/>
              </w:rPr>
            </w:pPr>
            <w:r w:rsidRPr="00704B97">
              <w:rPr>
                <w:b/>
              </w:rPr>
              <w:t>Negatívne</w:t>
            </w:r>
          </w:p>
        </w:tc>
      </w:tr>
      <w:tr w:rsidR="00704B97" w:rsidRPr="00704B97" w:rsidTr="00057ECB">
        <w:tc>
          <w:tcPr>
            <w:tcW w:w="3812" w:type="dxa"/>
            <w:tcBorders>
              <w:top w:val="single" w:sz="4" w:space="0" w:color="auto"/>
              <w:left w:val="single" w:sz="4" w:space="0" w:color="auto"/>
              <w:bottom w:val="single" w:sz="4" w:space="0" w:color="auto"/>
              <w:right w:val="single" w:sz="4" w:space="0" w:color="auto"/>
            </w:tcBorders>
            <w:shd w:val="clear" w:color="auto" w:fill="E2E2E2"/>
          </w:tcPr>
          <w:p w:rsidR="00704B97" w:rsidRPr="00704B97" w:rsidRDefault="00704B97" w:rsidP="00704B97">
            <w:pPr>
              <w:ind w:left="168" w:hanging="168"/>
              <w:rPr>
                <w:rFonts w:eastAsia="Calibri"/>
                <w:b/>
                <w:lang w:eastAsia="en-US"/>
              </w:rPr>
            </w:pPr>
            <w:r w:rsidRPr="00704B97">
              <w:rPr>
                <w:b/>
                <w:bCs/>
              </w:rPr>
              <w:t>Vplyvy na manželstvo, rodičovstvo a rodinu</w:t>
            </w:r>
          </w:p>
        </w:tc>
        <w:sdt>
          <w:sdtPr>
            <w:rPr>
              <w:b/>
            </w:rPr>
            <w:id w:val="358930787"/>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shd w:val="clear" w:color="auto" w:fill="auto"/>
              </w:tcPr>
              <w:p w:rsidR="00704B97" w:rsidRPr="00704B97" w:rsidRDefault="00704B97" w:rsidP="00704B97">
                <w:pPr>
                  <w:jc w:val="center"/>
                  <w:rPr>
                    <w:b/>
                  </w:rPr>
                </w:pPr>
                <w:r w:rsidRPr="00704B97">
                  <w:rPr>
                    <w:rFonts w:eastAsia="MS Gothic" w:hint="eastAsia"/>
                    <w:b/>
                  </w:rPr>
                  <w:t>☒</w:t>
                </w:r>
              </w:p>
            </w:tc>
          </w:sdtContent>
        </w:sdt>
        <w:tc>
          <w:tcPr>
            <w:tcW w:w="1281" w:type="dxa"/>
            <w:tcBorders>
              <w:top w:val="single" w:sz="4" w:space="0" w:color="auto"/>
              <w:left w:val="nil"/>
              <w:bottom w:val="single" w:sz="4" w:space="0" w:color="auto"/>
              <w:right w:val="nil"/>
            </w:tcBorders>
            <w:shd w:val="clear" w:color="auto" w:fill="auto"/>
          </w:tcPr>
          <w:p w:rsidR="00704B97" w:rsidRPr="00704B97" w:rsidRDefault="00704B97" w:rsidP="00704B97">
            <w:pPr>
              <w:ind w:right="-108"/>
              <w:rPr>
                <w:b/>
              </w:rPr>
            </w:pPr>
            <w:r w:rsidRPr="00704B97">
              <w:rPr>
                <w:b/>
              </w:rPr>
              <w:t>Pozitívne</w:t>
            </w:r>
          </w:p>
        </w:tc>
        <w:sdt>
          <w:sdtPr>
            <w:rPr>
              <w:b/>
            </w:rPr>
            <w:id w:val="48505541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shd w:val="clear" w:color="auto" w:fill="auto"/>
              </w:tcPr>
              <w:p w:rsidR="00704B97" w:rsidRPr="00704B97" w:rsidRDefault="00704B97" w:rsidP="00704B97">
                <w:pPr>
                  <w:jc w:val="center"/>
                  <w:rPr>
                    <w:b/>
                  </w:rPr>
                </w:pPr>
                <w:r w:rsidRPr="00704B97">
                  <w:rPr>
                    <w:rFonts w:eastAsia="MS Gothic" w:hint="eastAsia"/>
                    <w:b/>
                  </w:rPr>
                  <w:t>☐</w:t>
                </w:r>
              </w:p>
            </w:tc>
          </w:sdtContent>
        </w:sdt>
        <w:tc>
          <w:tcPr>
            <w:tcW w:w="1133" w:type="dxa"/>
            <w:tcBorders>
              <w:top w:val="single" w:sz="4" w:space="0" w:color="auto"/>
              <w:left w:val="nil"/>
              <w:bottom w:val="single" w:sz="4" w:space="0" w:color="auto"/>
              <w:right w:val="nil"/>
            </w:tcBorders>
            <w:shd w:val="clear" w:color="auto" w:fill="auto"/>
          </w:tcPr>
          <w:p w:rsidR="00704B97" w:rsidRPr="00704B97" w:rsidRDefault="00704B97" w:rsidP="00704B97">
            <w:pPr>
              <w:rPr>
                <w:b/>
              </w:rPr>
            </w:pPr>
            <w:r w:rsidRPr="00704B97">
              <w:rPr>
                <w:b/>
              </w:rPr>
              <w:t>Žiadne</w:t>
            </w:r>
          </w:p>
        </w:tc>
        <w:sdt>
          <w:sdtPr>
            <w:rPr>
              <w:b/>
            </w:rPr>
            <w:id w:val="328719546"/>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shd w:val="clear" w:color="auto" w:fill="auto"/>
              </w:tcPr>
              <w:p w:rsidR="00704B97" w:rsidRPr="00704B97" w:rsidRDefault="00704B97" w:rsidP="00704B97">
                <w:pPr>
                  <w:jc w:val="center"/>
                  <w:rPr>
                    <w:b/>
                  </w:rPr>
                </w:pPr>
                <w:r w:rsidRPr="00704B97">
                  <w:rPr>
                    <w:rFonts w:ascii="Segoe UI Symbol" w:eastAsia="MS Mincho" w:hAnsi="Segoe UI Symbol" w:cs="Segoe UI Symbol"/>
                    <w:b/>
                  </w:rPr>
                  <w:t>☐</w:t>
                </w:r>
              </w:p>
            </w:tc>
          </w:sdtContent>
        </w:sdt>
        <w:tc>
          <w:tcPr>
            <w:tcW w:w="1297" w:type="dxa"/>
            <w:tcBorders>
              <w:top w:val="single" w:sz="4" w:space="0" w:color="auto"/>
              <w:left w:val="nil"/>
              <w:bottom w:val="single" w:sz="4" w:space="0" w:color="auto"/>
              <w:right w:val="single" w:sz="4" w:space="0" w:color="auto"/>
            </w:tcBorders>
            <w:shd w:val="clear" w:color="auto" w:fill="auto"/>
          </w:tcPr>
          <w:p w:rsidR="00704B97" w:rsidRPr="00704B97" w:rsidRDefault="00704B97" w:rsidP="00704B97">
            <w:pPr>
              <w:ind w:left="54"/>
              <w:rPr>
                <w:b/>
              </w:rPr>
            </w:pPr>
            <w:r w:rsidRPr="00704B97">
              <w:rPr>
                <w:b/>
              </w:rPr>
              <w:t>Negatívne</w:t>
            </w:r>
          </w:p>
        </w:tc>
      </w:tr>
    </w:tbl>
    <w:tbl>
      <w:tblPr>
        <w:tblStyle w:val="Mriekatabuky1"/>
        <w:tblW w:w="9176" w:type="dxa"/>
        <w:tblLayout w:type="fixed"/>
        <w:tblLook w:val="04A0" w:firstRow="1" w:lastRow="0" w:firstColumn="1" w:lastColumn="0" w:noHBand="0" w:noVBand="1"/>
      </w:tblPr>
      <w:tblGrid>
        <w:gridCol w:w="9176"/>
      </w:tblGrid>
      <w:tr w:rsidR="00704B97" w:rsidRPr="00704B97" w:rsidTr="00057ECB">
        <w:tc>
          <w:tcPr>
            <w:tcW w:w="9176" w:type="dxa"/>
            <w:tcBorders>
              <w:top w:val="single" w:sz="4" w:space="0" w:color="auto"/>
              <w:left w:val="single" w:sz="4" w:space="0" w:color="auto"/>
              <w:bottom w:val="nil"/>
              <w:right w:val="single" w:sz="4" w:space="0" w:color="auto"/>
            </w:tcBorders>
            <w:shd w:val="clear" w:color="auto" w:fill="E2E2E2"/>
          </w:tcPr>
          <w:p w:rsidR="00704B97" w:rsidRPr="00704B97" w:rsidRDefault="00704B97" w:rsidP="00704B97">
            <w:pPr>
              <w:numPr>
                <w:ilvl w:val="0"/>
                <w:numId w:val="2"/>
              </w:numPr>
              <w:ind w:left="426"/>
              <w:contextualSpacing/>
              <w:rPr>
                <w:b/>
              </w:rPr>
            </w:pPr>
            <w:r w:rsidRPr="00704B97">
              <w:rPr>
                <w:b/>
              </w:rPr>
              <w:t>Poznámky</w:t>
            </w:r>
          </w:p>
        </w:tc>
      </w:tr>
      <w:tr w:rsidR="00704B97" w:rsidRPr="00704B97" w:rsidTr="00057ECB">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rsidR="00F17A17" w:rsidRPr="00F17A17" w:rsidRDefault="00F17A17" w:rsidP="00F17A17">
            <w:pPr>
              <w:pStyle w:val="Normlnywebov"/>
              <w:spacing w:before="0" w:after="0"/>
              <w:jc w:val="both"/>
              <w:rPr>
                <w:sz w:val="20"/>
                <w:szCs w:val="20"/>
              </w:rPr>
            </w:pPr>
            <w:r w:rsidRPr="00F17A17">
              <w:rPr>
                <w:sz w:val="20"/>
                <w:szCs w:val="20"/>
              </w:rPr>
              <w:t>Podľa získaných informácií počet náhradných bytov, ktoré boli obstarané rekonštrukciou alebo  kúpou podľa zákona 261/2011 Z. z. v mestách Slovenska okrem Bratislavy je nasledovné:</w:t>
            </w:r>
          </w:p>
          <w:tbl>
            <w:tblPr>
              <w:tblStyle w:val="Mriekatabuky"/>
              <w:tblW w:w="0" w:type="auto"/>
              <w:tblLayout w:type="fixed"/>
              <w:tblLook w:val="04A0" w:firstRow="1" w:lastRow="0" w:firstColumn="1" w:lastColumn="0" w:noHBand="0" w:noVBand="1"/>
            </w:tblPr>
            <w:tblGrid>
              <w:gridCol w:w="1271"/>
              <w:gridCol w:w="1559"/>
              <w:gridCol w:w="1450"/>
              <w:gridCol w:w="1616"/>
              <w:gridCol w:w="1616"/>
              <w:gridCol w:w="1550"/>
            </w:tblGrid>
            <w:tr w:rsidR="00F17A17" w:rsidRPr="00F17A17" w:rsidTr="00057ECB">
              <w:tc>
                <w:tcPr>
                  <w:tcW w:w="1271" w:type="dxa"/>
                  <w:hideMark/>
                </w:tcPr>
                <w:p w:rsidR="00F17A17" w:rsidRPr="00F17A17" w:rsidRDefault="00F17A17" w:rsidP="00F17A17">
                  <w:pPr>
                    <w:rPr>
                      <w:sz w:val="20"/>
                      <w:szCs w:val="20"/>
                    </w:rPr>
                  </w:pPr>
                  <w:r w:rsidRPr="00F17A17">
                    <w:rPr>
                      <w:sz w:val="20"/>
                      <w:szCs w:val="20"/>
                    </w:rPr>
                    <w:t>Mesto</w:t>
                  </w:r>
                </w:p>
              </w:tc>
              <w:tc>
                <w:tcPr>
                  <w:tcW w:w="1559" w:type="dxa"/>
                  <w:hideMark/>
                </w:tcPr>
                <w:p w:rsidR="00F17A17" w:rsidRPr="00F17A17" w:rsidRDefault="00F17A17" w:rsidP="00F17A17">
                  <w:pPr>
                    <w:rPr>
                      <w:sz w:val="20"/>
                      <w:szCs w:val="20"/>
                    </w:rPr>
                  </w:pPr>
                  <w:r w:rsidRPr="00F17A17">
                    <w:rPr>
                      <w:sz w:val="20"/>
                      <w:szCs w:val="20"/>
                    </w:rPr>
                    <w:t>1 izbové byty (počet/celková výmera v m2)</w:t>
                  </w:r>
                </w:p>
              </w:tc>
              <w:tc>
                <w:tcPr>
                  <w:tcW w:w="1450" w:type="dxa"/>
                  <w:hideMark/>
                </w:tcPr>
                <w:p w:rsidR="00F17A17" w:rsidRPr="00F17A17" w:rsidRDefault="00F17A17" w:rsidP="00F17A17">
                  <w:pPr>
                    <w:rPr>
                      <w:sz w:val="20"/>
                      <w:szCs w:val="20"/>
                    </w:rPr>
                  </w:pPr>
                  <w:r w:rsidRPr="00F17A17">
                    <w:rPr>
                      <w:sz w:val="20"/>
                      <w:szCs w:val="20"/>
                    </w:rPr>
                    <w:t>2 izbové byty (počet/celková výmera v m2)</w:t>
                  </w:r>
                </w:p>
              </w:tc>
              <w:tc>
                <w:tcPr>
                  <w:tcW w:w="1616" w:type="dxa"/>
                  <w:hideMark/>
                </w:tcPr>
                <w:p w:rsidR="00F17A17" w:rsidRPr="00F17A17" w:rsidRDefault="00F17A17" w:rsidP="00F17A17">
                  <w:pPr>
                    <w:rPr>
                      <w:sz w:val="20"/>
                      <w:szCs w:val="20"/>
                    </w:rPr>
                  </w:pPr>
                  <w:r w:rsidRPr="00F17A17">
                    <w:rPr>
                      <w:sz w:val="20"/>
                      <w:szCs w:val="20"/>
                    </w:rPr>
                    <w:t>3 izbové byty (počet/celková výmera v m2)</w:t>
                  </w:r>
                </w:p>
              </w:tc>
              <w:tc>
                <w:tcPr>
                  <w:tcW w:w="1616" w:type="dxa"/>
                  <w:hideMark/>
                </w:tcPr>
                <w:p w:rsidR="00F17A17" w:rsidRPr="00F17A17" w:rsidRDefault="00F17A17" w:rsidP="00F17A17">
                  <w:pPr>
                    <w:rPr>
                      <w:sz w:val="20"/>
                      <w:szCs w:val="20"/>
                    </w:rPr>
                  </w:pPr>
                  <w:r w:rsidRPr="00F17A17">
                    <w:rPr>
                      <w:sz w:val="20"/>
                      <w:szCs w:val="20"/>
                    </w:rPr>
                    <w:t>4 izbové byty (počet/celková výmera v m2)</w:t>
                  </w:r>
                </w:p>
              </w:tc>
              <w:tc>
                <w:tcPr>
                  <w:tcW w:w="1550" w:type="dxa"/>
                  <w:hideMark/>
                </w:tcPr>
                <w:p w:rsidR="00F17A17" w:rsidRPr="00F17A17" w:rsidRDefault="00F17A17" w:rsidP="00F17A17">
                  <w:pPr>
                    <w:jc w:val="center"/>
                    <w:rPr>
                      <w:sz w:val="20"/>
                      <w:szCs w:val="20"/>
                    </w:rPr>
                  </w:pPr>
                  <w:r w:rsidRPr="00F17A17">
                    <w:rPr>
                      <w:sz w:val="20"/>
                      <w:szCs w:val="20"/>
                    </w:rPr>
                    <w:t>Spolu byty</w:t>
                  </w:r>
                </w:p>
              </w:tc>
            </w:tr>
            <w:tr w:rsidR="00F17A17" w:rsidRPr="00F17A17" w:rsidTr="00057ECB">
              <w:tc>
                <w:tcPr>
                  <w:tcW w:w="1271" w:type="dxa"/>
                  <w:hideMark/>
                </w:tcPr>
                <w:p w:rsidR="00F17A17" w:rsidRPr="00F17A17" w:rsidRDefault="00F17A17" w:rsidP="00F17A17">
                  <w:pPr>
                    <w:rPr>
                      <w:sz w:val="20"/>
                      <w:szCs w:val="20"/>
                    </w:rPr>
                  </w:pPr>
                  <w:r w:rsidRPr="00F17A17">
                    <w:rPr>
                      <w:sz w:val="20"/>
                      <w:szCs w:val="20"/>
                    </w:rPr>
                    <w:t>Žilina</w:t>
                  </w:r>
                </w:p>
              </w:tc>
              <w:tc>
                <w:tcPr>
                  <w:tcW w:w="1559" w:type="dxa"/>
                  <w:hideMark/>
                </w:tcPr>
                <w:p w:rsidR="00F17A17" w:rsidRPr="00F17A17" w:rsidRDefault="00F17A17" w:rsidP="00F17A17">
                  <w:pPr>
                    <w:rPr>
                      <w:sz w:val="20"/>
                      <w:szCs w:val="20"/>
                    </w:rPr>
                  </w:pPr>
                  <w:r w:rsidRPr="00F17A17">
                    <w:rPr>
                      <w:sz w:val="20"/>
                      <w:szCs w:val="20"/>
                    </w:rPr>
                    <w:t>4/180</w:t>
                  </w:r>
                </w:p>
              </w:tc>
              <w:tc>
                <w:tcPr>
                  <w:tcW w:w="1450" w:type="dxa"/>
                  <w:hideMark/>
                </w:tcPr>
                <w:p w:rsidR="00F17A17" w:rsidRPr="00F17A17" w:rsidRDefault="00F17A17" w:rsidP="00F17A17">
                  <w:pPr>
                    <w:rPr>
                      <w:sz w:val="20"/>
                      <w:szCs w:val="20"/>
                    </w:rPr>
                  </w:pPr>
                  <w:r w:rsidRPr="00F17A17">
                    <w:rPr>
                      <w:sz w:val="20"/>
                      <w:szCs w:val="20"/>
                    </w:rPr>
                    <w:t>11/660</w:t>
                  </w:r>
                </w:p>
              </w:tc>
              <w:tc>
                <w:tcPr>
                  <w:tcW w:w="1616" w:type="dxa"/>
                  <w:hideMark/>
                </w:tcPr>
                <w:p w:rsidR="00F17A17" w:rsidRPr="00F17A17" w:rsidRDefault="00F17A17" w:rsidP="00F17A17">
                  <w:pPr>
                    <w:rPr>
                      <w:sz w:val="20"/>
                      <w:szCs w:val="20"/>
                    </w:rPr>
                  </w:pPr>
                  <w:r w:rsidRPr="00F17A17">
                    <w:rPr>
                      <w:sz w:val="20"/>
                      <w:szCs w:val="20"/>
                    </w:rPr>
                    <w:t>4/300</w:t>
                  </w:r>
                </w:p>
              </w:tc>
              <w:tc>
                <w:tcPr>
                  <w:tcW w:w="1616" w:type="dxa"/>
                </w:tcPr>
                <w:p w:rsidR="00F17A17" w:rsidRPr="00F17A17" w:rsidRDefault="00F17A17" w:rsidP="00F17A17">
                  <w:pPr>
                    <w:rPr>
                      <w:sz w:val="20"/>
                      <w:szCs w:val="20"/>
                    </w:rPr>
                  </w:pPr>
                </w:p>
              </w:tc>
              <w:tc>
                <w:tcPr>
                  <w:tcW w:w="1550" w:type="dxa"/>
                  <w:hideMark/>
                </w:tcPr>
                <w:p w:rsidR="00F17A17" w:rsidRPr="00F17A17" w:rsidRDefault="00F17A17" w:rsidP="00F17A17">
                  <w:pPr>
                    <w:jc w:val="center"/>
                    <w:rPr>
                      <w:sz w:val="20"/>
                      <w:szCs w:val="20"/>
                    </w:rPr>
                  </w:pPr>
                  <w:r w:rsidRPr="00F17A17">
                    <w:rPr>
                      <w:sz w:val="20"/>
                      <w:szCs w:val="20"/>
                    </w:rPr>
                    <w:t>19</w:t>
                  </w:r>
                </w:p>
              </w:tc>
            </w:tr>
            <w:tr w:rsidR="00F17A17" w:rsidRPr="00F17A17" w:rsidTr="00057ECB">
              <w:tc>
                <w:tcPr>
                  <w:tcW w:w="1271" w:type="dxa"/>
                  <w:hideMark/>
                </w:tcPr>
                <w:p w:rsidR="00F17A17" w:rsidRPr="00F17A17" w:rsidRDefault="00F17A17" w:rsidP="00F17A17">
                  <w:pPr>
                    <w:rPr>
                      <w:sz w:val="20"/>
                      <w:szCs w:val="20"/>
                    </w:rPr>
                  </w:pPr>
                  <w:r w:rsidRPr="00F17A17">
                    <w:rPr>
                      <w:sz w:val="20"/>
                      <w:szCs w:val="20"/>
                    </w:rPr>
                    <w:t>Piešťany</w:t>
                  </w:r>
                </w:p>
              </w:tc>
              <w:tc>
                <w:tcPr>
                  <w:tcW w:w="1559" w:type="dxa"/>
                  <w:hideMark/>
                </w:tcPr>
                <w:p w:rsidR="00F17A17" w:rsidRPr="00F17A17" w:rsidRDefault="00F17A17" w:rsidP="00F17A17">
                  <w:pPr>
                    <w:rPr>
                      <w:sz w:val="20"/>
                      <w:szCs w:val="20"/>
                    </w:rPr>
                  </w:pPr>
                  <w:r w:rsidRPr="00F17A17">
                    <w:rPr>
                      <w:sz w:val="20"/>
                      <w:szCs w:val="20"/>
                    </w:rPr>
                    <w:t>5/225</w:t>
                  </w:r>
                </w:p>
              </w:tc>
              <w:tc>
                <w:tcPr>
                  <w:tcW w:w="1450" w:type="dxa"/>
                  <w:hideMark/>
                </w:tcPr>
                <w:p w:rsidR="00F17A17" w:rsidRPr="00F17A17" w:rsidRDefault="00F17A17" w:rsidP="00F17A17">
                  <w:pPr>
                    <w:rPr>
                      <w:sz w:val="20"/>
                      <w:szCs w:val="20"/>
                    </w:rPr>
                  </w:pPr>
                  <w:r w:rsidRPr="00F17A17">
                    <w:rPr>
                      <w:sz w:val="20"/>
                      <w:szCs w:val="20"/>
                    </w:rPr>
                    <w:t>3/180</w:t>
                  </w:r>
                </w:p>
              </w:tc>
              <w:tc>
                <w:tcPr>
                  <w:tcW w:w="1616" w:type="dxa"/>
                  <w:hideMark/>
                </w:tcPr>
                <w:p w:rsidR="00F17A17" w:rsidRPr="00F17A17" w:rsidRDefault="00F17A17" w:rsidP="00F17A17">
                  <w:pPr>
                    <w:rPr>
                      <w:sz w:val="20"/>
                      <w:szCs w:val="20"/>
                    </w:rPr>
                  </w:pPr>
                  <w:r w:rsidRPr="00F17A17">
                    <w:rPr>
                      <w:sz w:val="20"/>
                      <w:szCs w:val="20"/>
                    </w:rPr>
                    <w:t>5/375</w:t>
                  </w:r>
                </w:p>
              </w:tc>
              <w:tc>
                <w:tcPr>
                  <w:tcW w:w="1616" w:type="dxa"/>
                </w:tcPr>
                <w:p w:rsidR="00F17A17" w:rsidRPr="00F17A17" w:rsidRDefault="00F17A17" w:rsidP="00F17A17">
                  <w:pPr>
                    <w:rPr>
                      <w:sz w:val="20"/>
                      <w:szCs w:val="20"/>
                    </w:rPr>
                  </w:pPr>
                </w:p>
              </w:tc>
              <w:tc>
                <w:tcPr>
                  <w:tcW w:w="1550" w:type="dxa"/>
                  <w:hideMark/>
                </w:tcPr>
                <w:p w:rsidR="00F17A17" w:rsidRPr="00F17A17" w:rsidRDefault="00F17A17" w:rsidP="00F17A17">
                  <w:pPr>
                    <w:jc w:val="center"/>
                    <w:rPr>
                      <w:sz w:val="20"/>
                      <w:szCs w:val="20"/>
                    </w:rPr>
                  </w:pPr>
                  <w:r w:rsidRPr="00F17A17">
                    <w:rPr>
                      <w:sz w:val="20"/>
                      <w:szCs w:val="20"/>
                    </w:rPr>
                    <w:t>13</w:t>
                  </w:r>
                </w:p>
              </w:tc>
            </w:tr>
            <w:tr w:rsidR="00F17A17" w:rsidRPr="00F17A17" w:rsidTr="00057ECB">
              <w:tc>
                <w:tcPr>
                  <w:tcW w:w="1271" w:type="dxa"/>
                </w:tcPr>
                <w:p w:rsidR="00F17A17" w:rsidRPr="00F17A17" w:rsidRDefault="00F17A17" w:rsidP="00F17A17">
                  <w:pPr>
                    <w:rPr>
                      <w:sz w:val="20"/>
                      <w:szCs w:val="20"/>
                    </w:rPr>
                  </w:pPr>
                  <w:r w:rsidRPr="00F17A17">
                    <w:rPr>
                      <w:sz w:val="20"/>
                      <w:szCs w:val="20"/>
                    </w:rPr>
                    <w:t>Banská Bystrica</w:t>
                  </w:r>
                </w:p>
              </w:tc>
              <w:tc>
                <w:tcPr>
                  <w:tcW w:w="1559" w:type="dxa"/>
                  <w:hideMark/>
                </w:tcPr>
                <w:p w:rsidR="00F17A17" w:rsidRPr="00F17A17" w:rsidRDefault="00F17A17" w:rsidP="00F17A17">
                  <w:pPr>
                    <w:rPr>
                      <w:sz w:val="20"/>
                      <w:szCs w:val="20"/>
                    </w:rPr>
                  </w:pPr>
                  <w:r w:rsidRPr="00F17A17">
                    <w:rPr>
                      <w:sz w:val="20"/>
                      <w:szCs w:val="20"/>
                    </w:rPr>
                    <w:t>2/90</w:t>
                  </w:r>
                </w:p>
              </w:tc>
              <w:tc>
                <w:tcPr>
                  <w:tcW w:w="1450" w:type="dxa"/>
                  <w:hideMark/>
                </w:tcPr>
                <w:p w:rsidR="00F17A17" w:rsidRPr="00F17A17" w:rsidRDefault="00F17A17" w:rsidP="00F17A17">
                  <w:pPr>
                    <w:rPr>
                      <w:sz w:val="20"/>
                      <w:szCs w:val="20"/>
                    </w:rPr>
                  </w:pPr>
                  <w:r w:rsidRPr="00F17A17">
                    <w:rPr>
                      <w:sz w:val="20"/>
                      <w:szCs w:val="20"/>
                    </w:rPr>
                    <w:t>3/180</w:t>
                  </w:r>
                </w:p>
              </w:tc>
              <w:tc>
                <w:tcPr>
                  <w:tcW w:w="1616" w:type="dxa"/>
                  <w:hideMark/>
                </w:tcPr>
                <w:p w:rsidR="00F17A17" w:rsidRPr="00F17A17" w:rsidRDefault="00F17A17" w:rsidP="00F17A17">
                  <w:pPr>
                    <w:rPr>
                      <w:sz w:val="20"/>
                      <w:szCs w:val="20"/>
                    </w:rPr>
                  </w:pPr>
                  <w:r w:rsidRPr="00F17A17">
                    <w:rPr>
                      <w:sz w:val="20"/>
                      <w:szCs w:val="20"/>
                    </w:rPr>
                    <w:t>3/225</w:t>
                  </w:r>
                </w:p>
              </w:tc>
              <w:tc>
                <w:tcPr>
                  <w:tcW w:w="1616" w:type="dxa"/>
                </w:tcPr>
                <w:p w:rsidR="00F17A17" w:rsidRPr="00F17A17" w:rsidRDefault="00F17A17" w:rsidP="00F17A17">
                  <w:pPr>
                    <w:rPr>
                      <w:sz w:val="20"/>
                      <w:szCs w:val="20"/>
                    </w:rPr>
                  </w:pPr>
                </w:p>
              </w:tc>
              <w:tc>
                <w:tcPr>
                  <w:tcW w:w="1550" w:type="dxa"/>
                  <w:hideMark/>
                </w:tcPr>
                <w:p w:rsidR="00F17A17" w:rsidRPr="00F17A17" w:rsidRDefault="00F17A17" w:rsidP="00F17A17">
                  <w:pPr>
                    <w:jc w:val="center"/>
                    <w:rPr>
                      <w:sz w:val="20"/>
                      <w:szCs w:val="20"/>
                    </w:rPr>
                  </w:pPr>
                  <w:r w:rsidRPr="00F17A17">
                    <w:rPr>
                      <w:sz w:val="20"/>
                      <w:szCs w:val="20"/>
                    </w:rPr>
                    <w:t>8</w:t>
                  </w:r>
                </w:p>
              </w:tc>
            </w:tr>
            <w:tr w:rsidR="00F17A17" w:rsidRPr="00F17A17" w:rsidTr="00057ECB">
              <w:tc>
                <w:tcPr>
                  <w:tcW w:w="1271" w:type="dxa"/>
                </w:tcPr>
                <w:p w:rsidR="00F17A17" w:rsidRPr="00F17A17" w:rsidRDefault="00F17A17" w:rsidP="00F17A17">
                  <w:pPr>
                    <w:rPr>
                      <w:sz w:val="20"/>
                      <w:szCs w:val="20"/>
                    </w:rPr>
                  </w:pPr>
                  <w:r w:rsidRPr="00F17A17">
                    <w:rPr>
                      <w:sz w:val="20"/>
                      <w:szCs w:val="20"/>
                    </w:rPr>
                    <w:t>Trenčín</w:t>
                  </w:r>
                </w:p>
                <w:p w:rsidR="00F17A17" w:rsidRPr="00F17A17" w:rsidRDefault="00F17A17" w:rsidP="00F17A17">
                  <w:pPr>
                    <w:rPr>
                      <w:sz w:val="20"/>
                      <w:szCs w:val="20"/>
                    </w:rPr>
                  </w:pPr>
                </w:p>
              </w:tc>
              <w:tc>
                <w:tcPr>
                  <w:tcW w:w="1559" w:type="dxa"/>
                  <w:hideMark/>
                </w:tcPr>
                <w:p w:rsidR="00F17A17" w:rsidRPr="00F17A17" w:rsidRDefault="00F17A17" w:rsidP="00F17A17">
                  <w:pPr>
                    <w:rPr>
                      <w:sz w:val="20"/>
                      <w:szCs w:val="20"/>
                    </w:rPr>
                  </w:pPr>
                  <w:r w:rsidRPr="00F17A17">
                    <w:rPr>
                      <w:sz w:val="20"/>
                      <w:szCs w:val="20"/>
                    </w:rPr>
                    <w:t>4/180</w:t>
                  </w:r>
                </w:p>
              </w:tc>
              <w:tc>
                <w:tcPr>
                  <w:tcW w:w="1450" w:type="dxa"/>
                  <w:hideMark/>
                </w:tcPr>
                <w:p w:rsidR="00F17A17" w:rsidRPr="00F17A17" w:rsidRDefault="00F17A17" w:rsidP="00F17A17">
                  <w:pPr>
                    <w:rPr>
                      <w:sz w:val="20"/>
                      <w:szCs w:val="20"/>
                    </w:rPr>
                  </w:pPr>
                  <w:r w:rsidRPr="00F17A17">
                    <w:rPr>
                      <w:sz w:val="20"/>
                      <w:szCs w:val="20"/>
                    </w:rPr>
                    <w:t>7/420</w:t>
                  </w:r>
                </w:p>
              </w:tc>
              <w:tc>
                <w:tcPr>
                  <w:tcW w:w="1616" w:type="dxa"/>
                  <w:hideMark/>
                </w:tcPr>
                <w:p w:rsidR="00F17A17" w:rsidRPr="00F17A17" w:rsidRDefault="00F17A17" w:rsidP="00F17A17">
                  <w:pPr>
                    <w:rPr>
                      <w:sz w:val="20"/>
                      <w:szCs w:val="20"/>
                    </w:rPr>
                  </w:pPr>
                  <w:r w:rsidRPr="00F17A17">
                    <w:rPr>
                      <w:sz w:val="20"/>
                      <w:szCs w:val="20"/>
                    </w:rPr>
                    <w:t>5/375</w:t>
                  </w:r>
                </w:p>
              </w:tc>
              <w:tc>
                <w:tcPr>
                  <w:tcW w:w="1616" w:type="dxa"/>
                </w:tcPr>
                <w:p w:rsidR="00F17A17" w:rsidRPr="00F17A17" w:rsidRDefault="00F17A17" w:rsidP="00F17A17">
                  <w:pPr>
                    <w:rPr>
                      <w:sz w:val="20"/>
                      <w:szCs w:val="20"/>
                    </w:rPr>
                  </w:pPr>
                </w:p>
              </w:tc>
              <w:tc>
                <w:tcPr>
                  <w:tcW w:w="1550" w:type="dxa"/>
                  <w:hideMark/>
                </w:tcPr>
                <w:p w:rsidR="00F17A17" w:rsidRPr="00F17A17" w:rsidRDefault="006962EF" w:rsidP="00F17A17">
                  <w:pPr>
                    <w:jc w:val="center"/>
                    <w:rPr>
                      <w:sz w:val="20"/>
                      <w:szCs w:val="20"/>
                    </w:rPr>
                  </w:pPr>
                  <w:r>
                    <w:rPr>
                      <w:sz w:val="20"/>
                      <w:szCs w:val="20"/>
                    </w:rPr>
                    <w:t>21</w:t>
                  </w:r>
                </w:p>
              </w:tc>
            </w:tr>
            <w:tr w:rsidR="00F17A17" w:rsidRPr="00F17A17" w:rsidTr="00057ECB">
              <w:tc>
                <w:tcPr>
                  <w:tcW w:w="1271" w:type="dxa"/>
                  <w:hideMark/>
                </w:tcPr>
                <w:p w:rsidR="00F17A17" w:rsidRPr="00F17A17" w:rsidRDefault="00F17A17" w:rsidP="00F17A17">
                  <w:pPr>
                    <w:rPr>
                      <w:sz w:val="20"/>
                      <w:szCs w:val="20"/>
                    </w:rPr>
                  </w:pPr>
                  <w:r w:rsidRPr="00F17A17">
                    <w:rPr>
                      <w:sz w:val="20"/>
                      <w:szCs w:val="20"/>
                    </w:rPr>
                    <w:t>Košice</w:t>
                  </w:r>
                </w:p>
              </w:tc>
              <w:tc>
                <w:tcPr>
                  <w:tcW w:w="1559" w:type="dxa"/>
                </w:tcPr>
                <w:p w:rsidR="00F17A17" w:rsidRPr="00F17A17" w:rsidRDefault="00F17A17" w:rsidP="00F17A17">
                  <w:pPr>
                    <w:rPr>
                      <w:sz w:val="20"/>
                      <w:szCs w:val="20"/>
                    </w:rPr>
                  </w:pPr>
                </w:p>
              </w:tc>
              <w:tc>
                <w:tcPr>
                  <w:tcW w:w="1450" w:type="dxa"/>
                </w:tcPr>
                <w:p w:rsidR="00F17A17" w:rsidRPr="00F17A17" w:rsidRDefault="00F17A17" w:rsidP="00F17A17">
                  <w:pPr>
                    <w:rPr>
                      <w:sz w:val="20"/>
                      <w:szCs w:val="20"/>
                    </w:rPr>
                  </w:pPr>
                </w:p>
              </w:tc>
              <w:tc>
                <w:tcPr>
                  <w:tcW w:w="1616" w:type="dxa"/>
                </w:tcPr>
                <w:p w:rsidR="00F17A17" w:rsidRPr="00F17A17" w:rsidRDefault="00F17A17" w:rsidP="00F17A17">
                  <w:pPr>
                    <w:rPr>
                      <w:sz w:val="20"/>
                      <w:szCs w:val="20"/>
                    </w:rPr>
                  </w:pPr>
                </w:p>
              </w:tc>
              <w:tc>
                <w:tcPr>
                  <w:tcW w:w="1616" w:type="dxa"/>
                </w:tcPr>
                <w:p w:rsidR="00F17A17" w:rsidRPr="00F17A17" w:rsidRDefault="00F17A17" w:rsidP="00F17A17">
                  <w:pPr>
                    <w:rPr>
                      <w:sz w:val="20"/>
                      <w:szCs w:val="20"/>
                    </w:rPr>
                  </w:pPr>
                </w:p>
              </w:tc>
              <w:tc>
                <w:tcPr>
                  <w:tcW w:w="1550" w:type="dxa"/>
                  <w:hideMark/>
                </w:tcPr>
                <w:p w:rsidR="00F17A17" w:rsidRPr="00F17A17" w:rsidRDefault="00F17A17" w:rsidP="00F17A17">
                  <w:pPr>
                    <w:jc w:val="center"/>
                    <w:rPr>
                      <w:sz w:val="20"/>
                      <w:szCs w:val="20"/>
                    </w:rPr>
                  </w:pPr>
                  <w:r w:rsidRPr="00F17A17">
                    <w:rPr>
                      <w:sz w:val="20"/>
                      <w:szCs w:val="20"/>
                    </w:rPr>
                    <w:t>20</w:t>
                  </w:r>
                </w:p>
              </w:tc>
            </w:tr>
            <w:tr w:rsidR="00F17A17" w:rsidRPr="00F17A17" w:rsidTr="00057ECB">
              <w:tc>
                <w:tcPr>
                  <w:tcW w:w="1271" w:type="dxa"/>
                  <w:hideMark/>
                </w:tcPr>
                <w:p w:rsidR="00F17A17" w:rsidRPr="00F17A17" w:rsidRDefault="00F17A17" w:rsidP="00F17A17">
                  <w:pPr>
                    <w:rPr>
                      <w:sz w:val="20"/>
                      <w:szCs w:val="20"/>
                    </w:rPr>
                  </w:pPr>
                  <w:r w:rsidRPr="00F17A17">
                    <w:rPr>
                      <w:sz w:val="20"/>
                      <w:szCs w:val="20"/>
                    </w:rPr>
                    <w:t xml:space="preserve">Spolu </w:t>
                  </w:r>
                </w:p>
              </w:tc>
              <w:tc>
                <w:tcPr>
                  <w:tcW w:w="1559" w:type="dxa"/>
                  <w:hideMark/>
                </w:tcPr>
                <w:p w:rsidR="00F17A17" w:rsidRPr="00F17A17" w:rsidRDefault="00F17A17" w:rsidP="00F17A17">
                  <w:pPr>
                    <w:rPr>
                      <w:sz w:val="20"/>
                      <w:szCs w:val="20"/>
                    </w:rPr>
                  </w:pPr>
                  <w:r w:rsidRPr="00F17A17">
                    <w:rPr>
                      <w:sz w:val="20"/>
                      <w:szCs w:val="20"/>
                    </w:rPr>
                    <w:t>15/675</w:t>
                  </w:r>
                </w:p>
              </w:tc>
              <w:tc>
                <w:tcPr>
                  <w:tcW w:w="1450" w:type="dxa"/>
                  <w:hideMark/>
                </w:tcPr>
                <w:p w:rsidR="00F17A17" w:rsidRPr="00F17A17" w:rsidRDefault="00F17A17" w:rsidP="00F17A17">
                  <w:pPr>
                    <w:rPr>
                      <w:sz w:val="20"/>
                      <w:szCs w:val="20"/>
                    </w:rPr>
                  </w:pPr>
                  <w:r w:rsidRPr="00F17A17">
                    <w:rPr>
                      <w:sz w:val="20"/>
                      <w:szCs w:val="20"/>
                    </w:rPr>
                    <w:t>24/1440</w:t>
                  </w:r>
                </w:p>
              </w:tc>
              <w:tc>
                <w:tcPr>
                  <w:tcW w:w="1616" w:type="dxa"/>
                  <w:hideMark/>
                </w:tcPr>
                <w:p w:rsidR="00F17A17" w:rsidRPr="00F17A17" w:rsidRDefault="00F17A17" w:rsidP="00F17A17">
                  <w:pPr>
                    <w:rPr>
                      <w:sz w:val="20"/>
                      <w:szCs w:val="20"/>
                    </w:rPr>
                  </w:pPr>
                  <w:r w:rsidRPr="00F17A17">
                    <w:rPr>
                      <w:sz w:val="20"/>
                      <w:szCs w:val="20"/>
                    </w:rPr>
                    <w:t>17/1275</w:t>
                  </w:r>
                </w:p>
              </w:tc>
              <w:tc>
                <w:tcPr>
                  <w:tcW w:w="1616" w:type="dxa"/>
                </w:tcPr>
                <w:p w:rsidR="00F17A17" w:rsidRPr="00F17A17" w:rsidRDefault="00F17A17" w:rsidP="00F17A17">
                  <w:pPr>
                    <w:rPr>
                      <w:sz w:val="20"/>
                      <w:szCs w:val="20"/>
                    </w:rPr>
                  </w:pPr>
                </w:p>
              </w:tc>
              <w:tc>
                <w:tcPr>
                  <w:tcW w:w="1550" w:type="dxa"/>
                </w:tcPr>
                <w:p w:rsidR="00F17A17" w:rsidRPr="00F17A17" w:rsidRDefault="006962EF" w:rsidP="00F17A17">
                  <w:pPr>
                    <w:jc w:val="center"/>
                    <w:rPr>
                      <w:sz w:val="20"/>
                      <w:szCs w:val="20"/>
                    </w:rPr>
                  </w:pPr>
                  <w:r>
                    <w:rPr>
                      <w:sz w:val="20"/>
                      <w:szCs w:val="20"/>
                    </w:rPr>
                    <w:t>81</w:t>
                  </w:r>
                </w:p>
              </w:tc>
            </w:tr>
          </w:tbl>
          <w:p w:rsidR="00F17A17" w:rsidRPr="00F17A17" w:rsidRDefault="00F17A17" w:rsidP="00F17A17">
            <w:pPr>
              <w:rPr>
                <w:rFonts w:ascii="Calibri" w:hAnsi="Calibri"/>
                <w:sz w:val="20"/>
                <w:szCs w:val="20"/>
                <w:lang w:eastAsia="en-US"/>
              </w:rPr>
            </w:pPr>
          </w:p>
          <w:p w:rsidR="00F17A17" w:rsidRPr="00F17A17" w:rsidRDefault="00F17A17" w:rsidP="00F17A17">
            <w:pPr>
              <w:ind w:firstLine="708"/>
              <w:jc w:val="both"/>
              <w:rPr>
                <w:sz w:val="20"/>
                <w:szCs w:val="20"/>
              </w:rPr>
            </w:pPr>
            <w:r w:rsidRPr="00F17A17">
              <w:rPr>
                <w:sz w:val="20"/>
                <w:szCs w:val="20"/>
              </w:rPr>
              <w:t xml:space="preserve">Z uvedeného prehľadu vyplýva, že v regiónoch Slovenska, okrem Bratislavy, bolo kúpou obstaraných 76 náhradných nájomných bytov. Podľa sčítania nájomníkov, ktorí sa v roku 2008 prihlásili na výzvu Ministerstva dopravy a výstavby SR bol  počet domácností v reštituovaných a privatizovaných domoch mimo Bratislavu 211. Podľa Ministerstva dopravy a výstavby SR sú takmer všetci žiadatelia mimo Bratislavy vyriešení. Podľa našich zistení stále však nie sú vyriešení všetci nájomníci. Nevyriešené domácnosti sú  v Trenčíne, v  Banskej Štiavnici, v Poprade a v Trnave. Najvypuklejší problém je nevyriešených 502 žiadateľov v Bratislave. </w:t>
            </w:r>
          </w:p>
          <w:p w:rsidR="00F17A17" w:rsidRPr="00F17A17" w:rsidRDefault="00F17A17" w:rsidP="006962EF">
            <w:pPr>
              <w:jc w:val="both"/>
              <w:rPr>
                <w:sz w:val="20"/>
                <w:szCs w:val="20"/>
              </w:rPr>
            </w:pPr>
            <w:r w:rsidRPr="00F17A17">
              <w:rPr>
                <w:sz w:val="20"/>
                <w:szCs w:val="20"/>
              </w:rPr>
              <w:t>Potreba obytnej plochy náhradných nájomných bytov podľa nárokov priznaných v Bratislave je nasledovná:</w:t>
            </w:r>
          </w:p>
          <w:p w:rsidR="00F17A17" w:rsidRPr="00F17A17" w:rsidRDefault="00F17A17" w:rsidP="00F17A17">
            <w:pPr>
              <w:rPr>
                <w:sz w:val="20"/>
                <w:szCs w:val="20"/>
              </w:rPr>
            </w:pPr>
          </w:p>
          <w:tbl>
            <w:tblPr>
              <w:tblStyle w:val="Mriekatabuky"/>
              <w:tblW w:w="0" w:type="dxa"/>
              <w:tblLayout w:type="fixed"/>
              <w:tblLook w:val="04A0" w:firstRow="1" w:lastRow="0" w:firstColumn="1" w:lastColumn="0" w:noHBand="0" w:noVBand="1"/>
            </w:tblPr>
            <w:tblGrid>
              <w:gridCol w:w="1559"/>
              <w:gridCol w:w="1450"/>
              <w:gridCol w:w="2089"/>
              <w:gridCol w:w="1843"/>
              <w:gridCol w:w="2126"/>
            </w:tblGrid>
            <w:tr w:rsidR="00F17A17" w:rsidRPr="00F17A17" w:rsidTr="00057ECB">
              <w:tc>
                <w:tcPr>
                  <w:tcW w:w="1559" w:type="dxa"/>
                  <w:hideMark/>
                </w:tcPr>
                <w:p w:rsidR="00F17A17" w:rsidRPr="00F17A17" w:rsidRDefault="00F17A17" w:rsidP="00F17A17">
                  <w:pPr>
                    <w:rPr>
                      <w:sz w:val="20"/>
                      <w:szCs w:val="20"/>
                    </w:rPr>
                  </w:pPr>
                  <w:r w:rsidRPr="00F17A17">
                    <w:rPr>
                      <w:sz w:val="20"/>
                      <w:szCs w:val="20"/>
                    </w:rPr>
                    <w:t>1 izbové byty (počet/celková výmera v m2)</w:t>
                  </w:r>
                </w:p>
              </w:tc>
              <w:tc>
                <w:tcPr>
                  <w:tcW w:w="1450" w:type="dxa"/>
                  <w:hideMark/>
                </w:tcPr>
                <w:p w:rsidR="00F17A17" w:rsidRPr="00F17A17" w:rsidRDefault="00F17A17" w:rsidP="00F17A17">
                  <w:pPr>
                    <w:rPr>
                      <w:sz w:val="20"/>
                      <w:szCs w:val="20"/>
                    </w:rPr>
                  </w:pPr>
                  <w:r w:rsidRPr="00F17A17">
                    <w:rPr>
                      <w:sz w:val="20"/>
                      <w:szCs w:val="20"/>
                    </w:rPr>
                    <w:t>2 izbové byty (počet/celková výmera v m2)</w:t>
                  </w:r>
                </w:p>
              </w:tc>
              <w:tc>
                <w:tcPr>
                  <w:tcW w:w="2089" w:type="dxa"/>
                  <w:hideMark/>
                </w:tcPr>
                <w:p w:rsidR="00F17A17" w:rsidRPr="00F17A17" w:rsidRDefault="00F17A17" w:rsidP="00F17A17">
                  <w:pPr>
                    <w:rPr>
                      <w:sz w:val="20"/>
                      <w:szCs w:val="20"/>
                    </w:rPr>
                  </w:pPr>
                  <w:r w:rsidRPr="00F17A17">
                    <w:rPr>
                      <w:sz w:val="20"/>
                      <w:szCs w:val="20"/>
                    </w:rPr>
                    <w:t>3 izbové byty (počet/celková výmera v m2)</w:t>
                  </w:r>
                </w:p>
              </w:tc>
              <w:tc>
                <w:tcPr>
                  <w:tcW w:w="1843" w:type="dxa"/>
                  <w:hideMark/>
                </w:tcPr>
                <w:p w:rsidR="00F17A17" w:rsidRPr="00F17A17" w:rsidRDefault="00F17A17" w:rsidP="00F17A17">
                  <w:pPr>
                    <w:rPr>
                      <w:sz w:val="20"/>
                      <w:szCs w:val="20"/>
                    </w:rPr>
                  </w:pPr>
                  <w:r w:rsidRPr="00F17A17">
                    <w:rPr>
                      <w:sz w:val="20"/>
                      <w:szCs w:val="20"/>
                    </w:rPr>
                    <w:t>4 izbové byty (počet/celková výmera v m2)</w:t>
                  </w:r>
                </w:p>
              </w:tc>
              <w:tc>
                <w:tcPr>
                  <w:tcW w:w="2126" w:type="dxa"/>
                  <w:hideMark/>
                </w:tcPr>
                <w:p w:rsidR="00F17A17" w:rsidRPr="00F17A17" w:rsidRDefault="00F17A17" w:rsidP="00F17A17">
                  <w:pPr>
                    <w:jc w:val="center"/>
                    <w:rPr>
                      <w:sz w:val="20"/>
                      <w:szCs w:val="20"/>
                    </w:rPr>
                  </w:pPr>
                  <w:r w:rsidRPr="00F17A17">
                    <w:rPr>
                      <w:sz w:val="20"/>
                      <w:szCs w:val="20"/>
                    </w:rPr>
                    <w:t>Spolu byty (počet/celková výmera v m2)</w:t>
                  </w:r>
                </w:p>
              </w:tc>
            </w:tr>
            <w:tr w:rsidR="00F17A17" w:rsidRPr="00F17A17" w:rsidTr="00057ECB">
              <w:tc>
                <w:tcPr>
                  <w:tcW w:w="1559" w:type="dxa"/>
                  <w:hideMark/>
                </w:tcPr>
                <w:p w:rsidR="00F17A17" w:rsidRPr="00F17A17" w:rsidRDefault="00F17A17" w:rsidP="00F17A17">
                  <w:pPr>
                    <w:rPr>
                      <w:sz w:val="20"/>
                      <w:szCs w:val="20"/>
                    </w:rPr>
                  </w:pPr>
                  <w:r w:rsidRPr="00F17A17">
                    <w:rPr>
                      <w:sz w:val="20"/>
                      <w:szCs w:val="20"/>
                    </w:rPr>
                    <w:t>184/ 8 280</w:t>
                  </w:r>
                </w:p>
              </w:tc>
              <w:tc>
                <w:tcPr>
                  <w:tcW w:w="1450" w:type="dxa"/>
                  <w:hideMark/>
                </w:tcPr>
                <w:p w:rsidR="00F17A17" w:rsidRPr="00F17A17" w:rsidRDefault="00F17A17" w:rsidP="00F17A17">
                  <w:pPr>
                    <w:rPr>
                      <w:sz w:val="20"/>
                      <w:szCs w:val="20"/>
                    </w:rPr>
                  </w:pPr>
                  <w:r w:rsidRPr="00F17A17">
                    <w:rPr>
                      <w:sz w:val="20"/>
                      <w:szCs w:val="20"/>
                    </w:rPr>
                    <w:t>243/14 580</w:t>
                  </w:r>
                </w:p>
              </w:tc>
              <w:tc>
                <w:tcPr>
                  <w:tcW w:w="2089" w:type="dxa"/>
                  <w:hideMark/>
                </w:tcPr>
                <w:p w:rsidR="00F17A17" w:rsidRPr="00F17A17" w:rsidRDefault="00F17A17" w:rsidP="00F17A17">
                  <w:pPr>
                    <w:jc w:val="center"/>
                    <w:rPr>
                      <w:sz w:val="20"/>
                      <w:szCs w:val="20"/>
                    </w:rPr>
                  </w:pPr>
                  <w:r w:rsidRPr="00F17A17">
                    <w:rPr>
                      <w:sz w:val="20"/>
                      <w:szCs w:val="20"/>
                    </w:rPr>
                    <w:t>70/5 250</w:t>
                  </w:r>
                </w:p>
              </w:tc>
              <w:tc>
                <w:tcPr>
                  <w:tcW w:w="1843" w:type="dxa"/>
                  <w:hideMark/>
                </w:tcPr>
                <w:p w:rsidR="00F17A17" w:rsidRPr="00F17A17" w:rsidRDefault="00F17A17" w:rsidP="00F17A17">
                  <w:pPr>
                    <w:jc w:val="center"/>
                    <w:rPr>
                      <w:sz w:val="20"/>
                      <w:szCs w:val="20"/>
                    </w:rPr>
                  </w:pPr>
                  <w:r w:rsidRPr="00F17A17">
                    <w:rPr>
                      <w:sz w:val="20"/>
                      <w:szCs w:val="20"/>
                    </w:rPr>
                    <w:t>5/375</w:t>
                  </w:r>
                </w:p>
              </w:tc>
              <w:tc>
                <w:tcPr>
                  <w:tcW w:w="2126" w:type="dxa"/>
                  <w:hideMark/>
                </w:tcPr>
                <w:p w:rsidR="00F17A17" w:rsidRPr="00F17A17" w:rsidRDefault="00F17A17" w:rsidP="00F17A17">
                  <w:pPr>
                    <w:jc w:val="center"/>
                    <w:rPr>
                      <w:sz w:val="20"/>
                      <w:szCs w:val="20"/>
                    </w:rPr>
                  </w:pPr>
                  <w:r w:rsidRPr="00F17A17">
                    <w:rPr>
                      <w:sz w:val="20"/>
                      <w:szCs w:val="20"/>
                    </w:rPr>
                    <w:t>502/28 485</w:t>
                  </w:r>
                </w:p>
              </w:tc>
            </w:tr>
          </w:tbl>
          <w:p w:rsidR="00F17A17" w:rsidRPr="00F17A17" w:rsidRDefault="00F17A17" w:rsidP="00F17A17">
            <w:pPr>
              <w:jc w:val="both"/>
              <w:rPr>
                <w:sz w:val="20"/>
                <w:szCs w:val="20"/>
              </w:rPr>
            </w:pPr>
          </w:p>
          <w:p w:rsidR="00F17A17" w:rsidRPr="00F17A17" w:rsidRDefault="00F17A17" w:rsidP="00F17A17">
            <w:pPr>
              <w:jc w:val="both"/>
              <w:rPr>
                <w:b/>
                <w:color w:val="000000"/>
                <w:sz w:val="20"/>
                <w:szCs w:val="20"/>
              </w:rPr>
            </w:pPr>
            <w:r w:rsidRPr="00F17A17">
              <w:rPr>
                <w:sz w:val="20"/>
                <w:szCs w:val="20"/>
              </w:rPr>
              <w:t xml:space="preserve">Celková výmera bytovej plochy podľa priznaných nárokov je 28 485 m2. Celková potreba finančných zdrojov je 28 485 x 1 000 eur na m 2 obytnej plochy bez nákladov na pozemky a infraštruktúru spolu 28 485 000. Odhad </w:t>
            </w:r>
            <w:r w:rsidRPr="00F17A17">
              <w:rPr>
                <w:sz w:val="20"/>
                <w:szCs w:val="20"/>
              </w:rPr>
              <w:lastRenderedPageBreak/>
              <w:t>na celkové náklady - náklady na obytnú plochu + náklady na pozemky a infraštruktúru je  36 818 200 eur. Magistrát hl. mesta SR Bratislavy uviedol orientačne celkovú sumu plôch bytov, ktoré budú musieť žiadatelia vypratať v celkovej ploche 33 000 m2. Ak by sa použil vzorec prepočtu finančnej náhrady,  t.j. plocha vypratávaného bytu x  priemernej ceny nehnuteľnosti na bývanie  v danom kraji uvedená Národnou b</w:t>
            </w:r>
            <w:r w:rsidR="006962EF">
              <w:rPr>
                <w:sz w:val="20"/>
                <w:szCs w:val="20"/>
              </w:rPr>
              <w:t>ankou Slovenska x koeficient 0,8</w:t>
            </w:r>
            <w:r w:rsidRPr="00F17A17">
              <w:rPr>
                <w:sz w:val="20"/>
                <w:szCs w:val="20"/>
              </w:rPr>
              <w:t xml:space="preserve"> náklady súvisiace s finančnou náhradou by náklady v Bratislave p</w:t>
            </w:r>
            <w:r w:rsidR="006962EF">
              <w:rPr>
                <w:sz w:val="20"/>
                <w:szCs w:val="20"/>
              </w:rPr>
              <w:t>redstavovali  čiastku 54 191 000</w:t>
            </w:r>
            <w:bookmarkStart w:id="0" w:name="_GoBack"/>
            <w:bookmarkEnd w:id="0"/>
            <w:r w:rsidRPr="00F17A17">
              <w:rPr>
                <w:sz w:val="20"/>
                <w:szCs w:val="20"/>
              </w:rPr>
              <w:t xml:space="preserve"> eur. </w:t>
            </w:r>
            <w:r w:rsidRPr="00F17A17">
              <w:rPr>
                <w:color w:val="000000" w:themeColor="text1"/>
                <w:sz w:val="20"/>
                <w:szCs w:val="20"/>
              </w:rPr>
              <w:t xml:space="preserve">Treba </w:t>
            </w:r>
            <w:r w:rsidRPr="00F17A17">
              <w:rPr>
                <w:sz w:val="20"/>
                <w:szCs w:val="20"/>
              </w:rPr>
              <w:t xml:space="preserve">však poznamenať, že výstavba náhradných nájomných bytov bude v konečnom dôsledku stáť viac, pretože ich výstavba  mešká. Podľa odhadov  magistrátu hl. mesta SR Bratislavy budú náklady na doplatky za trhové nájomné vo výške cca 3 - 4 mil. eur/rok. Ak odhadujeme, že náhradné nájomné byty budú postavené najskôr o 4 roky a  možno aj neskôr, je finančná náhrada stále lacnejším riešením, nehovoriac o tom, že ide o riešenie, ktoré dlhodobo požadujú dotknutí nájomníci. Naopak zotrvávanie na výstavbe bytových náhrad nielenže nerieši základný problém - krivdu na nájomníkoch, ale zároveň prinesie aj ďalšie „vedľajšie účinky,“ ktorými sú záťaž na životné prostredie vyplývajúca zo zahusťovania, nespokojnosť občanov v lokalitách, kde sa majú  stavať náhradné nájomné byty a pod. V neposlednom rade treba do nákladov započítať aj administratívu magistrátu hl. mesta SR Bratislavy, pretože na riešenie otázok súvisiacich s  bytovými náhradami vzniklo na magistráte hl. mesta SR Bratislavy oddelenie, ktoré tu pôsobí  viac ako 4 roky. Toto oddelenie bude potrebné doplniť ďalšími zamestnancami, ktorí musia riešiť vyplácanie doplatkov vlastníkov bytov na trhovom nájomnom. </w:t>
            </w:r>
          </w:p>
          <w:p w:rsidR="00704B97" w:rsidRPr="00704B97" w:rsidRDefault="00704B97" w:rsidP="00704B97">
            <w:pPr>
              <w:jc w:val="both"/>
              <w:rPr>
                <w:b/>
              </w:rPr>
            </w:pPr>
          </w:p>
        </w:tc>
      </w:tr>
      <w:tr w:rsidR="00704B97" w:rsidRPr="00704B97" w:rsidTr="00057ECB">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704B97" w:rsidRPr="00704B97" w:rsidRDefault="00704B97" w:rsidP="00704B97">
            <w:pPr>
              <w:numPr>
                <w:ilvl w:val="0"/>
                <w:numId w:val="2"/>
              </w:numPr>
              <w:ind w:left="426"/>
              <w:contextualSpacing/>
              <w:rPr>
                <w:b/>
              </w:rPr>
            </w:pPr>
            <w:r w:rsidRPr="00704B97">
              <w:rPr>
                <w:b/>
              </w:rPr>
              <w:lastRenderedPageBreak/>
              <w:t>Kontakt na spracovateľa</w:t>
            </w:r>
          </w:p>
        </w:tc>
      </w:tr>
      <w:tr w:rsidR="00704B97" w:rsidRPr="00704B97" w:rsidTr="00057ECB">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704B97" w:rsidRPr="00704B97" w:rsidRDefault="00704B97" w:rsidP="00704B97">
            <w:pPr>
              <w:rPr>
                <w:i/>
              </w:rPr>
            </w:pPr>
          </w:p>
        </w:tc>
      </w:tr>
      <w:tr w:rsidR="00704B97" w:rsidRPr="00704B97" w:rsidTr="00057ECB">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704B97" w:rsidRPr="00704B97" w:rsidRDefault="00704B97" w:rsidP="00704B97">
            <w:pPr>
              <w:numPr>
                <w:ilvl w:val="0"/>
                <w:numId w:val="2"/>
              </w:numPr>
              <w:ind w:left="426"/>
              <w:contextualSpacing/>
              <w:rPr>
                <w:b/>
              </w:rPr>
            </w:pPr>
            <w:r w:rsidRPr="00704B97">
              <w:rPr>
                <w:b/>
              </w:rPr>
              <w:t>Zdroje</w:t>
            </w:r>
          </w:p>
        </w:tc>
      </w:tr>
      <w:tr w:rsidR="00704B97" w:rsidRPr="00704B97" w:rsidTr="00057ECB">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704B97" w:rsidRPr="00704B97" w:rsidRDefault="00704B97" w:rsidP="00704B97">
            <w:pPr>
              <w:rPr>
                <w:i/>
              </w:rPr>
            </w:pPr>
          </w:p>
          <w:p w:rsidR="00704B97" w:rsidRPr="00704B97" w:rsidRDefault="00704B97" w:rsidP="00704B97">
            <w:pPr>
              <w:rPr>
                <w:i/>
              </w:rPr>
            </w:pPr>
          </w:p>
          <w:p w:rsidR="00704B97" w:rsidRPr="00704B97" w:rsidRDefault="00704B97" w:rsidP="00704B97">
            <w:pPr>
              <w:rPr>
                <w:b/>
              </w:rPr>
            </w:pPr>
          </w:p>
        </w:tc>
      </w:tr>
      <w:tr w:rsidR="00704B97" w:rsidRPr="00704B97" w:rsidTr="00057ECB">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704B97" w:rsidRPr="00704B97" w:rsidRDefault="00704B97" w:rsidP="00704B97">
            <w:pPr>
              <w:numPr>
                <w:ilvl w:val="0"/>
                <w:numId w:val="2"/>
              </w:numPr>
              <w:ind w:left="426"/>
              <w:contextualSpacing/>
              <w:rPr>
                <w:b/>
              </w:rPr>
            </w:pPr>
            <w:r w:rsidRPr="00704B97">
              <w:rPr>
                <w:b/>
              </w:rPr>
              <w:t>Stanovisko Komisie pre posudzovanie vybraných vplyvov z PPK</w:t>
            </w:r>
          </w:p>
        </w:tc>
      </w:tr>
      <w:tr w:rsidR="00704B97" w:rsidRPr="00704B97" w:rsidTr="00057ECB">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704B97" w:rsidRPr="00704B97" w:rsidRDefault="00704B97" w:rsidP="00704B97">
            <w:pPr>
              <w:rPr>
                <w:b/>
              </w:rPr>
            </w:pPr>
          </w:p>
        </w:tc>
      </w:tr>
    </w:tbl>
    <w:p w:rsidR="00704B97" w:rsidRPr="00704B97" w:rsidRDefault="00704B97" w:rsidP="00704B97"/>
    <w:p w:rsidR="00704B97" w:rsidRPr="00704B97" w:rsidRDefault="00704B97" w:rsidP="00704B97">
      <w:pPr>
        <w:rPr>
          <w:rFonts w:ascii="Arial" w:hAnsi="Arial" w:cs="Arial"/>
          <w:sz w:val="20"/>
          <w:szCs w:val="20"/>
        </w:rPr>
      </w:pPr>
    </w:p>
    <w:p w:rsidR="00704B97" w:rsidRPr="00704B97" w:rsidRDefault="00704B97" w:rsidP="00704B97">
      <w:pPr>
        <w:rPr>
          <w:rFonts w:ascii="Arial" w:hAnsi="Arial" w:cs="Arial"/>
          <w:sz w:val="20"/>
          <w:szCs w:val="20"/>
        </w:rPr>
      </w:pPr>
    </w:p>
    <w:p w:rsidR="00704B97" w:rsidRDefault="00704B97" w:rsidP="0000375D">
      <w:pPr>
        <w:pStyle w:val="Normlnywebov"/>
        <w:spacing w:before="0" w:beforeAutospacing="0" w:after="0" w:afterAutospacing="0"/>
        <w:ind w:right="-108"/>
        <w:jc w:val="center"/>
        <w:rPr>
          <w:b/>
          <w:bCs/>
        </w:rPr>
      </w:pPr>
    </w:p>
    <w:sectPr w:rsidR="00704B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altName w:val="Athelas Italic"/>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60C7F"/>
    <w:multiLevelType w:val="hybridMultilevel"/>
    <w:tmpl w:val="3DAEB0C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7BDE54EF"/>
    <w:multiLevelType w:val="hybridMultilevel"/>
    <w:tmpl w:val="308E3F20"/>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A41"/>
    <w:rsid w:val="0000375D"/>
    <w:rsid w:val="001120E9"/>
    <w:rsid w:val="001865F7"/>
    <w:rsid w:val="001B50B7"/>
    <w:rsid w:val="001E6E9C"/>
    <w:rsid w:val="001F5402"/>
    <w:rsid w:val="00240D75"/>
    <w:rsid w:val="003F06CF"/>
    <w:rsid w:val="004F0768"/>
    <w:rsid w:val="0054344D"/>
    <w:rsid w:val="00601AD1"/>
    <w:rsid w:val="0068450B"/>
    <w:rsid w:val="006962EF"/>
    <w:rsid w:val="006B3CE1"/>
    <w:rsid w:val="00704B97"/>
    <w:rsid w:val="007F375C"/>
    <w:rsid w:val="00816332"/>
    <w:rsid w:val="009F1A41"/>
    <w:rsid w:val="00A713C5"/>
    <w:rsid w:val="00D1735C"/>
    <w:rsid w:val="00E111D6"/>
    <w:rsid w:val="00E32C61"/>
    <w:rsid w:val="00E90A4F"/>
    <w:rsid w:val="00EB0D2C"/>
    <w:rsid w:val="00F02D24"/>
    <w:rsid w:val="00F17A17"/>
    <w:rsid w:val="00FA41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E261"/>
  <w15:docId w15:val="{35497C4A-533F-4568-A09B-164503E7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1A4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rsid w:val="009F1A41"/>
    <w:pPr>
      <w:spacing w:before="100" w:beforeAutospacing="1" w:after="100" w:afterAutospacing="1"/>
    </w:pPr>
  </w:style>
  <w:style w:type="table" w:styleId="Mriekatabuky">
    <w:name w:val="Table Grid"/>
    <w:basedOn w:val="Normlnatabuka"/>
    <w:uiPriority w:val="39"/>
    <w:rsid w:val="009F1A4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ZkladnText">
    <w:name w:val="F2-ZákladnýText"/>
    <w:basedOn w:val="Normlny"/>
    <w:uiPriority w:val="99"/>
    <w:rsid w:val="00A713C5"/>
    <w:pPr>
      <w:jc w:val="both"/>
    </w:pPr>
    <w:rPr>
      <w:szCs w:val="20"/>
    </w:rPr>
  </w:style>
  <w:style w:type="paragraph" w:styleId="Textbubliny">
    <w:name w:val="Balloon Text"/>
    <w:basedOn w:val="Normlny"/>
    <w:link w:val="TextbublinyChar"/>
    <w:uiPriority w:val="99"/>
    <w:semiHidden/>
    <w:unhideWhenUsed/>
    <w:rsid w:val="00EB0D2C"/>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0D2C"/>
    <w:rPr>
      <w:rFonts w:ascii="Segoe UI" w:eastAsia="Times New Roman" w:hAnsi="Segoe UI" w:cs="Segoe UI"/>
      <w:sz w:val="18"/>
      <w:szCs w:val="18"/>
      <w:lang w:eastAsia="sk-SK"/>
    </w:rPr>
  </w:style>
  <w:style w:type="table" w:customStyle="1" w:styleId="Mriekatabuky1">
    <w:name w:val="Mriežka tabuľky1"/>
    <w:basedOn w:val="Normlnatabuka"/>
    <w:next w:val="Mriekatabuky"/>
    <w:uiPriority w:val="59"/>
    <w:rsid w:val="00704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1179</Words>
  <Characters>6723</Characters>
  <Application>Microsoft Office Word</Application>
  <DocSecurity>0</DocSecurity>
  <Lines>56</Lines>
  <Paragraphs>15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Kancelaria NRSR</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Pčolinská, Adriana (asistent)</dc:creator>
  <cp:lastModifiedBy>Pčolinská, Adriana (asistent)</cp:lastModifiedBy>
  <cp:revision>3</cp:revision>
  <cp:lastPrinted>2019-08-08T09:14:00Z</cp:lastPrinted>
  <dcterms:created xsi:type="dcterms:W3CDTF">2019-08-08T09:14:00Z</dcterms:created>
  <dcterms:modified xsi:type="dcterms:W3CDTF">2019-08-09T08:54:00Z</dcterms:modified>
</cp:coreProperties>
</file>