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D" w:rsidRPr="001E2264" w:rsidRDefault="00BF3D9D" w:rsidP="00BF3D9D">
      <w:pPr>
        <w:jc w:val="center"/>
        <w:rPr>
          <w:b/>
          <w:sz w:val="32"/>
          <w:szCs w:val="32"/>
        </w:rPr>
      </w:pPr>
      <w:r w:rsidRPr="001E2264">
        <w:rPr>
          <w:b/>
          <w:sz w:val="32"/>
          <w:szCs w:val="32"/>
        </w:rPr>
        <w:t>N á r o d n á   r a d a   S l o v e n s k e j   r e p u b l i k y</w:t>
      </w:r>
    </w:p>
    <w:p w:rsidR="00BF3D9D" w:rsidRPr="001E2264" w:rsidRDefault="00BF3D9D" w:rsidP="00BF3D9D">
      <w:pPr>
        <w:jc w:val="center"/>
        <w:rPr>
          <w:b/>
          <w:sz w:val="32"/>
          <w:szCs w:val="32"/>
          <w:u w:val="single"/>
        </w:rPr>
      </w:pPr>
    </w:p>
    <w:p w:rsidR="00BF3D9D" w:rsidRDefault="00BF3D9D" w:rsidP="00BF3D9D">
      <w:pPr>
        <w:jc w:val="center"/>
      </w:pPr>
      <w:r w:rsidRPr="001E2264">
        <w:rPr>
          <w:b/>
        </w:rPr>
        <w:t>VII. volebné obdobie</w:t>
      </w:r>
    </w:p>
    <w:p w:rsidR="00BF3D9D" w:rsidRDefault="001E2264" w:rsidP="001E2264">
      <w:pPr>
        <w:rPr>
          <w:sz w:val="32"/>
          <w:szCs w:val="32"/>
        </w:rPr>
      </w:pPr>
      <w:r>
        <w:rPr>
          <w:sz w:val="32"/>
          <w:szCs w:val="32"/>
        </w:rPr>
        <w:t>_________________________</w:t>
      </w:r>
      <w:r w:rsidR="00E97FC1">
        <w:rPr>
          <w:sz w:val="32"/>
          <w:szCs w:val="32"/>
        </w:rPr>
        <w:t>_______________________________</w:t>
      </w:r>
      <w:bookmarkStart w:id="0" w:name="_GoBack"/>
      <w:bookmarkEnd w:id="0"/>
    </w:p>
    <w:p w:rsidR="00BF3D9D" w:rsidRDefault="00BF3D9D" w:rsidP="00BF3D9D">
      <w:pPr>
        <w:jc w:val="center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F3D9D" w:rsidRDefault="00BF3D9D" w:rsidP="00BF3D9D">
      <w:pPr>
        <w:jc w:val="center"/>
        <w:rPr>
          <w:sz w:val="32"/>
          <w:szCs w:val="32"/>
        </w:rPr>
      </w:pPr>
    </w:p>
    <w:p w:rsidR="00BF3D9D" w:rsidRPr="001E2264" w:rsidRDefault="00BF3D9D" w:rsidP="00BF3D9D">
      <w:pPr>
        <w:jc w:val="center"/>
        <w:rPr>
          <w:b/>
          <w:sz w:val="32"/>
          <w:szCs w:val="32"/>
        </w:rPr>
      </w:pPr>
      <w:r w:rsidRPr="001E2264">
        <w:rPr>
          <w:b/>
          <w:sz w:val="32"/>
          <w:szCs w:val="32"/>
        </w:rPr>
        <w:t>N Á V R H</w:t>
      </w:r>
    </w:p>
    <w:p w:rsidR="00BF3D9D" w:rsidRDefault="00BF3D9D" w:rsidP="00BF3D9D">
      <w:pPr>
        <w:jc w:val="center"/>
        <w:rPr>
          <w:sz w:val="32"/>
          <w:szCs w:val="32"/>
        </w:rPr>
      </w:pPr>
    </w:p>
    <w:p w:rsidR="00BF3D9D" w:rsidRDefault="00BF3D9D" w:rsidP="00BF3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Zákon</w:t>
      </w:r>
    </w:p>
    <w:p w:rsidR="00BF3D9D" w:rsidRDefault="00BF3D9D" w:rsidP="00BF3D9D">
      <w:pPr>
        <w:jc w:val="center"/>
        <w:rPr>
          <w:b/>
          <w:sz w:val="28"/>
          <w:szCs w:val="28"/>
        </w:rPr>
      </w:pPr>
    </w:p>
    <w:p w:rsidR="00BF3D9D" w:rsidRPr="001E2264" w:rsidRDefault="00BF3D9D" w:rsidP="00BF3D9D">
      <w:pPr>
        <w:jc w:val="center"/>
        <w:rPr>
          <w:b/>
        </w:rPr>
      </w:pPr>
      <w:r w:rsidRPr="001E2264">
        <w:rPr>
          <w:b/>
        </w:rPr>
        <w:t>z...........................2019,</w:t>
      </w:r>
    </w:p>
    <w:p w:rsidR="001E2264" w:rsidRPr="001E2264" w:rsidRDefault="001E2264" w:rsidP="00BF3D9D">
      <w:pPr>
        <w:jc w:val="center"/>
        <w:rPr>
          <w:b/>
        </w:rPr>
      </w:pPr>
    </w:p>
    <w:p w:rsidR="00BF3D9D" w:rsidRPr="008F2FF5" w:rsidRDefault="00BF3D9D" w:rsidP="001E2264">
      <w:pPr>
        <w:jc w:val="both"/>
        <w:rPr>
          <w:b/>
          <w:u w:val="single"/>
        </w:rPr>
      </w:pPr>
      <w:r w:rsidRPr="001E2264">
        <w:rPr>
          <w:b/>
        </w:rPr>
        <w:t xml:space="preserve">ktorým sa mení a dopĺňa zákon </w:t>
      </w:r>
      <w:r w:rsidR="001E2264" w:rsidRPr="001E2264">
        <w:rPr>
          <w:b/>
        </w:rPr>
        <w:t>č. 245/2008 Z. z. o výchove a vzdelávaní (školský zákon) a o zmene a doplnení niektorých zákonov v znení neskorších predpisov a</w:t>
      </w:r>
      <w:r w:rsidR="00FD2C5B">
        <w:rPr>
          <w:b/>
        </w:rPr>
        <w:t> </w:t>
      </w:r>
      <w:r w:rsidR="008F2FF5" w:rsidRPr="008F2FF5">
        <w:rPr>
          <w:b/>
          <w:color w:val="000000"/>
        </w:rPr>
        <w:t xml:space="preserve">ktorým sa menia a dopĺňajú niektoré zákony </w:t>
      </w:r>
    </w:p>
    <w:p w:rsidR="00BF3D9D" w:rsidRPr="001E2264" w:rsidRDefault="00BF3D9D" w:rsidP="00BF3D9D">
      <w:pPr>
        <w:jc w:val="center"/>
        <w:rPr>
          <w:b/>
          <w:u w:val="single"/>
        </w:rPr>
      </w:pPr>
    </w:p>
    <w:p w:rsidR="00BF3D9D" w:rsidRPr="001E2264" w:rsidRDefault="00BF3D9D" w:rsidP="00BF3D9D">
      <w:pPr>
        <w:rPr>
          <w:b/>
        </w:rPr>
      </w:pPr>
      <w:r w:rsidRPr="001E2264">
        <w:rPr>
          <w:b/>
        </w:rPr>
        <w:t xml:space="preserve">   </w:t>
      </w:r>
    </w:p>
    <w:p w:rsidR="00BF3D9D" w:rsidRPr="001E2264" w:rsidRDefault="00BF3D9D" w:rsidP="00BF3D9D">
      <w:pPr>
        <w:rPr>
          <w:b/>
        </w:rPr>
      </w:pPr>
      <w:r w:rsidRPr="001E2264">
        <w:rPr>
          <w:b/>
        </w:rPr>
        <w:t xml:space="preserve">     Národná rada Slovenskej republiky sa uzniesla na tomto zákone: </w:t>
      </w:r>
    </w:p>
    <w:p w:rsidR="00BF3D9D" w:rsidRPr="001E2264" w:rsidRDefault="00BF3D9D" w:rsidP="00BF3D9D">
      <w:pPr>
        <w:rPr>
          <w:b/>
        </w:rPr>
      </w:pPr>
    </w:p>
    <w:p w:rsidR="00BF3D9D" w:rsidRDefault="00BF3D9D" w:rsidP="00BF3D9D">
      <w:pPr>
        <w:jc w:val="center"/>
        <w:rPr>
          <w:rStyle w:val="awspan"/>
          <w:b/>
          <w:bCs/>
          <w:color w:val="000000"/>
        </w:rPr>
      </w:pPr>
      <w:r>
        <w:rPr>
          <w:rStyle w:val="awspan"/>
          <w:b/>
          <w:bCs/>
          <w:color w:val="000000"/>
        </w:rPr>
        <w:t>Čl. I</w:t>
      </w:r>
    </w:p>
    <w:p w:rsidR="00BF3D9D" w:rsidRDefault="00BF3D9D" w:rsidP="00BF3D9D">
      <w:pPr>
        <w:jc w:val="center"/>
        <w:rPr>
          <w:color w:val="000000"/>
          <w:sz w:val="27"/>
          <w:szCs w:val="27"/>
        </w:rPr>
      </w:pPr>
    </w:p>
    <w:p w:rsidR="00F77408" w:rsidRDefault="00F77408" w:rsidP="00F77408">
      <w:pPr>
        <w:pStyle w:val="Odsekzoznamu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53815">
        <w:rPr>
          <w:rFonts w:ascii="Times New Roman" w:eastAsia="Times New Roman" w:hAnsi="Times New Roman"/>
          <w:sz w:val="24"/>
          <w:szCs w:val="24"/>
          <w:lang w:eastAsia="sk-SK"/>
        </w:rPr>
        <w:t>Zákon č. 245/20</w:t>
      </w:r>
      <w:r w:rsidRPr="001F756C">
        <w:rPr>
          <w:rFonts w:ascii="Times New Roman" w:eastAsia="Times New Roman" w:hAnsi="Times New Roman"/>
          <w:sz w:val="24"/>
          <w:szCs w:val="24"/>
          <w:lang w:eastAsia="sk-SK"/>
        </w:rPr>
        <w:t>08</w:t>
      </w:r>
      <w:r w:rsidRPr="00953815">
        <w:rPr>
          <w:rFonts w:ascii="Times New Roman" w:eastAsia="Times New Roman" w:hAnsi="Times New Roman"/>
          <w:sz w:val="24"/>
          <w:szCs w:val="24"/>
          <w:lang w:eastAsia="sk-SK"/>
        </w:rPr>
        <w:t xml:space="preserve">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z., zákona č. 125/2016 Z. z.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953815">
        <w:rPr>
          <w:rFonts w:ascii="Times New Roman" w:eastAsia="Times New Roman" w:hAnsi="Times New Roman"/>
          <w:sz w:val="24"/>
          <w:szCs w:val="24"/>
          <w:lang w:eastAsia="sk-SK"/>
        </w:rPr>
        <w:t> zákona č. 216/2016 Z. z.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95381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zákona č. 56/2017 Z. z., zákona č. 151/2017 Z. z., zákona č. 178/2017 Z. z., zákona č. 182/2017 Z. z., zákona č. 62/2018 Z. z., zákona č. 209/2018 Z. z.,</w:t>
      </w:r>
      <w:r w:rsidRPr="00F7740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zákona č. 210/2018 Z. z., zákona č. 365/2018 Z. z.</w:t>
      </w:r>
      <w:r w:rsidRPr="00F7740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 zákona č. 375/2018 Z. z. </w:t>
      </w:r>
      <w:r w:rsidRPr="00953815">
        <w:rPr>
          <w:rFonts w:ascii="Times New Roman" w:eastAsia="Times New Roman" w:hAnsi="Times New Roman"/>
          <w:sz w:val="24"/>
          <w:szCs w:val="24"/>
          <w:lang w:eastAsia="sk-SK"/>
        </w:rPr>
        <w:t>sa mení a dopĺňa takto:</w:t>
      </w:r>
    </w:p>
    <w:p w:rsidR="001E2264" w:rsidRPr="00853E64" w:rsidRDefault="001E2264" w:rsidP="00BF3D9D">
      <w:pPr>
        <w:rPr>
          <w:color w:val="000000"/>
        </w:rPr>
      </w:pPr>
    </w:p>
    <w:p w:rsidR="00F21499" w:rsidRPr="00B22172" w:rsidRDefault="0088747E" w:rsidP="00F21499">
      <w:pPr>
        <w:pStyle w:val="Odsekzoznamu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</w:t>
      </w:r>
      <w:r w:rsidR="00F21499" w:rsidRPr="00B22172">
        <w:rPr>
          <w:rFonts w:ascii="Times New Roman" w:hAnsi="Times New Roman"/>
          <w:color w:val="000000"/>
          <w:sz w:val="24"/>
          <w:szCs w:val="24"/>
        </w:rPr>
        <w:t xml:space="preserve"> 107 sa dopĺňa odsekm</w:t>
      </w:r>
      <w:r w:rsidR="002F3F77">
        <w:rPr>
          <w:rFonts w:ascii="Times New Roman" w:hAnsi="Times New Roman"/>
          <w:color w:val="000000"/>
          <w:sz w:val="24"/>
          <w:szCs w:val="24"/>
        </w:rPr>
        <w:t>i</w:t>
      </w:r>
      <w:r w:rsidR="00F21499" w:rsidRPr="00B22172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2F3F77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2D3108">
        <w:rPr>
          <w:rFonts w:ascii="Times New Roman" w:hAnsi="Times New Roman"/>
          <w:color w:val="000000"/>
          <w:sz w:val="24"/>
          <w:szCs w:val="24"/>
        </w:rPr>
        <w:t>5</w:t>
      </w:r>
      <w:r w:rsidR="00F21499" w:rsidRPr="00B22172">
        <w:rPr>
          <w:rFonts w:ascii="Times New Roman" w:hAnsi="Times New Roman"/>
          <w:color w:val="000000"/>
          <w:sz w:val="24"/>
          <w:szCs w:val="24"/>
        </w:rPr>
        <w:t>, ktor</w:t>
      </w:r>
      <w:r w:rsidR="002F3F77">
        <w:rPr>
          <w:rFonts w:ascii="Times New Roman" w:hAnsi="Times New Roman"/>
          <w:color w:val="000000"/>
          <w:sz w:val="24"/>
          <w:szCs w:val="24"/>
        </w:rPr>
        <w:t>é</w:t>
      </w:r>
      <w:r w:rsidR="00F21499" w:rsidRPr="00B22172">
        <w:rPr>
          <w:rFonts w:ascii="Times New Roman" w:hAnsi="Times New Roman"/>
          <w:color w:val="000000"/>
          <w:sz w:val="24"/>
          <w:szCs w:val="24"/>
        </w:rPr>
        <w:t xml:space="preserve"> zne</w:t>
      </w:r>
      <w:r w:rsidR="002F3F77">
        <w:rPr>
          <w:rFonts w:ascii="Times New Roman" w:hAnsi="Times New Roman"/>
          <w:color w:val="000000"/>
          <w:sz w:val="24"/>
          <w:szCs w:val="24"/>
        </w:rPr>
        <w:t>jú</w:t>
      </w:r>
      <w:r w:rsidR="00F21499" w:rsidRPr="00B22172">
        <w:rPr>
          <w:rFonts w:ascii="Times New Roman" w:hAnsi="Times New Roman"/>
          <w:color w:val="000000"/>
          <w:sz w:val="24"/>
          <w:szCs w:val="24"/>
        </w:rPr>
        <w:t>:</w:t>
      </w:r>
    </w:p>
    <w:p w:rsidR="00F21499" w:rsidRPr="00B22172" w:rsidRDefault="00F21499" w:rsidP="002F3F77">
      <w:pPr>
        <w:pStyle w:val="Odsekzoznamu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22172">
        <w:rPr>
          <w:rFonts w:ascii="Times New Roman" w:hAnsi="Times New Roman"/>
          <w:color w:val="000000"/>
          <w:sz w:val="24"/>
          <w:szCs w:val="24"/>
        </w:rPr>
        <w:t xml:space="preserve">„(4) </w:t>
      </w:r>
      <w:r w:rsidR="00A27EB3" w:rsidRPr="00B22172">
        <w:rPr>
          <w:rFonts w:ascii="Times New Roman" w:hAnsi="Times New Roman"/>
          <w:color w:val="000000"/>
          <w:sz w:val="24"/>
          <w:szCs w:val="24"/>
        </w:rPr>
        <w:t xml:space="preserve">Na účely financovania sa za žiaka zo sociálne znevýhodneného prostredia považuje </w:t>
      </w:r>
    </w:p>
    <w:p w:rsidR="00A27EB3" w:rsidRPr="00B22172" w:rsidRDefault="00B22172" w:rsidP="002F3F77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22172">
        <w:rPr>
          <w:rFonts w:ascii="Times New Roman" w:hAnsi="Times New Roman"/>
          <w:color w:val="000000"/>
          <w:sz w:val="24"/>
          <w:szCs w:val="24"/>
        </w:rPr>
        <w:t xml:space="preserve">žiak, ktorý </w:t>
      </w:r>
      <w:r w:rsidR="00FD603F" w:rsidRPr="00B22172">
        <w:rPr>
          <w:rFonts w:ascii="Times New Roman" w:hAnsi="Times New Roman"/>
          <w:color w:val="000000"/>
          <w:sz w:val="24"/>
          <w:szCs w:val="24"/>
        </w:rPr>
        <w:t>j</w:t>
      </w:r>
      <w:r w:rsidR="00A27EB3" w:rsidRPr="00B22172">
        <w:rPr>
          <w:rFonts w:ascii="Times New Roman" w:hAnsi="Times New Roman"/>
          <w:color w:val="000000"/>
          <w:sz w:val="24"/>
          <w:szCs w:val="24"/>
        </w:rPr>
        <w:t>e členom domácnosti</w:t>
      </w:r>
      <w:r w:rsidR="00A27EB3" w:rsidRPr="00B22172">
        <w:rPr>
          <w:rFonts w:ascii="Times New Roman" w:hAnsi="Times New Roman"/>
          <w:color w:val="000000"/>
          <w:sz w:val="24"/>
          <w:szCs w:val="24"/>
          <w:vertAlign w:val="superscript"/>
        </w:rPr>
        <w:t>61</w:t>
      </w:r>
      <w:r w:rsidR="00A27EB3" w:rsidRPr="00B22172">
        <w:rPr>
          <w:rFonts w:ascii="Times New Roman" w:hAnsi="Times New Roman"/>
          <w:color w:val="000000"/>
          <w:sz w:val="24"/>
          <w:szCs w:val="24"/>
        </w:rPr>
        <w:t>), ktorej členovi sa poskytuje pomoc v hmotnej núdzi,</w:t>
      </w:r>
      <w:r w:rsidR="00FD603F" w:rsidRPr="00B22172">
        <w:rPr>
          <w:rFonts w:ascii="Times New Roman" w:hAnsi="Times New Roman"/>
          <w:color w:val="000000"/>
          <w:sz w:val="24"/>
          <w:szCs w:val="24"/>
          <w:vertAlign w:val="superscript"/>
        </w:rPr>
        <w:t>61a</w:t>
      </w:r>
      <w:r w:rsidR="00A27EB3" w:rsidRPr="00B22172">
        <w:rPr>
          <w:rFonts w:ascii="Times New Roman" w:hAnsi="Times New Roman"/>
          <w:color w:val="000000"/>
          <w:sz w:val="24"/>
          <w:szCs w:val="24"/>
        </w:rPr>
        <w:t>)</w:t>
      </w:r>
    </w:p>
    <w:p w:rsidR="00FD603F" w:rsidRDefault="00B22172" w:rsidP="00A27EB3">
      <w:pPr>
        <w:pStyle w:val="Odsekzoznamu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B22172">
        <w:rPr>
          <w:rFonts w:ascii="Times New Roman" w:hAnsi="Times New Roman"/>
          <w:color w:val="000000"/>
          <w:sz w:val="24"/>
          <w:szCs w:val="24"/>
        </w:rPr>
        <w:t>žiak</w:t>
      </w:r>
      <w:r>
        <w:rPr>
          <w:rFonts w:ascii="Times New Roman" w:hAnsi="Times New Roman"/>
          <w:color w:val="000000"/>
          <w:sz w:val="24"/>
          <w:szCs w:val="24"/>
        </w:rPr>
        <w:t xml:space="preserve"> podľa § 2 písm. p)</w:t>
      </w:r>
      <w:r w:rsidRPr="00B22172">
        <w:rPr>
          <w:rFonts w:ascii="Times New Roman" w:hAnsi="Times New Roman"/>
          <w:color w:val="000000"/>
          <w:sz w:val="24"/>
          <w:szCs w:val="24"/>
        </w:rPr>
        <w:t>, ktorý</w:t>
      </w:r>
      <w:r>
        <w:rPr>
          <w:rFonts w:ascii="Times New Roman" w:hAnsi="Times New Roman"/>
          <w:color w:val="000000"/>
          <w:sz w:val="24"/>
          <w:szCs w:val="24"/>
        </w:rPr>
        <w:t xml:space="preserve"> má špeciálnopedagogické potreby diagnostikované centrom </w:t>
      </w:r>
      <w:r w:rsidR="003035A8">
        <w:rPr>
          <w:rFonts w:ascii="Times New Roman" w:hAnsi="Times New Roman"/>
          <w:color w:val="000000"/>
          <w:sz w:val="24"/>
          <w:szCs w:val="24"/>
        </w:rPr>
        <w:t>pedagogicko-psychologického poradenstva a prevencie.</w:t>
      </w:r>
    </w:p>
    <w:p w:rsidR="0088747E" w:rsidRDefault="0088747E" w:rsidP="002F3F77">
      <w:pPr>
        <w:ind w:left="426"/>
        <w:jc w:val="both"/>
        <w:rPr>
          <w:color w:val="000000"/>
        </w:rPr>
      </w:pPr>
    </w:p>
    <w:p w:rsidR="002F3F77" w:rsidRPr="002F3F77" w:rsidRDefault="002F3F77" w:rsidP="002F3F77">
      <w:pPr>
        <w:jc w:val="both"/>
        <w:rPr>
          <w:color w:val="000000"/>
        </w:rPr>
      </w:pPr>
    </w:p>
    <w:p w:rsidR="00A27EB3" w:rsidRDefault="00A27EB3" w:rsidP="00F30038">
      <w:pPr>
        <w:spacing w:line="276" w:lineRule="auto"/>
        <w:ind w:left="426"/>
        <w:rPr>
          <w:color w:val="000000"/>
        </w:rPr>
      </w:pPr>
      <w:r>
        <w:rPr>
          <w:color w:val="000000"/>
        </w:rPr>
        <w:t xml:space="preserve">Poznámky pod čiarou k odkazom </w:t>
      </w:r>
      <w:r w:rsidR="003035A8">
        <w:rPr>
          <w:color w:val="000000"/>
        </w:rPr>
        <w:t>61 a</w:t>
      </w:r>
      <w:r w:rsidR="006C011F">
        <w:rPr>
          <w:color w:val="000000"/>
        </w:rPr>
        <w:t>ž</w:t>
      </w:r>
      <w:r w:rsidR="003035A8">
        <w:rPr>
          <w:color w:val="000000"/>
        </w:rPr>
        <w:t> 61</w:t>
      </w:r>
      <w:r w:rsidR="006C011F">
        <w:rPr>
          <w:color w:val="000000"/>
        </w:rPr>
        <w:t>b</w:t>
      </w:r>
      <w:r>
        <w:rPr>
          <w:color w:val="000000"/>
        </w:rPr>
        <w:t xml:space="preserve"> znejú:</w:t>
      </w:r>
    </w:p>
    <w:p w:rsidR="00A27EB3" w:rsidRDefault="00A27EB3" w:rsidP="00F30038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„</w:t>
      </w:r>
      <w:r w:rsidR="00FD603F">
        <w:rPr>
          <w:color w:val="000000"/>
          <w:vertAlign w:val="superscript"/>
        </w:rPr>
        <w:t>61</w:t>
      </w:r>
      <w:r>
        <w:rPr>
          <w:color w:val="000000"/>
        </w:rPr>
        <w:t>) § 3 zákona č. 417/2013 Z. z. o pomoci v hmotnej núdzi a o zmene a doplnení niektorých zákonov,</w:t>
      </w:r>
    </w:p>
    <w:p w:rsidR="006C011F" w:rsidRDefault="00FD603F" w:rsidP="00F30038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  <w:vertAlign w:val="superscript"/>
        </w:rPr>
        <w:lastRenderedPageBreak/>
        <w:t>61a</w:t>
      </w:r>
      <w:r w:rsidR="00A27EB3">
        <w:rPr>
          <w:color w:val="000000"/>
        </w:rPr>
        <w:t>) Zákon č. 417/2013 Z. z. v znení neskorších predpisov.</w:t>
      </w:r>
      <w:r w:rsidR="007F5F63">
        <w:rPr>
          <w:color w:val="000000"/>
        </w:rPr>
        <w:t>“.</w:t>
      </w:r>
    </w:p>
    <w:p w:rsidR="00474F18" w:rsidRDefault="00474F18" w:rsidP="00F30038">
      <w:pPr>
        <w:spacing w:line="276" w:lineRule="auto"/>
        <w:ind w:left="426"/>
        <w:jc w:val="both"/>
        <w:rPr>
          <w:color w:val="000000"/>
        </w:rPr>
      </w:pPr>
    </w:p>
    <w:p w:rsidR="00474F18" w:rsidRPr="00474F18" w:rsidRDefault="00474F18" w:rsidP="00474F18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4F18">
        <w:rPr>
          <w:rFonts w:ascii="Times New Roman" w:hAnsi="Times New Roman"/>
          <w:color w:val="000000"/>
          <w:sz w:val="24"/>
          <w:szCs w:val="24"/>
        </w:rPr>
        <w:t>V § 157 sa za odsek 8</w:t>
      </w:r>
      <w:r w:rsidRPr="00474F18">
        <w:rPr>
          <w:rFonts w:ascii="Times New Roman" w:hAnsi="Times New Roman"/>
          <w:sz w:val="24"/>
          <w:szCs w:val="24"/>
        </w:rPr>
        <w:t xml:space="preserve"> vkladá nový odsek 9, ktorý znie:</w:t>
      </w:r>
    </w:p>
    <w:p w:rsidR="00474F18" w:rsidRDefault="00474F18" w:rsidP="00474F18">
      <w:pPr>
        <w:spacing w:after="120"/>
        <w:jc w:val="both"/>
      </w:pPr>
      <w:r>
        <w:t xml:space="preserve">„(9) Ministerstvo školstva poskytuje Sociálnej poisťovni z centrálneho registra na účel analýz ekonomického zázemia detí a žiakov z najmenej rozvinutých okresov vykonávaných ministerstvom školstva rodné číslo zákonného zástupcu </w:t>
      </w:r>
    </w:p>
    <w:p w:rsidR="00474F18" w:rsidRPr="00015B66" w:rsidRDefault="00474F18" w:rsidP="00474F18">
      <w:pPr>
        <w:pStyle w:val="Odsekzoznamu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15B66">
        <w:rPr>
          <w:rFonts w:ascii="Times New Roman" w:hAnsi="Times New Roman"/>
          <w:sz w:val="24"/>
          <w:szCs w:val="24"/>
        </w:rPr>
        <w:t xml:space="preserve">dieťaťa, ktoré má </w:t>
      </w:r>
      <w:r>
        <w:rPr>
          <w:rFonts w:ascii="Times New Roman" w:hAnsi="Times New Roman"/>
          <w:sz w:val="24"/>
          <w:szCs w:val="24"/>
        </w:rPr>
        <w:t>bydlisko</w:t>
      </w:r>
      <w:r w:rsidRPr="00015B66">
        <w:rPr>
          <w:rFonts w:ascii="Times New Roman" w:hAnsi="Times New Roman"/>
          <w:sz w:val="24"/>
          <w:szCs w:val="24"/>
        </w:rPr>
        <w:t xml:space="preserve"> na území niektorého z najmenej rozvinutých okresov a</w:t>
      </w:r>
    </w:p>
    <w:p w:rsidR="00474F18" w:rsidRPr="00015B66" w:rsidRDefault="00474F18" w:rsidP="00474F18">
      <w:pPr>
        <w:pStyle w:val="Odsekzoznamu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15B66">
        <w:rPr>
          <w:rFonts w:ascii="Times New Roman" w:hAnsi="Times New Roman"/>
          <w:sz w:val="24"/>
          <w:szCs w:val="24"/>
        </w:rPr>
        <w:t xml:space="preserve">žiaka, ktorý má </w:t>
      </w:r>
      <w:r>
        <w:rPr>
          <w:rFonts w:ascii="Times New Roman" w:hAnsi="Times New Roman"/>
          <w:sz w:val="24"/>
          <w:szCs w:val="24"/>
        </w:rPr>
        <w:t>bydlisko</w:t>
      </w:r>
      <w:r w:rsidRPr="00015B66">
        <w:rPr>
          <w:rFonts w:ascii="Times New Roman" w:hAnsi="Times New Roman"/>
          <w:sz w:val="24"/>
          <w:szCs w:val="24"/>
        </w:rPr>
        <w:t xml:space="preserve"> na území niektorého z najmenej rozvinutých okresov.</w:t>
      </w:r>
      <w:r w:rsidRPr="00015B66">
        <w:rPr>
          <w:rFonts w:ascii="Times New Roman" w:hAnsi="Times New Roman"/>
          <w:sz w:val="24"/>
          <w:szCs w:val="24"/>
          <w:vertAlign w:val="superscript"/>
        </w:rPr>
        <w:t>93aa</w:t>
      </w:r>
      <w:r w:rsidRPr="00015B66">
        <w:rPr>
          <w:rFonts w:ascii="Times New Roman" w:hAnsi="Times New Roman"/>
          <w:sz w:val="24"/>
          <w:szCs w:val="24"/>
        </w:rPr>
        <w:t>)“.</w:t>
      </w:r>
    </w:p>
    <w:p w:rsidR="00474F18" w:rsidRDefault="00474F18" w:rsidP="00474F18">
      <w:pPr>
        <w:spacing w:after="120"/>
        <w:jc w:val="both"/>
      </w:pPr>
    </w:p>
    <w:p w:rsidR="00474F18" w:rsidRDefault="00474F18" w:rsidP="00474F18">
      <w:pPr>
        <w:spacing w:after="120"/>
        <w:jc w:val="both"/>
      </w:pPr>
      <w:r>
        <w:t>Doterajšie odseky 9 až 13 sa označujú ako odseky 10 až 14.</w:t>
      </w:r>
    </w:p>
    <w:p w:rsidR="00474F18" w:rsidRDefault="00474F18" w:rsidP="00474F18">
      <w:pPr>
        <w:spacing w:after="120"/>
        <w:jc w:val="both"/>
      </w:pPr>
    </w:p>
    <w:p w:rsidR="00474F18" w:rsidRDefault="00474F18" w:rsidP="00474F18">
      <w:pPr>
        <w:spacing w:after="120"/>
        <w:jc w:val="both"/>
      </w:pPr>
      <w:r>
        <w:t>Poznámka pod čiarou k odkazu 93aa znie:</w:t>
      </w:r>
    </w:p>
    <w:p w:rsidR="00474F18" w:rsidRDefault="00474F18" w:rsidP="00474F18">
      <w:pPr>
        <w:spacing w:after="120"/>
        <w:jc w:val="both"/>
      </w:pPr>
      <w:r>
        <w:t>„</w:t>
      </w:r>
      <w:r w:rsidRPr="00385246">
        <w:rPr>
          <w:vertAlign w:val="superscript"/>
        </w:rPr>
        <w:t>93aa</w:t>
      </w:r>
      <w:r>
        <w:t xml:space="preserve">) § 2 ods. 1 zákona č. 336/2015 Z. z. </w:t>
      </w:r>
      <w:r w:rsidRPr="00385246">
        <w:t>o podpore najmenej rozvinutých okresov a o zmene a doplnení niektorých zákonov</w:t>
      </w:r>
      <w:r>
        <w:t>.“.</w:t>
      </w:r>
    </w:p>
    <w:p w:rsidR="003035A8" w:rsidRPr="00474F18" w:rsidRDefault="003035A8" w:rsidP="00474F18">
      <w:pPr>
        <w:pStyle w:val="Odsekzoznamu"/>
        <w:ind w:left="360"/>
        <w:rPr>
          <w:color w:val="000000"/>
        </w:rPr>
      </w:pPr>
    </w:p>
    <w:p w:rsidR="00F30038" w:rsidRPr="005D1456" w:rsidRDefault="00F30038" w:rsidP="00F30038">
      <w:pPr>
        <w:pStyle w:val="Odsekzoznamu"/>
        <w:ind w:left="1068"/>
        <w:rPr>
          <w:rFonts w:ascii="Times New Roman" w:hAnsi="Times New Roman"/>
          <w:sz w:val="24"/>
          <w:szCs w:val="24"/>
        </w:rPr>
      </w:pPr>
    </w:p>
    <w:p w:rsidR="001E2264" w:rsidRDefault="001E2264" w:rsidP="001E2264">
      <w:pPr>
        <w:jc w:val="center"/>
        <w:rPr>
          <w:rStyle w:val="awspan"/>
          <w:b/>
          <w:bCs/>
          <w:color w:val="000000"/>
        </w:rPr>
      </w:pPr>
      <w:r>
        <w:rPr>
          <w:rStyle w:val="awspan"/>
          <w:b/>
          <w:bCs/>
          <w:color w:val="000000"/>
        </w:rPr>
        <w:t>Čl. II</w:t>
      </w:r>
    </w:p>
    <w:p w:rsidR="001E2264" w:rsidRDefault="001E2264" w:rsidP="001E2264">
      <w:pPr>
        <w:jc w:val="center"/>
        <w:rPr>
          <w:color w:val="000000"/>
          <w:sz w:val="27"/>
          <w:szCs w:val="27"/>
        </w:rPr>
      </w:pPr>
    </w:p>
    <w:p w:rsidR="001E2264" w:rsidRPr="00FD2C5B" w:rsidRDefault="00FD2C5B" w:rsidP="00FD2C5B">
      <w:pPr>
        <w:jc w:val="both"/>
        <w:rPr>
          <w:rStyle w:val="awspan"/>
        </w:rPr>
      </w:pPr>
      <w:r w:rsidRPr="00953815">
        <w:t>Zákon č. 597/2003 Z. z. o financovaní základných škôl, stredných škôl a školských zariadení v znení zákona č. 523/2004 Z. z., zákona č. 564/2004 Z. z. , zákona č. 689/2006 Z. z. 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</w:t>
      </w:r>
      <w:r>
        <w:t>,</w:t>
      </w:r>
      <w:r w:rsidRPr="00953815">
        <w:t xml:space="preserve"> zákona č. 125/2016 Z. z.</w:t>
      </w:r>
      <w:r w:rsidR="008D3F9D">
        <w:t>,</w:t>
      </w:r>
      <w:r>
        <w:t xml:space="preserve"> zákona č. </w:t>
      </w:r>
      <w:r w:rsidR="008D3F9D">
        <w:t>182/</w:t>
      </w:r>
      <w:r>
        <w:t>2017 Z. z.</w:t>
      </w:r>
      <w:r w:rsidR="008D3F9D">
        <w:t>, zákona č. 209/2018 Z. z.</w:t>
      </w:r>
      <w:r w:rsidR="008D3F9D" w:rsidRPr="008D3F9D">
        <w:t xml:space="preserve"> </w:t>
      </w:r>
      <w:r w:rsidR="008D3F9D">
        <w:t>a zákona č. 367/2018 Z. z.</w:t>
      </w:r>
      <w:r w:rsidR="008D3F9D" w:rsidRPr="008D3F9D">
        <w:t xml:space="preserve"> </w:t>
      </w:r>
      <w:r w:rsidRPr="00953815">
        <w:t>sa mení a dopĺňa takto:</w:t>
      </w:r>
    </w:p>
    <w:p w:rsidR="001E2264" w:rsidRPr="00F21499" w:rsidRDefault="001E2264" w:rsidP="001E2264">
      <w:pPr>
        <w:rPr>
          <w:color w:val="000000"/>
        </w:rPr>
      </w:pPr>
    </w:p>
    <w:p w:rsidR="004E7567" w:rsidRDefault="004E7567" w:rsidP="00986C1E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§ 4e </w:t>
      </w:r>
      <w:r w:rsidR="007F5F63">
        <w:rPr>
          <w:rFonts w:ascii="Times New Roman" w:hAnsi="Times New Roman"/>
          <w:color w:val="000000"/>
          <w:sz w:val="24"/>
          <w:szCs w:val="24"/>
        </w:rPr>
        <w:t xml:space="preserve">sa </w:t>
      </w:r>
      <w:r>
        <w:rPr>
          <w:rFonts w:ascii="Times New Roman" w:hAnsi="Times New Roman"/>
          <w:color w:val="000000"/>
          <w:sz w:val="24"/>
          <w:szCs w:val="24"/>
        </w:rPr>
        <w:t>ods</w:t>
      </w:r>
      <w:r w:rsidR="007F5F63">
        <w:rPr>
          <w:rFonts w:ascii="Times New Roman" w:hAnsi="Times New Roman"/>
          <w:color w:val="000000"/>
          <w:sz w:val="24"/>
          <w:szCs w:val="24"/>
        </w:rPr>
        <w:t>ek</w:t>
      </w:r>
      <w:r>
        <w:rPr>
          <w:rFonts w:ascii="Times New Roman" w:hAnsi="Times New Roman"/>
          <w:color w:val="000000"/>
          <w:sz w:val="24"/>
          <w:szCs w:val="24"/>
        </w:rPr>
        <w:t xml:space="preserve"> 7 dopĺňa písm</w:t>
      </w:r>
      <w:r w:rsidR="007F5F63">
        <w:rPr>
          <w:rFonts w:ascii="Times New Roman" w:hAnsi="Times New Roman"/>
          <w:color w:val="000000"/>
          <w:sz w:val="24"/>
          <w:szCs w:val="24"/>
        </w:rPr>
        <w:t>enom</w:t>
      </w:r>
      <w:r>
        <w:rPr>
          <w:rFonts w:ascii="Times New Roman" w:hAnsi="Times New Roman"/>
          <w:color w:val="000000"/>
          <w:sz w:val="24"/>
          <w:szCs w:val="24"/>
        </w:rPr>
        <w:t xml:space="preserve"> g</w:t>
      </w:r>
      <w:r w:rsidR="007F5F63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ktoré znie:</w:t>
      </w:r>
    </w:p>
    <w:p w:rsidR="009C4CCF" w:rsidRPr="00A12537" w:rsidRDefault="007F5F63" w:rsidP="004C2D94">
      <w:pPr>
        <w:shd w:val="clear" w:color="auto" w:fill="FFFFFF"/>
        <w:jc w:val="both"/>
        <w:rPr>
          <w:lang w:eastAsia="cs-CZ"/>
        </w:rPr>
      </w:pPr>
      <w:r>
        <w:t xml:space="preserve">„g) </w:t>
      </w:r>
      <w:r w:rsidR="009C4CCF" w:rsidRPr="00A12537">
        <w:t>zabezpečenie chýbajúcich pomôcok pre žiakov nad rámec dotácie na školské potreby poskytnutých podľa osobitného predpisu.</w:t>
      </w:r>
      <w:r w:rsidR="009C4CCF" w:rsidRPr="00A12537">
        <w:rPr>
          <w:vertAlign w:val="superscript"/>
        </w:rPr>
        <w:t>22ga</w:t>
      </w:r>
      <w:r w:rsidR="009C4CCF" w:rsidRPr="00A12537">
        <w:t>)</w:t>
      </w:r>
      <w:r>
        <w:t>“.</w:t>
      </w:r>
    </w:p>
    <w:p w:rsidR="004E7567" w:rsidRDefault="004E7567" w:rsidP="004E7567">
      <w:pPr>
        <w:pStyle w:val="Odsekzoznamu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CCF" w:rsidRPr="009C4CCF" w:rsidRDefault="009C4CCF" w:rsidP="009C4CCF">
      <w:pPr>
        <w:pStyle w:val="Odsekzoznamu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C4CCF">
        <w:rPr>
          <w:rFonts w:ascii="Times New Roman" w:hAnsi="Times New Roman"/>
          <w:color w:val="000000"/>
          <w:sz w:val="24"/>
          <w:szCs w:val="24"/>
        </w:rPr>
        <w:t>Poznámka pod čiarou k odkazu 22ga znie:</w:t>
      </w:r>
    </w:p>
    <w:p w:rsidR="004E7567" w:rsidRDefault="009C4CCF" w:rsidP="009C4CCF">
      <w:pPr>
        <w:pStyle w:val="Odsekzoznamu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C4CCF">
        <w:rPr>
          <w:rFonts w:ascii="Times New Roman" w:hAnsi="Times New Roman"/>
          <w:color w:val="000000"/>
          <w:sz w:val="24"/>
          <w:szCs w:val="24"/>
        </w:rPr>
        <w:t>„</w:t>
      </w:r>
      <w:r w:rsidRPr="004C2D94">
        <w:rPr>
          <w:rFonts w:ascii="Times New Roman" w:hAnsi="Times New Roman"/>
          <w:color w:val="000000"/>
          <w:sz w:val="24"/>
          <w:szCs w:val="24"/>
          <w:vertAlign w:val="superscript"/>
        </w:rPr>
        <w:t>22ga</w:t>
      </w:r>
      <w:r w:rsidRPr="009C4CCF">
        <w:rPr>
          <w:rFonts w:ascii="Times New Roman" w:hAnsi="Times New Roman"/>
          <w:color w:val="000000"/>
          <w:sz w:val="24"/>
          <w:szCs w:val="24"/>
        </w:rPr>
        <w:t>) § 4 ods. 2 zákona č. 544/2010 Z. z. o dotáciách v pôsobnosti Ministerstva práce, sociálnych vecí a rodiny Slovenskej republiky v znení neskorších predpisov.“.</w:t>
      </w:r>
    </w:p>
    <w:p w:rsidR="00167E30" w:rsidRPr="00167E30" w:rsidRDefault="007A397D" w:rsidP="00167E30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8747E" w:rsidRPr="009C4CCF">
        <w:rPr>
          <w:rFonts w:ascii="Times New Roman" w:eastAsia="Times New Roman" w:hAnsi="Times New Roman"/>
          <w:sz w:val="24"/>
          <w:szCs w:val="24"/>
          <w:lang w:eastAsia="sk-SK"/>
        </w:rPr>
        <w:t xml:space="preserve">§ 4e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odsek 8</w:t>
      </w:r>
      <w:r w:rsidR="00167E30">
        <w:rPr>
          <w:rFonts w:ascii="Times New Roman" w:eastAsia="Times New Roman" w:hAnsi="Times New Roman"/>
          <w:sz w:val="24"/>
          <w:szCs w:val="24"/>
          <w:lang w:eastAsia="sk-SK"/>
        </w:rPr>
        <w:t xml:space="preserve"> znie:</w:t>
      </w:r>
      <w:r w:rsidR="00167E30" w:rsidRPr="00167E30">
        <w:t xml:space="preserve"> </w:t>
      </w:r>
    </w:p>
    <w:p w:rsidR="007A397D" w:rsidRPr="00CB152B" w:rsidRDefault="00167E30" w:rsidP="00CB152B">
      <w:pPr>
        <w:pStyle w:val="Odsekzoznamu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t xml:space="preserve">„ </w:t>
      </w:r>
      <w:r w:rsidRPr="00167E30">
        <w:rPr>
          <w:rFonts w:ascii="Times New Roman" w:hAnsi="Times New Roman"/>
          <w:sz w:val="24"/>
          <w:szCs w:val="24"/>
        </w:rPr>
        <w:t>(8)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CB152B" w:rsidRPr="00CB152B">
        <w:rPr>
          <w:rFonts w:ascii="Times New Roman" w:eastAsia="Times New Roman" w:hAnsi="Times New Roman"/>
          <w:sz w:val="24"/>
          <w:szCs w:val="24"/>
          <w:lang w:eastAsia="sk-SK"/>
        </w:rPr>
        <w:t>V základnej škole na každých 50 žiakov zo soc</w:t>
      </w:r>
      <w:r w:rsidR="00CB152B">
        <w:rPr>
          <w:rFonts w:ascii="Times New Roman" w:eastAsia="Times New Roman" w:hAnsi="Times New Roman"/>
          <w:sz w:val="24"/>
          <w:szCs w:val="24"/>
          <w:lang w:eastAsia="sk-SK"/>
        </w:rPr>
        <w:t xml:space="preserve">iálne znevýhodneného prostredia </w:t>
      </w:r>
      <w:r w:rsidR="00CB152B" w:rsidRPr="00CB152B">
        <w:rPr>
          <w:rFonts w:ascii="Times New Roman" w:eastAsia="Times New Roman" w:hAnsi="Times New Roman"/>
          <w:sz w:val="24"/>
          <w:szCs w:val="24"/>
          <w:lang w:eastAsia="sk-SK"/>
        </w:rPr>
        <w:t>pôsobí jeden asistent u</w:t>
      </w:r>
      <w:r w:rsidR="00CB152B">
        <w:rPr>
          <w:rFonts w:ascii="Times New Roman" w:eastAsia="Times New Roman" w:hAnsi="Times New Roman"/>
          <w:sz w:val="24"/>
          <w:szCs w:val="24"/>
          <w:lang w:eastAsia="sk-SK"/>
        </w:rPr>
        <w:t xml:space="preserve">čiteľa alebo sociálny pedagóg. Zriaďovateľ </w:t>
      </w:r>
      <w:r w:rsidR="00001C0E">
        <w:rPr>
          <w:rFonts w:ascii="Times New Roman" w:eastAsia="Times New Roman" w:hAnsi="Times New Roman"/>
          <w:sz w:val="24"/>
          <w:szCs w:val="24"/>
          <w:lang w:eastAsia="sk-SK"/>
        </w:rPr>
        <w:t>je povinný použiť najmenej 50</w:t>
      </w:r>
      <w:r w:rsidR="00CB152B" w:rsidRPr="00CB152B">
        <w:rPr>
          <w:rFonts w:ascii="Times New Roman" w:eastAsia="Times New Roman" w:hAnsi="Times New Roman"/>
          <w:sz w:val="24"/>
          <w:szCs w:val="24"/>
          <w:lang w:eastAsia="sk-SK"/>
        </w:rPr>
        <w:t xml:space="preserve"> % z celkového príspevku na skvalitnenie podmienok na výchovu a vzdelávanie žiakov zo </w:t>
      </w:r>
      <w:r w:rsidR="00CB152B" w:rsidRPr="00CB152B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sociálne znevýhodneného prostredia pre základnú školu na osobné náklady asistenta učiteľa pre žiakov zo sociálne znevýhodneného prostredia alebo sociálneho pedagóga.</w:t>
      </w:r>
      <w:r w:rsidR="00CB152B">
        <w:rPr>
          <w:rFonts w:ascii="Times New Roman" w:eastAsia="Times New Roman" w:hAnsi="Times New Roman"/>
          <w:sz w:val="24"/>
          <w:szCs w:val="24"/>
          <w:lang w:eastAsia="sk-SK"/>
        </w:rPr>
        <w:t>“</w:t>
      </w:r>
    </w:p>
    <w:p w:rsidR="001E2264" w:rsidRPr="00F21499" w:rsidRDefault="001E2264" w:rsidP="001E2264"/>
    <w:p w:rsidR="00FD2C5B" w:rsidRDefault="002D3108" w:rsidP="00FD2C5B">
      <w:pPr>
        <w:jc w:val="center"/>
        <w:rPr>
          <w:rStyle w:val="awspan"/>
          <w:b/>
          <w:bCs/>
          <w:color w:val="000000"/>
        </w:rPr>
      </w:pPr>
      <w:r>
        <w:rPr>
          <w:rStyle w:val="awspan"/>
          <w:b/>
          <w:bCs/>
          <w:color w:val="000000"/>
        </w:rPr>
        <w:t>Čl. III</w:t>
      </w:r>
    </w:p>
    <w:p w:rsidR="008A70D5" w:rsidRDefault="008A70D5" w:rsidP="00FD2C5B">
      <w:pPr>
        <w:jc w:val="center"/>
        <w:rPr>
          <w:rStyle w:val="awspan"/>
          <w:b/>
          <w:bCs/>
          <w:color w:val="000000"/>
        </w:rPr>
      </w:pPr>
    </w:p>
    <w:p w:rsidR="00FD2C5B" w:rsidRPr="008A70D5" w:rsidRDefault="008A70D5" w:rsidP="008A70D5">
      <w:pPr>
        <w:jc w:val="both"/>
        <w:rPr>
          <w:color w:val="000000"/>
        </w:rPr>
      </w:pPr>
      <w:r w:rsidRPr="008A70D5">
        <w:rPr>
          <w:rStyle w:val="awspan"/>
          <w:color w:val="000000"/>
        </w:rPr>
        <w:t>Zákon</w:t>
      </w:r>
      <w:r>
        <w:rPr>
          <w:rStyle w:val="awspan"/>
          <w:color w:val="000000"/>
          <w:spacing w:val="79"/>
        </w:rPr>
        <w:t xml:space="preserve"> </w:t>
      </w:r>
      <w:r w:rsidRPr="008A70D5">
        <w:rPr>
          <w:rStyle w:val="awspan"/>
          <w:color w:val="000000"/>
        </w:rPr>
        <w:t>č. 553/2003 Z. z.</w:t>
      </w:r>
      <w:r>
        <w:rPr>
          <w:rStyle w:val="awspan"/>
          <w:color w:val="000000"/>
        </w:rPr>
        <w:t xml:space="preserve"> </w:t>
      </w:r>
      <w:r w:rsidRPr="008A70D5">
        <w:rPr>
          <w:rStyle w:val="awspan"/>
          <w:color w:val="000000"/>
        </w:rPr>
        <w:t>o odmeňovaní niektorých zamestnancov pri výkone práce vo verejnom záujme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a o zmene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a doplnení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niektorých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zákonov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v znení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369/2004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10"/>
        </w:rPr>
        <w:t xml:space="preserve"> </w:t>
      </w:r>
      <w:r w:rsidRPr="008A70D5">
        <w:rPr>
          <w:rStyle w:val="awspan"/>
          <w:color w:val="000000"/>
        </w:rPr>
        <w:t>z., 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413/2004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81/2005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204/2005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 131/2005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628/2005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231/2006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316/2006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 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348/2007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519/2007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245/2008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 385/2008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474/2008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317/2009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400/2009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9"/>
        </w:rPr>
        <w:t xml:space="preserve"> </w:t>
      </w:r>
      <w:r w:rsidRPr="008A70D5">
        <w:rPr>
          <w:rStyle w:val="awspan"/>
          <w:color w:val="000000"/>
        </w:rPr>
        <w:t>z., 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578/2009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102/2010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151/2010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44"/>
        </w:rPr>
        <w:t xml:space="preserve"> </w:t>
      </w:r>
      <w:r w:rsidRPr="008A70D5">
        <w:rPr>
          <w:rStyle w:val="awspan"/>
          <w:color w:val="000000"/>
        </w:rPr>
        <w:t>č. 390/2011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62/2012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438/2012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nálezu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Ústavného</w:t>
      </w:r>
      <w:r w:rsidRPr="008A70D5">
        <w:rPr>
          <w:rStyle w:val="awspan"/>
          <w:color w:val="000000"/>
          <w:spacing w:val="32"/>
        </w:rPr>
        <w:t xml:space="preserve"> </w:t>
      </w:r>
      <w:r w:rsidRPr="008A70D5">
        <w:rPr>
          <w:rStyle w:val="awspan"/>
          <w:color w:val="000000"/>
        </w:rPr>
        <w:t>súdu Slovenskej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republiky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288/2013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462/2013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325/2014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21"/>
        </w:rPr>
        <w:t xml:space="preserve"> </w:t>
      </w:r>
      <w:r w:rsidRPr="008A70D5">
        <w:rPr>
          <w:rStyle w:val="awspan"/>
          <w:color w:val="000000"/>
        </w:rPr>
        <w:t>z., 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32/2015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392/2015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217/2016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z.,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zákona</w:t>
      </w:r>
      <w:r w:rsidRPr="008A70D5">
        <w:rPr>
          <w:rStyle w:val="awspan"/>
          <w:color w:val="000000"/>
          <w:spacing w:val="52"/>
        </w:rPr>
        <w:t xml:space="preserve"> </w:t>
      </w:r>
      <w:r w:rsidRPr="008A70D5">
        <w:rPr>
          <w:rStyle w:val="awspan"/>
          <w:color w:val="000000"/>
        </w:rPr>
        <w:t>č. 243/2017 Z. z.</w:t>
      </w:r>
      <w:r>
        <w:rPr>
          <w:rStyle w:val="awspan"/>
          <w:color w:val="000000"/>
        </w:rPr>
        <w:t>,</w:t>
      </w:r>
      <w:r w:rsidRPr="008A70D5">
        <w:rPr>
          <w:rStyle w:val="awspan"/>
          <w:color w:val="000000"/>
        </w:rPr>
        <w:t xml:space="preserve">  zákona č. 63/2018 Z. z. </w:t>
      </w:r>
      <w:r>
        <w:rPr>
          <w:rStyle w:val="awspan"/>
          <w:color w:val="000000"/>
        </w:rPr>
        <w:t xml:space="preserve">a zákona č. </w:t>
      </w:r>
      <w:r w:rsidR="003B7F68">
        <w:rPr>
          <w:rStyle w:val="awspan"/>
          <w:color w:val="000000"/>
        </w:rPr>
        <w:t>318</w:t>
      </w:r>
      <w:r>
        <w:rPr>
          <w:rStyle w:val="awspan"/>
          <w:color w:val="000000"/>
        </w:rPr>
        <w:t>/2018 Z. z. s</w:t>
      </w:r>
      <w:r w:rsidRPr="008A70D5">
        <w:rPr>
          <w:rStyle w:val="awspan"/>
          <w:color w:val="000000"/>
        </w:rPr>
        <w:t>a mení a dopĺňa takto:</w:t>
      </w:r>
    </w:p>
    <w:p w:rsidR="0081283F" w:rsidRDefault="0081283F" w:rsidP="00FD2C5B">
      <w:pPr>
        <w:jc w:val="center"/>
        <w:rPr>
          <w:color w:val="000000"/>
          <w:sz w:val="27"/>
          <w:szCs w:val="27"/>
        </w:rPr>
      </w:pPr>
    </w:p>
    <w:p w:rsidR="0081283F" w:rsidRPr="0081283F" w:rsidRDefault="0081283F" w:rsidP="00C153EE">
      <w:pPr>
        <w:pStyle w:val="Odsekzoznamu"/>
        <w:ind w:left="360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>V § 14d ods. 3 prvej vete sa slová „najviac 2,5%“ nahrádzajú slovami „najviac 5%“.</w:t>
      </w:r>
    </w:p>
    <w:p w:rsidR="00474F18" w:rsidRPr="00DB6C7B" w:rsidRDefault="00474F18" w:rsidP="00474F18">
      <w:pPr>
        <w:spacing w:after="240"/>
        <w:jc w:val="center"/>
      </w:pPr>
      <w:r w:rsidRPr="00DB6C7B">
        <w:rPr>
          <w:b/>
        </w:rPr>
        <w:t>Čl. I</w:t>
      </w:r>
      <w:r>
        <w:rPr>
          <w:b/>
        </w:rPr>
        <w:t>V</w:t>
      </w:r>
    </w:p>
    <w:p w:rsidR="00474F18" w:rsidRDefault="00474F18" w:rsidP="00474F18">
      <w:pPr>
        <w:spacing w:after="360"/>
        <w:jc w:val="both"/>
      </w:pPr>
      <w:r w:rsidRPr="00D52CF8"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</w:t>
      </w:r>
      <w:r>
        <w:t xml:space="preserve"> z.,</w:t>
      </w:r>
      <w:r w:rsidRPr="00D52CF8">
        <w:t xml:space="preserve"> zákona č. 225/2019 Z. z. </w:t>
      </w:r>
      <w:r>
        <w:t xml:space="preserve">a zákona č. 231/2019 Z. z. </w:t>
      </w:r>
      <w:r w:rsidRPr="00D52CF8">
        <w:t>sa mení a dopĺňa takto:</w:t>
      </w:r>
    </w:p>
    <w:p w:rsidR="00474F18" w:rsidRPr="00EA47D0" w:rsidRDefault="00474F18" w:rsidP="00474F18">
      <w:pPr>
        <w:pStyle w:val="Odsekzoznamu"/>
        <w:numPr>
          <w:ilvl w:val="0"/>
          <w:numId w:val="24"/>
        </w:num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159 písm. i), § 160 písm. e), § 168 ods. 2 písm. j) a ods. 3 písm. h) sa číslo „19“ nahrádza číslom „21“.</w:t>
      </w:r>
    </w:p>
    <w:p w:rsidR="00474F18" w:rsidRDefault="00474F18" w:rsidP="00474F18">
      <w:pPr>
        <w:pStyle w:val="Odsekzoznamu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170 sa za odsek 10 vkladajú nové odseky 11 a 12, ktoré znejú:</w:t>
      </w:r>
    </w:p>
    <w:p w:rsidR="00474F18" w:rsidRDefault="00474F18" w:rsidP="00474F18">
      <w:pPr>
        <w:spacing w:after="120"/>
        <w:jc w:val="both"/>
      </w:pPr>
      <w:r>
        <w:t xml:space="preserve">„(11) </w:t>
      </w:r>
      <w:r w:rsidRPr="00D52CF8">
        <w:t xml:space="preserve">Sociálna poisťovňa poskytuje </w:t>
      </w:r>
      <w:r>
        <w:t xml:space="preserve">na účel analýz ekonomického zázemia detí a žiakov z najmenej rozvinutých okresov </w:t>
      </w:r>
      <w:r w:rsidRPr="00D52CF8">
        <w:t xml:space="preserve">ministerstvu školstva </w:t>
      </w:r>
      <w:r>
        <w:t xml:space="preserve">podľa </w:t>
      </w:r>
      <w:r w:rsidRPr="00D52CF8">
        <w:t>údajov z centrálneho registra detí, žiakov a</w:t>
      </w:r>
      <w:r>
        <w:t> </w:t>
      </w:r>
      <w:r w:rsidRPr="00D52CF8">
        <w:t>poslucháčov</w:t>
      </w:r>
      <w:r w:rsidRPr="007F0276">
        <w:rPr>
          <w:vertAlign w:val="superscript"/>
        </w:rPr>
        <w:t>92aca</w:t>
      </w:r>
      <w:r>
        <w:t xml:space="preserve">) </w:t>
      </w:r>
      <w:r w:rsidRPr="00D52CF8">
        <w:t xml:space="preserve">na základe </w:t>
      </w:r>
      <w:r>
        <w:t xml:space="preserve">rodného čísla </w:t>
      </w:r>
      <w:r w:rsidRPr="000F6E4E">
        <w:t>rodič</w:t>
      </w:r>
      <w:r>
        <w:t>a dieťaťa alebo žiaka</w:t>
      </w:r>
      <w:r w:rsidRPr="000F6E4E">
        <w:t xml:space="preserve"> alebo </w:t>
      </w:r>
      <w:r>
        <w:t xml:space="preserve">rodného čísla </w:t>
      </w:r>
      <w:r w:rsidRPr="000F6E4E">
        <w:t xml:space="preserve">inej fyzickej osoby než rodiča, ktorá má </w:t>
      </w:r>
      <w:r>
        <w:t>dieťa alebo žiaka</w:t>
      </w:r>
      <w:r w:rsidRPr="000F6E4E">
        <w:t xml:space="preserve"> zverené</w:t>
      </w:r>
      <w:r>
        <w:t>ho</w:t>
      </w:r>
      <w:r w:rsidRPr="000F6E4E">
        <w:t xml:space="preserve"> do osobnej starostlivosti alebo do pestúnskej starostlivosti na základe rozhodnutia súdu</w:t>
      </w:r>
      <w:r>
        <w:t xml:space="preserve">, </w:t>
      </w:r>
      <w:r w:rsidRPr="00D52CF8">
        <w:t xml:space="preserve">údaje </w:t>
      </w:r>
      <w:r>
        <w:t xml:space="preserve">o tejto osobe </w:t>
      </w:r>
      <w:r w:rsidRPr="00D52CF8">
        <w:t>zo svojho informačného systému</w:t>
      </w:r>
      <w:r>
        <w:t xml:space="preserve"> v rozsahu</w:t>
      </w:r>
    </w:p>
    <w:p w:rsidR="00474F18" w:rsidRDefault="00474F18" w:rsidP="00474F18">
      <w:pPr>
        <w:pStyle w:val="Odsekzoznamu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 ak príslušnú osobu Sociálna poisťovňa eviduje vo svojom informačnom systéme,</w:t>
      </w:r>
    </w:p>
    <w:p w:rsidR="00474F18" w:rsidRDefault="00474F18" w:rsidP="00474F18">
      <w:pPr>
        <w:pStyle w:val="Odsekzoznamu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vymeriavací základ podľa § 138 ods. 1, 2 alebo ods. 3, ak je v príslušnom kalendárnom mesiaci najviac v sume 1,7-násobku minimálnej mzdy za mesiac, inak sa zasiela hodnota „99999“,</w:t>
      </w:r>
    </w:p>
    <w:p w:rsidR="00474F18" w:rsidRDefault="00474F18" w:rsidP="00474F18">
      <w:pPr>
        <w:pStyle w:val="Odsekzoznamu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vymeriavací základ zamestnávateľa na platenie poistného na úrazové poistenie príslušnej osoby, ak je v príslušnom kalendárnom mesiaci najviac v sume 1,7-násobku minimálnej mzdy za mesiac,</w:t>
      </w:r>
      <w:r w:rsidRPr="00054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inak sa zasiela hodnota „99999“,</w:t>
      </w:r>
    </w:p>
    <w:p w:rsidR="00474F18" w:rsidRDefault="00474F18" w:rsidP="00474F18">
      <w:pPr>
        <w:pStyle w:val="Odsekzoznamu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kalendárnych dní, počas ktorých bola v príslušnom kalendárnom mesiaci osoba s vymeriavacím základom podľa písmena b) úrazovo poistená,</w:t>
      </w:r>
    </w:p>
    <w:p w:rsidR="00474F18" w:rsidRDefault="00474F18" w:rsidP="00474F18">
      <w:pPr>
        <w:pStyle w:val="Odsekzoznamu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kalendárnych dní, počas ktorých bola v príslušnom kalendárnom mesiaci osoba s vymeriavacím základom podľa písmena b) povinne dôchodkovo poistená,</w:t>
      </w:r>
    </w:p>
    <w:p w:rsidR="00474F18" w:rsidRDefault="00474F18" w:rsidP="00474F18">
      <w:pPr>
        <w:pStyle w:val="Odsekzoznamu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údaje o dávkach nemocenského poistenia, dôchodkového poistenia a poistenia v nezamestnanosti v rozsahu</w:t>
      </w:r>
    </w:p>
    <w:p w:rsidR="00474F18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a druh nemocenskej dávky, ak je v príslušnom kalendárnom mesiaci najviac v sume 1,7-násobku minimálnej mzdy za mesiac, inak sa zasiela hodnota „99999“,</w:t>
      </w:r>
    </w:p>
    <w:p w:rsidR="00474F18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starobného dôchodku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osoby, ak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v príslušnom kalendárnom mesiaci najviac v sume 1,7-násobku minimálnej mzdy za mesiac,</w:t>
      </w:r>
      <w:r w:rsidRPr="00340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inak sa zasiela hodnota „99999“,</w:t>
      </w:r>
    </w:p>
    <w:p w:rsidR="00474F18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predčasného starobného dôchodku,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v príslušnom kalendárnom mesiaci najviac v sume 1,7-násobku minimálnej mzdy za mesiac, inak sa zasiela hodnota „99999“,</w:t>
      </w:r>
    </w:p>
    <w:p w:rsidR="00474F18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invalidného dôchodku, ak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v príslušnom kalendárnom mesiaci najviac v sume 1,7-násobku minimálnej mzdy za mesiac, inak sa zasiela hodnota „99999“,</w:t>
      </w:r>
    </w:p>
    <w:p w:rsidR="00474F18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vdovského dôchodku alebo vdoveckého dôchodku, ak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v príslušnom kalendárnom mesiaci najviac v sume 1,7-násobku minimálnej mzdy za mesiac, inak sa zasiela hodnota „99999“,</w:t>
      </w:r>
    </w:p>
    <w:p w:rsidR="00474F18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sirotského dôchodku, ak</w:t>
      </w:r>
      <w:r w:rsidRPr="00B63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v príslušnom kalendárnom mesiaci najviac v sume 1,7-násobku minimálnej mzdy za mesiac, inak sa zasiela hodnota „99999“,</w:t>
      </w:r>
    </w:p>
    <w:p w:rsidR="00474F18" w:rsidRPr="00C82202" w:rsidRDefault="00474F18" w:rsidP="00474F18">
      <w:pPr>
        <w:pStyle w:val="Odsekzoznamu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82202">
        <w:rPr>
          <w:rFonts w:ascii="Times New Roman" w:hAnsi="Times New Roman"/>
          <w:sz w:val="24"/>
          <w:szCs w:val="24"/>
        </w:rPr>
        <w:lastRenderedPageBreak/>
        <w:t>výška dávky v</w:t>
      </w:r>
      <w:r>
        <w:rPr>
          <w:rFonts w:ascii="Times New Roman" w:hAnsi="Times New Roman"/>
          <w:sz w:val="24"/>
          <w:szCs w:val="24"/>
        </w:rPr>
        <w:t> </w:t>
      </w:r>
      <w:r w:rsidRPr="00C82202">
        <w:rPr>
          <w:rFonts w:ascii="Times New Roman" w:hAnsi="Times New Roman"/>
          <w:sz w:val="24"/>
          <w:szCs w:val="24"/>
        </w:rPr>
        <w:t>nezamestnanosti</w:t>
      </w:r>
      <w:r>
        <w:rPr>
          <w:rFonts w:ascii="Times New Roman" w:hAnsi="Times New Roman"/>
          <w:sz w:val="24"/>
          <w:szCs w:val="24"/>
        </w:rPr>
        <w:t>, ak je v príslušnom kalendárnom mesiaci najviac v sume 1,7-násobku minimálnej mzdy za mesiac, inak sa zasiela hodnota „99999“</w:t>
      </w:r>
      <w:r w:rsidRPr="00C82202">
        <w:rPr>
          <w:rFonts w:ascii="Times New Roman" w:hAnsi="Times New Roman"/>
          <w:sz w:val="24"/>
          <w:szCs w:val="24"/>
        </w:rPr>
        <w:t>.</w:t>
      </w:r>
    </w:p>
    <w:p w:rsidR="00474F18" w:rsidRPr="00534D55" w:rsidRDefault="00474F18" w:rsidP="00474F18">
      <w:pPr>
        <w:spacing w:after="120"/>
        <w:jc w:val="both"/>
      </w:pPr>
      <w:r>
        <w:t>(12) Sociálna poisťovňa poskytuje údaje podľa odseku 1 ministerstvu školstva raz ročne za predchádzajúcich 12 kalendárnych mesiacov pre každý kalendárny mesiac podľa stavu k poslednému dňu príslušného kalendárneho mesiaca spôsobom upraveným v dohode medzi Sociálnou poisťovňou a ministerstvom školstva.“.</w:t>
      </w:r>
    </w:p>
    <w:p w:rsidR="00474F18" w:rsidRDefault="00474F18" w:rsidP="00474F18">
      <w:pPr>
        <w:spacing w:after="120"/>
        <w:jc w:val="both"/>
      </w:pPr>
    </w:p>
    <w:p w:rsidR="00474F18" w:rsidRDefault="00474F18" w:rsidP="00474F18">
      <w:pPr>
        <w:spacing w:after="120"/>
        <w:jc w:val="both"/>
      </w:pPr>
      <w:r>
        <w:t>Doterajšie odseky 11 až 21 sa označujú ako odseky 13 až 23.</w:t>
      </w:r>
    </w:p>
    <w:p w:rsidR="00474F18" w:rsidRDefault="00474F18" w:rsidP="00474F18">
      <w:pPr>
        <w:spacing w:after="120"/>
        <w:jc w:val="both"/>
      </w:pPr>
      <w:r>
        <w:t>Poznámka pod čiarou k odkazu 92aca znie:</w:t>
      </w:r>
    </w:p>
    <w:p w:rsidR="00474F18" w:rsidRDefault="00474F18" w:rsidP="00474F18">
      <w:pPr>
        <w:spacing w:after="120"/>
        <w:jc w:val="both"/>
      </w:pPr>
      <w:r>
        <w:t>„</w:t>
      </w:r>
      <w:r w:rsidRPr="000F6E4E">
        <w:rPr>
          <w:vertAlign w:val="superscript"/>
        </w:rPr>
        <w:t>92aca</w:t>
      </w:r>
      <w:r>
        <w:t>) § 157 zákona č. 245/2008 Z. z. o výchove a vzdelávaní (školský zákon) a o zmene a doplnení niektorých zákonov v znení neskorších predpisov.“.</w:t>
      </w:r>
    </w:p>
    <w:p w:rsidR="00474F18" w:rsidRDefault="00474F18" w:rsidP="002D3108">
      <w:pPr>
        <w:spacing w:after="240"/>
        <w:jc w:val="center"/>
        <w:rPr>
          <w:b/>
        </w:rPr>
      </w:pPr>
    </w:p>
    <w:p w:rsidR="002D3108" w:rsidRDefault="00474F18" w:rsidP="002D3108">
      <w:pPr>
        <w:spacing w:after="240"/>
        <w:jc w:val="center"/>
      </w:pPr>
      <w:r>
        <w:rPr>
          <w:b/>
        </w:rPr>
        <w:t xml:space="preserve">Čl. </w:t>
      </w:r>
      <w:r w:rsidR="002D3108">
        <w:rPr>
          <w:b/>
        </w:rPr>
        <w:t>V</w:t>
      </w:r>
    </w:p>
    <w:p w:rsidR="002D3108" w:rsidRDefault="002D3108" w:rsidP="002D3108">
      <w:pPr>
        <w:spacing w:after="360"/>
        <w:jc w:val="both"/>
      </w:pPr>
      <w: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 a zákona č. 221/2019 Z. z. sa mení takto:</w:t>
      </w:r>
    </w:p>
    <w:p w:rsidR="00D33B17" w:rsidRDefault="002D3108" w:rsidP="00D33B17">
      <w:pPr>
        <w:spacing w:after="360"/>
        <w:jc w:val="both"/>
        <w:rPr>
          <w:color w:val="FF0000"/>
        </w:rPr>
      </w:pPr>
      <w:r w:rsidRPr="004C2D94">
        <w:t>V § 6 ods. 1, § 6 ods. 2 písm. a), § 9 ods. 1 písm. a) a § 9 ods. 2</w:t>
      </w:r>
      <w:r>
        <w:t xml:space="preserve"> úvodnej vete sa slová „a zrušuje všeobecne záväzným nariadením“ nahrádzajú slovami „všeobecne záväzným nariadením a zrušuje“.</w:t>
      </w:r>
      <w:r w:rsidR="00D70DC9">
        <w:rPr>
          <w:color w:val="FF0000"/>
        </w:rPr>
        <w:t xml:space="preserve"> </w:t>
      </w:r>
    </w:p>
    <w:p w:rsidR="0081283F" w:rsidRDefault="00C910A0" w:rsidP="00D33B17">
      <w:pPr>
        <w:spacing w:after="360"/>
        <w:jc w:val="center"/>
        <w:rPr>
          <w:rStyle w:val="awspan"/>
          <w:b/>
          <w:bCs/>
          <w:color w:val="000000"/>
        </w:rPr>
      </w:pPr>
      <w:r>
        <w:rPr>
          <w:rStyle w:val="awspan"/>
          <w:b/>
          <w:bCs/>
          <w:color w:val="000000"/>
        </w:rPr>
        <w:t xml:space="preserve">Čl. </w:t>
      </w:r>
      <w:r w:rsidR="0081283F">
        <w:rPr>
          <w:rStyle w:val="awspan"/>
          <w:b/>
          <w:bCs/>
          <w:color w:val="000000"/>
        </w:rPr>
        <w:t>V</w:t>
      </w:r>
      <w:r w:rsidR="00474F18">
        <w:rPr>
          <w:rStyle w:val="awspan"/>
          <w:b/>
          <w:bCs/>
          <w:color w:val="000000"/>
        </w:rPr>
        <w:t>I</w:t>
      </w:r>
    </w:p>
    <w:p w:rsidR="002804BD" w:rsidRDefault="002804BD" w:rsidP="00FD2C5B">
      <w:pPr>
        <w:jc w:val="center"/>
        <w:rPr>
          <w:color w:val="000000"/>
          <w:sz w:val="27"/>
          <w:szCs w:val="27"/>
        </w:rPr>
      </w:pPr>
    </w:p>
    <w:p w:rsidR="001E2264" w:rsidRDefault="00FD2C5B">
      <w:r>
        <w:rPr>
          <w:color w:val="000000"/>
        </w:rPr>
        <w:t>Tento zákon nadobúda účinnosť 1. januára 2020.</w:t>
      </w:r>
    </w:p>
    <w:sectPr w:rsidR="001E2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062"/>
    <w:multiLevelType w:val="hybridMultilevel"/>
    <w:tmpl w:val="6BBC8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C16B8"/>
    <w:multiLevelType w:val="hybridMultilevel"/>
    <w:tmpl w:val="81B0A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2F8"/>
    <w:multiLevelType w:val="hybridMultilevel"/>
    <w:tmpl w:val="275AF610"/>
    <w:lvl w:ilvl="0" w:tplc="C2C8E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0C8C"/>
    <w:multiLevelType w:val="hybridMultilevel"/>
    <w:tmpl w:val="2500D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4908"/>
    <w:multiLevelType w:val="hybridMultilevel"/>
    <w:tmpl w:val="068475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E5BC6"/>
    <w:multiLevelType w:val="hybridMultilevel"/>
    <w:tmpl w:val="18C48B5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88E233C"/>
    <w:multiLevelType w:val="hybridMultilevel"/>
    <w:tmpl w:val="01FC6968"/>
    <w:lvl w:ilvl="0" w:tplc="B5EEE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E0BAC"/>
    <w:multiLevelType w:val="hybridMultilevel"/>
    <w:tmpl w:val="F662B82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1678F0"/>
    <w:multiLevelType w:val="hybridMultilevel"/>
    <w:tmpl w:val="2C9A8428"/>
    <w:lvl w:ilvl="0" w:tplc="8C5C3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AA29A2"/>
    <w:multiLevelType w:val="hybridMultilevel"/>
    <w:tmpl w:val="660EC51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6C41"/>
    <w:multiLevelType w:val="hybridMultilevel"/>
    <w:tmpl w:val="89F065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31B2C"/>
    <w:multiLevelType w:val="hybridMultilevel"/>
    <w:tmpl w:val="EAEE6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A0B9A"/>
    <w:multiLevelType w:val="hybridMultilevel"/>
    <w:tmpl w:val="649AF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B208A"/>
    <w:multiLevelType w:val="hybridMultilevel"/>
    <w:tmpl w:val="BFA6CDAC"/>
    <w:lvl w:ilvl="0" w:tplc="DBF4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A4DA0"/>
    <w:multiLevelType w:val="hybridMultilevel"/>
    <w:tmpl w:val="88B4DF3E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5086587E"/>
    <w:multiLevelType w:val="hybridMultilevel"/>
    <w:tmpl w:val="2FB0DE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90C57"/>
    <w:multiLevelType w:val="hybridMultilevel"/>
    <w:tmpl w:val="77C40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E439D"/>
    <w:multiLevelType w:val="hybridMultilevel"/>
    <w:tmpl w:val="38160222"/>
    <w:lvl w:ilvl="0" w:tplc="C2C8E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01240"/>
    <w:multiLevelType w:val="hybridMultilevel"/>
    <w:tmpl w:val="25AC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A340D1"/>
    <w:multiLevelType w:val="hybridMultilevel"/>
    <w:tmpl w:val="C4B04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C7932"/>
    <w:multiLevelType w:val="hybridMultilevel"/>
    <w:tmpl w:val="E0801FFC"/>
    <w:lvl w:ilvl="0" w:tplc="DF50BD32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7304B1"/>
    <w:multiLevelType w:val="hybridMultilevel"/>
    <w:tmpl w:val="46A22970"/>
    <w:lvl w:ilvl="0" w:tplc="3412F6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97297"/>
    <w:multiLevelType w:val="hybridMultilevel"/>
    <w:tmpl w:val="C5307D68"/>
    <w:lvl w:ilvl="0" w:tplc="041B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F6D7B"/>
    <w:multiLevelType w:val="hybridMultilevel"/>
    <w:tmpl w:val="A4140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54F44"/>
    <w:multiLevelType w:val="hybridMultilevel"/>
    <w:tmpl w:val="35D802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98623A"/>
    <w:multiLevelType w:val="hybridMultilevel"/>
    <w:tmpl w:val="368AB3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2"/>
  </w:num>
  <w:num w:numId="6">
    <w:abstractNumId w:val="21"/>
  </w:num>
  <w:num w:numId="7">
    <w:abstractNumId w:val="25"/>
  </w:num>
  <w:num w:numId="8">
    <w:abstractNumId w:val="23"/>
  </w:num>
  <w:num w:numId="9">
    <w:abstractNumId w:val="20"/>
  </w:num>
  <w:num w:numId="10">
    <w:abstractNumId w:val="5"/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  <w:num w:numId="15">
    <w:abstractNumId w:val="16"/>
  </w:num>
  <w:num w:numId="16">
    <w:abstractNumId w:val="15"/>
  </w:num>
  <w:num w:numId="17">
    <w:abstractNumId w:val="3"/>
  </w:num>
  <w:num w:numId="18">
    <w:abstractNumId w:val="4"/>
  </w:num>
  <w:num w:numId="19">
    <w:abstractNumId w:val="19"/>
  </w:num>
  <w:num w:numId="20">
    <w:abstractNumId w:val="8"/>
  </w:num>
  <w:num w:numId="21">
    <w:abstractNumId w:val="6"/>
  </w:num>
  <w:num w:numId="22">
    <w:abstractNumId w:val="22"/>
  </w:num>
  <w:num w:numId="23">
    <w:abstractNumId w:val="24"/>
  </w:num>
  <w:num w:numId="24">
    <w:abstractNumId w:val="18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D"/>
    <w:rsid w:val="00001C0E"/>
    <w:rsid w:val="0003141A"/>
    <w:rsid w:val="0011714E"/>
    <w:rsid w:val="001474F8"/>
    <w:rsid w:val="00167E30"/>
    <w:rsid w:val="001A6B77"/>
    <w:rsid w:val="001C5650"/>
    <w:rsid w:val="001D3A6C"/>
    <w:rsid w:val="001E0D37"/>
    <w:rsid w:val="001E2264"/>
    <w:rsid w:val="001E5CC4"/>
    <w:rsid w:val="00233FD6"/>
    <w:rsid w:val="00247F7E"/>
    <w:rsid w:val="002804BD"/>
    <w:rsid w:val="00296DE1"/>
    <w:rsid w:val="002D3108"/>
    <w:rsid w:val="002F3F77"/>
    <w:rsid w:val="003035A8"/>
    <w:rsid w:val="0039380D"/>
    <w:rsid w:val="003B7F68"/>
    <w:rsid w:val="00433666"/>
    <w:rsid w:val="00444855"/>
    <w:rsid w:val="00474F18"/>
    <w:rsid w:val="004B0BF3"/>
    <w:rsid w:val="004C2D94"/>
    <w:rsid w:val="004E7567"/>
    <w:rsid w:val="0054131F"/>
    <w:rsid w:val="0055045D"/>
    <w:rsid w:val="00553F46"/>
    <w:rsid w:val="005D1456"/>
    <w:rsid w:val="00622858"/>
    <w:rsid w:val="006C011F"/>
    <w:rsid w:val="00750F9D"/>
    <w:rsid w:val="00770783"/>
    <w:rsid w:val="00780350"/>
    <w:rsid w:val="007A397D"/>
    <w:rsid w:val="007C2849"/>
    <w:rsid w:val="007F5F63"/>
    <w:rsid w:val="0080503B"/>
    <w:rsid w:val="0081283F"/>
    <w:rsid w:val="00853E64"/>
    <w:rsid w:val="0088747E"/>
    <w:rsid w:val="008A70D5"/>
    <w:rsid w:val="008D3F9D"/>
    <w:rsid w:val="008F2FF5"/>
    <w:rsid w:val="009702B2"/>
    <w:rsid w:val="00986C1E"/>
    <w:rsid w:val="009C4CCF"/>
    <w:rsid w:val="009F5141"/>
    <w:rsid w:val="00A12537"/>
    <w:rsid w:val="00A27EB3"/>
    <w:rsid w:val="00AD5CCA"/>
    <w:rsid w:val="00B22172"/>
    <w:rsid w:val="00BC101C"/>
    <w:rsid w:val="00BF3D9D"/>
    <w:rsid w:val="00C153EE"/>
    <w:rsid w:val="00C6557A"/>
    <w:rsid w:val="00C910A0"/>
    <w:rsid w:val="00CB152B"/>
    <w:rsid w:val="00CC118F"/>
    <w:rsid w:val="00D33B17"/>
    <w:rsid w:val="00D5415D"/>
    <w:rsid w:val="00D70DC9"/>
    <w:rsid w:val="00DA725A"/>
    <w:rsid w:val="00DB3698"/>
    <w:rsid w:val="00DB641E"/>
    <w:rsid w:val="00DE3907"/>
    <w:rsid w:val="00E0444C"/>
    <w:rsid w:val="00E224A5"/>
    <w:rsid w:val="00E230FE"/>
    <w:rsid w:val="00E86E44"/>
    <w:rsid w:val="00E97FC1"/>
    <w:rsid w:val="00EC70CC"/>
    <w:rsid w:val="00EF5D57"/>
    <w:rsid w:val="00EF6CED"/>
    <w:rsid w:val="00F011EA"/>
    <w:rsid w:val="00F21499"/>
    <w:rsid w:val="00F21F41"/>
    <w:rsid w:val="00F23CC7"/>
    <w:rsid w:val="00F30038"/>
    <w:rsid w:val="00F31A60"/>
    <w:rsid w:val="00F77408"/>
    <w:rsid w:val="00F94A6D"/>
    <w:rsid w:val="00FA56EE"/>
    <w:rsid w:val="00FD2C5B"/>
    <w:rsid w:val="00FD603F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A94C"/>
  <w15:chartTrackingRefBased/>
  <w15:docId w15:val="{83B84ABD-4B4F-4D5A-86E6-30B53BA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BF3D9D"/>
  </w:style>
  <w:style w:type="character" w:customStyle="1" w:styleId="emailstyle27">
    <w:name w:val="emailstyle27"/>
    <w:semiHidden/>
    <w:rsid w:val="00BF3D9D"/>
    <w:rPr>
      <w:rFonts w:ascii="Arial" w:hAnsi="Arial" w:cs="Arial" w:hint="default"/>
      <w:color w:val="000080"/>
      <w:sz w:val="20"/>
      <w:szCs w:val="20"/>
    </w:rPr>
  </w:style>
  <w:style w:type="paragraph" w:styleId="Odsekzoznamu">
    <w:name w:val="List Paragraph"/>
    <w:basedOn w:val="Normlny"/>
    <w:uiPriority w:val="34"/>
    <w:qFormat/>
    <w:rsid w:val="00F7740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FD603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0A0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70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0D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0DC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0D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0DC9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6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8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82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3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7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9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8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6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93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62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90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6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3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7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7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2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51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3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90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CDB8-ABF0-452B-8F60-999D02F7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Černá</dc:creator>
  <cp:keywords/>
  <dc:description/>
  <cp:lastModifiedBy>Mifková, Miroslava</cp:lastModifiedBy>
  <cp:revision>2</cp:revision>
  <cp:lastPrinted>2019-08-22T09:34:00Z</cp:lastPrinted>
  <dcterms:created xsi:type="dcterms:W3CDTF">2019-08-23T08:14:00Z</dcterms:created>
  <dcterms:modified xsi:type="dcterms:W3CDTF">2019-08-23T08:14:00Z</dcterms:modified>
</cp:coreProperties>
</file>