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F04CCD" w:rsidTr="00D66402">
        <w:trPr>
          <w:trHeight w:val="567"/>
        </w:trPr>
        <w:tc>
          <w:tcPr>
            <w:tcW w:w="9212" w:type="dxa"/>
            <w:shd w:val="clear" w:color="auto" w:fill="D9D9D9" w:themeFill="background1" w:themeFillShade="D9"/>
          </w:tcPr>
          <w:p w:rsidR="009F2DFA" w:rsidRPr="00042C66" w:rsidRDefault="008A1252" w:rsidP="00D66402">
            <w:pPr>
              <w:jc w:val="center"/>
              <w:rPr>
                <w:b/>
                <w:sz w:val="24"/>
              </w:rPr>
            </w:pPr>
            <w:bookmarkStart w:id="0" w:name="_GoBack"/>
            <w:bookmarkEnd w:id="0"/>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D66402">
        <w:trPr>
          <w:trHeight w:val="567"/>
        </w:trPr>
        <w:tc>
          <w:tcPr>
            <w:tcW w:w="9212" w:type="dxa"/>
            <w:shd w:val="clear" w:color="auto" w:fill="D9D9D9" w:themeFill="background1" w:themeFillShade="D9"/>
          </w:tcPr>
          <w:p w:rsidR="009F2DFA" w:rsidRPr="00042C66" w:rsidRDefault="009F2DFA" w:rsidP="00D66402">
            <w:pPr>
              <w:rPr>
                <w:b/>
                <w:sz w:val="24"/>
              </w:rPr>
            </w:pPr>
            <w:r w:rsidRPr="00042C66">
              <w:rPr>
                <w:b/>
                <w:sz w:val="24"/>
              </w:rPr>
              <w:t>Materiál bude mať vplyv s ohľadom na veľkostnú kategóriu podnikov:</w:t>
            </w:r>
          </w:p>
        </w:tc>
      </w:tr>
      <w:tr w:rsidR="009F2DFA" w:rsidRPr="00F04CCD" w:rsidTr="00D66402">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D66402">
              <w:tc>
                <w:tcPr>
                  <w:tcW w:w="436" w:type="dxa"/>
                </w:tcPr>
                <w:p w:rsidR="009F2DFA" w:rsidRPr="00F04CCD" w:rsidRDefault="009F2DFA" w:rsidP="00D66402">
                  <w:pPr>
                    <w:jc w:val="center"/>
                  </w:pPr>
                  <w:r w:rsidRPr="00F04CCD">
                    <w:rPr>
                      <w:rFonts w:ascii="MS Mincho" w:eastAsia="MS Mincho" w:hAnsi="MS Mincho" w:cs="MS Mincho" w:hint="eastAsia"/>
                    </w:rPr>
                    <w:t>☐</w:t>
                  </w:r>
                </w:p>
              </w:tc>
              <w:tc>
                <w:tcPr>
                  <w:tcW w:w="8545" w:type="dxa"/>
                </w:tcPr>
                <w:p w:rsidR="009F2DFA" w:rsidRPr="00F04CCD" w:rsidRDefault="009F2DFA" w:rsidP="00D66402">
                  <w:pPr>
                    <w:rPr>
                      <w:b/>
                    </w:rPr>
                  </w:pPr>
                  <w:r w:rsidRPr="00F04CCD">
                    <w:rPr>
                      <w:b/>
                    </w:rPr>
                    <w:t xml:space="preserve">iba na MSP (0 - 249 zamestnancov) </w:t>
                  </w:r>
                </w:p>
              </w:tc>
            </w:tr>
            <w:tr w:rsidR="009F2DFA" w:rsidRPr="00F04CCD" w:rsidTr="00D66402">
              <w:tc>
                <w:tcPr>
                  <w:tcW w:w="436" w:type="dxa"/>
                </w:tcPr>
                <w:p w:rsidR="009F2DFA" w:rsidRPr="00F04CCD" w:rsidRDefault="009F2DFA" w:rsidP="00D66402">
                  <w:pPr>
                    <w:jc w:val="center"/>
                  </w:pPr>
                  <w:r w:rsidRPr="00F04CCD">
                    <w:rPr>
                      <w:rFonts w:ascii="MS Mincho" w:eastAsia="MS Mincho" w:hAnsi="MS Mincho" w:cs="MS Mincho" w:hint="eastAsia"/>
                    </w:rPr>
                    <w:t>☐</w:t>
                  </w:r>
                </w:p>
              </w:tc>
              <w:tc>
                <w:tcPr>
                  <w:tcW w:w="8545" w:type="dxa"/>
                </w:tcPr>
                <w:p w:rsidR="009F2DFA" w:rsidRPr="00F04CCD" w:rsidRDefault="009F2DFA" w:rsidP="00D66402">
                  <w:pPr>
                    <w:rPr>
                      <w:b/>
                    </w:rPr>
                  </w:pPr>
                  <w:r w:rsidRPr="00F04CCD">
                    <w:rPr>
                      <w:b/>
                    </w:rPr>
                    <w:t>iba na veľké podniky (250 a viac zamestnancov)</w:t>
                  </w:r>
                </w:p>
              </w:tc>
            </w:tr>
            <w:tr w:rsidR="009F2DFA" w:rsidRPr="00F04CCD" w:rsidTr="00D66402">
              <w:tc>
                <w:tcPr>
                  <w:tcW w:w="436" w:type="dxa"/>
                </w:tcPr>
                <w:p w:rsidR="009F2DFA" w:rsidRPr="00F04CCD" w:rsidRDefault="007546C5" w:rsidP="00D66402">
                  <w:pPr>
                    <w:jc w:val="center"/>
                  </w:pPr>
                  <w:r>
                    <w:rPr>
                      <w:rFonts w:ascii="MS Gothic" w:eastAsia="MS Gothic" w:hAnsi="MS Gothic" w:hint="eastAsia"/>
                    </w:rPr>
                    <w:t>☒</w:t>
                  </w:r>
                </w:p>
              </w:tc>
              <w:tc>
                <w:tcPr>
                  <w:tcW w:w="8545" w:type="dxa"/>
                </w:tcPr>
                <w:p w:rsidR="009F2DFA" w:rsidRPr="00F04CCD" w:rsidRDefault="009F2DFA" w:rsidP="00D66402">
                  <w:r w:rsidRPr="00F04CCD">
                    <w:rPr>
                      <w:b/>
                    </w:rPr>
                    <w:t xml:space="preserve">na všetky </w:t>
                  </w:r>
                  <w:r>
                    <w:rPr>
                      <w:b/>
                    </w:rPr>
                    <w:t>kategórie</w:t>
                  </w:r>
                  <w:r w:rsidRPr="00F04CCD">
                    <w:rPr>
                      <w:b/>
                    </w:rPr>
                    <w:t xml:space="preserve"> podnikov</w:t>
                  </w:r>
                </w:p>
              </w:tc>
            </w:tr>
          </w:tbl>
          <w:p w:rsidR="009F2DFA" w:rsidRPr="00F04CCD" w:rsidRDefault="009F2DFA" w:rsidP="00D66402">
            <w:pPr>
              <w:rPr>
                <w:b/>
              </w:rPr>
            </w:pPr>
          </w:p>
        </w:tc>
      </w:tr>
      <w:tr w:rsidR="009F2DFA" w:rsidRPr="00F04CCD" w:rsidTr="00D66402">
        <w:tc>
          <w:tcPr>
            <w:tcW w:w="9212" w:type="dxa"/>
            <w:shd w:val="clear" w:color="auto" w:fill="D9D9D9" w:themeFill="background1" w:themeFillShade="D9"/>
          </w:tcPr>
          <w:p w:rsidR="009F2DFA" w:rsidRPr="00042C66" w:rsidRDefault="002B1108" w:rsidP="00D66402">
            <w:pPr>
              <w:rPr>
                <w:b/>
                <w:sz w:val="24"/>
              </w:rPr>
            </w:pPr>
            <w:r>
              <w:rPr>
                <w:b/>
                <w:sz w:val="24"/>
              </w:rPr>
              <w:t>3</w:t>
            </w:r>
            <w:r w:rsidR="009F2DFA" w:rsidRPr="00042C66">
              <w:rPr>
                <w:b/>
                <w:sz w:val="24"/>
              </w:rPr>
              <w:t>.1 Dotknuté podnikateľské subjekty</w:t>
            </w:r>
          </w:p>
          <w:p w:rsidR="009F2DFA" w:rsidRPr="00F04CCD" w:rsidRDefault="009F2DFA" w:rsidP="00D66402">
            <w:pPr>
              <w:ind w:left="284"/>
              <w:rPr>
                <w:b/>
              </w:rPr>
            </w:pPr>
            <w:r w:rsidRPr="00042C66">
              <w:rPr>
                <w:sz w:val="24"/>
              </w:rPr>
              <w:t xml:space="preserve"> - </w:t>
            </w:r>
            <w:r w:rsidRPr="00042C66">
              <w:rPr>
                <w:b/>
                <w:sz w:val="24"/>
              </w:rPr>
              <w:t>z toho MSP</w:t>
            </w:r>
          </w:p>
        </w:tc>
      </w:tr>
      <w:tr w:rsidR="009F2DFA" w:rsidRPr="00F04CCD" w:rsidTr="00D66402">
        <w:tc>
          <w:tcPr>
            <w:tcW w:w="9212" w:type="dxa"/>
          </w:tcPr>
          <w:p w:rsidR="009F2DFA" w:rsidRPr="00F04CCD" w:rsidRDefault="009F2DFA" w:rsidP="00D66402">
            <w:pPr>
              <w:rPr>
                <w:i/>
              </w:rPr>
            </w:pPr>
            <w:r w:rsidRPr="00F04CCD">
              <w:rPr>
                <w:i/>
              </w:rPr>
              <w:t>Uveďte, aké podnikateľské subjekty budú predkladaným návrhom ovplyvnené.</w:t>
            </w:r>
          </w:p>
          <w:p w:rsidR="009F2DFA" w:rsidRPr="00F04CCD" w:rsidRDefault="009F2DFA" w:rsidP="00D66402">
            <w:pPr>
              <w:rPr>
                <w:i/>
              </w:rPr>
            </w:pPr>
            <w:r w:rsidRPr="00F04CCD">
              <w:rPr>
                <w:i/>
              </w:rPr>
              <w:t>Aký je ich počet?</w:t>
            </w:r>
          </w:p>
        </w:tc>
      </w:tr>
      <w:tr w:rsidR="009F2DFA" w:rsidRPr="00F04CCD" w:rsidTr="00D66402">
        <w:trPr>
          <w:trHeight w:val="1440"/>
        </w:trPr>
        <w:tc>
          <w:tcPr>
            <w:tcW w:w="9212" w:type="dxa"/>
          </w:tcPr>
          <w:p w:rsidR="00026E05" w:rsidRDefault="007546C5" w:rsidP="005D50BE">
            <w:pPr>
              <w:jc w:val="both"/>
              <w:rPr>
                <w:color w:val="000000"/>
              </w:rPr>
            </w:pPr>
            <w:r>
              <w:t xml:space="preserve">Predkladaným návrhom zákona budú ovplyvnené </w:t>
            </w:r>
            <w:r w:rsidR="005400FC">
              <w:t>všetky kategórie podnikateľských subjektov</w:t>
            </w:r>
            <w:r w:rsidR="005D50BE">
              <w:t xml:space="preserve">. </w:t>
            </w:r>
            <w:r w:rsidR="005D50BE">
              <w:rPr>
                <w:color w:val="000000"/>
              </w:rPr>
              <w:t xml:space="preserve">Počet dotknutých podnikateľských subjektov s ohľadom na </w:t>
            </w:r>
            <w:r w:rsidR="007C2BC0">
              <w:rPr>
                <w:color w:val="000000"/>
              </w:rPr>
              <w:t xml:space="preserve">vecné </w:t>
            </w:r>
            <w:r w:rsidR="005D50BE">
              <w:rPr>
                <w:color w:val="000000"/>
              </w:rPr>
              <w:t xml:space="preserve">zameranie legislatívneho materiálu nie je možné vopred určiť. </w:t>
            </w:r>
          </w:p>
          <w:p w:rsidR="00FF7487" w:rsidRDefault="005D50BE" w:rsidP="005D50BE">
            <w:pPr>
              <w:jc w:val="both"/>
            </w:pPr>
            <w:r>
              <w:t>Z analýzy vypracovanej M</w:t>
            </w:r>
            <w:r w:rsidRPr="00F6359D">
              <w:t>inisterstvom</w:t>
            </w:r>
            <w:r>
              <w:t xml:space="preserve"> spravodlivosti Slovenskej republiky</w:t>
            </w:r>
            <w:r w:rsidRPr="00F6359D">
              <w:t xml:space="preserve"> vyplynulo, že </w:t>
            </w:r>
            <w:r w:rsidR="00026E05">
              <w:t xml:space="preserve">v </w:t>
            </w:r>
            <w:r w:rsidR="00026E05" w:rsidRPr="00026E05">
              <w:t>obchodnom registri je zapísaných viac ako 300 000 subjektov</w:t>
            </w:r>
            <w:r w:rsidR="00026E05">
              <w:t>.</w:t>
            </w:r>
            <w:r w:rsidR="00026E05" w:rsidRPr="00026E05">
              <w:t xml:space="preserve"> </w:t>
            </w:r>
            <w:r w:rsidR="00026E05">
              <w:t>P</w:t>
            </w:r>
            <w:r w:rsidRPr="00F6359D">
              <w:t xml:space="preserve">očet neaktívnych obchodných spoločností, tzv. </w:t>
            </w:r>
            <w:r>
              <w:t>„</w:t>
            </w:r>
            <w:r w:rsidRPr="00F6359D">
              <w:t>mŕtvych obchodných spoločností</w:t>
            </w:r>
            <w:r>
              <w:t>“</w:t>
            </w:r>
            <w:r w:rsidRPr="00F6359D">
              <w:t>, v obchodnom</w:t>
            </w:r>
            <w:r w:rsidR="00FF7487">
              <w:t xml:space="preserve"> registri je viac ako 100 tisíc. </w:t>
            </w:r>
          </w:p>
          <w:p w:rsidR="00EB15B9" w:rsidRPr="007546C5" w:rsidRDefault="00FF7487" w:rsidP="008754FE">
            <w:pPr>
              <w:jc w:val="both"/>
            </w:pPr>
            <w:r>
              <w:t>Optimalizácia</w:t>
            </w:r>
            <w:r w:rsidRPr="00FF7487">
              <w:t xml:space="preserve"> údajovej základne obchodného registra </w:t>
            </w:r>
            <w:r>
              <w:t>je predpokladom na to</w:t>
            </w:r>
            <w:r w:rsidRPr="00FF7487">
              <w:t xml:space="preserve">, aby sa do neho nezapisovali resp. ďalej neviedli entity, pre ktoré spojenie s obchodným registrom stratilo opodstatnenie. Ide najmä o staré právne formy ako sú národné výbory, obecné podniky, či „hospodárske zariadenia“, ktoré boli do obchodného registra prevzaté ešte z právnej úpravy Hospodárskeho zákonníka. </w:t>
            </w:r>
            <w:r w:rsidR="00EB15B9">
              <w:t xml:space="preserve">Ďalej sa v rámci „čistenia obchodného registra“ navrhuje </w:t>
            </w:r>
            <w:r w:rsidR="00EB15B9" w:rsidRPr="00EB15B9">
              <w:t>zavedenie opatrenia zameraného na riešenie situácie, kedy si zapísané subjekty ešte nezmenili základné imanie na menu euro a neurobia tak ani v rámci dodatočnej lehoty od účinnosti zákona</w:t>
            </w:r>
            <w:r w:rsidR="00EB15B9">
              <w:t xml:space="preserve">. Takéto spoločnosti sa zrušia bez likvidácie (s výnimkami </w:t>
            </w:r>
            <w:r w:rsidR="00EB15B9" w:rsidRPr="00EB15B9">
              <w:t>v prípadoch, ak vo vzťahu k týmto subjektom  prebieha konkurzné konanie alebo ak sú v likvidácii a likvidátor v stanovenej lehote predloží registrovému súdu konečnú správu o priebehu likvidácie a návrh na rozdelenie likvidačného zostatku</w:t>
            </w:r>
            <w:r w:rsidR="00EB15B9">
              <w:t xml:space="preserve">). </w:t>
            </w:r>
            <w:r w:rsidR="00EB15B9" w:rsidRPr="00EB15B9">
              <w:t xml:space="preserve">Doteraz zapísané podniky zahraničných právnických osôb, ich organizačné zložky, organizačné zložky podnikov </w:t>
            </w:r>
            <w:r w:rsidR="008754FE">
              <w:t xml:space="preserve">slovenských </w:t>
            </w:r>
            <w:r w:rsidR="00EB15B9" w:rsidRPr="00EB15B9">
              <w:t>právnických osôb za účelom zabezpečenia aktuálnosti údajov zapísaných o nich v obchodnom registri, najmä vyčistenie obchodného registra od tých podnikov zahraničných osôb a ich organizačných zložiek, ktorých „materská spoločnosť“ v zahraničnom registri či evidencii už neexistuje, budú povinné sa preregistrovať. V prípade, že tieto subjekty prostredníctvom na to určeného formulára potvrdia doteraz zapísané údaje, preregistrácia nebude podliehať súdnemu poplatku.</w:t>
            </w:r>
          </w:p>
        </w:tc>
      </w:tr>
      <w:tr w:rsidR="009F2DFA" w:rsidRPr="00F04CCD" w:rsidTr="00D66402">
        <w:trPr>
          <w:trHeight w:val="339"/>
        </w:trPr>
        <w:tc>
          <w:tcPr>
            <w:tcW w:w="9212" w:type="dxa"/>
            <w:shd w:val="clear" w:color="auto" w:fill="D9D9D9" w:themeFill="background1" w:themeFillShade="D9"/>
          </w:tcPr>
          <w:p w:rsidR="009F2DFA" w:rsidRPr="00042C66" w:rsidRDefault="002B1108" w:rsidP="00D66402">
            <w:pPr>
              <w:rPr>
                <w:b/>
                <w:sz w:val="24"/>
              </w:rPr>
            </w:pPr>
            <w:r>
              <w:rPr>
                <w:b/>
                <w:sz w:val="24"/>
              </w:rPr>
              <w:t>3</w:t>
            </w:r>
            <w:r w:rsidR="009F2DFA" w:rsidRPr="00042C66">
              <w:rPr>
                <w:b/>
                <w:sz w:val="24"/>
              </w:rPr>
              <w:t>.2 Vyhodnotenie konzultácií</w:t>
            </w:r>
          </w:p>
          <w:p w:rsidR="009F2DFA" w:rsidRPr="00F04CCD" w:rsidRDefault="009F2DFA" w:rsidP="00D66402">
            <w:pPr>
              <w:rPr>
                <w:b/>
              </w:rPr>
            </w:pPr>
            <w:r w:rsidRPr="00042C66">
              <w:rPr>
                <w:sz w:val="24"/>
              </w:rPr>
              <w:t xml:space="preserve">       - </w:t>
            </w:r>
            <w:r w:rsidRPr="00042C66">
              <w:rPr>
                <w:b/>
                <w:sz w:val="24"/>
              </w:rPr>
              <w:t>z toho MSP</w:t>
            </w:r>
          </w:p>
        </w:tc>
      </w:tr>
      <w:tr w:rsidR="009F2DFA" w:rsidRPr="00F04CCD" w:rsidTr="00D66402">
        <w:trPr>
          <w:trHeight w:val="557"/>
        </w:trPr>
        <w:tc>
          <w:tcPr>
            <w:tcW w:w="9212" w:type="dxa"/>
          </w:tcPr>
          <w:p w:rsidR="009F2DFA" w:rsidRPr="00F04CCD" w:rsidRDefault="009F2DFA" w:rsidP="00D66402">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D66402">
            <w:pPr>
              <w:rPr>
                <w:i/>
              </w:rPr>
            </w:pPr>
            <w:r w:rsidRPr="00F04CCD">
              <w:rPr>
                <w:i/>
              </w:rPr>
              <w:t>Ako dlho trvali konzultácie?</w:t>
            </w:r>
          </w:p>
          <w:p w:rsidR="009F2DFA" w:rsidRPr="000D2622" w:rsidRDefault="009F2DFA" w:rsidP="00D66402">
            <w:pPr>
              <w:rPr>
                <w:i/>
              </w:rPr>
            </w:pPr>
            <w:r w:rsidRPr="00F04CCD">
              <w:rPr>
                <w:i/>
              </w:rPr>
              <w:t xml:space="preserve">Uveďte hlavné body konzultácií a výsledky konzultácií. </w:t>
            </w:r>
          </w:p>
        </w:tc>
      </w:tr>
      <w:tr w:rsidR="009F2DFA" w:rsidRPr="00F04CCD" w:rsidTr="00D66402">
        <w:trPr>
          <w:trHeight w:val="1440"/>
        </w:trPr>
        <w:tc>
          <w:tcPr>
            <w:tcW w:w="9212" w:type="dxa"/>
          </w:tcPr>
          <w:p w:rsidR="00B95273" w:rsidRDefault="00B95273" w:rsidP="007D336E">
            <w:pPr>
              <w:spacing w:after="200" w:line="230" w:lineRule="atLeast"/>
              <w:jc w:val="both"/>
            </w:pPr>
            <w:r>
              <w:t>Legislatívny materiál vychádza z nelegislatívneho materiálu „Návrh opatrení na zlepšenie fungovania obchodného registra“, ktorý bol dňa 20. apríla 2018 schválený uznesením Vlády Slovenskej republiky č. 167/2018. Uvedený nelegislatívny materiál bol predmetom rokovaní so zástupcami podnikateľského prostredia.</w:t>
            </w:r>
          </w:p>
          <w:p w:rsidR="009F2DFA" w:rsidRDefault="004F5B1A" w:rsidP="007D336E">
            <w:pPr>
              <w:spacing w:after="200" w:line="230" w:lineRule="atLeast"/>
              <w:jc w:val="both"/>
              <w:rPr>
                <w:color w:val="000000"/>
              </w:rPr>
            </w:pPr>
            <w:r>
              <w:t>K</w:t>
            </w:r>
            <w:r w:rsidR="00B95273">
              <w:t xml:space="preserve"> legislatívnemu </w:t>
            </w:r>
            <w:r>
              <w:t>materiálu bola zverejnená predbežná informácia v zmysle Legislatívnych pravidiel vlády Slovenskej republiky;</w:t>
            </w:r>
            <w:r>
              <w:rPr>
                <w:color w:val="000000"/>
              </w:rPr>
              <w:t xml:space="preserve"> </w:t>
            </w:r>
            <w:hyperlink r:id="rId9" w:history="1">
              <w:r w:rsidRPr="004F5B1A">
                <w:rPr>
                  <w:rStyle w:val="Hypertextovprepojenie"/>
                </w:rPr>
                <w:t>https://www.slov-lex.sk/legislativne-procesy/SK/PI/2018/266</w:t>
              </w:r>
            </w:hyperlink>
            <w:r>
              <w:rPr>
                <w:color w:val="000000"/>
              </w:rPr>
              <w:t xml:space="preserve"> (27.11. – 31.12.2018).</w:t>
            </w:r>
            <w:r w:rsidR="00A92033">
              <w:rPr>
                <w:color w:val="000000"/>
              </w:rPr>
              <w:t xml:space="preserve"> </w:t>
            </w:r>
            <w:r w:rsidR="005D50BE">
              <w:rPr>
                <w:color w:val="000000"/>
              </w:rPr>
              <w:t>Dňa 16</w:t>
            </w:r>
            <w:r w:rsidR="005D50BE" w:rsidRPr="005D50BE">
              <w:rPr>
                <w:color w:val="000000"/>
              </w:rPr>
              <w:t xml:space="preserve">. </w:t>
            </w:r>
            <w:r w:rsidR="005D50BE">
              <w:rPr>
                <w:color w:val="000000"/>
              </w:rPr>
              <w:t>januára 2018</w:t>
            </w:r>
            <w:r w:rsidR="005D50BE" w:rsidRPr="005D50BE">
              <w:rPr>
                <w:color w:val="000000"/>
              </w:rPr>
              <w:t xml:space="preserve"> sa </w:t>
            </w:r>
            <w:r>
              <w:rPr>
                <w:color w:val="000000"/>
              </w:rPr>
              <w:t xml:space="preserve">z vlastnej iniciatívy </w:t>
            </w:r>
            <w:r w:rsidR="005D50BE" w:rsidRPr="005D50BE">
              <w:rPr>
                <w:color w:val="000000"/>
              </w:rPr>
              <w:t xml:space="preserve">uskutočnilo </w:t>
            </w:r>
            <w:r w:rsidR="005D50BE">
              <w:rPr>
                <w:color w:val="000000"/>
              </w:rPr>
              <w:t xml:space="preserve">stretnutie </w:t>
            </w:r>
            <w:r w:rsidR="007C2BC0">
              <w:rPr>
                <w:color w:val="000000"/>
              </w:rPr>
              <w:t xml:space="preserve">s členmi </w:t>
            </w:r>
            <w:r w:rsidR="005D50BE">
              <w:rPr>
                <w:color w:val="000000"/>
              </w:rPr>
              <w:t>pracovnej skupiny</w:t>
            </w:r>
            <w:r w:rsidR="007C2BC0">
              <w:rPr>
                <w:color w:val="000000"/>
              </w:rPr>
              <w:t xml:space="preserve"> a zástupcami registrových súdov</w:t>
            </w:r>
            <w:r w:rsidR="005D50BE">
              <w:rPr>
                <w:color w:val="000000"/>
              </w:rPr>
              <w:t>, kde bol predstavený koncept legislatívneho materiálu</w:t>
            </w:r>
            <w:r w:rsidR="007C2BC0">
              <w:rPr>
                <w:color w:val="000000"/>
              </w:rPr>
              <w:t xml:space="preserve"> a zúčastnení boli vyzvaní na prípadné pripomienkovanie materiálu</w:t>
            </w:r>
            <w:r w:rsidR="005D50BE">
              <w:rPr>
                <w:color w:val="000000"/>
              </w:rPr>
              <w:t xml:space="preserve">. </w:t>
            </w:r>
            <w:r w:rsidR="005A429B">
              <w:rPr>
                <w:color w:val="000000"/>
              </w:rPr>
              <w:t xml:space="preserve"> </w:t>
            </w:r>
          </w:p>
          <w:p w:rsidR="00534FFE" w:rsidRDefault="005A429B" w:rsidP="005A429B">
            <w:pPr>
              <w:spacing w:after="200" w:line="230" w:lineRule="atLeast"/>
              <w:jc w:val="both"/>
              <w:rPr>
                <w:color w:val="000000"/>
              </w:rPr>
            </w:pPr>
            <w:r w:rsidRPr="005A429B">
              <w:rPr>
                <w:color w:val="000000"/>
              </w:rPr>
              <w:t>Ďalej boli z vlastnej iniciatívy predkladateľom uskutočnené konzultácie s</w:t>
            </w:r>
            <w:r>
              <w:rPr>
                <w:color w:val="000000"/>
              </w:rPr>
              <w:t> vybranými ministerstvami ako gestormi niektorých osobitných právnych predpisov dotknutých novonavrhovanou právnou úpravou.</w:t>
            </w:r>
            <w:r w:rsidRPr="005A429B">
              <w:rPr>
                <w:color w:val="000000"/>
              </w:rPr>
              <w:t xml:space="preserve"> </w:t>
            </w:r>
          </w:p>
          <w:p w:rsidR="005A429B" w:rsidRPr="00A92033" w:rsidRDefault="005A429B" w:rsidP="005A429B">
            <w:pPr>
              <w:spacing w:after="200" w:line="230" w:lineRule="atLeast"/>
              <w:jc w:val="both"/>
              <w:rPr>
                <w:color w:val="000000"/>
              </w:rPr>
            </w:pPr>
          </w:p>
        </w:tc>
      </w:tr>
      <w:tr w:rsidR="009F2DFA" w:rsidRPr="00F04CCD" w:rsidTr="00D66402">
        <w:tc>
          <w:tcPr>
            <w:tcW w:w="9212" w:type="dxa"/>
            <w:shd w:val="clear" w:color="auto" w:fill="D9D9D9" w:themeFill="background1" w:themeFillShade="D9"/>
          </w:tcPr>
          <w:p w:rsidR="009F2DFA" w:rsidRPr="00042C66" w:rsidRDefault="002B1108" w:rsidP="00D66402">
            <w:pPr>
              <w:rPr>
                <w:b/>
                <w:sz w:val="24"/>
              </w:rPr>
            </w:pPr>
            <w:r>
              <w:rPr>
                <w:b/>
                <w:sz w:val="24"/>
              </w:rPr>
              <w:t>3</w:t>
            </w:r>
            <w:r w:rsidR="009F2DFA" w:rsidRPr="00042C66">
              <w:rPr>
                <w:b/>
                <w:sz w:val="24"/>
              </w:rPr>
              <w:t>.3 Náklady regulácie</w:t>
            </w:r>
          </w:p>
          <w:p w:rsidR="009F2DFA" w:rsidRPr="00F04CCD" w:rsidRDefault="009F2DFA" w:rsidP="00D66402">
            <w:pPr>
              <w:rPr>
                <w:b/>
              </w:rPr>
            </w:pPr>
            <w:r w:rsidRPr="00042C66">
              <w:rPr>
                <w:sz w:val="24"/>
              </w:rPr>
              <w:t xml:space="preserve">      - </w:t>
            </w:r>
            <w:r w:rsidRPr="00042C66">
              <w:rPr>
                <w:b/>
                <w:sz w:val="24"/>
              </w:rPr>
              <w:t>z toho MSP</w:t>
            </w:r>
          </w:p>
        </w:tc>
      </w:tr>
      <w:tr w:rsidR="009F2DFA" w:rsidRPr="00F04CCD" w:rsidTr="00D66402">
        <w:tc>
          <w:tcPr>
            <w:tcW w:w="9212" w:type="dxa"/>
          </w:tcPr>
          <w:p w:rsidR="009F2DFA" w:rsidRPr="00F04CCD" w:rsidRDefault="002B1108" w:rsidP="00D66402">
            <w:pPr>
              <w:rPr>
                <w:b/>
                <w:i/>
              </w:rPr>
            </w:pPr>
            <w:r>
              <w:rPr>
                <w:b/>
                <w:i/>
              </w:rPr>
              <w:t>3</w:t>
            </w:r>
            <w:r w:rsidR="009F2DFA" w:rsidRPr="00F04CCD">
              <w:rPr>
                <w:b/>
                <w:i/>
              </w:rPr>
              <w:t>.3.1 Priame finančné náklady</w:t>
            </w:r>
          </w:p>
          <w:p w:rsidR="009F2DFA" w:rsidRPr="00F04CCD" w:rsidRDefault="009F2DFA" w:rsidP="00D66402">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D66402">
        <w:tc>
          <w:tcPr>
            <w:tcW w:w="9212" w:type="dxa"/>
          </w:tcPr>
          <w:p w:rsidR="00CA5D26" w:rsidRDefault="00CA5D26" w:rsidP="00CA5D26">
            <w:pPr>
              <w:jc w:val="both"/>
            </w:pPr>
            <w:r w:rsidRPr="00CA5D26">
              <w:t xml:space="preserve">Za ostatné obdobie sa miera návrhov podaných elektronicky zvýšila na viac ako 80 % návrhov. Elektronické </w:t>
            </w:r>
            <w:r w:rsidRPr="00CA5D26">
              <w:lastRenderedPageBreak/>
              <w:t xml:space="preserve">služby obchodného registra sa stali dominantnými pri podávaní návrhov do obchodného registra a počet takto podaných návrhov má rastúci trend. V tejto súvislosti </w:t>
            </w:r>
            <w:r w:rsidR="007C2BC0">
              <w:t xml:space="preserve">sa navrhuje vypustiť </w:t>
            </w:r>
            <w:r w:rsidRPr="00CA5D26">
              <w:t>výnimka zo zníženia sadzby súdneho poplatku vo veciach obchodného registra</w:t>
            </w:r>
            <w:r w:rsidR="007C2BC0">
              <w:t>. Navrhujú sa upraviť aj</w:t>
            </w:r>
            <w:r w:rsidRPr="00CA5D26">
              <w:t xml:space="preserve"> sadzby súdnych poplatkov vo veciach obchodného registra na polovicu tak, že zodpovedajú poplatkom, ktoré sa už v súčasnosti uhrádzajú za návrhy do obchodného registra podávané elektronickými prostriedkami.</w:t>
            </w:r>
          </w:p>
          <w:p w:rsidR="009F2DFA" w:rsidRDefault="00CA5D26" w:rsidP="00CA5D26">
            <w:pPr>
              <w:jc w:val="both"/>
            </w:pPr>
            <w:r>
              <w:t xml:space="preserve">Predkladaná právna úprava </w:t>
            </w:r>
            <w:r w:rsidRPr="00CA5D26">
              <w:t xml:space="preserve">upravuje zníženie sadzby súdneho poplatku v prípade, ak sa úkony a konania vykonávajú na základe podania podaného elektronickými prostriedkami tak, aby bolo zrejmé, že takéto zníženie poplatku je možné, ak sa podanie uskutočnilo elektronickými prostriedkami do elektronickej schránky súdu a podanie mohlo byť spracovávané na súde v súlade s požiadavkami vyplývajúcimi z právnej úpravy </w:t>
            </w:r>
            <w:proofErr w:type="spellStart"/>
            <w:r w:rsidRPr="00CA5D26">
              <w:t>eGovernmentu</w:t>
            </w:r>
            <w:proofErr w:type="spellEnd"/>
            <w:r w:rsidRPr="00CA5D26">
              <w:t>. Precizovaním uvedeného znenia zákona sa odstraňuje nejednotná aplikácia znižovania súdneho poplatku, kedy dochádzalo k situáciám, že sadzba poplatku bola v zmysle tohto ustanovenia znižovaná iba v prípadoch, ak na podanie alebo úkon bol vytvorený na to určený elektronický formulár alebo úkon bol elektronickými prostriedkami vykonaný cez príslušnú aplikáciu.</w:t>
            </w:r>
            <w:r>
              <w:t xml:space="preserve"> </w:t>
            </w:r>
          </w:p>
          <w:p w:rsidR="00385DDC" w:rsidRDefault="00385DDC" w:rsidP="00CA5D26">
            <w:pPr>
              <w:jc w:val="both"/>
            </w:pPr>
            <w:r w:rsidRPr="00385DDC">
              <w:t xml:space="preserve">V súvislosti so zavedením nového konania o zrušení obchodnej spoločnosti alebo družstva v Civilnom </w:t>
            </w:r>
            <w:proofErr w:type="spellStart"/>
            <w:r w:rsidRPr="00385DDC">
              <w:t>minosporovom</w:t>
            </w:r>
            <w:proofErr w:type="spellEnd"/>
            <w:r w:rsidRPr="00385DDC">
              <w:t xml:space="preserve"> poriadku sa nezavádza nová osobitná sadzba súdneho poplatku pre toto konanie, ale sa dopĺňa poznámka k položke 1 v Sadzobníku súdnych poplatkov. Podľa písmena b) tejto položky (ak nemožno predmet konania oceniť peniazmi) sa bude uhrádzať poplatok za zrušenie obchodnej spoločnosti alebo družstva, ktoré môže začať iba na návrh. Rovnako sa bude postupovať i v prípade odvolacieho konania proti rozhodnutiu o zrušení obchodnej spoločnosti alebo družstva či v prípade vymenovania likvidátora,  jeho odvolania a nahradenia inou osobou.</w:t>
            </w:r>
          </w:p>
          <w:p w:rsidR="00CA5D26" w:rsidRDefault="00385DDC" w:rsidP="00CA5D26">
            <w:pPr>
              <w:jc w:val="both"/>
            </w:pPr>
            <w:r>
              <w:t>Pri už spomínanom novom</w:t>
            </w:r>
            <w:r w:rsidR="00657765">
              <w:t xml:space="preserve"> </w:t>
            </w:r>
            <w:r>
              <w:t>konaní</w:t>
            </w:r>
            <w:r w:rsidR="00CA5D26" w:rsidRPr="00CA5D26">
              <w:t xml:space="preserve"> o zrušení obchodnej spoločnosti alebo družstva sa zavádza súdny poplatok za predĺženie lehoty na odstránenie dôvodu, pre ktorý sa toto konanie začalo a osobitný spôsob jeho úhrady. Uvedený súdny poplatok sa zavádza pre prípady, ak obchodná spoločnosť alebo družstvo podá na súd žiadosť o možnosť predĺženia lehoty na odstránenie dôvodu o 90 dní.</w:t>
            </w:r>
            <w:r w:rsidR="00CA5D26">
              <w:t xml:space="preserve"> Výška </w:t>
            </w:r>
            <w:r w:rsidR="00CA5D26" w:rsidRPr="00CA5D26">
              <w:t xml:space="preserve">súdneho poplatku za predĺženie lehoty na odstránenie dôvodu, pre ktorý sa toto konanie začalo, </w:t>
            </w:r>
            <w:r w:rsidR="00CA5D26">
              <w:t xml:space="preserve">sa navrhuje </w:t>
            </w:r>
            <w:r w:rsidR="00CA5D26" w:rsidRPr="00CA5D26">
              <w:t>vo výške 100 eur.</w:t>
            </w:r>
          </w:p>
          <w:p w:rsidR="00CA5D26" w:rsidRPr="00CA5D26" w:rsidRDefault="00CA5D26" w:rsidP="008754FE">
            <w:pPr>
              <w:jc w:val="both"/>
            </w:pPr>
            <w:r>
              <w:t xml:space="preserve">Podrobnosti o výške súdnych poplatkov vyberaných vo veciach obchodného registra </w:t>
            </w:r>
            <w:r w:rsidR="00170681">
              <w:t>upravuje predkladaný návrh zákona v</w:t>
            </w:r>
            <w:r w:rsidR="008754FE">
              <w:t xml:space="preserve"> novelizačnom článku</w:t>
            </w:r>
            <w:r w:rsidR="00170681">
              <w:t xml:space="preserve"> V.  </w:t>
            </w:r>
            <w:r>
              <w:t xml:space="preserve"> </w:t>
            </w:r>
          </w:p>
        </w:tc>
      </w:tr>
      <w:tr w:rsidR="009F2DFA" w:rsidRPr="00F04CCD" w:rsidTr="00D66402">
        <w:tc>
          <w:tcPr>
            <w:tcW w:w="9212" w:type="dxa"/>
          </w:tcPr>
          <w:p w:rsidR="009F2DFA" w:rsidRPr="00F04CCD" w:rsidRDefault="002B1108" w:rsidP="00D66402">
            <w:pPr>
              <w:rPr>
                <w:b/>
                <w:i/>
              </w:rPr>
            </w:pPr>
            <w:r>
              <w:rPr>
                <w:b/>
                <w:i/>
              </w:rPr>
              <w:lastRenderedPageBreak/>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D66402">
        <w:tc>
          <w:tcPr>
            <w:tcW w:w="9212" w:type="dxa"/>
          </w:tcPr>
          <w:p w:rsidR="009F2DFA" w:rsidRPr="00F04CCD" w:rsidRDefault="00CA5D26" w:rsidP="005E624C">
            <w:pPr>
              <w:jc w:val="both"/>
              <w:rPr>
                <w:b/>
                <w:i/>
              </w:rPr>
            </w:pPr>
            <w:r w:rsidRPr="00D24FFF">
              <w:t xml:space="preserve">Nie, predkladaná právna úprava nezakladá </w:t>
            </w:r>
            <w:r>
              <w:t>ne</w:t>
            </w:r>
            <w:r w:rsidRPr="00D24FFF">
              <w:t>priame finančné náklady</w:t>
            </w:r>
            <w:r>
              <w:t xml:space="preserve"> na nákup tovarov alebo služieb</w:t>
            </w:r>
            <w:r w:rsidRPr="00F04CCD">
              <w:rPr>
                <w:b/>
                <w:i/>
              </w:rPr>
              <w:t xml:space="preserve"> </w:t>
            </w:r>
          </w:p>
        </w:tc>
      </w:tr>
      <w:tr w:rsidR="009F2DFA" w:rsidRPr="00F04CCD" w:rsidTr="00D66402">
        <w:tc>
          <w:tcPr>
            <w:tcW w:w="9212" w:type="dxa"/>
          </w:tcPr>
          <w:p w:rsidR="009F2DFA" w:rsidRPr="00F04CCD" w:rsidRDefault="002B1108" w:rsidP="00D66402">
            <w:pPr>
              <w:rPr>
                <w:b/>
                <w:i/>
              </w:rPr>
            </w:pPr>
            <w:r>
              <w:rPr>
                <w:b/>
                <w:i/>
              </w:rPr>
              <w:t>3</w:t>
            </w:r>
            <w:r w:rsidR="009F2DFA" w:rsidRPr="00F04CCD">
              <w:rPr>
                <w:b/>
                <w:i/>
              </w:rPr>
              <w:t>.3.3 Administratívne náklady</w:t>
            </w:r>
          </w:p>
          <w:p w:rsidR="009F2DFA" w:rsidRPr="00F04CCD" w:rsidRDefault="009F2DFA" w:rsidP="00D66402">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D66402">
        <w:tc>
          <w:tcPr>
            <w:tcW w:w="9212" w:type="dxa"/>
          </w:tcPr>
          <w:p w:rsidR="00A92033" w:rsidRPr="00A92033" w:rsidRDefault="00A92033" w:rsidP="009D45D2">
            <w:pPr>
              <w:jc w:val="both"/>
            </w:pPr>
            <w:r w:rsidRPr="00A92033">
              <w:t xml:space="preserve">Áno, predkladaný materiál zavádza </w:t>
            </w:r>
            <w:r w:rsidR="00616E3E">
              <w:t xml:space="preserve">najmä </w:t>
            </w:r>
            <w:r w:rsidRPr="00A92033">
              <w:t>nasledovný okruh nových informačných povinností a osobitných druhov povinností:</w:t>
            </w:r>
          </w:p>
          <w:p w:rsidR="00A92033" w:rsidRDefault="00A92033" w:rsidP="009D45D2">
            <w:pPr>
              <w:pStyle w:val="Odsekzoznamu"/>
              <w:numPr>
                <w:ilvl w:val="0"/>
                <w:numId w:val="13"/>
              </w:numPr>
              <w:spacing w:after="0" w:line="240" w:lineRule="auto"/>
              <w:jc w:val="both"/>
              <w:rPr>
                <w:rFonts w:ascii="Times New Roman" w:hAnsi="Times New Roman"/>
                <w:sz w:val="20"/>
                <w:szCs w:val="20"/>
              </w:rPr>
            </w:pPr>
            <w:r w:rsidRPr="00A92033">
              <w:rPr>
                <w:rFonts w:ascii="Times New Roman" w:hAnsi="Times New Roman"/>
                <w:sz w:val="20"/>
                <w:szCs w:val="20"/>
              </w:rPr>
              <w:t>vzhľadom na podnety z aplikačnej praxe súdov sa pridáva podmienka úradne osvedčeného podpisu na súhlase vlastníka nehnuteľnosti,</w:t>
            </w:r>
          </w:p>
          <w:p w:rsidR="003B1DC6" w:rsidRDefault="003B1DC6" w:rsidP="009D45D2">
            <w:pPr>
              <w:pStyle w:val="Odsekzoznamu"/>
              <w:numPr>
                <w:ilvl w:val="0"/>
                <w:numId w:val="13"/>
              </w:numPr>
              <w:spacing w:after="0" w:line="240" w:lineRule="auto"/>
              <w:jc w:val="both"/>
              <w:rPr>
                <w:rFonts w:ascii="Times New Roman" w:hAnsi="Times New Roman"/>
                <w:sz w:val="20"/>
                <w:szCs w:val="20"/>
              </w:rPr>
            </w:pPr>
            <w:r>
              <w:rPr>
                <w:rFonts w:ascii="Times New Roman" w:hAnsi="Times New Roman"/>
                <w:sz w:val="20"/>
                <w:szCs w:val="20"/>
              </w:rPr>
              <w:t>precizovanie ustanovení o</w:t>
            </w:r>
            <w:r w:rsidR="00C463D2">
              <w:rPr>
                <w:rFonts w:ascii="Times New Roman" w:hAnsi="Times New Roman"/>
                <w:sz w:val="20"/>
                <w:szCs w:val="20"/>
              </w:rPr>
              <w:t xml:space="preserve"> likvidácii a </w:t>
            </w:r>
            <w:r>
              <w:rPr>
                <w:rFonts w:ascii="Times New Roman" w:hAnsi="Times New Roman"/>
                <w:sz w:val="20"/>
                <w:szCs w:val="20"/>
              </w:rPr>
              <w:t xml:space="preserve">dodatočnej likvidácii, </w:t>
            </w:r>
            <w:r w:rsidR="00C463D2">
              <w:rPr>
                <w:rFonts w:ascii="Times New Roman" w:hAnsi="Times New Roman"/>
                <w:sz w:val="20"/>
                <w:szCs w:val="20"/>
              </w:rPr>
              <w:t xml:space="preserve">kde sa </w:t>
            </w:r>
            <w:r>
              <w:rPr>
                <w:rFonts w:ascii="Times New Roman" w:hAnsi="Times New Roman"/>
                <w:sz w:val="20"/>
                <w:szCs w:val="20"/>
              </w:rPr>
              <w:t>po novom pre podanie návrhu na dodatočnú likvidáciu navrhuje lehota štyroch</w:t>
            </w:r>
            <w:r w:rsidR="003B2D96">
              <w:rPr>
                <w:rFonts w:ascii="Times New Roman" w:hAnsi="Times New Roman"/>
                <w:sz w:val="20"/>
                <w:szCs w:val="20"/>
              </w:rPr>
              <w:t xml:space="preserve"> rokov</w:t>
            </w:r>
            <w:r>
              <w:rPr>
                <w:rFonts w:ascii="Times New Roman" w:hAnsi="Times New Roman"/>
                <w:sz w:val="20"/>
                <w:szCs w:val="20"/>
              </w:rPr>
              <w:t>, pričom táto lehota začína plynúť od výmazu spoločnosti (s uplynutím tejto lehoty sa spája následok</w:t>
            </w:r>
            <w:r>
              <w:t xml:space="preserve"> </w:t>
            </w:r>
            <w:r>
              <w:rPr>
                <w:rFonts w:ascii="Times New Roman" w:hAnsi="Times New Roman"/>
                <w:sz w:val="20"/>
                <w:szCs w:val="20"/>
              </w:rPr>
              <w:t xml:space="preserve"> pripadnutia majetkových hodnôt obchodnej</w:t>
            </w:r>
            <w:r w:rsidRPr="003B1DC6">
              <w:rPr>
                <w:rFonts w:ascii="Times New Roman" w:hAnsi="Times New Roman"/>
                <w:sz w:val="20"/>
                <w:szCs w:val="20"/>
              </w:rPr>
              <w:t xml:space="preserve"> spoločnosti do vlastníctva štátu</w:t>
            </w:r>
            <w:r>
              <w:rPr>
                <w:rFonts w:ascii="Times New Roman" w:hAnsi="Times New Roman"/>
                <w:sz w:val="20"/>
                <w:szCs w:val="20"/>
              </w:rPr>
              <w:t>),</w:t>
            </w:r>
          </w:p>
          <w:p w:rsidR="003B1DC6" w:rsidRDefault="00786EF5" w:rsidP="009D45D2">
            <w:pPr>
              <w:pStyle w:val="Odsekzoznamu"/>
              <w:numPr>
                <w:ilvl w:val="0"/>
                <w:numId w:val="13"/>
              </w:numPr>
              <w:spacing w:after="0" w:line="240" w:lineRule="auto"/>
              <w:jc w:val="both"/>
              <w:rPr>
                <w:rFonts w:ascii="Times New Roman" w:hAnsi="Times New Roman"/>
                <w:sz w:val="20"/>
                <w:szCs w:val="20"/>
              </w:rPr>
            </w:pPr>
            <w:r>
              <w:rPr>
                <w:rFonts w:ascii="Times New Roman" w:hAnsi="Times New Roman"/>
                <w:sz w:val="20"/>
                <w:szCs w:val="20"/>
              </w:rPr>
              <w:t xml:space="preserve">navrhuje sa, aby </w:t>
            </w:r>
            <w:r w:rsidR="003B1DC6">
              <w:rPr>
                <w:rFonts w:ascii="Times New Roman" w:hAnsi="Times New Roman"/>
                <w:sz w:val="20"/>
                <w:szCs w:val="20"/>
              </w:rPr>
              <w:t>nariadenie</w:t>
            </w:r>
            <w:r>
              <w:rPr>
                <w:rFonts w:ascii="Times New Roman" w:hAnsi="Times New Roman"/>
                <w:sz w:val="20"/>
                <w:szCs w:val="20"/>
              </w:rPr>
              <w:t xml:space="preserve"> dodatočnej likvidácie súdom malo </w:t>
            </w:r>
            <w:r w:rsidR="003B1DC6">
              <w:rPr>
                <w:rFonts w:ascii="Times New Roman" w:hAnsi="Times New Roman"/>
                <w:sz w:val="20"/>
                <w:szCs w:val="20"/>
              </w:rPr>
              <w:t xml:space="preserve">za následok obnovenie zápisu obchodnej spoločnosti v obchodnom registri a na takúto právnickú osobu </w:t>
            </w:r>
            <w:r>
              <w:rPr>
                <w:rFonts w:ascii="Times New Roman" w:hAnsi="Times New Roman"/>
                <w:sz w:val="20"/>
                <w:szCs w:val="20"/>
              </w:rPr>
              <w:t>by sa hľadelo</w:t>
            </w:r>
            <w:r w:rsidR="003B1DC6">
              <w:rPr>
                <w:rFonts w:ascii="Times New Roman" w:hAnsi="Times New Roman"/>
                <w:sz w:val="20"/>
                <w:szCs w:val="20"/>
              </w:rPr>
              <w:t xml:space="preserve"> akoby nezanikla, </w:t>
            </w:r>
          </w:p>
          <w:p w:rsidR="00FF7487" w:rsidRDefault="00450A8E" w:rsidP="009D45D2">
            <w:pPr>
              <w:pStyle w:val="Odsekzoznamu"/>
              <w:numPr>
                <w:ilvl w:val="0"/>
                <w:numId w:val="13"/>
              </w:numPr>
              <w:spacing w:after="0" w:line="240" w:lineRule="auto"/>
              <w:jc w:val="both"/>
              <w:rPr>
                <w:rFonts w:ascii="Times New Roman" w:hAnsi="Times New Roman"/>
                <w:sz w:val="20"/>
                <w:szCs w:val="20"/>
              </w:rPr>
            </w:pPr>
            <w:r>
              <w:rPr>
                <w:rFonts w:ascii="Times New Roman" w:hAnsi="Times New Roman"/>
                <w:sz w:val="20"/>
                <w:szCs w:val="20"/>
              </w:rPr>
              <w:t>a</w:t>
            </w:r>
            <w:r w:rsidRPr="00450A8E">
              <w:rPr>
                <w:rFonts w:ascii="Times New Roman" w:hAnsi="Times New Roman"/>
                <w:sz w:val="20"/>
                <w:szCs w:val="20"/>
              </w:rPr>
              <w:t>ko jednoznačný identifikátor fyzických osôb sa navrhuje zapisovať  údaj o rodnom čísle alebo údaj o inom identifikačnom údaji, za predpokladu, že fyzickej osobe rodné číslo nebolo pridelené (zahraničné fyzické osoby)</w:t>
            </w:r>
            <w:r>
              <w:rPr>
                <w:rFonts w:ascii="Times New Roman" w:hAnsi="Times New Roman"/>
                <w:sz w:val="20"/>
                <w:szCs w:val="20"/>
              </w:rPr>
              <w:t>,</w:t>
            </w:r>
          </w:p>
          <w:p w:rsidR="00747EAA" w:rsidRDefault="00747EAA" w:rsidP="009D45D2">
            <w:pPr>
              <w:pStyle w:val="Odsekzoznamu"/>
              <w:numPr>
                <w:ilvl w:val="0"/>
                <w:numId w:val="13"/>
              </w:numPr>
              <w:spacing w:after="0" w:line="240" w:lineRule="auto"/>
              <w:jc w:val="both"/>
              <w:rPr>
                <w:rFonts w:ascii="Times New Roman" w:hAnsi="Times New Roman"/>
                <w:sz w:val="20"/>
                <w:szCs w:val="20"/>
              </w:rPr>
            </w:pPr>
            <w:r>
              <w:rPr>
                <w:rFonts w:ascii="Times New Roman" w:hAnsi="Times New Roman"/>
                <w:sz w:val="20"/>
                <w:szCs w:val="20"/>
              </w:rPr>
              <w:t>navrhuje sa do zbierky listín ukladať</w:t>
            </w:r>
            <w:r w:rsidRPr="00747EAA">
              <w:rPr>
                <w:rFonts w:ascii="Times New Roman" w:hAnsi="Times New Roman"/>
                <w:sz w:val="20"/>
                <w:szCs w:val="20"/>
              </w:rPr>
              <w:t xml:space="preserve"> orig</w:t>
            </w:r>
            <w:r>
              <w:rPr>
                <w:rFonts w:ascii="Times New Roman" w:hAnsi="Times New Roman"/>
                <w:sz w:val="20"/>
                <w:szCs w:val="20"/>
              </w:rPr>
              <w:t>inál listiny alebo jej osvedčenú kópiu prevedenú do elektronickej podoby</w:t>
            </w:r>
            <w:r w:rsidRPr="00747EAA">
              <w:rPr>
                <w:rFonts w:ascii="Times New Roman" w:hAnsi="Times New Roman"/>
                <w:sz w:val="20"/>
                <w:szCs w:val="20"/>
              </w:rPr>
              <w:t>, pričom doterajšie pravidlá upravujúce postup v prípade, ak orgán verejnej moci nevydáva originál listiny v elektronickej podobe, alebo ak sa listina ukladá bez návrhu, osobou oprávnenou na predkladanie listín do zbierk</w:t>
            </w:r>
            <w:r>
              <w:rPr>
                <w:rFonts w:ascii="Times New Roman" w:hAnsi="Times New Roman"/>
                <w:sz w:val="20"/>
                <w:szCs w:val="20"/>
              </w:rPr>
              <w:t>y listín, zostávajú v platnosti,</w:t>
            </w:r>
          </w:p>
          <w:p w:rsidR="00747EAA" w:rsidRDefault="00747EAA" w:rsidP="009D45D2">
            <w:pPr>
              <w:pStyle w:val="Odsekzoznamu"/>
              <w:numPr>
                <w:ilvl w:val="0"/>
                <w:numId w:val="13"/>
              </w:numPr>
              <w:spacing w:after="0" w:line="240" w:lineRule="auto"/>
              <w:jc w:val="both"/>
              <w:rPr>
                <w:rFonts w:ascii="Times New Roman" w:hAnsi="Times New Roman"/>
                <w:sz w:val="20"/>
                <w:szCs w:val="20"/>
              </w:rPr>
            </w:pPr>
            <w:r>
              <w:rPr>
                <w:rFonts w:ascii="Times New Roman" w:hAnsi="Times New Roman"/>
                <w:sz w:val="20"/>
                <w:szCs w:val="20"/>
              </w:rPr>
              <w:t>v súvislosti s navrhovaným výlučným elektronickým podávaním návrh</w:t>
            </w:r>
            <w:r w:rsidR="0013509D">
              <w:rPr>
                <w:rFonts w:ascii="Times New Roman" w:hAnsi="Times New Roman"/>
                <w:sz w:val="20"/>
                <w:szCs w:val="20"/>
              </w:rPr>
              <w:t xml:space="preserve">ov na zápis </w:t>
            </w:r>
            <w:r>
              <w:rPr>
                <w:rFonts w:ascii="Times New Roman" w:hAnsi="Times New Roman"/>
                <w:sz w:val="20"/>
                <w:szCs w:val="20"/>
              </w:rPr>
              <w:t xml:space="preserve">do obchodného registra sa navrhuje </w:t>
            </w:r>
            <w:r w:rsidRPr="00747EAA">
              <w:rPr>
                <w:rFonts w:ascii="Times New Roman" w:hAnsi="Times New Roman"/>
                <w:sz w:val="20"/>
                <w:szCs w:val="20"/>
              </w:rPr>
              <w:t>ukladanie listín do zbierky listín v elektronickej podobe</w:t>
            </w:r>
            <w:r>
              <w:rPr>
                <w:rFonts w:ascii="Times New Roman" w:hAnsi="Times New Roman"/>
                <w:sz w:val="20"/>
                <w:szCs w:val="20"/>
              </w:rPr>
              <w:t xml:space="preserve"> s výnimkou v prípade, </w:t>
            </w:r>
            <w:r w:rsidRPr="00747EAA">
              <w:rPr>
                <w:rFonts w:ascii="Times New Roman" w:hAnsi="Times New Roman"/>
                <w:sz w:val="20"/>
                <w:szCs w:val="20"/>
              </w:rPr>
              <w:t>ak by listinu, či už vzhľadom na materiál, veľkosť alebo tvar nebolo možné predložiť v elektronickej podobe</w:t>
            </w:r>
            <w:r>
              <w:rPr>
                <w:rFonts w:ascii="Times New Roman" w:hAnsi="Times New Roman"/>
                <w:sz w:val="20"/>
                <w:szCs w:val="20"/>
              </w:rPr>
              <w:t xml:space="preserve"> spolu s </w:t>
            </w:r>
            <w:r w:rsidRPr="00747EAA">
              <w:rPr>
                <w:rFonts w:ascii="Times New Roman" w:hAnsi="Times New Roman"/>
                <w:sz w:val="20"/>
                <w:szCs w:val="20"/>
              </w:rPr>
              <w:t>pravidlo</w:t>
            </w:r>
            <w:r>
              <w:rPr>
                <w:rFonts w:ascii="Times New Roman" w:hAnsi="Times New Roman"/>
                <w:sz w:val="20"/>
                <w:szCs w:val="20"/>
              </w:rPr>
              <w:t>m</w:t>
            </w:r>
            <w:r w:rsidRPr="00747EAA">
              <w:rPr>
                <w:rFonts w:ascii="Times New Roman" w:hAnsi="Times New Roman"/>
                <w:sz w:val="20"/>
                <w:szCs w:val="20"/>
              </w:rPr>
              <w:t>, podľa ktorého sa ustanovenia osobitného predpisu o zaručenej konverzii  nepoužijú v prípade prevedenia listiny z listinnej</w:t>
            </w:r>
            <w:r w:rsidR="0013509D">
              <w:rPr>
                <w:rFonts w:ascii="Times New Roman" w:hAnsi="Times New Roman"/>
                <w:sz w:val="20"/>
                <w:szCs w:val="20"/>
              </w:rPr>
              <w:t xml:space="preserve"> podoby do elektronickej podoby,</w:t>
            </w:r>
          </w:p>
          <w:p w:rsidR="00450A8E" w:rsidRDefault="00B95273" w:rsidP="00C463D2">
            <w:pPr>
              <w:pStyle w:val="Odsekzoznamu"/>
              <w:numPr>
                <w:ilvl w:val="0"/>
                <w:numId w:val="13"/>
              </w:numPr>
              <w:spacing w:after="0" w:line="240" w:lineRule="auto"/>
              <w:ind w:left="714" w:hanging="357"/>
              <w:jc w:val="both"/>
              <w:rPr>
                <w:rFonts w:ascii="Times New Roman" w:hAnsi="Times New Roman"/>
                <w:sz w:val="20"/>
                <w:szCs w:val="20"/>
              </w:rPr>
            </w:pPr>
            <w:r>
              <w:rPr>
                <w:rFonts w:ascii="Times New Roman" w:hAnsi="Times New Roman"/>
                <w:sz w:val="20"/>
                <w:szCs w:val="20"/>
              </w:rPr>
              <w:t xml:space="preserve">opatrenie na tzv. „čistenie obchodného registra“ - </w:t>
            </w:r>
            <w:r w:rsidR="00450A8E">
              <w:rPr>
                <w:rFonts w:ascii="Times New Roman" w:hAnsi="Times New Roman"/>
                <w:sz w:val="20"/>
                <w:szCs w:val="20"/>
              </w:rPr>
              <w:t>preregistrácia podnikov</w:t>
            </w:r>
            <w:r w:rsidR="00450A8E" w:rsidRPr="00450A8E">
              <w:rPr>
                <w:rFonts w:ascii="Times New Roman" w:hAnsi="Times New Roman"/>
                <w:sz w:val="20"/>
                <w:szCs w:val="20"/>
              </w:rPr>
              <w:t xml:space="preserve"> zahraničných p</w:t>
            </w:r>
            <w:r w:rsidR="00450A8E">
              <w:rPr>
                <w:rFonts w:ascii="Times New Roman" w:hAnsi="Times New Roman"/>
                <w:sz w:val="20"/>
                <w:szCs w:val="20"/>
              </w:rPr>
              <w:t>rávnických osôb, ich organizačných zložiek, podnikov a organizačných zložiek</w:t>
            </w:r>
            <w:r w:rsidR="00450A8E" w:rsidRPr="00450A8E">
              <w:rPr>
                <w:rFonts w:ascii="Times New Roman" w:hAnsi="Times New Roman"/>
                <w:sz w:val="20"/>
                <w:szCs w:val="20"/>
              </w:rPr>
              <w:t xml:space="preserve"> po</w:t>
            </w:r>
            <w:r w:rsidR="00450A8E">
              <w:rPr>
                <w:rFonts w:ascii="Times New Roman" w:hAnsi="Times New Roman"/>
                <w:sz w:val="20"/>
                <w:szCs w:val="20"/>
              </w:rPr>
              <w:t xml:space="preserve">dnikov právnických osôb </w:t>
            </w:r>
            <w:r w:rsidR="00450A8E">
              <w:rPr>
                <w:rFonts w:ascii="Times New Roman" w:hAnsi="Times New Roman"/>
                <w:sz w:val="20"/>
                <w:szCs w:val="20"/>
              </w:rPr>
              <w:lastRenderedPageBreak/>
              <w:t>zapísaných</w:t>
            </w:r>
            <w:r w:rsidR="00450A8E" w:rsidRPr="00450A8E">
              <w:rPr>
                <w:rFonts w:ascii="Times New Roman" w:hAnsi="Times New Roman"/>
                <w:sz w:val="20"/>
                <w:szCs w:val="20"/>
              </w:rPr>
              <w:t xml:space="preserve"> do obchodného registra</w:t>
            </w:r>
            <w:r w:rsidR="00450A8E">
              <w:rPr>
                <w:rFonts w:ascii="Times New Roman" w:hAnsi="Times New Roman"/>
                <w:sz w:val="20"/>
                <w:szCs w:val="20"/>
              </w:rPr>
              <w:t xml:space="preserve"> (</w:t>
            </w:r>
            <w:r>
              <w:rPr>
                <w:rFonts w:ascii="Times New Roman" w:hAnsi="Times New Roman"/>
                <w:sz w:val="20"/>
                <w:szCs w:val="20"/>
              </w:rPr>
              <w:t>v</w:t>
            </w:r>
            <w:r w:rsidRPr="00B95273">
              <w:rPr>
                <w:rFonts w:ascii="Times New Roman" w:hAnsi="Times New Roman"/>
                <w:sz w:val="20"/>
                <w:szCs w:val="20"/>
              </w:rPr>
              <w:t xml:space="preserve"> prípade, že tieto subjekty prostredníctvom na to určeného formulára potvrdia doteraz zapísané údaje, preregistrácia ne</w:t>
            </w:r>
            <w:r w:rsidR="00747EAA">
              <w:rPr>
                <w:rFonts w:ascii="Times New Roman" w:hAnsi="Times New Roman"/>
                <w:sz w:val="20"/>
                <w:szCs w:val="20"/>
              </w:rPr>
              <w:t>bude podliehať súdnemu poplatku</w:t>
            </w:r>
            <w:r w:rsidR="00450A8E">
              <w:rPr>
                <w:rFonts w:ascii="Times New Roman" w:hAnsi="Times New Roman"/>
                <w:sz w:val="20"/>
                <w:szCs w:val="20"/>
              </w:rPr>
              <w:t xml:space="preserve">), </w:t>
            </w:r>
          </w:p>
          <w:p w:rsidR="00A92033" w:rsidRPr="00A92033" w:rsidRDefault="00562FAD" w:rsidP="00657765">
            <w:pPr>
              <w:pStyle w:val="Odsekzoznamu"/>
              <w:numPr>
                <w:ilvl w:val="0"/>
                <w:numId w:val="13"/>
              </w:numPr>
              <w:spacing w:after="0" w:line="240" w:lineRule="auto"/>
              <w:ind w:left="714" w:hanging="357"/>
              <w:jc w:val="both"/>
            </w:pPr>
            <w:r>
              <w:rPr>
                <w:rFonts w:ascii="Times New Roman" w:hAnsi="Times New Roman"/>
                <w:sz w:val="20"/>
                <w:szCs w:val="20"/>
              </w:rPr>
              <w:t>povinnosť likvidátora – vytvoriť zoznam prihlásených pohľadávok a zoznam majetku podobne ako pri konkurze</w:t>
            </w:r>
            <w:r w:rsidR="00657765">
              <w:rPr>
                <w:rFonts w:ascii="Times New Roman" w:hAnsi="Times New Roman"/>
                <w:sz w:val="20"/>
                <w:szCs w:val="20"/>
              </w:rPr>
              <w:t xml:space="preserve"> a ďalšie.</w:t>
            </w:r>
          </w:p>
        </w:tc>
      </w:tr>
      <w:tr w:rsidR="009F2DFA" w:rsidRPr="00F04CCD" w:rsidTr="008754FE">
        <w:trPr>
          <w:trHeight w:val="2318"/>
        </w:trPr>
        <w:tc>
          <w:tcPr>
            <w:tcW w:w="9212" w:type="dxa"/>
          </w:tcPr>
          <w:p w:rsidR="009F2DFA" w:rsidRPr="00F04CCD" w:rsidRDefault="002B1108" w:rsidP="00D66402">
            <w:pPr>
              <w:rPr>
                <w:i/>
              </w:rPr>
            </w:pPr>
            <w:r>
              <w:rPr>
                <w:b/>
                <w:i/>
              </w:rPr>
              <w:lastRenderedPageBreak/>
              <w:t>3</w:t>
            </w:r>
            <w:r w:rsidR="009F2DFA" w:rsidRPr="00F04CCD">
              <w:rPr>
                <w:b/>
                <w:i/>
              </w:rPr>
              <w:t>.3.4 Súhrnná tabuľka nákladov regulácie</w:t>
            </w:r>
          </w:p>
          <w:p w:rsidR="009F2DFA" w:rsidRPr="00F04CCD" w:rsidRDefault="009F2DFA" w:rsidP="00D66402">
            <w:pPr>
              <w:rPr>
                <w:i/>
              </w:rPr>
            </w:pPr>
          </w:p>
          <w:tbl>
            <w:tblPr>
              <w:tblStyle w:val="Mriekatabuky"/>
              <w:tblW w:w="0" w:type="auto"/>
              <w:tblLook w:val="04A0" w:firstRow="1" w:lastRow="0" w:firstColumn="1" w:lastColumn="0" w:noHBand="0" w:noVBand="1"/>
            </w:tblPr>
            <w:tblGrid>
              <w:gridCol w:w="2993"/>
              <w:gridCol w:w="2994"/>
              <w:gridCol w:w="2994"/>
            </w:tblGrid>
            <w:tr w:rsidR="009F2DFA" w:rsidRPr="00F04CCD" w:rsidTr="00D66402">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rPr>
                      <w:i/>
                    </w:rPr>
                  </w:pP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jc w:val="center"/>
                    <w:rPr>
                      <w:i/>
                    </w:rPr>
                  </w:pPr>
                  <w:r w:rsidRPr="00F04CCD">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jc w:val="center"/>
                    <w:rPr>
                      <w:i/>
                    </w:rPr>
                  </w:pPr>
                  <w:r w:rsidRPr="00F04CCD">
                    <w:rPr>
                      <w:i/>
                    </w:rPr>
                    <w:t>Náklady na celé podnikateľské prostredie</w:t>
                  </w:r>
                </w:p>
              </w:tc>
            </w:tr>
            <w:tr w:rsidR="009F2DFA" w:rsidRPr="00F04CCD" w:rsidTr="00D66402">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rPr>
                      <w:i/>
                    </w:rPr>
                  </w:pPr>
                  <w:r w:rsidRPr="00F04CCD">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F71C11" w:rsidP="00D66402">
                  <w:pPr>
                    <w:jc w:val="center"/>
                    <w:rPr>
                      <w:i/>
                    </w:rPr>
                  </w:pPr>
                  <w:r>
                    <w:rPr>
                      <w:i/>
                    </w:rPr>
                    <w:t>85,- €</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F71C11" w:rsidP="00D66402">
                  <w:pPr>
                    <w:jc w:val="center"/>
                    <w:rPr>
                      <w:i/>
                    </w:rPr>
                  </w:pPr>
                  <w:r>
                    <w:rPr>
                      <w:i/>
                    </w:rPr>
                    <w:t>3.031.726,- €</w:t>
                  </w:r>
                </w:p>
              </w:tc>
            </w:tr>
            <w:tr w:rsidR="009F2DFA" w:rsidRPr="00F04CCD" w:rsidTr="00D66402">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rPr>
                      <w:i/>
                    </w:rPr>
                  </w:pPr>
                  <w:r w:rsidRPr="00F04CCD">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A75DE8" w:rsidP="00D66402">
                  <w:pPr>
                    <w:jc w:val="center"/>
                    <w:rPr>
                      <w:i/>
                    </w:rPr>
                  </w:pPr>
                  <w:r>
                    <w:rPr>
                      <w:i/>
                    </w:rPr>
                    <w:t>0</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A75DE8" w:rsidP="00D66402">
                  <w:pPr>
                    <w:jc w:val="center"/>
                    <w:rPr>
                      <w:i/>
                    </w:rPr>
                  </w:pPr>
                  <w:r>
                    <w:rPr>
                      <w:i/>
                    </w:rPr>
                    <w:t>0</w:t>
                  </w:r>
                </w:p>
              </w:tc>
            </w:tr>
            <w:tr w:rsidR="009F2DFA" w:rsidRPr="00F04CCD" w:rsidTr="00D66402">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rPr>
                      <w:i/>
                    </w:rPr>
                  </w:pPr>
                  <w:r w:rsidRPr="00F04CCD">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F71C11" w:rsidP="00D66402">
                  <w:pPr>
                    <w:jc w:val="center"/>
                    <w:rPr>
                      <w:i/>
                    </w:rPr>
                  </w:pPr>
                  <w:r>
                    <w:rPr>
                      <w:i/>
                    </w:rPr>
                    <w:t>24,- €</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F71C11" w:rsidP="00D66402">
                  <w:pPr>
                    <w:jc w:val="center"/>
                    <w:rPr>
                      <w:i/>
                    </w:rPr>
                  </w:pPr>
                  <w:r>
                    <w:rPr>
                      <w:i/>
                    </w:rPr>
                    <w:t>991.003,- €</w:t>
                  </w:r>
                </w:p>
              </w:tc>
            </w:tr>
            <w:tr w:rsidR="009F2DFA" w:rsidRPr="00F04CCD" w:rsidTr="00D66402">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rPr>
                      <w:b/>
                      <w:i/>
                    </w:rPr>
                  </w:pPr>
                  <w:r w:rsidRPr="00F04CCD">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D66402">
                  <w:pPr>
                    <w:jc w:val="center"/>
                    <w:rPr>
                      <w:b/>
                      <w:i/>
                    </w:rPr>
                  </w:pP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F71C11" w:rsidP="00D66402">
                  <w:pPr>
                    <w:jc w:val="center"/>
                    <w:rPr>
                      <w:b/>
                      <w:i/>
                    </w:rPr>
                  </w:pPr>
                  <w:r>
                    <w:rPr>
                      <w:b/>
                      <w:i/>
                    </w:rPr>
                    <w:t>4.022.729,- €</w:t>
                  </w:r>
                </w:p>
              </w:tc>
            </w:tr>
          </w:tbl>
          <w:p w:rsidR="009F2DFA" w:rsidRPr="00F04CCD" w:rsidRDefault="008D5624" w:rsidP="00D66402">
            <w:pPr>
              <w:rPr>
                <w:i/>
              </w:rPr>
            </w:pPr>
            <w:r>
              <w:t xml:space="preserve">Pozn.: </w:t>
            </w:r>
            <w:r w:rsidR="004427B1" w:rsidRPr="00F93352">
              <w:t>Náklady regulácie boli vyčíslené na základe expertného odhadu za použitia tzv. veľkej kalkulačky nákladov</w:t>
            </w:r>
            <w:r w:rsidR="004427B1">
              <w:rPr>
                <w:i/>
              </w:rPr>
              <w:t>.</w:t>
            </w:r>
          </w:p>
        </w:tc>
      </w:tr>
      <w:tr w:rsidR="009F2DFA" w:rsidRPr="00F04CCD" w:rsidTr="00D66402">
        <w:tc>
          <w:tcPr>
            <w:tcW w:w="9212" w:type="dxa"/>
            <w:shd w:val="clear" w:color="auto" w:fill="D9D9D9" w:themeFill="background1" w:themeFillShade="D9"/>
          </w:tcPr>
          <w:p w:rsidR="009F2DFA" w:rsidRPr="00042C66" w:rsidRDefault="002B1108" w:rsidP="00D66402">
            <w:pPr>
              <w:rPr>
                <w:b/>
                <w:sz w:val="24"/>
              </w:rPr>
            </w:pPr>
            <w:r>
              <w:rPr>
                <w:b/>
                <w:sz w:val="24"/>
              </w:rPr>
              <w:t>3</w:t>
            </w:r>
            <w:r w:rsidR="009F2DFA" w:rsidRPr="00042C66">
              <w:rPr>
                <w:b/>
                <w:sz w:val="24"/>
              </w:rPr>
              <w:t>.4 Konkurencieschopnosť a správanie sa podnikov na trhu</w:t>
            </w:r>
          </w:p>
          <w:p w:rsidR="009F2DFA" w:rsidRPr="00F04CCD" w:rsidRDefault="009F2DFA" w:rsidP="00D66402">
            <w:r w:rsidRPr="00042C66">
              <w:rPr>
                <w:b/>
                <w:sz w:val="24"/>
              </w:rPr>
              <w:t xml:space="preserve">       </w:t>
            </w:r>
            <w:r w:rsidRPr="00042C66">
              <w:rPr>
                <w:sz w:val="24"/>
              </w:rPr>
              <w:t xml:space="preserve">- </w:t>
            </w:r>
            <w:r w:rsidRPr="00042C66">
              <w:rPr>
                <w:b/>
                <w:sz w:val="24"/>
              </w:rPr>
              <w:t>z toho MSP</w:t>
            </w:r>
          </w:p>
        </w:tc>
      </w:tr>
      <w:tr w:rsidR="009F2DFA" w:rsidRPr="00F04CCD" w:rsidTr="00D66402">
        <w:tc>
          <w:tcPr>
            <w:tcW w:w="9212" w:type="dxa"/>
          </w:tcPr>
          <w:p w:rsidR="009F2DFA" w:rsidRPr="00F04CCD" w:rsidRDefault="009F2DFA" w:rsidP="00D66402">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9F2DFA" w:rsidRPr="00F04CCD" w:rsidRDefault="009F2DFA" w:rsidP="00D66402">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D66402">
            <w:pPr>
              <w:rPr>
                <w:i/>
              </w:rPr>
            </w:pPr>
            <w:r w:rsidRPr="00F04CCD">
              <w:rPr>
                <w:i/>
              </w:rPr>
              <w:t>Ako ovplyvní cenu alebo dostupnosť základných zdrojov (suroviny, mechanizmy, pracovná sila, energie atď.)?</w:t>
            </w:r>
          </w:p>
          <w:p w:rsidR="009F2DFA" w:rsidRPr="00F04CCD" w:rsidRDefault="009F2DFA" w:rsidP="00D66402">
            <w:pPr>
              <w:rPr>
                <w:i/>
              </w:rPr>
            </w:pPr>
            <w:r w:rsidRPr="00F04CCD">
              <w:rPr>
                <w:i/>
              </w:rPr>
              <w:t>Ovplyvňuje prístup k financiám? Ak áno, ako?</w:t>
            </w:r>
          </w:p>
        </w:tc>
      </w:tr>
      <w:tr w:rsidR="009F2DFA" w:rsidRPr="00F04CCD" w:rsidTr="00274B2F">
        <w:trPr>
          <w:trHeight w:val="815"/>
        </w:trPr>
        <w:tc>
          <w:tcPr>
            <w:tcW w:w="9212" w:type="dxa"/>
          </w:tcPr>
          <w:p w:rsidR="009F2DFA" w:rsidRPr="005E624C" w:rsidRDefault="005E624C" w:rsidP="009B12C2">
            <w:r>
              <w:t>Predkladaný návrh zákona nemá vplyv na konkurencieschopnosť a správanie sa podnikov na trhu.</w:t>
            </w:r>
          </w:p>
        </w:tc>
      </w:tr>
      <w:tr w:rsidR="009F2DFA" w:rsidRPr="00F04CCD" w:rsidTr="00D66402">
        <w:tc>
          <w:tcPr>
            <w:tcW w:w="9212" w:type="dxa"/>
            <w:shd w:val="clear" w:color="auto" w:fill="D9D9D9" w:themeFill="background1" w:themeFillShade="D9"/>
          </w:tcPr>
          <w:p w:rsidR="009F2DFA" w:rsidRPr="00042C66" w:rsidRDefault="002B1108" w:rsidP="00D66402">
            <w:pPr>
              <w:rPr>
                <w:b/>
                <w:sz w:val="24"/>
              </w:rPr>
            </w:pPr>
            <w:r>
              <w:rPr>
                <w:b/>
                <w:sz w:val="24"/>
              </w:rPr>
              <w:t>3</w:t>
            </w:r>
            <w:r w:rsidR="009F2DFA" w:rsidRPr="00042C66">
              <w:rPr>
                <w:b/>
                <w:sz w:val="24"/>
              </w:rPr>
              <w:t xml:space="preserve">.5 Inovácie </w:t>
            </w:r>
          </w:p>
          <w:p w:rsidR="009F2DFA" w:rsidRPr="00F04CCD" w:rsidRDefault="009F2DFA" w:rsidP="00D66402">
            <w:pPr>
              <w:rPr>
                <w:b/>
              </w:rPr>
            </w:pPr>
            <w:r w:rsidRPr="00042C66">
              <w:rPr>
                <w:sz w:val="24"/>
              </w:rPr>
              <w:t xml:space="preserve">       - </w:t>
            </w:r>
            <w:r w:rsidRPr="00042C66">
              <w:rPr>
                <w:b/>
                <w:sz w:val="24"/>
              </w:rPr>
              <w:t>z toho MSP</w:t>
            </w:r>
          </w:p>
        </w:tc>
      </w:tr>
      <w:tr w:rsidR="009F2DFA" w:rsidRPr="00F04CCD" w:rsidTr="00D66402">
        <w:tc>
          <w:tcPr>
            <w:tcW w:w="9212" w:type="dxa"/>
          </w:tcPr>
          <w:p w:rsidR="009F2DFA" w:rsidRPr="00F04CCD" w:rsidRDefault="009F2DFA" w:rsidP="00D66402">
            <w:pPr>
              <w:rPr>
                <w:i/>
              </w:rPr>
            </w:pPr>
            <w:r w:rsidRPr="00F04CCD">
              <w:rPr>
                <w:i/>
              </w:rPr>
              <w:t>Uveďte, ako podporuje navrhovaná zmena inovácie.</w:t>
            </w:r>
          </w:p>
          <w:p w:rsidR="009F2DFA" w:rsidRPr="00F04CCD" w:rsidRDefault="009F2DFA" w:rsidP="00D66402">
            <w:pPr>
              <w:rPr>
                <w:i/>
              </w:rPr>
            </w:pPr>
            <w:r w:rsidRPr="00F04CCD">
              <w:rPr>
                <w:i/>
              </w:rPr>
              <w:t>Zjednodušuje uvedenie alebo rozšírenie nových výrobných metód, technológií a výrobkov na trh?</w:t>
            </w:r>
          </w:p>
          <w:p w:rsidR="009F2DFA" w:rsidRPr="00F04CCD" w:rsidRDefault="009F2DFA" w:rsidP="00D66402">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D66402">
            <w:pPr>
              <w:rPr>
                <w:i/>
              </w:rPr>
            </w:pPr>
            <w:r w:rsidRPr="00F04CCD">
              <w:rPr>
                <w:i/>
              </w:rPr>
              <w:t>Podporuje vyššiu efektivitu výroby/využívania zdrojov? Ak áno, ako?</w:t>
            </w:r>
          </w:p>
          <w:p w:rsidR="00837639" w:rsidRPr="00F04CCD" w:rsidRDefault="00837639" w:rsidP="00D66402">
            <w:r w:rsidRPr="00154881">
              <w:rPr>
                <w:i/>
              </w:rPr>
              <w:t>Vytvorí zmena nové pracovné miesta pre zamestnancov výskumu a vývoja v</w:t>
            </w:r>
            <w:r>
              <w:rPr>
                <w:i/>
              </w:rPr>
              <w:t> </w:t>
            </w:r>
            <w:r w:rsidRPr="00154881">
              <w:rPr>
                <w:i/>
              </w:rPr>
              <w:t>SR</w:t>
            </w:r>
            <w:r>
              <w:rPr>
                <w:i/>
              </w:rPr>
              <w:t>?</w:t>
            </w:r>
          </w:p>
        </w:tc>
      </w:tr>
      <w:tr w:rsidR="009F2DFA" w:rsidRPr="00F04CCD" w:rsidTr="00274B2F">
        <w:trPr>
          <w:trHeight w:val="883"/>
        </w:trPr>
        <w:tc>
          <w:tcPr>
            <w:tcW w:w="9212" w:type="dxa"/>
          </w:tcPr>
          <w:p w:rsidR="009F2DFA" w:rsidRPr="005E624C" w:rsidRDefault="00A92033" w:rsidP="00D66402">
            <w:r>
              <w:t>Predkladateľ sa nedomnieva, že nová práva úprava vzhľadom na svoj charakter povedie k vytvoreniu nových pracovných miest, zvýšeniu efektivity výroby a využívania zdrojov, ovplyvneniu práv duševného vlastníctva, uvedeniu alebo rozšíreniu nových výrobných metód, technológií a výrobkov na trh a podpore inovácií.</w:t>
            </w:r>
          </w:p>
        </w:tc>
      </w:tr>
    </w:tbl>
    <w:p w:rsidR="009F2DFA" w:rsidRPr="00F04CCD" w:rsidRDefault="009F2DFA" w:rsidP="009F2DFA"/>
    <w:p w:rsidR="009F2DFA" w:rsidRDefault="009F2DFA" w:rsidP="009F2DFA"/>
    <w:p w:rsidR="009F2DFA" w:rsidRDefault="009F2DFA" w:rsidP="009F2DFA"/>
    <w:sectPr w:rsidR="009F2D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51" w:rsidRDefault="00E16351" w:rsidP="009F2DFA">
      <w:r>
        <w:separator/>
      </w:r>
    </w:p>
  </w:endnote>
  <w:endnote w:type="continuationSeparator" w:id="0">
    <w:p w:rsidR="00E16351" w:rsidRDefault="00E16351"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02" w:rsidRDefault="00D66402">
    <w:pPr>
      <w:pStyle w:val="Pta"/>
      <w:jc w:val="right"/>
    </w:pPr>
    <w:r>
      <w:fldChar w:fldCharType="begin"/>
    </w:r>
    <w:r>
      <w:instrText>PAGE   \* MERGEFORMAT</w:instrText>
    </w:r>
    <w:r>
      <w:fldChar w:fldCharType="separate"/>
    </w:r>
    <w:r w:rsidR="0040684E">
      <w:rPr>
        <w:noProof/>
      </w:rPr>
      <w:t>1</w:t>
    </w:r>
    <w:r>
      <w:fldChar w:fldCharType="end"/>
    </w:r>
  </w:p>
  <w:p w:rsidR="00D66402" w:rsidRDefault="00D664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51" w:rsidRDefault="00E16351" w:rsidP="009F2DFA">
      <w:r>
        <w:separator/>
      </w:r>
    </w:p>
  </w:footnote>
  <w:footnote w:type="continuationSeparator" w:id="0">
    <w:p w:rsidR="00E16351" w:rsidRDefault="00E16351" w:rsidP="009F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05D558F"/>
    <w:multiLevelType w:val="hybridMultilevel"/>
    <w:tmpl w:val="31AE3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tplc="328A388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6"/>
  </w:num>
  <w:num w:numId="7">
    <w:abstractNumId w:val="11"/>
  </w:num>
  <w:num w:numId="8">
    <w:abstractNumId w:val="3"/>
  </w:num>
  <w:num w:numId="9">
    <w:abstractNumId w:val="0"/>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26E05"/>
    <w:rsid w:val="00042C66"/>
    <w:rsid w:val="000A15AE"/>
    <w:rsid w:val="000A64E8"/>
    <w:rsid w:val="000C3944"/>
    <w:rsid w:val="000D2622"/>
    <w:rsid w:val="0010251E"/>
    <w:rsid w:val="0013509D"/>
    <w:rsid w:val="00154881"/>
    <w:rsid w:val="00170681"/>
    <w:rsid w:val="00180814"/>
    <w:rsid w:val="001A4293"/>
    <w:rsid w:val="00274B2F"/>
    <w:rsid w:val="002926DD"/>
    <w:rsid w:val="002B1108"/>
    <w:rsid w:val="002D2A80"/>
    <w:rsid w:val="002F5959"/>
    <w:rsid w:val="002F7C57"/>
    <w:rsid w:val="00310F6B"/>
    <w:rsid w:val="00365755"/>
    <w:rsid w:val="00375515"/>
    <w:rsid w:val="00385DDC"/>
    <w:rsid w:val="003B1DC6"/>
    <w:rsid w:val="003B2D96"/>
    <w:rsid w:val="0040684E"/>
    <w:rsid w:val="00423B4D"/>
    <w:rsid w:val="004427B1"/>
    <w:rsid w:val="00450A8E"/>
    <w:rsid w:val="00470F5F"/>
    <w:rsid w:val="00476583"/>
    <w:rsid w:val="004E4CFC"/>
    <w:rsid w:val="004F5B1A"/>
    <w:rsid w:val="0052297F"/>
    <w:rsid w:val="00534FFE"/>
    <w:rsid w:val="005400FC"/>
    <w:rsid w:val="00560433"/>
    <w:rsid w:val="00562FAD"/>
    <w:rsid w:val="00565040"/>
    <w:rsid w:val="00577C33"/>
    <w:rsid w:val="005A429B"/>
    <w:rsid w:val="005B773E"/>
    <w:rsid w:val="005D50BE"/>
    <w:rsid w:val="005E624C"/>
    <w:rsid w:val="00615EAB"/>
    <w:rsid w:val="00616E3E"/>
    <w:rsid w:val="00657765"/>
    <w:rsid w:val="00682054"/>
    <w:rsid w:val="006D6464"/>
    <w:rsid w:val="00706671"/>
    <w:rsid w:val="00747EAA"/>
    <w:rsid w:val="00754139"/>
    <w:rsid w:val="007546C5"/>
    <w:rsid w:val="00780BA6"/>
    <w:rsid w:val="00781E3B"/>
    <w:rsid w:val="00786EF5"/>
    <w:rsid w:val="007A127B"/>
    <w:rsid w:val="007C2BC0"/>
    <w:rsid w:val="007D336E"/>
    <w:rsid w:val="00837639"/>
    <w:rsid w:val="008754FE"/>
    <w:rsid w:val="008A1252"/>
    <w:rsid w:val="008A220B"/>
    <w:rsid w:val="008A40B6"/>
    <w:rsid w:val="008A7BEF"/>
    <w:rsid w:val="008D5624"/>
    <w:rsid w:val="00904C9B"/>
    <w:rsid w:val="00997633"/>
    <w:rsid w:val="009B12C2"/>
    <w:rsid w:val="009D1647"/>
    <w:rsid w:val="009D3EFF"/>
    <w:rsid w:val="009D45D2"/>
    <w:rsid w:val="009F2DFA"/>
    <w:rsid w:val="00A45C51"/>
    <w:rsid w:val="00A75DE8"/>
    <w:rsid w:val="00A92033"/>
    <w:rsid w:val="00AA5CA8"/>
    <w:rsid w:val="00AC3A7A"/>
    <w:rsid w:val="00B31A8E"/>
    <w:rsid w:val="00B47590"/>
    <w:rsid w:val="00B95273"/>
    <w:rsid w:val="00BA073A"/>
    <w:rsid w:val="00BC32A8"/>
    <w:rsid w:val="00BC68CC"/>
    <w:rsid w:val="00BE781F"/>
    <w:rsid w:val="00C25944"/>
    <w:rsid w:val="00C463D2"/>
    <w:rsid w:val="00C50488"/>
    <w:rsid w:val="00C62458"/>
    <w:rsid w:val="00CA5D26"/>
    <w:rsid w:val="00CB3623"/>
    <w:rsid w:val="00D245D0"/>
    <w:rsid w:val="00D24FFF"/>
    <w:rsid w:val="00D5591F"/>
    <w:rsid w:val="00D66402"/>
    <w:rsid w:val="00D70B10"/>
    <w:rsid w:val="00D91BCD"/>
    <w:rsid w:val="00DD56F1"/>
    <w:rsid w:val="00DF28E0"/>
    <w:rsid w:val="00E16351"/>
    <w:rsid w:val="00E56107"/>
    <w:rsid w:val="00E86AD1"/>
    <w:rsid w:val="00EB15B9"/>
    <w:rsid w:val="00EC77FD"/>
    <w:rsid w:val="00F02911"/>
    <w:rsid w:val="00F04CCD"/>
    <w:rsid w:val="00F41620"/>
    <w:rsid w:val="00F551E0"/>
    <w:rsid w:val="00F6359D"/>
    <w:rsid w:val="00F71C11"/>
    <w:rsid w:val="00F93352"/>
    <w:rsid w:val="00F93839"/>
    <w:rsid w:val="00F9590E"/>
    <w:rsid w:val="00FB5C13"/>
    <w:rsid w:val="00FC076C"/>
    <w:rsid w:val="00FF74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9F2DFA"/>
    <w:pPr>
      <w:spacing w:after="200" w:line="276" w:lineRule="auto"/>
      <w:ind w:left="720"/>
      <w:contextualSpacing/>
    </w:pPr>
    <w:rPr>
      <w:rFonts w:asciiTheme="minorHAnsi" w:hAnsiTheme="minorHAnsi"/>
      <w:sz w:val="22"/>
      <w:szCs w:val="22"/>
      <w:lang w:eastAsia="en-US"/>
    </w:rPr>
  </w:style>
  <w:style w:type="paragraph" w:customStyle="1" w:styleId="BodyText1">
    <w:name w:val="Body Text1"/>
    <w:qFormat/>
    <w:rsid w:val="009F2DFA"/>
    <w:pPr>
      <w:spacing w:after="120" w:line="240" w:lineRule="auto"/>
    </w:pPr>
    <w:rPr>
      <w:rFonts w:ascii="Arial"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hAnsi="Arial" w:cs="Times New Roman"/>
      <w:color w:val="000000"/>
      <w:szCs w:val="48"/>
    </w:rPr>
  </w:style>
  <w:style w:type="paragraph" w:customStyle="1" w:styleId="TableColumnheader">
    <w:name w:val="Table Column header"/>
    <w:basedOn w:val="Normlny"/>
    <w:rsid w:val="009F2DFA"/>
    <w:pPr>
      <w:spacing w:before="80" w:after="80"/>
    </w:pPr>
    <w:rPr>
      <w:rFonts w:ascii="Arial"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2DFA"/>
    <w:rPr>
      <w:rFonts w:ascii="Tahoma" w:hAnsi="Tahoma" w:cs="Tahoma"/>
      <w:sz w:val="16"/>
      <w:szCs w:val="16"/>
      <w:lang w:val="x-none"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locked/>
    <w:rsid w:val="009F2DFA"/>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locked/>
    <w:rsid w:val="009F2DFA"/>
    <w:rPr>
      <w:rFonts w:ascii="Times New Roman" w:hAnsi="Times New Roman" w:cs="Times New Roman"/>
      <w:sz w:val="20"/>
      <w:szCs w:val="20"/>
      <w:lang w:val="x-none" w:eastAsia="sk-SK"/>
    </w:rPr>
  </w:style>
  <w:style w:type="character" w:styleId="Hypertextovprepojenie">
    <w:name w:val="Hyperlink"/>
    <w:basedOn w:val="Predvolenpsmoodseku"/>
    <w:uiPriority w:val="99"/>
    <w:unhideWhenUsed/>
    <w:rsid w:val="004F5B1A"/>
    <w:rPr>
      <w:rFonts w:cs="Times New Roman"/>
      <w:color w:val="0000FF" w:themeColor="hyperlink"/>
      <w:u w:val="single"/>
    </w:rPr>
  </w:style>
  <w:style w:type="character" w:styleId="Odkaznakomentr">
    <w:name w:val="annotation reference"/>
    <w:basedOn w:val="Predvolenpsmoodseku"/>
    <w:uiPriority w:val="99"/>
    <w:semiHidden/>
    <w:unhideWhenUsed/>
    <w:rsid w:val="00754139"/>
    <w:rPr>
      <w:rFonts w:cs="Times New Roman"/>
      <w:sz w:val="16"/>
      <w:szCs w:val="16"/>
    </w:rPr>
  </w:style>
  <w:style w:type="paragraph" w:styleId="Textkomentra">
    <w:name w:val="annotation text"/>
    <w:basedOn w:val="Normlny"/>
    <w:link w:val="TextkomentraChar"/>
    <w:uiPriority w:val="99"/>
    <w:semiHidden/>
    <w:unhideWhenUsed/>
    <w:rsid w:val="00754139"/>
  </w:style>
  <w:style w:type="character" w:customStyle="1" w:styleId="TextkomentraChar">
    <w:name w:val="Text komentára Char"/>
    <w:basedOn w:val="Predvolenpsmoodseku"/>
    <w:link w:val="Textkomentra"/>
    <w:uiPriority w:val="99"/>
    <w:semiHidden/>
    <w:locked/>
    <w:rsid w:val="00754139"/>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54139"/>
    <w:rPr>
      <w:b/>
      <w:bCs/>
    </w:rPr>
  </w:style>
  <w:style w:type="character" w:customStyle="1" w:styleId="PredmetkomentraChar">
    <w:name w:val="Predmet komentára Char"/>
    <w:basedOn w:val="TextkomentraChar"/>
    <w:link w:val="Predmetkomentra"/>
    <w:uiPriority w:val="99"/>
    <w:semiHidden/>
    <w:locked/>
    <w:rsid w:val="00754139"/>
    <w:rPr>
      <w:rFonts w:ascii="Times New Roman" w:hAnsi="Times New Roman" w:cs="Times New Roman"/>
      <w:b/>
      <w:bCs/>
      <w:sz w:val="2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9F2DFA"/>
    <w:pPr>
      <w:spacing w:after="200" w:line="276" w:lineRule="auto"/>
      <w:ind w:left="720"/>
      <w:contextualSpacing/>
    </w:pPr>
    <w:rPr>
      <w:rFonts w:asciiTheme="minorHAnsi" w:hAnsiTheme="minorHAnsi"/>
      <w:sz w:val="22"/>
      <w:szCs w:val="22"/>
      <w:lang w:eastAsia="en-US"/>
    </w:rPr>
  </w:style>
  <w:style w:type="paragraph" w:customStyle="1" w:styleId="BodyText1">
    <w:name w:val="Body Text1"/>
    <w:qFormat/>
    <w:rsid w:val="009F2DFA"/>
    <w:pPr>
      <w:spacing w:after="120" w:line="240" w:lineRule="auto"/>
    </w:pPr>
    <w:rPr>
      <w:rFonts w:ascii="Arial"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hAnsi="Arial" w:cs="Times New Roman"/>
      <w:color w:val="000000"/>
      <w:szCs w:val="48"/>
    </w:rPr>
  </w:style>
  <w:style w:type="paragraph" w:customStyle="1" w:styleId="TableColumnheader">
    <w:name w:val="Table Column header"/>
    <w:basedOn w:val="Normlny"/>
    <w:rsid w:val="009F2DFA"/>
    <w:pPr>
      <w:spacing w:before="80" w:after="80"/>
    </w:pPr>
    <w:rPr>
      <w:rFonts w:ascii="Arial"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2DFA"/>
    <w:rPr>
      <w:rFonts w:ascii="Tahoma" w:hAnsi="Tahoma" w:cs="Tahoma"/>
      <w:sz w:val="16"/>
      <w:szCs w:val="16"/>
      <w:lang w:val="x-none"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locked/>
    <w:rsid w:val="009F2DFA"/>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locked/>
    <w:rsid w:val="009F2DFA"/>
    <w:rPr>
      <w:rFonts w:ascii="Times New Roman" w:hAnsi="Times New Roman" w:cs="Times New Roman"/>
      <w:sz w:val="20"/>
      <w:szCs w:val="20"/>
      <w:lang w:val="x-none" w:eastAsia="sk-SK"/>
    </w:rPr>
  </w:style>
  <w:style w:type="character" w:styleId="Hypertextovprepojenie">
    <w:name w:val="Hyperlink"/>
    <w:basedOn w:val="Predvolenpsmoodseku"/>
    <w:uiPriority w:val="99"/>
    <w:unhideWhenUsed/>
    <w:rsid w:val="004F5B1A"/>
    <w:rPr>
      <w:rFonts w:cs="Times New Roman"/>
      <w:color w:val="0000FF" w:themeColor="hyperlink"/>
      <w:u w:val="single"/>
    </w:rPr>
  </w:style>
  <w:style w:type="character" w:styleId="Odkaznakomentr">
    <w:name w:val="annotation reference"/>
    <w:basedOn w:val="Predvolenpsmoodseku"/>
    <w:uiPriority w:val="99"/>
    <w:semiHidden/>
    <w:unhideWhenUsed/>
    <w:rsid w:val="00754139"/>
    <w:rPr>
      <w:rFonts w:cs="Times New Roman"/>
      <w:sz w:val="16"/>
      <w:szCs w:val="16"/>
    </w:rPr>
  </w:style>
  <w:style w:type="paragraph" w:styleId="Textkomentra">
    <w:name w:val="annotation text"/>
    <w:basedOn w:val="Normlny"/>
    <w:link w:val="TextkomentraChar"/>
    <w:uiPriority w:val="99"/>
    <w:semiHidden/>
    <w:unhideWhenUsed/>
    <w:rsid w:val="00754139"/>
  </w:style>
  <w:style w:type="character" w:customStyle="1" w:styleId="TextkomentraChar">
    <w:name w:val="Text komentára Char"/>
    <w:basedOn w:val="Predvolenpsmoodseku"/>
    <w:link w:val="Textkomentra"/>
    <w:uiPriority w:val="99"/>
    <w:semiHidden/>
    <w:locked/>
    <w:rsid w:val="00754139"/>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54139"/>
    <w:rPr>
      <w:b/>
      <w:bCs/>
    </w:rPr>
  </w:style>
  <w:style w:type="character" w:customStyle="1" w:styleId="PredmetkomentraChar">
    <w:name w:val="Predmet komentára Char"/>
    <w:basedOn w:val="TextkomentraChar"/>
    <w:link w:val="Predmetkomentra"/>
    <w:uiPriority w:val="99"/>
    <w:semiHidden/>
    <w:locked/>
    <w:rsid w:val="00754139"/>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84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legislativne-procesy/SK/PI/2018/26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y_vplyv_podnik_prost"/>
    <f:field ref="objsubject" par="" edit="true" text=""/>
    <f:field ref="objcreatedby" par="" text="Hambalekova, Alena"/>
    <f:field ref="objcreatedat" par="" text="22.10.2018 9:34:56"/>
    <f:field ref="objchangedby" par="" text="Administrator, System"/>
    <f:field ref="objmodifiedat" par="" text="22.10.2018 9:34: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KOVAĽOVÁ Anna</cp:lastModifiedBy>
  <cp:revision>4</cp:revision>
  <cp:lastPrinted>2019-08-21T15:25:00Z</cp:lastPrinted>
  <dcterms:created xsi:type="dcterms:W3CDTF">2019-08-16T08:27:00Z</dcterms:created>
  <dcterms:modified xsi:type="dcterms:W3CDTF">2019-08-21T15:25:00Z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Exekúcie a výkon rozhodnutí</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Alena Hambalekova</vt:lpwstr>
  </property>
  <property fmtid="{D5CDD505-2E9C-101B-9397-08002B2CF9AE}" pid="12" name="FSC#SKEDITIONSLOVLEX@103.510:zodppredkladatel">
    <vt:lpwstr>Gábor Gál</vt:lpwstr>
  </property>
  <property fmtid="{D5CDD505-2E9C-101B-9397-08002B2CF9AE}" pid="13" name="FSC#SKEDITIONSLOVLEX@103.510:dalsipredkladatel">
    <vt:lpwstr/>
  </property>
  <property fmtid="{D5CDD505-2E9C-101B-9397-08002B2CF9AE}" pid="14" name="FSC#SKEDITIONSLOVLEX@103.510:nazovpredpis">
    <vt:lpwstr> o ukončení niektorých exekúcií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2018</vt:lpwstr>
  </property>
  <property fmtid="{D5CDD505-2E9C-101B-9397-08002B2CF9AE}" pid="23" name="FSC#SKEDITIONSLOVLEX@103.510:plnynazovpredpis">
    <vt:lpwstr> Zákon o ukončení niektorých exekúcií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46200/2018/110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LP/2018/763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Gábor Gál_x000d__x000d_minister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22. 10. 2018</vt:lpwstr>
  </property>
  <property fmtid="{D5CDD505-2E9C-101B-9397-08002B2CF9AE}" pid="151" name="FSC#COOSYSTEM@1.1:Container">
    <vt:lpwstr>COO.2145.1000.3.3005671</vt:lpwstr>
  </property>
  <property fmtid="{D5CDD505-2E9C-101B-9397-08002B2CF9AE}" pid="152" name="FSC#FSCFOLIO@1.1001:docpropproject">
    <vt:lpwstr/>
  </property>
</Properties>
</file>