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BC5127" w:rsidRDefault="00BC5127"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BC5127">
        <w:trPr>
          <w:divId w:val="1505633638"/>
          <w:jc w:val="center"/>
        </w:trPr>
        <w:tc>
          <w:tcPr>
            <w:tcW w:w="250" w:type="pct"/>
            <w:gridSpan w:val="2"/>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1.  Základné údaje</w:t>
            </w:r>
          </w:p>
        </w:tc>
      </w:tr>
      <w:tr w:rsidR="00BC5127">
        <w:trPr>
          <w:divId w:val="1505633638"/>
          <w:trHeight w:val="450"/>
          <w:jc w:val="center"/>
        </w:trPr>
        <w:tc>
          <w:tcPr>
            <w:tcW w:w="250" w:type="pct"/>
            <w:gridSpan w:val="2"/>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Názov materiálu</w:t>
            </w:r>
          </w:p>
        </w:tc>
      </w:tr>
      <w:tr w:rsidR="00BC5127">
        <w:trPr>
          <w:divId w:val="1505633638"/>
          <w:trHeight w:val="450"/>
          <w:jc w:val="center"/>
        </w:trPr>
        <w:tc>
          <w:tcPr>
            <w:tcW w:w="250" w:type="pct"/>
            <w:gridSpan w:val="2"/>
            <w:tcBorders>
              <w:top w:val="outset" w:sz="6" w:space="0" w:color="000000"/>
              <w:bottom w:val="outset" w:sz="6" w:space="0" w:color="000000"/>
            </w:tcBorders>
            <w:hideMark/>
          </w:tcPr>
          <w:p w:rsidR="00BC5127" w:rsidRDefault="00BC5127" w:rsidP="00B56E9B">
            <w:pPr>
              <w:rPr>
                <w:rFonts w:ascii="Times" w:hAnsi="Times" w:cs="Times"/>
                <w:sz w:val="20"/>
                <w:szCs w:val="20"/>
              </w:rPr>
            </w:pPr>
            <w:r>
              <w:rPr>
                <w:rFonts w:ascii="Times" w:hAnsi="Times" w:cs="Times"/>
                <w:sz w:val="20"/>
                <w:szCs w:val="20"/>
              </w:rPr>
              <w:t xml:space="preserve">Zákon, ktorým sa mení a dopĺňa zákon č. 385/2000 Z. z. o sudcoch a prísediacich a o zmene a doplnení niektorých zákonov v znení neskorších predpisov a ktorým sa </w:t>
            </w:r>
            <w:r w:rsidR="00B56E9B">
              <w:rPr>
                <w:rFonts w:ascii="Times" w:hAnsi="Times" w:cs="Times"/>
                <w:sz w:val="20"/>
                <w:szCs w:val="20"/>
              </w:rPr>
              <w:t xml:space="preserve">menia a dopĺňajú niektoré zákony </w:t>
            </w:r>
          </w:p>
        </w:tc>
      </w:tr>
      <w:tr w:rsidR="00BC5127">
        <w:trPr>
          <w:divId w:val="1505633638"/>
          <w:trHeight w:val="450"/>
          <w:jc w:val="center"/>
        </w:trPr>
        <w:tc>
          <w:tcPr>
            <w:tcW w:w="250" w:type="pct"/>
            <w:gridSpan w:val="2"/>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Predkladateľ (a spolupredkladateľ)</w:t>
            </w:r>
          </w:p>
        </w:tc>
      </w:tr>
      <w:tr w:rsidR="00BC5127">
        <w:trPr>
          <w:divId w:val="1505633638"/>
          <w:trHeight w:val="450"/>
          <w:jc w:val="center"/>
        </w:trPr>
        <w:tc>
          <w:tcPr>
            <w:tcW w:w="250" w:type="pct"/>
            <w:gridSpan w:val="2"/>
            <w:tcBorders>
              <w:top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Ministerstvo spravodlivosti Slovenskej republiky</w:t>
            </w:r>
          </w:p>
        </w:tc>
      </w:tr>
      <w:tr w:rsidR="00BC5127">
        <w:trPr>
          <w:divId w:val="1505633638"/>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BC5127" w:rsidRDefault="00BC5127">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BC5127" w:rsidRDefault="00B56E9B">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w:t>
            </w:r>
            <w:r w:rsidR="00BC5127">
              <w:rPr>
                <w:rFonts w:ascii="Times" w:hAnsi="Times" w:cs="Times"/>
                <w:sz w:val="20"/>
                <w:szCs w:val="20"/>
              </w:rPr>
              <w:t>Materiál nelegislatívnej povahy</w:t>
            </w:r>
          </w:p>
        </w:tc>
      </w:tr>
      <w:tr w:rsidR="00BC5127">
        <w:trPr>
          <w:divId w:val="1505633638"/>
          <w:trHeight w:val="255"/>
          <w:jc w:val="center"/>
        </w:trPr>
        <w:tc>
          <w:tcPr>
            <w:tcW w:w="0" w:type="auto"/>
            <w:vMerge/>
            <w:tcBorders>
              <w:top w:val="outset" w:sz="6" w:space="0" w:color="000000"/>
              <w:bottom w:val="outset" w:sz="6" w:space="0" w:color="000000"/>
              <w:right w:val="outset" w:sz="6" w:space="0" w:color="000000"/>
            </w:tcBorders>
            <w:vAlign w:val="center"/>
            <w:hideMark/>
          </w:tcPr>
          <w:p w:rsidR="00BC5127" w:rsidRDefault="00BC5127">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BC5127">
        <w:trPr>
          <w:divId w:val="1505633638"/>
          <w:trHeight w:val="255"/>
          <w:jc w:val="center"/>
        </w:trPr>
        <w:tc>
          <w:tcPr>
            <w:tcW w:w="0" w:type="auto"/>
            <w:vMerge/>
            <w:tcBorders>
              <w:top w:val="outset" w:sz="6" w:space="0" w:color="000000"/>
              <w:bottom w:val="outset" w:sz="6" w:space="0" w:color="000000"/>
              <w:right w:val="outset" w:sz="6" w:space="0" w:color="000000"/>
            </w:tcBorders>
            <w:vAlign w:val="center"/>
            <w:hideMark/>
          </w:tcPr>
          <w:p w:rsidR="00BC5127" w:rsidRDefault="00BC5127">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BC5127">
        <w:trPr>
          <w:divId w:val="1505633638"/>
          <w:trHeight w:val="675"/>
          <w:jc w:val="center"/>
        </w:trPr>
        <w:tc>
          <w:tcPr>
            <w:tcW w:w="0" w:type="auto"/>
            <w:gridSpan w:val="2"/>
            <w:tcBorders>
              <w:top w:val="outset" w:sz="6" w:space="0" w:color="000000"/>
              <w:bottom w:val="outset" w:sz="6" w:space="0" w:color="000000"/>
            </w:tcBorders>
            <w:hideMark/>
          </w:tcPr>
          <w:p w:rsidR="00BC5127" w:rsidRDefault="00BC5127">
            <w:pPr>
              <w:rPr>
                <w:rFonts w:ascii="Times" w:hAnsi="Times" w:cs="Times"/>
                <w:sz w:val="20"/>
                <w:szCs w:val="20"/>
              </w:rPr>
            </w:pPr>
          </w:p>
        </w:tc>
      </w:tr>
      <w:tr w:rsidR="00BC5127">
        <w:trPr>
          <w:divId w:val="1505633638"/>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BC5127" w:rsidRDefault="0063421B" w:rsidP="0063421B">
            <w:pPr>
              <w:rPr>
                <w:rFonts w:ascii="Times" w:hAnsi="Times" w:cs="Times"/>
                <w:sz w:val="20"/>
                <w:szCs w:val="20"/>
              </w:rPr>
            </w:pPr>
            <w:r>
              <w:rPr>
                <w:rFonts w:ascii="Times" w:hAnsi="Times" w:cs="Times"/>
                <w:sz w:val="20"/>
                <w:szCs w:val="20"/>
              </w:rPr>
              <w:t>3. máj 2019</w:t>
            </w:r>
          </w:p>
        </w:tc>
      </w:tr>
      <w:tr w:rsidR="00BC5127">
        <w:trPr>
          <w:divId w:val="1505633638"/>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apríl 2019</w:t>
            </w:r>
          </w:p>
        </w:tc>
      </w:tr>
      <w:tr w:rsidR="00BC5127">
        <w:trPr>
          <w:divId w:val="1505633638"/>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BC5127" w:rsidRPr="00B56E9B" w:rsidRDefault="00B56E9B">
            <w:pPr>
              <w:rPr>
                <w:rFonts w:ascii="Times" w:hAnsi="Times" w:cs="Times"/>
                <w:bCs/>
                <w:sz w:val="22"/>
                <w:szCs w:val="22"/>
              </w:rPr>
            </w:pPr>
            <w:r w:rsidRPr="00B56E9B">
              <w:rPr>
                <w:rFonts w:ascii="Times" w:hAnsi="Times" w:cs="Times"/>
                <w:bCs/>
                <w:sz w:val="22"/>
                <w:szCs w:val="22"/>
              </w:rPr>
              <w:t>august 2019</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2.  Definícia problému</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Právna úprava justičných čakateľov čerpá svoj základ v piatej časti zákona č. 385/2000 Z. z. o sudcoch a prísediacich a o zmene a doplnení niektorých zákonov v znení neskorších predpisov. Aplikácia doterajšej úpravy vyvolávala v praxi viaceré otázniky a interpretačné nejasnosti. Zámerom novej právnej úpravy v tejto oblasti je odstránenie nedostatkov, ktoré vznikli v aplikačnej praxi a v nadväznosti na praktické požiadavky zabezpečiť dostatočné množstvo vhodných adeptov adekvátne pripravených na odborné justičné skúšky a hromadné výberové konania.</w:t>
            </w:r>
            <w:r>
              <w:rPr>
                <w:rFonts w:ascii="Times" w:hAnsi="Times" w:cs="Times"/>
                <w:sz w:val="20"/>
                <w:szCs w:val="20"/>
              </w:rPr>
              <w:br/>
              <w:t>V systéme sa tiež nachádza vysoký počet sudcov v dôchodkovom veku, ktorí sa môžu kedykoľvek rozhodnúť odísť do dôchodku alebo môžu byť odvolaní prezidentom. Práve justiční čakatelia sa javia ako najvhodnejší kandidáti, ktorí by ich po absolvovaní odbornej justičnej skúšky a hromadného výberového konania mohli adekvátne nahradiť.</w:t>
            </w:r>
            <w:r>
              <w:rPr>
                <w:rFonts w:ascii="Times" w:hAnsi="Times" w:cs="Times"/>
                <w:sz w:val="20"/>
                <w:szCs w:val="20"/>
              </w:rPr>
              <w:br/>
              <w:t xml:space="preserve">Doterajšia suma príplatku školiteľa za vedenie justičného čakateľa vo výške 30 eur mesačne nie je adekvátna, ani motivačná vo vzťahu k rozsahu agendy, ktorá je s tým spojená. Snahou predkladateľa je zvýšiť motiváciu školiteľov a súčasne kvalitu vedenia justičného čakateľa. </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3.  Ciele a výsledný stav</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C5127" w:rsidP="00B56E9B">
            <w:pPr>
              <w:rPr>
                <w:rFonts w:ascii="Times" w:hAnsi="Times" w:cs="Times"/>
                <w:sz w:val="20"/>
                <w:szCs w:val="20"/>
              </w:rPr>
            </w:pPr>
            <w:r>
              <w:rPr>
                <w:rFonts w:ascii="Times" w:hAnsi="Times" w:cs="Times"/>
                <w:sz w:val="20"/>
                <w:szCs w:val="20"/>
              </w:rPr>
              <w:t xml:space="preserve">Funkciu justičného čakateľa je potrebné primárne vnímať ako spôsob zabezpečenia prípravy budúcich sudcov. Zámerom novej právnej úpravy v tejto oblasti je odstránenie problémov, ktoré vznikli v aplikačnej praxi </w:t>
            </w:r>
            <w:r>
              <w:rPr>
                <w:rFonts w:ascii="Times" w:hAnsi="Times" w:cs="Times"/>
                <w:sz w:val="20"/>
                <w:szCs w:val="20"/>
              </w:rPr>
              <w:br/>
              <w:t xml:space="preserve">a v nadväznosti na požiadavky aplikačnej praxe zvýšiť kvalitu nových sudcov. Zvyšuje sa doterajšia výška príplatku školiteľa za vedenie justičného čakateľa z 30 eur na 100 eur mesačne. Snahou je zvýšiť motiváciu školiteľov a súčasne kvalitu vedenia justičného čakateľa. </w:t>
            </w:r>
            <w:r>
              <w:rPr>
                <w:rFonts w:ascii="Times" w:hAnsi="Times" w:cs="Times"/>
                <w:sz w:val="20"/>
                <w:szCs w:val="20"/>
              </w:rPr>
              <w:br/>
              <w:t>Komplexným spôsobom sa upravuje výberové konanie na funkciu justičného čakateľa. Navrhované zmeny vychádzajú z praktických skúseností a majú za cieľ garantovať transparentnosť a objektivitu výberových konaní a následne i kvalitu vybraných uchádzačov. Vzhľadom na vysoký počet sudcov v dôchodkovom veku, sa javia justiční čakatelia v prípade ich odchodu zo súdov ako najvhodnejší kandidáti, ktorí by ich po absolvovaní odbornej justičnej skúšky a hromadného výberového konania mohli adekvátne nahradiť. Navrhovanou úpravou sa umožňuje predísť stavu prípadného dlhodobého neobsadenia uvoľ</w:t>
            </w:r>
            <w:r w:rsidR="00B56E9B">
              <w:rPr>
                <w:rFonts w:ascii="Times" w:hAnsi="Times" w:cs="Times"/>
                <w:sz w:val="20"/>
                <w:szCs w:val="20"/>
              </w:rPr>
              <w:t xml:space="preserve">neného sudcovského miesta. </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4.  Dotknuté subjekty</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56E9B">
            <w:pPr>
              <w:rPr>
                <w:rFonts w:ascii="Times" w:hAnsi="Times" w:cs="Times"/>
                <w:b/>
                <w:bCs/>
                <w:sz w:val="22"/>
                <w:szCs w:val="22"/>
              </w:rPr>
            </w:pPr>
            <w:r>
              <w:rPr>
                <w:rFonts w:ascii="Times" w:hAnsi="Times" w:cs="Times"/>
                <w:sz w:val="20"/>
                <w:szCs w:val="20"/>
              </w:rPr>
              <w:t xml:space="preserve">Ministerstvo spravodlivosti Slovenskej republiky, súdy, justičné čakatelia </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5.  Alternatívne riešenia</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Pr="00B56E9B" w:rsidRDefault="00B56E9B" w:rsidP="00B56E9B">
            <w:pPr>
              <w:rPr>
                <w:rFonts w:ascii="Times" w:hAnsi="Times" w:cs="Times"/>
                <w:bCs/>
                <w:sz w:val="22"/>
                <w:szCs w:val="22"/>
              </w:rPr>
            </w:pPr>
            <w:r w:rsidRPr="00B56E9B">
              <w:rPr>
                <w:rFonts w:ascii="Times" w:hAnsi="Times" w:cs="Times"/>
                <w:bCs/>
                <w:sz w:val="20"/>
                <w:szCs w:val="22"/>
              </w:rPr>
              <w:t xml:space="preserve">Riešenie </w:t>
            </w:r>
            <w:r>
              <w:rPr>
                <w:rFonts w:ascii="Times" w:hAnsi="Times" w:cs="Times"/>
                <w:bCs/>
                <w:sz w:val="20"/>
                <w:szCs w:val="22"/>
              </w:rPr>
              <w:t xml:space="preserve">adekvátneho personálneho obsadenia miest sudcov, pretože o to tu v prípade predkladaného návrhu zákona ide, je vždy súborom niekoľkých opatrení rôznej povahy (organizačnej, materiálnej, personálnej, legislatívnej), či už je ide o rozpočet súdov, počty voľných miest sudcov na súdoch, zavádzanie hosťujúcich </w:t>
            </w:r>
            <w:r>
              <w:rPr>
                <w:rFonts w:ascii="Times" w:hAnsi="Times" w:cs="Times"/>
                <w:bCs/>
                <w:sz w:val="20"/>
                <w:szCs w:val="22"/>
              </w:rPr>
              <w:lastRenderedPageBreak/>
              <w:t xml:space="preserve">sudcov, či zlepšovanie prípravy adeptov vo výberových konania na voľné miesto sudcu. Takže alternatívne riešenia sú nevyhnutnosťou a predkladateľ ich realizuje  </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lastRenderedPageBreak/>
              <w:t>  6.  Vykonávacie predpisy</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xml:space="preserve">  7.  Transpozícia práva EÚ </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Nie.</w:t>
            </w:r>
          </w:p>
        </w:tc>
      </w:tr>
      <w:tr w:rsidR="00BC5127" w:rsidTr="00B56E9B">
        <w:trPr>
          <w:divId w:val="1505633635"/>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8.  Preskúmanie účelnosti**</w:t>
            </w:r>
          </w:p>
        </w:tc>
      </w:tr>
      <w:tr w:rsidR="00BC5127" w:rsidTr="00B56E9B">
        <w:trPr>
          <w:divId w:val="1505633635"/>
          <w:trHeight w:val="600"/>
          <w:jc w:val="center"/>
        </w:trPr>
        <w:tc>
          <w:tcPr>
            <w:tcW w:w="5000" w:type="pct"/>
            <w:tcBorders>
              <w:top w:val="outset" w:sz="6" w:space="0" w:color="000000"/>
              <w:bottom w:val="outset" w:sz="6" w:space="0" w:color="000000"/>
            </w:tcBorders>
            <w:hideMark/>
          </w:tcPr>
          <w:p w:rsidR="00BC5127" w:rsidRDefault="00BC5127">
            <w:pPr>
              <w:rPr>
                <w:rFonts w:ascii="Times" w:hAnsi="Times" w:cs="Times"/>
                <w:sz w:val="20"/>
                <w:szCs w:val="20"/>
              </w:rPr>
            </w:pPr>
            <w:r>
              <w:rPr>
                <w:rFonts w:ascii="Times" w:hAnsi="Times" w:cs="Times"/>
                <w:sz w:val="20"/>
                <w:szCs w:val="20"/>
              </w:rPr>
              <w:t>Predkladateľ bude priebežne po účinnosti zákona vyhodnocovať jeho prínosy.</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BC5127" w:rsidTr="00B56E9B">
        <w:trPr>
          <w:divId w:val="1505633633"/>
          <w:trHeight w:val="450"/>
          <w:jc w:val="center"/>
        </w:trPr>
        <w:tc>
          <w:tcPr>
            <w:tcW w:w="5000" w:type="pct"/>
            <w:gridSpan w:val="4"/>
            <w:tcBorders>
              <w:top w:val="outset" w:sz="6" w:space="0" w:color="000000"/>
              <w:bottom w:val="outset" w:sz="6" w:space="0" w:color="000000"/>
            </w:tcBorders>
            <w:shd w:val="clear" w:color="auto" w:fill="E6E6E6"/>
            <w:hideMark/>
          </w:tcPr>
          <w:p w:rsidR="00BC5127" w:rsidRDefault="00BC5127">
            <w:pPr>
              <w:rPr>
                <w:rFonts w:ascii="Times" w:hAnsi="Times" w:cs="Times"/>
                <w:b/>
                <w:bCs/>
                <w:sz w:val="20"/>
                <w:szCs w:val="20"/>
              </w:rPr>
            </w:pPr>
            <w:r>
              <w:rPr>
                <w:rFonts w:ascii="Times" w:hAnsi="Times" w:cs="Times"/>
                <w:b/>
                <w:bCs/>
                <w:sz w:val="20"/>
                <w:szCs w:val="20"/>
              </w:rPr>
              <w:t>  9.   Vplyvy navrhovaného materiálu</w:t>
            </w:r>
          </w:p>
        </w:tc>
      </w:tr>
      <w:tr w:rsidR="00BC5127">
        <w:trPr>
          <w:divId w:val="1505633633"/>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BC5127">
        <w:trPr>
          <w:divId w:val="1505633633"/>
          <w:trHeight w:val="270"/>
          <w:jc w:val="center"/>
        </w:trPr>
        <w:tc>
          <w:tcPr>
            <w:tcW w:w="0" w:type="auto"/>
            <w:vMerge/>
            <w:tcBorders>
              <w:top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w:t>
            </w:r>
            <w:r w:rsidR="00F23605">
              <w:rPr>
                <w:rFonts w:ascii="Times" w:hAnsi="Times" w:cs="Times"/>
                <w:sz w:val="20"/>
                <w:szCs w:val="20"/>
              </w:rPr>
              <w:t xml:space="preserve"> </w:t>
            </w:r>
            <w:r w:rsidR="00F23605">
              <w:rPr>
                <w:rFonts w:ascii="Wingdings 2" w:hAnsi="Wingdings 2" w:cs="Times"/>
                <w:sz w:val="20"/>
                <w:szCs w:val="20"/>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w:t>
            </w:r>
            <w:r w:rsidR="00F23605">
              <w:rPr>
                <w:rFonts w:ascii="Times" w:hAnsi="Times" w:cs="Times"/>
                <w:sz w:val="20"/>
                <w:szCs w:val="20"/>
              </w:rPr>
              <w:t xml:space="preserve"> </w:t>
            </w:r>
            <w:r w:rsidR="00F23605">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BC5127">
        <w:trPr>
          <w:divId w:val="1505633633"/>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270"/>
          <w:jc w:val="center"/>
        </w:trPr>
        <w:tc>
          <w:tcPr>
            <w:tcW w:w="0" w:type="auto"/>
            <w:vMerge/>
            <w:tcBorders>
              <w:top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150"/>
          <w:jc w:val="center"/>
        </w:trPr>
        <w:tc>
          <w:tcPr>
            <w:tcW w:w="0" w:type="auto"/>
            <w:vMerge/>
            <w:tcBorders>
              <w:top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BC5127">
        <w:trPr>
          <w:divId w:val="1505633633"/>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BC5127" w:rsidRDefault="00BC5127">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BC5127" w:rsidRDefault="00BC5127">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BC5127" w:rsidTr="00B56E9B">
        <w:trPr>
          <w:divId w:val="1505633634"/>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10.  Poznámky</w:t>
            </w:r>
          </w:p>
        </w:tc>
      </w:tr>
      <w:tr w:rsidR="00BC5127" w:rsidTr="00B56E9B">
        <w:trPr>
          <w:divId w:val="1505633634"/>
          <w:trHeight w:val="600"/>
          <w:jc w:val="center"/>
        </w:trPr>
        <w:tc>
          <w:tcPr>
            <w:tcW w:w="5000" w:type="pct"/>
            <w:tcBorders>
              <w:top w:val="outset" w:sz="6" w:space="0" w:color="000000"/>
              <w:bottom w:val="outset" w:sz="6" w:space="0" w:color="000000"/>
            </w:tcBorders>
            <w:hideMark/>
          </w:tcPr>
          <w:p w:rsidR="00BC5127" w:rsidRPr="00C43597" w:rsidRDefault="00C43597" w:rsidP="00C43597">
            <w:pPr>
              <w:rPr>
                <w:bCs/>
                <w:sz w:val="22"/>
                <w:szCs w:val="22"/>
              </w:rPr>
            </w:pPr>
            <w:r>
              <w:rPr>
                <w:bCs/>
                <w:sz w:val="20"/>
                <w:szCs w:val="22"/>
              </w:rPr>
              <w:t>Vplyvy na rozpočet verejnej správy</w:t>
            </w:r>
            <w:r w:rsidRPr="00C43597">
              <w:rPr>
                <w:bCs/>
                <w:sz w:val="20"/>
                <w:szCs w:val="22"/>
              </w:rPr>
              <w:t xml:space="preserve"> </w:t>
            </w:r>
            <w:r>
              <w:rPr>
                <w:bCs/>
                <w:sz w:val="20"/>
                <w:szCs w:val="22"/>
              </w:rPr>
              <w:t>budú zabezpečené</w:t>
            </w:r>
            <w:r w:rsidRPr="00C43597">
              <w:rPr>
                <w:bCs/>
                <w:sz w:val="20"/>
                <w:szCs w:val="22"/>
              </w:rPr>
              <w:t xml:space="preserve"> v rámci schváleného limitu výdavkov kapitoly Ministerstva spravodlivosti SR na príslušný rozpočtový rok, bez dodatočných požiadaviek na štátny rozpočet.</w:t>
            </w:r>
          </w:p>
        </w:tc>
      </w:tr>
      <w:tr w:rsidR="00BC5127" w:rsidTr="00B56E9B">
        <w:trPr>
          <w:divId w:val="1505633634"/>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11.  Kontakt na spracovateľa</w:t>
            </w:r>
          </w:p>
        </w:tc>
      </w:tr>
      <w:tr w:rsidR="00BC5127" w:rsidTr="00B56E9B">
        <w:trPr>
          <w:divId w:val="1505633634"/>
          <w:trHeight w:val="600"/>
          <w:jc w:val="center"/>
        </w:trPr>
        <w:tc>
          <w:tcPr>
            <w:tcW w:w="5000" w:type="pct"/>
            <w:tcBorders>
              <w:top w:val="outset" w:sz="6" w:space="0" w:color="000000"/>
              <w:bottom w:val="outset" w:sz="6" w:space="0" w:color="000000"/>
            </w:tcBorders>
            <w:hideMark/>
          </w:tcPr>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JUDr. Viera Benčatová</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Sekcia legislatívy</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Odbor legislatívy občianskeho</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a obchodného práva</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Ministerstvo spravodlivosti SR</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Župné nám. 13</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813 11 Bratislava</w:t>
            </w:r>
          </w:p>
          <w:p w:rsidR="00BC5127" w:rsidRPr="009C1D0D" w:rsidRDefault="00BC5127" w:rsidP="00B56E9B">
            <w:pPr>
              <w:pStyle w:val="Normlnywebov"/>
              <w:spacing w:before="0" w:beforeAutospacing="0" w:after="0" w:afterAutospacing="0"/>
              <w:rPr>
                <w:rFonts w:ascii="Times" w:hAnsi="Times" w:cs="Times"/>
                <w:sz w:val="20"/>
                <w:szCs w:val="20"/>
              </w:rPr>
            </w:pPr>
            <w:r w:rsidRPr="009C1D0D">
              <w:rPr>
                <w:rFonts w:ascii="Times" w:hAnsi="Times" w:cs="Times"/>
                <w:sz w:val="20"/>
                <w:szCs w:val="20"/>
              </w:rPr>
              <w:t>tel. č. 02/888 91 300</w:t>
            </w:r>
          </w:p>
          <w:p w:rsidR="00BC5127" w:rsidRDefault="00BC5127" w:rsidP="00B56E9B">
            <w:pPr>
              <w:rPr>
                <w:rFonts w:ascii="Times" w:hAnsi="Times" w:cs="Times"/>
                <w:sz w:val="20"/>
                <w:szCs w:val="20"/>
              </w:rPr>
            </w:pPr>
            <w:r>
              <w:rPr>
                <w:rFonts w:ascii="Times" w:hAnsi="Times" w:cs="Times"/>
                <w:sz w:val="20"/>
                <w:szCs w:val="20"/>
              </w:rPr>
              <w:t xml:space="preserve">Email: </w:t>
            </w:r>
            <w:hyperlink r:id="rId7" w:history="1">
              <w:r>
                <w:rPr>
                  <w:rStyle w:val="Hypertextovprepojenie"/>
                  <w:rFonts w:ascii="Times" w:hAnsi="Times" w:cs="Times"/>
                  <w:sz w:val="20"/>
                  <w:szCs w:val="20"/>
                </w:rPr>
                <w:t>viera.bencatova@justice.sk</w:t>
              </w:r>
            </w:hyperlink>
          </w:p>
        </w:tc>
      </w:tr>
      <w:tr w:rsidR="00BC5127" w:rsidTr="00B56E9B">
        <w:trPr>
          <w:divId w:val="1505633634"/>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12.  Zdroje</w:t>
            </w:r>
          </w:p>
        </w:tc>
      </w:tr>
      <w:tr w:rsidR="00BC5127" w:rsidTr="00B56E9B">
        <w:trPr>
          <w:divId w:val="1505633634"/>
          <w:trHeight w:val="600"/>
          <w:jc w:val="center"/>
        </w:trPr>
        <w:tc>
          <w:tcPr>
            <w:tcW w:w="5000" w:type="pct"/>
            <w:tcBorders>
              <w:top w:val="outset" w:sz="6" w:space="0" w:color="000000"/>
              <w:bottom w:val="outset" w:sz="6" w:space="0" w:color="000000"/>
            </w:tcBorders>
            <w:hideMark/>
          </w:tcPr>
          <w:p w:rsidR="00BC5127" w:rsidRDefault="00BC5127">
            <w:pPr>
              <w:rPr>
                <w:rFonts w:ascii="Times" w:hAnsi="Times" w:cs="Times"/>
                <w:b/>
                <w:bCs/>
                <w:sz w:val="22"/>
                <w:szCs w:val="22"/>
              </w:rPr>
            </w:pPr>
          </w:p>
        </w:tc>
      </w:tr>
      <w:tr w:rsidR="00BC5127" w:rsidTr="00B56E9B">
        <w:trPr>
          <w:divId w:val="1505633634"/>
          <w:jc w:val="center"/>
        </w:trPr>
        <w:tc>
          <w:tcPr>
            <w:tcW w:w="5000" w:type="pct"/>
            <w:tcBorders>
              <w:top w:val="outset" w:sz="6" w:space="0" w:color="000000"/>
              <w:bottom w:val="outset" w:sz="6" w:space="0" w:color="000000"/>
            </w:tcBorders>
            <w:shd w:val="clear" w:color="auto" w:fill="E6E6E6"/>
            <w:hideMark/>
          </w:tcPr>
          <w:p w:rsidR="00BC5127" w:rsidRDefault="00BC5127">
            <w:pPr>
              <w:rPr>
                <w:rFonts w:ascii="Times" w:hAnsi="Times" w:cs="Times"/>
                <w:b/>
                <w:bCs/>
                <w:sz w:val="22"/>
                <w:szCs w:val="22"/>
              </w:rPr>
            </w:pPr>
            <w:r>
              <w:rPr>
                <w:rFonts w:ascii="Times" w:hAnsi="Times" w:cs="Times"/>
                <w:b/>
                <w:bCs/>
                <w:sz w:val="22"/>
                <w:szCs w:val="22"/>
              </w:rPr>
              <w:t>  13.  Stanovisko Komisie pre posudzovanie vybraných vplyvov z PPK</w:t>
            </w:r>
          </w:p>
        </w:tc>
      </w:tr>
      <w:tr w:rsidR="00BC5127" w:rsidTr="00B56E9B">
        <w:trPr>
          <w:divId w:val="1505633634"/>
          <w:trHeight w:val="1200"/>
          <w:jc w:val="center"/>
        </w:trPr>
        <w:tc>
          <w:tcPr>
            <w:tcW w:w="5000" w:type="pct"/>
            <w:tcBorders>
              <w:top w:val="outset" w:sz="6" w:space="0" w:color="000000"/>
              <w:bottom w:val="outset" w:sz="6" w:space="0" w:color="000000"/>
            </w:tcBorders>
            <w:hideMark/>
          </w:tcPr>
          <w:p w:rsidR="00BC5127" w:rsidRDefault="00BC5127">
            <w:pPr>
              <w:rPr>
                <w:rFonts w:ascii="Times" w:hAnsi="Times" w:cs="Times"/>
                <w:sz w:val="20"/>
                <w:szCs w:val="20"/>
              </w:rPr>
            </w:pPr>
            <w:r w:rsidRPr="009C1D0D">
              <w:rPr>
                <w:noProof/>
                <w:sz w:val="20"/>
                <w:szCs w:val="20"/>
              </w:rPr>
              <w:t>Bude doplnené po PPK.</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E2" w:rsidRDefault="00C639E2">
      <w:r>
        <w:separator/>
      </w:r>
    </w:p>
  </w:endnote>
  <w:endnote w:type="continuationSeparator" w:id="0">
    <w:p w:rsidR="00C639E2" w:rsidRDefault="00C6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E2" w:rsidRDefault="00C639E2">
      <w:r>
        <w:separator/>
      </w:r>
    </w:p>
  </w:footnote>
  <w:footnote w:type="continuationSeparator" w:id="0">
    <w:p w:rsidR="00C639E2" w:rsidRDefault="00C6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25D6"/>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A3CFD"/>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388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83A"/>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4D78"/>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21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E7F9E"/>
    <w:rsid w:val="007F5D4D"/>
    <w:rsid w:val="007F6BA3"/>
    <w:rsid w:val="007F6EBD"/>
    <w:rsid w:val="007F6FB5"/>
    <w:rsid w:val="008015A6"/>
    <w:rsid w:val="0080294E"/>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4E3"/>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4090"/>
    <w:rsid w:val="009A73E4"/>
    <w:rsid w:val="009A7DBC"/>
    <w:rsid w:val="009A7FCA"/>
    <w:rsid w:val="009B45F2"/>
    <w:rsid w:val="009B5F5F"/>
    <w:rsid w:val="009B7C67"/>
    <w:rsid w:val="009C0655"/>
    <w:rsid w:val="009C1D0D"/>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56E9B"/>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51DA"/>
    <w:rsid w:val="00B97824"/>
    <w:rsid w:val="00BA0A86"/>
    <w:rsid w:val="00BA30E9"/>
    <w:rsid w:val="00BA333F"/>
    <w:rsid w:val="00BA3720"/>
    <w:rsid w:val="00BA380E"/>
    <w:rsid w:val="00BB1663"/>
    <w:rsid w:val="00BB2E4A"/>
    <w:rsid w:val="00BC073F"/>
    <w:rsid w:val="00BC5127"/>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597"/>
    <w:rsid w:val="00C438BC"/>
    <w:rsid w:val="00C45ED6"/>
    <w:rsid w:val="00C47C59"/>
    <w:rsid w:val="00C50909"/>
    <w:rsid w:val="00C515E5"/>
    <w:rsid w:val="00C557B3"/>
    <w:rsid w:val="00C55AC4"/>
    <w:rsid w:val="00C565A0"/>
    <w:rsid w:val="00C579E9"/>
    <w:rsid w:val="00C618B2"/>
    <w:rsid w:val="00C62E34"/>
    <w:rsid w:val="00C639E2"/>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484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3605"/>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109097-0845-4035-A11C-8BC283BE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semiHidden/>
    <w:unhideWhenUsed/>
    <w:rsid w:val="00BC5127"/>
    <w:rPr>
      <w:color w:val="0000FF"/>
      <w:u w:val="single"/>
    </w:rPr>
  </w:style>
  <w:style w:type="paragraph" w:styleId="Textbubliny">
    <w:name w:val="Balloon Text"/>
    <w:basedOn w:val="Normlny"/>
    <w:link w:val="TextbublinyChar"/>
    <w:uiPriority w:val="99"/>
    <w:semiHidden/>
    <w:unhideWhenUsed/>
    <w:rsid w:val="0010388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03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33633">
      <w:marLeft w:val="0"/>
      <w:marRight w:val="0"/>
      <w:marTop w:val="0"/>
      <w:marBottom w:val="0"/>
      <w:divBdr>
        <w:top w:val="none" w:sz="0" w:space="0" w:color="auto"/>
        <w:left w:val="none" w:sz="0" w:space="0" w:color="auto"/>
        <w:bottom w:val="none" w:sz="0" w:space="0" w:color="auto"/>
        <w:right w:val="none" w:sz="0" w:space="0" w:color="auto"/>
      </w:divBdr>
    </w:div>
    <w:div w:id="1505633634">
      <w:marLeft w:val="0"/>
      <w:marRight w:val="0"/>
      <w:marTop w:val="0"/>
      <w:marBottom w:val="0"/>
      <w:divBdr>
        <w:top w:val="none" w:sz="0" w:space="0" w:color="auto"/>
        <w:left w:val="none" w:sz="0" w:space="0" w:color="auto"/>
        <w:bottom w:val="none" w:sz="0" w:space="0" w:color="auto"/>
        <w:right w:val="none" w:sz="0" w:space="0" w:color="auto"/>
      </w:divBdr>
    </w:div>
    <w:div w:id="1505633635">
      <w:marLeft w:val="0"/>
      <w:marRight w:val="0"/>
      <w:marTop w:val="0"/>
      <w:marBottom w:val="0"/>
      <w:divBdr>
        <w:top w:val="none" w:sz="0" w:space="0" w:color="auto"/>
        <w:left w:val="none" w:sz="0" w:space="0" w:color="auto"/>
        <w:bottom w:val="none" w:sz="0" w:space="0" w:color="auto"/>
        <w:right w:val="none" w:sz="0" w:space="0" w:color="auto"/>
      </w:divBdr>
    </w:div>
    <w:div w:id="1505633636">
      <w:marLeft w:val="0"/>
      <w:marRight w:val="0"/>
      <w:marTop w:val="0"/>
      <w:marBottom w:val="0"/>
      <w:divBdr>
        <w:top w:val="none" w:sz="0" w:space="0" w:color="auto"/>
        <w:left w:val="none" w:sz="0" w:space="0" w:color="auto"/>
        <w:bottom w:val="none" w:sz="0" w:space="0" w:color="auto"/>
        <w:right w:val="none" w:sz="0" w:space="0" w:color="auto"/>
      </w:divBdr>
      <w:divsChild>
        <w:div w:id="1505633637">
          <w:marLeft w:val="0"/>
          <w:marRight w:val="0"/>
          <w:marTop w:val="0"/>
          <w:marBottom w:val="0"/>
          <w:divBdr>
            <w:top w:val="none" w:sz="0" w:space="0" w:color="auto"/>
            <w:left w:val="none" w:sz="0" w:space="0" w:color="auto"/>
            <w:bottom w:val="none" w:sz="0" w:space="0" w:color="auto"/>
            <w:right w:val="none" w:sz="0" w:space="0" w:color="auto"/>
          </w:divBdr>
        </w:div>
      </w:divsChild>
    </w:div>
    <w:div w:id="1505633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era.bencatova@justice.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6.4.2019 15:54:53"/>
    <f:field ref="objchangedby" par="" text="Administrator, System"/>
    <f:field ref="objmodifiedat" par="" text="16.4.2019 15:54:58"/>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grosjarova</dc:creator>
  <cp:keywords/>
  <dc:description/>
  <cp:lastModifiedBy>PALÚŠ Juraj</cp:lastModifiedBy>
  <cp:revision>2</cp:revision>
  <cp:lastPrinted>2019-08-13T13:49:00Z</cp:lastPrinted>
  <dcterms:created xsi:type="dcterms:W3CDTF">2019-08-19T10:59:00Z</dcterms:created>
  <dcterms:modified xsi:type="dcterms:W3CDTF">2019-08-19T10:59:00Z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Pracovné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Viera Benčatová</vt:lpwstr>
  </property>
  <property fmtid="{D5CDD505-2E9C-101B-9397-08002B2CF9AE}" pid="9" name="FSC#SKEDITIONSLOVLEX@103.510:zodppredkladatel">
    <vt:lpwstr>Gábor Gál</vt:lpwstr>
  </property>
  <property fmtid="{D5CDD505-2E9C-101B-9397-08002B2CF9AE}" pid="10" name="FSC#SKEDITIONSLOVLEX@103.510:nazovpredpis">
    <vt:lpwstr>, ktorým sa mení a dopĺňa zákon č. 385/2000 Z. z. o sudcoch a prísediacich a o zmene a doplnení niektorých zákonov v znení neskorších predpisov a ktorým sa mení zákon č. 55/2017 Z. z. o štátnej službe a o zmene a doplnení niektorých zákonov v znení nesko</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Ministerstvo spravodlivosti Slovenskej republiky, Ministerstvo spravodlivosti Slovenskej republiky, Ministerstvo spravodlivosti Slovenskej republiky, Ministerstvo spravodlivosti Slovenskej republiky, Ministerstvo spravodlivosti Slovenskej republiky, Minis</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ktorým sa mení a dopĺňa zákon č. 385/2000 Z. z. o sudcoch a prísediacich a o zmene a doplnení niektorých zákonov v znení neskorších predpisov a ktorým sa mení zákon č. 55/2017 Z. z. o štátnej službe a o zmene a doplnení niektorých zákonov v znení </vt:lpwstr>
  </property>
  <property fmtid="{D5CDD505-2E9C-101B-9397-08002B2CF9AE}" pid="17" name="FSC#SKEDITIONSLOVLEX@103.510:rezortcislopredpis">
    <vt:lpwstr>38403/2019-110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LP/2019/286</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&lt;span style="font-family: &amp;quot;Times New Roman&amp;quot;,&amp;quot;serif&amp;quot;; font-size: 10pt; mso-fareast-language: SK; mso-fareast-font-family: &amp;quot;Times New Roman&amp;quot;; mso-fareast-theme-font: minor-fareast; mso-no-proof: yes; mso-ansi-language: SK; mso-</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republiky_x000d__x000d_minister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&lt;p&gt;Ministerstvo spravodlivosti Slovenskej republiky predkladá do legislatívneho procesu ako iniciatívny materiál návrh zákona, ktorým sa mení a dopĺňa zákon č. 385/2000 Z. z. o sudcoch a prísediacich a o&amp;nbsp;zmene a doplnení niektorých zákonov v znení ne</vt:lpwstr>
  </property>
  <property fmtid="{D5CDD505-2E9C-101B-9397-08002B2CF9AE}" pid="130" name="FSC#COOSYSTEM@1.1:Container">
    <vt:lpwstr>COO.2145.1000.3.3310588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Verejnosť bola informovaná formou predbežnej informácie o príprave návrhu zákona a v medzirezortnom pripomienkovom konaní má verejnosť možnosť uplatniť svoje podnety a pripomienky.</vt:lpwstr>
  </property>
  <property fmtid="{D5CDD505-2E9C-101B-9397-08002B2CF9AE}" pid="134" name="FSC#SKEDITIONSLOVLEX@103.510:cisloparlamenttlac">
    <vt:lpwstr/>
  </property>
  <property fmtid="{D5CDD505-2E9C-101B-9397-08002B2CF9AE}" pid="135" name="FSC#SKEDITIONSLOVLEX@103.510:nazovpredpis1">
    <vt:lpwstr>rších predpisov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neskorších predpisov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spravodlivosti Slovenskej republiky</vt:lpwstr>
  </property>
  <property fmtid="{D5CDD505-2E9C-101B-9397-08002B2CF9AE}" pid="145" name="FSC#SKEDITIONSLOVLEX@103.510:funkciaZodpPredAkuzativ">
    <vt:lpwstr>ministra spravodlivosti Slovenskej republiky</vt:lpwstr>
  </property>
  <property fmtid="{D5CDD505-2E9C-101B-9397-08002B2CF9AE}" pid="146" name="FSC#SKEDITIONSLOVLEX@103.510:funkciaZodpPredDativ">
    <vt:lpwstr>ministrovi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Gábor Gál_x000d__x000d_minister spravodlivosti Slovenskej republiky</vt:lpwstr>
  </property>
  <property fmtid="{D5CDD505-2E9C-101B-9397-08002B2CF9AE}" pid="151" name="FSC#SKEDITIONSLOVLEX@103.510:aktualnyrok">
    <vt:lpwstr>2019</vt:lpwstr>
  </property>
  <property fmtid="{D5CDD505-2E9C-101B-9397-08002B2CF9AE}" pid="152" name="FSC#SKEDITIONSLOVLEX@103.510:vytvorenedna">
    <vt:lpwstr>16. 4. 2019</vt:lpwstr>
  </property>
</Properties>
</file>