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8F" w:rsidRPr="00AA6D07" w:rsidRDefault="0028072F" w:rsidP="0009118F">
      <w:pPr>
        <w:jc w:val="center"/>
        <w:rPr>
          <w:b/>
          <w:caps/>
        </w:rPr>
      </w:pPr>
      <w:bookmarkStart w:id="0" w:name="_GoBack"/>
      <w:bookmarkEnd w:id="0"/>
      <w:r w:rsidRPr="00AA6D07">
        <w:rPr>
          <w:b/>
          <w:caps/>
        </w:rPr>
        <w:t>Dôvodová správA</w:t>
      </w:r>
    </w:p>
    <w:p w:rsidR="0009118F" w:rsidRPr="00AA6D07" w:rsidRDefault="0009118F" w:rsidP="0009118F"/>
    <w:p w:rsidR="0009118F" w:rsidRPr="00AA6D07" w:rsidRDefault="006F0079" w:rsidP="001801C1">
      <w:pPr>
        <w:numPr>
          <w:ilvl w:val="0"/>
          <w:numId w:val="35"/>
        </w:numPr>
        <w:rPr>
          <w:b/>
        </w:rPr>
      </w:pPr>
      <w:r w:rsidRPr="00AA6D07">
        <w:rPr>
          <w:b/>
        </w:rPr>
        <w:t>Všeobecná časť</w:t>
      </w:r>
    </w:p>
    <w:p w:rsidR="0009118F" w:rsidRPr="00AA6D07" w:rsidRDefault="0009118F" w:rsidP="0009118F"/>
    <w:p w:rsidR="008479E7" w:rsidRDefault="00194496" w:rsidP="008479E7">
      <w:pPr>
        <w:ind w:firstLine="708"/>
        <w:jc w:val="both"/>
      </w:pPr>
      <w:r>
        <w:t>Vláda</w:t>
      </w:r>
      <w:r w:rsidR="00AE4BFF" w:rsidRPr="00AA6D07">
        <w:t xml:space="preserve"> Slovenskej republiky predkladá </w:t>
      </w:r>
      <w:r w:rsidR="00A32974" w:rsidRPr="00AA6D07">
        <w:t xml:space="preserve">na rokovanie </w:t>
      </w:r>
      <w:r w:rsidR="00BF2678">
        <w:t>Národnej rady</w:t>
      </w:r>
      <w:r w:rsidR="00A32974" w:rsidRPr="00AA6D07">
        <w:t xml:space="preserve"> Slovenskej republiky </w:t>
      </w:r>
      <w:r w:rsidR="00AE4BFF" w:rsidRPr="00AA6D07">
        <w:t xml:space="preserve">konania </w:t>
      </w:r>
      <w:r>
        <w:t xml:space="preserve">vládny </w:t>
      </w:r>
      <w:r w:rsidR="00AE4BFF" w:rsidRPr="00AA6D07">
        <w:t>návrh zákona</w:t>
      </w:r>
      <w:r w:rsidR="008479E7">
        <w:t>, ktorým sa mení a dopĺňa zákon č. 183/2011 Z. z. o uznávaní a výkone rozhodnutí o peňažnej sankcii v Európskej únii a o zmene a doplnení niektorých zákonov v znení zákona č. 91/2016 Z. z. a ktorým sa menia a dopĺňajú niektoré zákony (ďalej len „návrh zákona“).</w:t>
      </w:r>
    </w:p>
    <w:p w:rsidR="008479E7" w:rsidRDefault="008479E7" w:rsidP="008479E7">
      <w:pPr>
        <w:ind w:firstLine="708"/>
        <w:jc w:val="both"/>
      </w:pPr>
    </w:p>
    <w:p w:rsidR="008479E7" w:rsidRPr="006A31A9" w:rsidRDefault="008479E7" w:rsidP="008479E7">
      <w:pPr>
        <w:ind w:firstLine="708"/>
        <w:jc w:val="both"/>
      </w:pPr>
      <w:r w:rsidRPr="00241ABA">
        <w:t xml:space="preserve">Návrh zákona bol vypracovaný na základe </w:t>
      </w:r>
      <w:r w:rsidRPr="00687833">
        <w:t xml:space="preserve">schváleného Plánu legislatívnych úloh vlády </w:t>
      </w:r>
      <w:r>
        <w:t>Slovenskej republiky na rok 2019</w:t>
      </w:r>
      <w:r w:rsidRPr="006A31A9">
        <w:t>.</w:t>
      </w:r>
    </w:p>
    <w:p w:rsidR="008479E7" w:rsidRPr="006A31A9" w:rsidRDefault="008479E7" w:rsidP="008479E7">
      <w:pPr>
        <w:ind w:firstLine="708"/>
        <w:jc w:val="both"/>
      </w:pPr>
    </w:p>
    <w:p w:rsidR="008479E7" w:rsidRDefault="008479E7" w:rsidP="008479E7">
      <w:pPr>
        <w:ind w:firstLine="708"/>
        <w:jc w:val="both"/>
        <w:rPr>
          <w:bCs/>
        </w:rPr>
      </w:pPr>
      <w:r w:rsidRPr="00F61C67">
        <w:rPr>
          <w:bCs/>
        </w:rPr>
        <w:t>Návrhom zákona</w:t>
      </w:r>
      <w:r>
        <w:rPr>
          <w:bCs/>
        </w:rPr>
        <w:t xml:space="preserve"> dochádza k</w:t>
      </w:r>
      <w:r w:rsidRPr="00F61C67">
        <w:rPr>
          <w:bCs/>
        </w:rPr>
        <w:t xml:space="preserve"> </w:t>
      </w:r>
      <w:r>
        <w:rPr>
          <w:bCs/>
        </w:rPr>
        <w:t>z</w:t>
      </w:r>
      <w:r w:rsidRPr="00F61C67">
        <w:rPr>
          <w:bCs/>
        </w:rPr>
        <w:t>men</w:t>
      </w:r>
      <w:r>
        <w:rPr>
          <w:bCs/>
        </w:rPr>
        <w:t>e</w:t>
      </w:r>
      <w:r w:rsidRPr="00F61C67">
        <w:rPr>
          <w:bCs/>
        </w:rPr>
        <w:t xml:space="preserve"> </w:t>
      </w:r>
      <w:r>
        <w:rPr>
          <w:bCs/>
        </w:rPr>
        <w:t>právnych predpisov v oblasti justičnej spolupráce v trestných veciach na úrovni Európskej únie,</w:t>
      </w:r>
      <w:r w:rsidRPr="00F61C67">
        <w:rPr>
          <w:bCs/>
        </w:rPr>
        <w:t xml:space="preserve"> v časti definujúcej </w:t>
      </w:r>
      <w:r>
        <w:rPr>
          <w:bCs/>
        </w:rPr>
        <w:t xml:space="preserve">pojem </w:t>
      </w:r>
      <w:r w:rsidRPr="00F61C67">
        <w:rPr>
          <w:bCs/>
        </w:rPr>
        <w:t>„obvyklý pobyt“</w:t>
      </w:r>
      <w:r>
        <w:rPr>
          <w:bCs/>
        </w:rPr>
        <w:t>,</w:t>
      </w:r>
      <w:r w:rsidRPr="00F61C67">
        <w:rPr>
          <w:bCs/>
        </w:rPr>
        <w:t xml:space="preserve"> s</w:t>
      </w:r>
      <w:r>
        <w:rPr>
          <w:bCs/>
        </w:rPr>
        <w:t xml:space="preserve"> </w:t>
      </w:r>
      <w:r w:rsidRPr="00F61C67">
        <w:rPr>
          <w:bCs/>
        </w:rPr>
        <w:t xml:space="preserve">cieľom dosiahnutia súladu s judikatúrou </w:t>
      </w:r>
      <w:r>
        <w:rPr>
          <w:bCs/>
        </w:rPr>
        <w:t>Súdneho dvora</w:t>
      </w:r>
      <w:r w:rsidRPr="00F61C67">
        <w:rPr>
          <w:bCs/>
        </w:rPr>
        <w:t xml:space="preserve"> </w:t>
      </w:r>
      <w:r>
        <w:rPr>
          <w:bCs/>
        </w:rPr>
        <w:t>Európskej únie a rešpektovaní skutočnosti, že ide o autonómny pojem práva Európskej únie</w:t>
      </w:r>
      <w:r w:rsidRPr="00F61C67">
        <w:rPr>
          <w:bCs/>
        </w:rPr>
        <w:t>.</w:t>
      </w:r>
      <w:r>
        <w:rPr>
          <w:bCs/>
        </w:rPr>
        <w:t xml:space="preserve"> Predkladateľ identifikoval vnútroštátne právne predpisy v oblasti trestného práva, v ktorých je pojem „obvyklý pobyt“ zadefinovaný, a to:</w:t>
      </w:r>
    </w:p>
    <w:p w:rsidR="008479E7" w:rsidRDefault="008479E7" w:rsidP="008479E7">
      <w:pPr>
        <w:numPr>
          <w:ilvl w:val="0"/>
          <w:numId w:val="39"/>
        </w:numPr>
        <w:jc w:val="both"/>
        <w:rPr>
          <w:bCs/>
        </w:rPr>
      </w:pPr>
      <w:r>
        <w:rPr>
          <w:bCs/>
        </w:rPr>
        <w:t>z</w:t>
      </w:r>
      <w:r w:rsidRPr="006E2C06">
        <w:rPr>
          <w:bCs/>
        </w:rPr>
        <w:t>ákon č. 533/2011 Z. z. o uznávaní a výkone rozhodnutí, ktorými sa ukladá trestná sankcia nespojená s odňatím slobody alebo probačné opatrenie na účely dohľadu v Európskej únii</w:t>
      </w:r>
      <w:r>
        <w:rPr>
          <w:bCs/>
        </w:rPr>
        <w:t xml:space="preserve"> (ďalej len „z</w:t>
      </w:r>
      <w:r w:rsidRPr="006E2C06">
        <w:rPr>
          <w:bCs/>
        </w:rPr>
        <w:t>ákon č. 533/2011 Z. z.</w:t>
      </w:r>
      <w:r>
        <w:rPr>
          <w:bCs/>
        </w:rPr>
        <w:t>“),</w:t>
      </w:r>
    </w:p>
    <w:p w:rsidR="008479E7" w:rsidRDefault="008479E7" w:rsidP="008479E7">
      <w:pPr>
        <w:numPr>
          <w:ilvl w:val="0"/>
          <w:numId w:val="39"/>
        </w:numPr>
        <w:jc w:val="both"/>
        <w:rPr>
          <w:bCs/>
        </w:rPr>
      </w:pPr>
      <w:r w:rsidRPr="001A2D5C">
        <w:rPr>
          <w:bCs/>
        </w:rPr>
        <w:t xml:space="preserve">zákon č. 549/2011 Z. z. o uznávaní a výkone rozhodnutí, ktorými sa ukladá trestná sankcia spojená s odňatím slobody v Európskej únii a o zmene a doplnení zákona č. 221/2006 Z. z. o výkone väzby v znení neskorších predpisov </w:t>
      </w:r>
      <w:r>
        <w:rPr>
          <w:bCs/>
        </w:rPr>
        <w:t>(ďalej len „</w:t>
      </w:r>
      <w:r w:rsidRPr="001A2D5C">
        <w:rPr>
          <w:bCs/>
        </w:rPr>
        <w:t>zákon č. 549/2011 Z. z.</w:t>
      </w:r>
      <w:r>
        <w:rPr>
          <w:bCs/>
        </w:rPr>
        <w:t>“),</w:t>
      </w:r>
    </w:p>
    <w:p w:rsidR="008479E7" w:rsidRPr="001A2D5C" w:rsidRDefault="008479E7" w:rsidP="008479E7">
      <w:pPr>
        <w:numPr>
          <w:ilvl w:val="0"/>
          <w:numId w:val="39"/>
        </w:numPr>
        <w:jc w:val="both"/>
        <w:rPr>
          <w:bCs/>
        </w:rPr>
      </w:pPr>
      <w:r w:rsidRPr="001A2D5C">
        <w:rPr>
          <w:bCs/>
        </w:rPr>
        <w:t>zákon č. 161/2013 Z. z. o odovzdávaní, uznávaní a výkone rozhodnutí o opatreniach dohľadu ako náhrade väzby v Európskej únii</w:t>
      </w:r>
      <w:r>
        <w:rPr>
          <w:bCs/>
        </w:rPr>
        <w:t xml:space="preserve"> (ďalej len „</w:t>
      </w:r>
      <w:r w:rsidRPr="001A2D5C">
        <w:rPr>
          <w:bCs/>
        </w:rPr>
        <w:t>zákon č. 161/2013 Z. z.</w:t>
      </w:r>
      <w:r>
        <w:rPr>
          <w:bCs/>
        </w:rPr>
        <w:t>“),</w:t>
      </w:r>
    </w:p>
    <w:p w:rsidR="008479E7" w:rsidRPr="001A2D5C" w:rsidRDefault="008479E7" w:rsidP="008479E7">
      <w:pPr>
        <w:numPr>
          <w:ilvl w:val="0"/>
          <w:numId w:val="39"/>
        </w:numPr>
        <w:jc w:val="both"/>
        <w:rPr>
          <w:bCs/>
        </w:rPr>
      </w:pPr>
      <w:r w:rsidRPr="001A2D5C">
        <w:rPr>
          <w:bCs/>
        </w:rPr>
        <w:t xml:space="preserve">zákon č. 316/2016 Z. z. o uznávaní a výkone majetkového rozhodnutia vydaného v trestnom konaní v Európskej únii a o zmene a doplnení niektorých zákonov (ďalej len </w:t>
      </w:r>
      <w:r>
        <w:rPr>
          <w:bCs/>
        </w:rPr>
        <w:t>„</w:t>
      </w:r>
      <w:r w:rsidRPr="001A2D5C">
        <w:rPr>
          <w:bCs/>
        </w:rPr>
        <w:t>zákon č. 316/2016 Z. z.“).</w:t>
      </w:r>
    </w:p>
    <w:p w:rsidR="008479E7" w:rsidRDefault="008479E7" w:rsidP="008479E7">
      <w:pPr>
        <w:jc w:val="both"/>
        <w:rPr>
          <w:bCs/>
        </w:rPr>
      </w:pPr>
    </w:p>
    <w:p w:rsidR="008479E7" w:rsidRDefault="008479E7" w:rsidP="008479E7">
      <w:pPr>
        <w:ind w:firstLine="708"/>
        <w:jc w:val="both"/>
      </w:pPr>
      <w:r>
        <w:rPr>
          <w:bCs/>
        </w:rPr>
        <w:t>Zo súčasného právneho stavu vo vzťahu k osobitným právnym predpisom v oblasti justičnej spolupráce v trestných veciach na úrovni  Európskej únie je zrejmé, že prístup ku konceptu obvyklého pobytu nie je jednotný, čo vyplýva najmä zo skutočnosti, že v niektorých právnych predpisoch je priamo zavedená definícia tohto pojmu a v niektorých právnych predpisoch je tento pojem len používaný bez toho, aby ho príslušný právny predpis definoval.  V nadväznosti na judikatúru Súdneho dvora Európskej únie</w:t>
      </w:r>
      <w:r w:rsidRPr="005B2CF4">
        <w:rPr>
          <w:bCs/>
        </w:rPr>
        <w:t xml:space="preserve"> je zrejmé, že súčasný, i keď slovenskému </w:t>
      </w:r>
      <w:r>
        <w:rPr>
          <w:bCs/>
        </w:rPr>
        <w:t xml:space="preserve"> právnemu poriadku</w:t>
      </w:r>
      <w:r w:rsidRPr="005B2CF4">
        <w:rPr>
          <w:bCs/>
        </w:rPr>
        <w:t xml:space="preserve"> bl</w:t>
      </w:r>
      <w:r>
        <w:rPr>
          <w:bCs/>
        </w:rPr>
        <w:t xml:space="preserve">ižší koncept trvalého bydliska, nepredstavuje </w:t>
      </w:r>
      <w:r w:rsidRPr="005B2CF4">
        <w:rPr>
          <w:bCs/>
        </w:rPr>
        <w:t>vhodný spôsob transpozície</w:t>
      </w:r>
      <w:r>
        <w:rPr>
          <w:bCs/>
        </w:rPr>
        <w:t xml:space="preserve"> právnych aktov Európskej únie vo vzťahu k</w:t>
      </w:r>
      <w:r w:rsidRPr="005B2CF4">
        <w:rPr>
          <w:bCs/>
        </w:rPr>
        <w:t xml:space="preserve"> určeni</w:t>
      </w:r>
      <w:r>
        <w:rPr>
          <w:bCs/>
        </w:rPr>
        <w:t>u</w:t>
      </w:r>
      <w:r w:rsidRPr="005B2CF4">
        <w:rPr>
          <w:bCs/>
        </w:rPr>
        <w:t xml:space="preserve"> miestnej príslušnosti</w:t>
      </w:r>
      <w:r>
        <w:rPr>
          <w:bCs/>
        </w:rPr>
        <w:t>, ak</w:t>
      </w:r>
      <w:r w:rsidRPr="005B2CF4">
        <w:rPr>
          <w:bCs/>
        </w:rPr>
        <w:t xml:space="preserve"> </w:t>
      </w:r>
      <w:r>
        <w:rPr>
          <w:bCs/>
        </w:rPr>
        <w:t xml:space="preserve"> </w:t>
      </w:r>
      <w:r w:rsidRPr="005B2CF4">
        <w:rPr>
          <w:bCs/>
        </w:rPr>
        <w:t xml:space="preserve">je Slovenská republika štátom výkonu žiadostí o vykonanie rozhodnutí. </w:t>
      </w:r>
      <w:r>
        <w:rPr>
          <w:bCs/>
        </w:rPr>
        <w:t xml:space="preserve">Okrem uvedeného je problematickým aspektom skutočnosť, že </w:t>
      </w:r>
      <w:r>
        <w:t xml:space="preserve">pojem „obvyklý pobyt“ je autonómnym pojmom práva </w:t>
      </w:r>
      <w:r>
        <w:rPr>
          <w:bCs/>
        </w:rPr>
        <w:t>Európskej únie</w:t>
      </w:r>
      <w:r>
        <w:t xml:space="preserve">, pričom je potrebné </w:t>
      </w:r>
      <w:r w:rsidRPr="00561A64">
        <w:t>mať na zreteli</w:t>
      </w:r>
      <w:r>
        <w:t xml:space="preserve"> jeho</w:t>
      </w:r>
      <w:r w:rsidRPr="00561A64">
        <w:t xml:space="preserve"> autonómny charakter</w:t>
      </w:r>
      <w:r>
        <w:t>, ktorý tvorí prekážku pre</w:t>
      </w:r>
      <w:r w:rsidRPr="00561A64">
        <w:t xml:space="preserve"> podrobnejšiu úpravu vo vnútroštátnom práve.</w:t>
      </w:r>
      <w:r>
        <w:t xml:space="preserve"> V nadväznosti na uvedené návrhom zákona dochádza k vypusteniu definície pojmu „obvyklý pobyt“ z príslušných právnych predpisov.  </w:t>
      </w:r>
    </w:p>
    <w:p w:rsidR="008479E7" w:rsidRDefault="008479E7" w:rsidP="008479E7">
      <w:pPr>
        <w:ind w:firstLine="708"/>
        <w:jc w:val="both"/>
      </w:pPr>
    </w:p>
    <w:p w:rsidR="008479E7" w:rsidRPr="00E525D0" w:rsidRDefault="008479E7" w:rsidP="008479E7">
      <w:pPr>
        <w:ind w:firstLine="708"/>
        <w:jc w:val="both"/>
      </w:pPr>
      <w:r>
        <w:t xml:space="preserve">Návrh zákona súčasne reaguje aj na poznatky vyplývajúce z aplikačnej praxe. </w:t>
      </w:r>
      <w:r w:rsidRPr="00E525D0">
        <w:t xml:space="preserve">Detailné odôvodnenie </w:t>
      </w:r>
      <w:r>
        <w:t xml:space="preserve">všetkých </w:t>
      </w:r>
      <w:r w:rsidRPr="00E525D0">
        <w:t>navrhovaných zmien je uvedené v osobitnej časti dôvodovej správy.</w:t>
      </w:r>
    </w:p>
    <w:p w:rsidR="008479E7" w:rsidRPr="00687833" w:rsidRDefault="008479E7" w:rsidP="008479E7">
      <w:pPr>
        <w:pStyle w:val="Normlnywebov"/>
        <w:spacing w:before="0" w:beforeAutospacing="0" w:after="0" w:afterAutospacing="0"/>
        <w:ind w:firstLine="708"/>
        <w:jc w:val="both"/>
        <w:rPr>
          <w:highlight w:val="yellow"/>
        </w:rPr>
      </w:pPr>
    </w:p>
    <w:p w:rsidR="008479E7" w:rsidRPr="00241ABA" w:rsidRDefault="008479E7" w:rsidP="008479E7">
      <w:pPr>
        <w:pStyle w:val="Normlnywebov"/>
        <w:spacing w:before="0" w:beforeAutospacing="0" w:after="0" w:afterAutospacing="0"/>
        <w:ind w:firstLine="708"/>
        <w:jc w:val="both"/>
      </w:pPr>
      <w:r w:rsidRPr="00241ABA">
        <w:lastRenderedPageBreak/>
        <w:t>Návrh zákona je v súlade s Ústavou Slovenskej republiky, ústavnými zákonmi, nálezmi Ústavného súdu Slovenskej republiky</w:t>
      </w:r>
      <w:r>
        <w:t>,</w:t>
      </w:r>
      <w:r w:rsidRPr="00241ABA">
        <w:t xml:space="preserve"> medzinárodnými zmluvami, ktorými je Slovenská republika viazaná a zákonmi a súčasne je v súlade s právom Európskej únie.</w:t>
      </w:r>
    </w:p>
    <w:p w:rsidR="008479E7" w:rsidRPr="003A432F" w:rsidRDefault="008479E7" w:rsidP="008479E7">
      <w:pPr>
        <w:pStyle w:val="Normlnywebov"/>
        <w:spacing w:after="0"/>
        <w:ind w:firstLine="708"/>
        <w:jc w:val="both"/>
      </w:pPr>
      <w:r w:rsidRPr="003A432F">
        <w:t xml:space="preserve">Návrh </w:t>
      </w:r>
      <w:r>
        <w:t>zákona</w:t>
      </w:r>
      <w:r w:rsidRPr="003A432F">
        <w:t xml:space="preserve"> </w:t>
      </w:r>
      <w:r>
        <w:t>ne</w:t>
      </w:r>
      <w:r w:rsidRPr="003A432F">
        <w:t>bude mať vplyv na rozpočet verejnej správy</w:t>
      </w:r>
      <w:r>
        <w:t xml:space="preserve">, ani </w:t>
      </w:r>
      <w:r w:rsidRPr="003A432F">
        <w:t>vplyv na podnikateľské prostredie, sociálne vplyvy, vplyvy na životné prostredie, na informatizáciu spoločnosti</w:t>
      </w:r>
      <w:r>
        <w:t>,</w:t>
      </w:r>
      <w:r w:rsidRPr="003A432F">
        <w:t xml:space="preserve"> </w:t>
      </w:r>
      <w:r>
        <w:t xml:space="preserve"> </w:t>
      </w:r>
      <w:r w:rsidRPr="003A432F">
        <w:t>na služby verejnej správy pre občana</w:t>
      </w:r>
      <w:r>
        <w:t xml:space="preserve"> a </w:t>
      </w:r>
      <w:r>
        <w:rPr>
          <w:lang w:eastAsia="de-DE"/>
        </w:rPr>
        <w:t>ani vplyv na manželstvo, rodičovstvo a rodinu</w:t>
      </w:r>
      <w:r w:rsidRPr="003A432F">
        <w:t>.</w:t>
      </w:r>
    </w:p>
    <w:p w:rsidR="008479E7" w:rsidRPr="003A432F" w:rsidRDefault="008479E7" w:rsidP="008479E7">
      <w:pPr>
        <w:ind w:firstLine="708"/>
      </w:pPr>
      <w:r w:rsidRPr="003A432F">
        <w:t xml:space="preserve">Návrh </w:t>
      </w:r>
      <w:r>
        <w:t>zákona</w:t>
      </w:r>
      <w:r w:rsidRPr="003A432F">
        <w:t xml:space="preserve"> nie je predmetom vnútrokomunitárneho pripomienkového konania.</w:t>
      </w:r>
    </w:p>
    <w:p w:rsidR="008479E7" w:rsidRPr="003A432F" w:rsidRDefault="008479E7" w:rsidP="008479E7">
      <w:pPr>
        <w:ind w:firstLine="708"/>
      </w:pPr>
    </w:p>
    <w:p w:rsidR="008479E7" w:rsidRDefault="008479E7" w:rsidP="008479E7">
      <w:pPr>
        <w:ind w:firstLine="708"/>
        <w:jc w:val="both"/>
      </w:pPr>
      <w:r w:rsidRPr="00241ABA">
        <w:t xml:space="preserve">Účinnosť predkladanej právnej úpravy sa navrhuje od </w:t>
      </w:r>
      <w:r>
        <w:t>1. januára</w:t>
      </w:r>
      <w:r w:rsidRPr="00E321FB">
        <w:t xml:space="preserve"> 20</w:t>
      </w:r>
      <w:r>
        <w:t>20, čím sa zohľadňuje predpokladaná dĺžka legislatívneho procesu, ako aj dostatočná legisvakancia</w:t>
      </w:r>
      <w:r w:rsidRPr="00241ABA">
        <w:t>.</w:t>
      </w:r>
    </w:p>
    <w:p w:rsidR="008479E7" w:rsidRDefault="008479E7" w:rsidP="008479E7">
      <w:pPr>
        <w:ind w:firstLine="708"/>
        <w:jc w:val="both"/>
      </w:pPr>
    </w:p>
    <w:p w:rsidR="000B5BA0" w:rsidRPr="00AA6D07" w:rsidRDefault="008479E7" w:rsidP="006F0079">
      <w:pPr>
        <w:pStyle w:val="Normlnywebov"/>
        <w:spacing w:before="0" w:beforeAutospacing="0" w:after="0" w:afterAutospacing="0"/>
        <w:ind w:right="-108" w:firstLine="708"/>
        <w:jc w:val="both"/>
      </w:pPr>
      <w:r>
        <w:t xml:space="preserve">Materiál bol predmetom medzirezortného pripomienkového konania, predmetom rokovania Legislatívnej rady vlády Slovenskej republiky, predmetom rokovania Hospodárskej a sociálnej rady Slovenskej republiky a </w:t>
      </w:r>
      <w:r w:rsidRPr="008479E7">
        <w:t>dňa 2</w:t>
      </w:r>
      <w:r>
        <w:t>1</w:t>
      </w:r>
      <w:r w:rsidRPr="008479E7">
        <w:t xml:space="preserve">. augusta </w:t>
      </w:r>
      <w:r>
        <w:t xml:space="preserve">2019 </w:t>
      </w:r>
      <w:r w:rsidRPr="008479E7">
        <w:t>bol materiál prerokovaný a schválený vládou Slovenskej republiky</w:t>
      </w:r>
      <w:r>
        <w:t>.</w:t>
      </w:r>
      <w:r w:rsidR="00DF68A0" w:rsidRPr="00AA6D07">
        <w:t xml:space="preserve"> </w:t>
      </w:r>
    </w:p>
    <w:p w:rsidR="00A32974" w:rsidRPr="00AA6D07" w:rsidRDefault="00A32974" w:rsidP="006F0079">
      <w:pPr>
        <w:pStyle w:val="Normlnywebov"/>
        <w:spacing w:before="0" w:beforeAutospacing="0" w:after="0" w:afterAutospacing="0"/>
        <w:ind w:right="-108" w:firstLine="708"/>
        <w:jc w:val="both"/>
      </w:pPr>
    </w:p>
    <w:p w:rsidR="00BF2678" w:rsidRDefault="00BF2678" w:rsidP="006F0079">
      <w:pPr>
        <w:pStyle w:val="Normlnywebov"/>
        <w:spacing w:before="0" w:beforeAutospacing="0" w:after="0" w:afterAutospacing="0"/>
        <w:ind w:right="-108" w:firstLine="708"/>
        <w:jc w:val="both"/>
      </w:pPr>
    </w:p>
    <w:p w:rsidR="00BF2678" w:rsidRDefault="00BF2678" w:rsidP="006F0079">
      <w:pPr>
        <w:pStyle w:val="Normlnywebov"/>
        <w:spacing w:before="0" w:beforeAutospacing="0" w:after="0" w:afterAutospacing="0"/>
        <w:ind w:right="-108" w:firstLine="708"/>
        <w:jc w:val="both"/>
      </w:pPr>
    </w:p>
    <w:p w:rsidR="00BF2678" w:rsidRDefault="00BF2678" w:rsidP="006F0079">
      <w:pPr>
        <w:pStyle w:val="Normlnywebov"/>
        <w:spacing w:before="0" w:beforeAutospacing="0" w:after="0" w:afterAutospacing="0"/>
        <w:ind w:right="-108" w:firstLine="708"/>
        <w:jc w:val="both"/>
      </w:pPr>
    </w:p>
    <w:p w:rsidR="00BF2678" w:rsidRDefault="00BF2678" w:rsidP="006F0079">
      <w:pPr>
        <w:pStyle w:val="Normlnywebov"/>
        <w:spacing w:before="0" w:beforeAutospacing="0" w:after="0" w:afterAutospacing="0"/>
        <w:ind w:right="-108" w:firstLine="708"/>
        <w:jc w:val="both"/>
      </w:pPr>
    </w:p>
    <w:p w:rsidR="00194496" w:rsidRDefault="00194496" w:rsidP="006F0079">
      <w:pPr>
        <w:pStyle w:val="Normlnywebov"/>
        <w:spacing w:before="0" w:beforeAutospacing="0" w:after="0" w:afterAutospacing="0"/>
        <w:ind w:right="-108" w:firstLine="708"/>
        <w:jc w:val="both"/>
      </w:pPr>
    </w:p>
    <w:p w:rsidR="00194496" w:rsidRDefault="00194496" w:rsidP="006F0079">
      <w:pPr>
        <w:pStyle w:val="Normlnywebov"/>
        <w:spacing w:before="0" w:beforeAutospacing="0" w:after="0" w:afterAutospacing="0"/>
        <w:ind w:right="-108" w:firstLine="708"/>
        <w:jc w:val="both"/>
      </w:pPr>
    </w:p>
    <w:p w:rsidR="00194496" w:rsidRDefault="00194496" w:rsidP="006F0079">
      <w:pPr>
        <w:pStyle w:val="Normlnywebov"/>
        <w:spacing w:before="0" w:beforeAutospacing="0" w:after="0" w:afterAutospacing="0"/>
        <w:ind w:right="-108" w:firstLine="708"/>
        <w:jc w:val="both"/>
      </w:pPr>
    </w:p>
    <w:p w:rsidR="00194496" w:rsidRDefault="00194496"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8479E7" w:rsidRDefault="008479E7" w:rsidP="006F0079">
      <w:pPr>
        <w:pStyle w:val="Normlnywebov"/>
        <w:spacing w:before="0" w:beforeAutospacing="0" w:after="0" w:afterAutospacing="0"/>
        <w:ind w:right="-108" w:firstLine="708"/>
        <w:jc w:val="both"/>
      </w:pPr>
    </w:p>
    <w:p w:rsidR="00194496" w:rsidRDefault="00194496" w:rsidP="006F0079">
      <w:pPr>
        <w:pStyle w:val="Normlnywebov"/>
        <w:spacing w:before="0" w:beforeAutospacing="0" w:after="0" w:afterAutospacing="0"/>
        <w:ind w:right="-108" w:firstLine="708"/>
        <w:jc w:val="both"/>
      </w:pPr>
    </w:p>
    <w:p w:rsidR="00194496" w:rsidRDefault="00194496" w:rsidP="006F0079">
      <w:pPr>
        <w:pStyle w:val="Normlnywebov"/>
        <w:spacing w:before="0" w:beforeAutospacing="0" w:after="0" w:afterAutospacing="0"/>
        <w:ind w:right="-108" w:firstLine="708"/>
        <w:jc w:val="both"/>
      </w:pPr>
    </w:p>
    <w:p w:rsidR="00194496" w:rsidRDefault="00194496" w:rsidP="006F0079">
      <w:pPr>
        <w:pStyle w:val="Normlnywebov"/>
        <w:spacing w:before="0" w:beforeAutospacing="0" w:after="0" w:afterAutospacing="0"/>
        <w:ind w:right="-108" w:firstLine="708"/>
        <w:jc w:val="both"/>
      </w:pPr>
    </w:p>
    <w:p w:rsidR="00BF2678" w:rsidRDefault="00BF2678" w:rsidP="006F0079">
      <w:pPr>
        <w:pStyle w:val="Normlnywebov"/>
        <w:spacing w:before="0" w:beforeAutospacing="0" w:after="0" w:afterAutospacing="0"/>
        <w:ind w:right="-108" w:firstLine="708"/>
        <w:jc w:val="both"/>
      </w:pPr>
    </w:p>
    <w:p w:rsidR="00BF2678" w:rsidRDefault="00BF2678" w:rsidP="006F0079">
      <w:pPr>
        <w:pStyle w:val="Normlnywebov"/>
        <w:spacing w:before="0" w:beforeAutospacing="0" w:after="0" w:afterAutospacing="0"/>
        <w:ind w:right="-108" w:firstLine="708"/>
        <w:jc w:val="both"/>
      </w:pPr>
    </w:p>
    <w:p w:rsidR="008479E7" w:rsidRPr="008C76D5" w:rsidRDefault="008479E7" w:rsidP="008479E7">
      <w:pPr>
        <w:pStyle w:val="Normlnywebov"/>
        <w:spacing w:before="0" w:beforeAutospacing="0" w:after="0" w:afterAutospacing="0"/>
        <w:jc w:val="center"/>
        <w:rPr>
          <w:b/>
          <w:bCs/>
          <w:sz w:val="22"/>
          <w:szCs w:val="22"/>
        </w:rPr>
      </w:pPr>
      <w:r w:rsidRPr="008C76D5">
        <w:rPr>
          <w:b/>
          <w:bCs/>
          <w:sz w:val="22"/>
          <w:szCs w:val="22"/>
        </w:rPr>
        <w:t>Doložka vybraných vplyvov</w:t>
      </w:r>
    </w:p>
    <w:p w:rsidR="008479E7" w:rsidRPr="008C76D5" w:rsidRDefault="008479E7" w:rsidP="008479E7">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2"/>
        <w:gridCol w:w="3622"/>
      </w:tblGrid>
      <w:tr w:rsidR="008479E7" w:rsidRPr="008C76D5" w:rsidTr="00692EDE">
        <w:trPr>
          <w:jc w:val="center"/>
        </w:trPr>
        <w:tc>
          <w:tcPr>
            <w:tcW w:w="250" w:type="pct"/>
            <w:gridSpan w:val="2"/>
            <w:tcBorders>
              <w:top w:val="outset" w:sz="6" w:space="0" w:color="000000"/>
              <w:bottom w:val="outset" w:sz="6" w:space="0" w:color="000000"/>
            </w:tcBorders>
            <w:shd w:val="clear" w:color="auto" w:fill="E6E6E6"/>
            <w:hideMark/>
          </w:tcPr>
          <w:p w:rsidR="008479E7" w:rsidRPr="008C76D5" w:rsidRDefault="008479E7" w:rsidP="00692EDE">
            <w:pPr>
              <w:rPr>
                <w:b/>
                <w:bCs/>
                <w:sz w:val="22"/>
                <w:szCs w:val="22"/>
              </w:rPr>
            </w:pPr>
            <w:r w:rsidRPr="008C76D5">
              <w:rPr>
                <w:b/>
                <w:bCs/>
                <w:sz w:val="22"/>
                <w:szCs w:val="22"/>
              </w:rPr>
              <w:t>  1.  Základné údaje</w:t>
            </w:r>
          </w:p>
        </w:tc>
      </w:tr>
      <w:tr w:rsidR="008479E7" w:rsidRPr="008C76D5" w:rsidTr="00692EDE">
        <w:trPr>
          <w:trHeight w:val="450"/>
          <w:jc w:val="center"/>
        </w:trPr>
        <w:tc>
          <w:tcPr>
            <w:tcW w:w="250" w:type="pct"/>
            <w:gridSpan w:val="2"/>
            <w:tcBorders>
              <w:top w:val="outset" w:sz="6" w:space="0" w:color="000000"/>
              <w:bottom w:val="outset" w:sz="6" w:space="0" w:color="000000"/>
            </w:tcBorders>
            <w:shd w:val="clear" w:color="auto" w:fill="E6E6E6"/>
            <w:hideMark/>
          </w:tcPr>
          <w:p w:rsidR="008479E7" w:rsidRPr="008C76D5" w:rsidRDefault="008479E7" w:rsidP="00692EDE">
            <w:pPr>
              <w:rPr>
                <w:b/>
                <w:bCs/>
                <w:sz w:val="22"/>
                <w:szCs w:val="22"/>
              </w:rPr>
            </w:pPr>
            <w:r w:rsidRPr="008C76D5">
              <w:rPr>
                <w:b/>
                <w:bCs/>
                <w:sz w:val="22"/>
                <w:szCs w:val="22"/>
              </w:rPr>
              <w:t>  Názov materiálu</w:t>
            </w:r>
          </w:p>
        </w:tc>
      </w:tr>
      <w:tr w:rsidR="008479E7" w:rsidRPr="008C76D5" w:rsidTr="00692EDE">
        <w:trPr>
          <w:trHeight w:val="707"/>
          <w:jc w:val="center"/>
        </w:trPr>
        <w:tc>
          <w:tcPr>
            <w:tcW w:w="250" w:type="pct"/>
            <w:gridSpan w:val="2"/>
            <w:tcBorders>
              <w:top w:val="outset" w:sz="6" w:space="0" w:color="000000"/>
              <w:bottom w:val="outset" w:sz="6" w:space="0" w:color="000000"/>
            </w:tcBorders>
            <w:hideMark/>
          </w:tcPr>
          <w:p w:rsidR="008479E7" w:rsidRPr="008C76D5" w:rsidRDefault="008479E7" w:rsidP="00692EDE">
            <w:pPr>
              <w:jc w:val="both"/>
              <w:rPr>
                <w:sz w:val="22"/>
                <w:szCs w:val="22"/>
              </w:rPr>
            </w:pPr>
            <w:r>
              <w:rPr>
                <w:sz w:val="22"/>
                <w:szCs w:val="22"/>
              </w:rPr>
              <w:t xml:space="preserve">Vládny návrh zákona, </w:t>
            </w:r>
            <w:r w:rsidRPr="00012392">
              <w:rPr>
                <w:sz w:val="22"/>
                <w:szCs w:val="22"/>
              </w:rPr>
              <w:t xml:space="preserve">ktorým sa mení a dopĺňa zákon č. 183/2011 Z. z. o uznávaní a výkone rozhodnutí o peňažnej sankcii v Európskej únii a o zmene a doplnení niektorých zákonov </w:t>
            </w:r>
            <w:r w:rsidRPr="00E11BBF">
              <w:rPr>
                <w:sz w:val="22"/>
                <w:szCs w:val="22"/>
              </w:rPr>
              <w:t>v znení zákona č. 91/2016 Z. z.</w:t>
            </w:r>
            <w:r>
              <w:rPr>
                <w:sz w:val="22"/>
                <w:szCs w:val="22"/>
              </w:rPr>
              <w:t xml:space="preserve"> </w:t>
            </w:r>
            <w:r w:rsidRPr="00012392">
              <w:rPr>
                <w:sz w:val="22"/>
                <w:szCs w:val="22"/>
              </w:rPr>
              <w:t>a ktorým sa menia a dopĺňajú niektoré zákony</w:t>
            </w:r>
          </w:p>
          <w:p w:rsidR="008479E7" w:rsidRPr="008C76D5" w:rsidRDefault="008479E7" w:rsidP="00692EDE">
            <w:pPr>
              <w:rPr>
                <w:sz w:val="22"/>
                <w:szCs w:val="22"/>
              </w:rPr>
            </w:pPr>
          </w:p>
        </w:tc>
      </w:tr>
      <w:tr w:rsidR="008479E7" w:rsidRPr="008C76D5" w:rsidTr="00692EDE">
        <w:trPr>
          <w:trHeight w:val="450"/>
          <w:jc w:val="center"/>
        </w:trPr>
        <w:tc>
          <w:tcPr>
            <w:tcW w:w="250" w:type="pct"/>
            <w:gridSpan w:val="2"/>
            <w:tcBorders>
              <w:top w:val="outset" w:sz="6" w:space="0" w:color="000000"/>
              <w:bottom w:val="outset" w:sz="6" w:space="0" w:color="000000"/>
            </w:tcBorders>
            <w:shd w:val="clear" w:color="auto" w:fill="E6E6E6"/>
            <w:hideMark/>
          </w:tcPr>
          <w:p w:rsidR="008479E7" w:rsidRPr="008C76D5" w:rsidRDefault="008479E7" w:rsidP="00692EDE">
            <w:pPr>
              <w:rPr>
                <w:b/>
                <w:bCs/>
                <w:sz w:val="22"/>
                <w:szCs w:val="22"/>
              </w:rPr>
            </w:pPr>
            <w:r w:rsidRPr="008C76D5">
              <w:rPr>
                <w:b/>
                <w:bCs/>
                <w:sz w:val="22"/>
                <w:szCs w:val="22"/>
              </w:rPr>
              <w:t> Predkladateľ (a spolupredkladateľ)</w:t>
            </w:r>
          </w:p>
        </w:tc>
      </w:tr>
      <w:tr w:rsidR="008479E7" w:rsidRPr="008C76D5" w:rsidTr="00692EDE">
        <w:trPr>
          <w:trHeight w:val="450"/>
          <w:jc w:val="center"/>
        </w:trPr>
        <w:tc>
          <w:tcPr>
            <w:tcW w:w="250" w:type="pct"/>
            <w:gridSpan w:val="2"/>
            <w:tcBorders>
              <w:top w:val="outset" w:sz="6" w:space="0" w:color="000000"/>
              <w:bottom w:val="outset" w:sz="6" w:space="0" w:color="000000"/>
            </w:tcBorders>
            <w:hideMark/>
          </w:tcPr>
          <w:p w:rsidR="008479E7" w:rsidRPr="008C76D5" w:rsidRDefault="008479E7" w:rsidP="00692EDE">
            <w:pPr>
              <w:rPr>
                <w:sz w:val="22"/>
                <w:szCs w:val="22"/>
              </w:rPr>
            </w:pPr>
            <w:r>
              <w:rPr>
                <w:sz w:val="22"/>
                <w:szCs w:val="22"/>
              </w:rPr>
              <w:t>vláda</w:t>
            </w:r>
            <w:r w:rsidRPr="008C76D5">
              <w:rPr>
                <w:sz w:val="22"/>
                <w:szCs w:val="22"/>
              </w:rPr>
              <w:t xml:space="preserve"> Slovenskej republiky</w:t>
            </w:r>
          </w:p>
        </w:tc>
      </w:tr>
      <w:tr w:rsidR="008479E7" w:rsidRPr="008C76D5" w:rsidTr="00692EDE">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8479E7" w:rsidRPr="008C76D5" w:rsidRDefault="008479E7" w:rsidP="00692EDE">
            <w:pPr>
              <w:rPr>
                <w:b/>
                <w:bCs/>
                <w:sz w:val="22"/>
                <w:szCs w:val="22"/>
              </w:rPr>
            </w:pPr>
            <w:r w:rsidRPr="008C76D5">
              <w:rPr>
                <w:b/>
                <w:bCs/>
                <w:sz w:val="22"/>
                <w:szCs w:val="22"/>
              </w:rPr>
              <w:t xml:space="preserve"> Charakter predkladaného materiálu</w:t>
            </w:r>
          </w:p>
        </w:tc>
        <w:tc>
          <w:tcPr>
            <w:tcW w:w="2500" w:type="pct"/>
            <w:tcBorders>
              <w:top w:val="outset" w:sz="6" w:space="0" w:color="000000"/>
              <w:left w:val="outset" w:sz="6" w:space="0" w:color="000000"/>
              <w:bottom w:val="outset" w:sz="6" w:space="0" w:color="000000"/>
            </w:tcBorders>
            <w:vAlign w:val="center"/>
            <w:hideMark/>
          </w:tcPr>
          <w:p w:rsidR="008479E7" w:rsidRPr="008C76D5" w:rsidRDefault="008479E7" w:rsidP="00692EDE">
            <w:pPr>
              <w:rPr>
                <w:sz w:val="22"/>
                <w:szCs w:val="22"/>
              </w:rPr>
            </w:pPr>
            <w:r w:rsidRPr="008C76D5">
              <w:rPr>
                <w:sz w:val="22"/>
                <w:szCs w:val="22"/>
              </w:rPr>
              <w:t> </w:t>
            </w:r>
            <w:r w:rsidRPr="008C76D5">
              <w:rPr>
                <w:sz w:val="22"/>
                <w:szCs w:val="22"/>
              </w:rPr>
              <w:t>  Materiál nelegislatívnej povahy</w:t>
            </w:r>
          </w:p>
        </w:tc>
      </w:tr>
      <w:tr w:rsidR="008479E7" w:rsidRPr="008C76D5" w:rsidTr="00692EDE">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8479E7" w:rsidRPr="008C76D5" w:rsidRDefault="008479E7" w:rsidP="00692EDE">
            <w:pPr>
              <w:rPr>
                <w:b/>
                <w:bCs/>
                <w:sz w:val="22"/>
                <w:szCs w:val="22"/>
              </w:rPr>
            </w:pPr>
          </w:p>
        </w:tc>
        <w:tc>
          <w:tcPr>
            <w:tcW w:w="2500" w:type="pct"/>
            <w:tcBorders>
              <w:top w:val="outset" w:sz="6" w:space="0" w:color="000000"/>
              <w:left w:val="outset" w:sz="6" w:space="0" w:color="000000"/>
              <w:bottom w:val="outset" w:sz="6" w:space="0" w:color="000000"/>
            </w:tcBorders>
            <w:vAlign w:val="center"/>
            <w:hideMark/>
          </w:tcPr>
          <w:p w:rsidR="008479E7" w:rsidRPr="008C76D5" w:rsidRDefault="008479E7" w:rsidP="00692EDE">
            <w:pPr>
              <w:rPr>
                <w:sz w:val="22"/>
                <w:szCs w:val="22"/>
              </w:rPr>
            </w:pPr>
            <w:r w:rsidRPr="008C76D5">
              <w:rPr>
                <w:sz w:val="22"/>
                <w:szCs w:val="22"/>
              </w:rPr>
              <w:t> </w:t>
            </w:r>
            <w:r w:rsidRPr="008C76D5">
              <w:rPr>
                <w:rFonts w:ascii="Wingdings 2" w:hAnsi="Wingdings 2" w:cs="Times"/>
                <w:sz w:val="22"/>
                <w:szCs w:val="22"/>
              </w:rPr>
              <w:t></w:t>
            </w:r>
            <w:r w:rsidRPr="008C76D5">
              <w:rPr>
                <w:sz w:val="22"/>
                <w:szCs w:val="22"/>
              </w:rPr>
              <w:t xml:space="preserve">  Materiál legislatívnej povahy </w:t>
            </w:r>
          </w:p>
        </w:tc>
      </w:tr>
      <w:tr w:rsidR="008479E7" w:rsidRPr="008C76D5" w:rsidTr="00692EDE">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8479E7" w:rsidRPr="008C76D5" w:rsidRDefault="008479E7" w:rsidP="00692EDE">
            <w:pPr>
              <w:rPr>
                <w:b/>
                <w:bCs/>
                <w:sz w:val="22"/>
                <w:szCs w:val="22"/>
              </w:rPr>
            </w:pPr>
          </w:p>
        </w:tc>
        <w:tc>
          <w:tcPr>
            <w:tcW w:w="2500" w:type="pct"/>
            <w:tcBorders>
              <w:top w:val="outset" w:sz="6" w:space="0" w:color="000000"/>
              <w:left w:val="outset" w:sz="6" w:space="0" w:color="000000"/>
              <w:bottom w:val="outset" w:sz="6" w:space="0" w:color="000000"/>
            </w:tcBorders>
            <w:vAlign w:val="center"/>
            <w:hideMark/>
          </w:tcPr>
          <w:p w:rsidR="008479E7" w:rsidRPr="008C76D5" w:rsidRDefault="008479E7" w:rsidP="00692EDE">
            <w:pPr>
              <w:rPr>
                <w:sz w:val="22"/>
                <w:szCs w:val="22"/>
              </w:rPr>
            </w:pPr>
            <w:r w:rsidRPr="008C76D5">
              <w:rPr>
                <w:sz w:val="22"/>
                <w:szCs w:val="22"/>
              </w:rPr>
              <w:t> </w:t>
            </w:r>
            <w:r w:rsidRPr="008C76D5">
              <w:rPr>
                <w:rFonts w:ascii="Wingdings 2" w:hAnsi="Wingdings 2" w:cs="Times"/>
                <w:sz w:val="22"/>
                <w:szCs w:val="22"/>
              </w:rPr>
              <w:t></w:t>
            </w:r>
            <w:r w:rsidRPr="008C76D5">
              <w:rPr>
                <w:sz w:val="22"/>
                <w:szCs w:val="22"/>
              </w:rPr>
              <w:t xml:space="preserve"> Transpozícia práva EÚ </w:t>
            </w:r>
          </w:p>
        </w:tc>
      </w:tr>
      <w:tr w:rsidR="008479E7" w:rsidRPr="008C76D5" w:rsidTr="00692EDE">
        <w:trPr>
          <w:trHeight w:val="675"/>
          <w:jc w:val="center"/>
        </w:trPr>
        <w:tc>
          <w:tcPr>
            <w:tcW w:w="0" w:type="auto"/>
            <w:gridSpan w:val="2"/>
            <w:tcBorders>
              <w:top w:val="outset" w:sz="6" w:space="0" w:color="000000"/>
              <w:bottom w:val="outset" w:sz="6" w:space="0" w:color="000000"/>
            </w:tcBorders>
            <w:hideMark/>
          </w:tcPr>
          <w:p w:rsidR="008479E7" w:rsidRPr="008C76D5" w:rsidRDefault="008479E7" w:rsidP="00692EDE">
            <w:pPr>
              <w:rPr>
                <w:sz w:val="22"/>
                <w:szCs w:val="22"/>
              </w:rPr>
            </w:pPr>
          </w:p>
        </w:tc>
      </w:tr>
      <w:tr w:rsidR="008479E7" w:rsidRPr="008C76D5" w:rsidTr="00692EDE">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8479E7" w:rsidRPr="008C76D5" w:rsidRDefault="008479E7" w:rsidP="00692EDE">
            <w:pPr>
              <w:rPr>
                <w:b/>
                <w:bCs/>
                <w:sz w:val="22"/>
                <w:szCs w:val="22"/>
              </w:rPr>
            </w:pPr>
            <w:r w:rsidRPr="008C76D5">
              <w:rPr>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8479E7" w:rsidRPr="008C76D5" w:rsidRDefault="008479E7" w:rsidP="00692EDE">
            <w:pPr>
              <w:rPr>
                <w:sz w:val="22"/>
                <w:szCs w:val="22"/>
              </w:rPr>
            </w:pPr>
            <w:r w:rsidRPr="008C76D5">
              <w:rPr>
                <w:sz w:val="22"/>
                <w:szCs w:val="22"/>
              </w:rPr>
              <w:t>Začiatok:</w:t>
            </w:r>
            <w:r>
              <w:rPr>
                <w:sz w:val="22"/>
                <w:szCs w:val="22"/>
              </w:rPr>
              <w:t xml:space="preserve"> - </w:t>
            </w:r>
          </w:p>
          <w:p w:rsidR="008479E7" w:rsidRPr="008C76D5" w:rsidRDefault="008479E7" w:rsidP="00692EDE">
            <w:pPr>
              <w:rPr>
                <w:sz w:val="22"/>
                <w:szCs w:val="22"/>
              </w:rPr>
            </w:pPr>
            <w:r w:rsidRPr="008C76D5">
              <w:rPr>
                <w:sz w:val="22"/>
                <w:szCs w:val="22"/>
              </w:rPr>
              <w:t>Ukončenie:</w:t>
            </w:r>
            <w:r>
              <w:rPr>
                <w:sz w:val="22"/>
                <w:szCs w:val="22"/>
              </w:rPr>
              <w:t xml:space="preserve"> - </w:t>
            </w:r>
          </w:p>
        </w:tc>
      </w:tr>
      <w:tr w:rsidR="008479E7" w:rsidRPr="008C76D5" w:rsidTr="00692EDE">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8479E7" w:rsidRPr="008C76D5" w:rsidRDefault="008479E7" w:rsidP="00692EDE">
            <w:pPr>
              <w:rPr>
                <w:b/>
                <w:bCs/>
                <w:sz w:val="22"/>
                <w:szCs w:val="22"/>
              </w:rPr>
            </w:pPr>
            <w:r w:rsidRPr="008C76D5">
              <w:rPr>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8479E7" w:rsidRPr="008C76D5" w:rsidRDefault="008479E7" w:rsidP="00692EDE">
            <w:pPr>
              <w:rPr>
                <w:sz w:val="22"/>
                <w:szCs w:val="22"/>
              </w:rPr>
            </w:pPr>
            <w:r>
              <w:rPr>
                <w:sz w:val="22"/>
                <w:szCs w:val="22"/>
              </w:rPr>
              <w:t xml:space="preserve"> jún 2019</w:t>
            </w:r>
          </w:p>
        </w:tc>
      </w:tr>
      <w:tr w:rsidR="008479E7" w:rsidRPr="008C76D5" w:rsidTr="00692EDE">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8479E7" w:rsidRPr="008C76D5" w:rsidRDefault="008479E7" w:rsidP="00692EDE">
            <w:pPr>
              <w:rPr>
                <w:b/>
                <w:bCs/>
                <w:sz w:val="22"/>
                <w:szCs w:val="22"/>
              </w:rPr>
            </w:pPr>
            <w:r w:rsidRPr="008C76D5">
              <w:rPr>
                <w:b/>
                <w:bCs/>
                <w:sz w:val="22"/>
                <w:szCs w:val="22"/>
              </w:rPr>
              <w:t>  Predpokladaný termín predloženia na Rokovanie vlády</w:t>
            </w:r>
            <w:r w:rsidRPr="008C76D5">
              <w:rPr>
                <w:b/>
                <w:bCs/>
                <w:sz w:val="22"/>
                <w:szCs w:val="22"/>
              </w:rPr>
              <w:br/>
              <w:t>  SR*</w:t>
            </w:r>
          </w:p>
        </w:tc>
        <w:tc>
          <w:tcPr>
            <w:tcW w:w="2000" w:type="pct"/>
            <w:tcBorders>
              <w:top w:val="outset" w:sz="6" w:space="0" w:color="000000"/>
              <w:left w:val="outset" w:sz="6" w:space="0" w:color="000000"/>
              <w:bottom w:val="outset" w:sz="6" w:space="0" w:color="000000"/>
            </w:tcBorders>
            <w:hideMark/>
          </w:tcPr>
          <w:p w:rsidR="008479E7" w:rsidRPr="008C76D5" w:rsidRDefault="008479E7" w:rsidP="00692EDE">
            <w:pPr>
              <w:rPr>
                <w:sz w:val="22"/>
                <w:szCs w:val="22"/>
              </w:rPr>
            </w:pPr>
            <w:r>
              <w:rPr>
                <w:sz w:val="22"/>
                <w:szCs w:val="22"/>
              </w:rPr>
              <w:t>jún 2019</w:t>
            </w:r>
          </w:p>
        </w:tc>
      </w:tr>
    </w:tbl>
    <w:p w:rsidR="008479E7" w:rsidRPr="008C76D5" w:rsidRDefault="008479E7" w:rsidP="008479E7">
      <w:pPr>
        <w:pStyle w:val="Normlnywebov"/>
        <w:spacing w:before="0" w:beforeAutospacing="0" w:after="0" w:afterAutospacing="0"/>
        <w:rPr>
          <w:bCs/>
          <w:sz w:val="22"/>
          <w:szCs w:val="22"/>
        </w:rPr>
      </w:pPr>
    </w:p>
    <w:p w:rsidR="008479E7" w:rsidRPr="008C76D5" w:rsidRDefault="008479E7" w:rsidP="008479E7">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8479E7" w:rsidRPr="008C76D5" w:rsidTr="00692EDE">
        <w:trPr>
          <w:jc w:val="center"/>
        </w:trPr>
        <w:tc>
          <w:tcPr>
            <w:tcW w:w="250" w:type="pct"/>
            <w:tcBorders>
              <w:top w:val="outset" w:sz="6" w:space="0" w:color="000000"/>
              <w:bottom w:val="outset" w:sz="6" w:space="0" w:color="000000"/>
            </w:tcBorders>
            <w:shd w:val="clear" w:color="auto" w:fill="E6E6E6"/>
            <w:hideMark/>
          </w:tcPr>
          <w:p w:rsidR="008479E7" w:rsidRPr="008C76D5" w:rsidRDefault="008479E7" w:rsidP="00692EDE">
            <w:pPr>
              <w:rPr>
                <w:b/>
                <w:bCs/>
                <w:sz w:val="22"/>
                <w:szCs w:val="22"/>
              </w:rPr>
            </w:pPr>
            <w:r w:rsidRPr="008C76D5">
              <w:rPr>
                <w:b/>
                <w:bCs/>
                <w:sz w:val="22"/>
                <w:szCs w:val="22"/>
              </w:rPr>
              <w:t>  2.  Definícia problému</w:t>
            </w:r>
          </w:p>
        </w:tc>
      </w:tr>
      <w:tr w:rsidR="008479E7" w:rsidRPr="008C76D5" w:rsidTr="00692EDE">
        <w:trPr>
          <w:trHeight w:val="600"/>
          <w:jc w:val="center"/>
        </w:trPr>
        <w:tc>
          <w:tcPr>
            <w:tcW w:w="250" w:type="pct"/>
            <w:tcBorders>
              <w:top w:val="outset" w:sz="6" w:space="0" w:color="000000"/>
              <w:bottom w:val="outset" w:sz="6" w:space="0" w:color="000000"/>
            </w:tcBorders>
            <w:hideMark/>
          </w:tcPr>
          <w:p w:rsidR="008479E7" w:rsidRPr="00F82A29" w:rsidRDefault="008479E7" w:rsidP="00692EDE">
            <w:pPr>
              <w:jc w:val="both"/>
              <w:rPr>
                <w:sz w:val="22"/>
                <w:szCs w:val="22"/>
              </w:rPr>
            </w:pPr>
            <w:r>
              <w:rPr>
                <w:sz w:val="22"/>
                <w:szCs w:val="22"/>
              </w:rPr>
              <w:t>O</w:t>
            </w:r>
            <w:r w:rsidRPr="00012392">
              <w:rPr>
                <w:sz w:val="22"/>
                <w:szCs w:val="22"/>
              </w:rPr>
              <w:t>sobitn</w:t>
            </w:r>
            <w:r>
              <w:rPr>
                <w:sz w:val="22"/>
                <w:szCs w:val="22"/>
              </w:rPr>
              <w:t>é</w:t>
            </w:r>
            <w:r w:rsidRPr="00012392">
              <w:rPr>
                <w:sz w:val="22"/>
                <w:szCs w:val="22"/>
              </w:rPr>
              <w:t xml:space="preserve"> právn</w:t>
            </w:r>
            <w:r>
              <w:rPr>
                <w:sz w:val="22"/>
                <w:szCs w:val="22"/>
              </w:rPr>
              <w:t>e</w:t>
            </w:r>
            <w:r w:rsidRPr="00012392">
              <w:rPr>
                <w:sz w:val="22"/>
                <w:szCs w:val="22"/>
              </w:rPr>
              <w:t xml:space="preserve"> predpis</w:t>
            </w:r>
            <w:r>
              <w:rPr>
                <w:sz w:val="22"/>
                <w:szCs w:val="22"/>
              </w:rPr>
              <w:t>y</w:t>
            </w:r>
            <w:r w:rsidRPr="00012392">
              <w:rPr>
                <w:sz w:val="22"/>
                <w:szCs w:val="22"/>
              </w:rPr>
              <w:t xml:space="preserve"> v oblasti justičnej spolupráce v trestných veciach na úrovni  Európskej únie (ďalej len ,,EÚ</w:t>
            </w:r>
            <w:r>
              <w:rPr>
                <w:sz w:val="22"/>
                <w:szCs w:val="22"/>
              </w:rPr>
              <w:t>“</w:t>
            </w:r>
            <w:r w:rsidRPr="00012392">
              <w:rPr>
                <w:sz w:val="22"/>
                <w:szCs w:val="22"/>
              </w:rPr>
              <w:t xml:space="preserve">) </w:t>
            </w:r>
            <w:r>
              <w:rPr>
                <w:sz w:val="22"/>
                <w:szCs w:val="22"/>
              </w:rPr>
              <w:t xml:space="preserve">nereflektujú skutočnosť, že pojem ,,obvyklý pobyt“ je </w:t>
            </w:r>
            <w:r w:rsidRPr="00012392">
              <w:rPr>
                <w:sz w:val="22"/>
                <w:szCs w:val="22"/>
              </w:rPr>
              <w:t>autonómnym pojmom práva EÚ</w:t>
            </w:r>
            <w:r>
              <w:rPr>
                <w:sz w:val="22"/>
                <w:szCs w:val="22"/>
              </w:rPr>
              <w:t>, čo vytvára</w:t>
            </w:r>
            <w:r w:rsidRPr="00012392">
              <w:rPr>
                <w:sz w:val="22"/>
                <w:szCs w:val="22"/>
              </w:rPr>
              <w:t xml:space="preserve"> prekážku pre </w:t>
            </w:r>
            <w:r>
              <w:rPr>
                <w:sz w:val="22"/>
                <w:szCs w:val="22"/>
              </w:rPr>
              <w:t xml:space="preserve">jeho </w:t>
            </w:r>
            <w:r w:rsidRPr="00012392">
              <w:rPr>
                <w:sz w:val="22"/>
                <w:szCs w:val="22"/>
              </w:rPr>
              <w:t>podrobnejšiu úpravu vo vnútroštátnom práve</w:t>
            </w:r>
            <w:r>
              <w:rPr>
                <w:sz w:val="22"/>
                <w:szCs w:val="22"/>
              </w:rPr>
              <w:t>, tak ako je tomu v súčasnosti</w:t>
            </w:r>
            <w:r w:rsidRPr="00012392">
              <w:rPr>
                <w:sz w:val="22"/>
                <w:szCs w:val="22"/>
              </w:rPr>
              <w:t xml:space="preserve">. </w:t>
            </w:r>
            <w:r>
              <w:rPr>
                <w:sz w:val="22"/>
                <w:szCs w:val="22"/>
              </w:rPr>
              <w:t>P</w:t>
            </w:r>
            <w:r w:rsidRPr="00012392">
              <w:rPr>
                <w:sz w:val="22"/>
                <w:szCs w:val="22"/>
              </w:rPr>
              <w:t xml:space="preserve">rístup ku konceptu obvyklého pobytu </w:t>
            </w:r>
            <w:r>
              <w:rPr>
                <w:sz w:val="22"/>
                <w:szCs w:val="22"/>
              </w:rPr>
              <w:t xml:space="preserve">v súčasnosti </w:t>
            </w:r>
            <w:r w:rsidRPr="00012392">
              <w:rPr>
                <w:sz w:val="22"/>
                <w:szCs w:val="22"/>
              </w:rPr>
              <w:t>nie je jednotný, čo vyplýva najmä zo skutočnosti, že v niektorých právnych predpisoch je priamo zavedená definícia tohto pojmu a v niektorých právnych predpisoch je tento pojem len používaný bez toho, aby ho príslušný právny predpis definoval.  V nadväznosti na judikatúru Súdneho dvora EÚ je zrejmé, že súčasný, i keď slovenskému  právnemu poriadku bližší koncept trvalého bydliska, nepredstavuje vhodný spôsob transpozície právnych aktov Európskej únie vo vzťahu k   určeniu miestnej príslušnosti, ak  je Slovenská republika štátom výkonu žiadostí o vykonanie rozhodnutí.</w:t>
            </w:r>
          </w:p>
        </w:tc>
      </w:tr>
      <w:tr w:rsidR="008479E7" w:rsidRPr="008C76D5" w:rsidTr="00692EDE">
        <w:trPr>
          <w:jc w:val="center"/>
        </w:trPr>
        <w:tc>
          <w:tcPr>
            <w:tcW w:w="250" w:type="pct"/>
            <w:tcBorders>
              <w:top w:val="outset" w:sz="6" w:space="0" w:color="000000"/>
              <w:bottom w:val="outset" w:sz="6" w:space="0" w:color="000000"/>
            </w:tcBorders>
            <w:shd w:val="clear" w:color="auto" w:fill="E6E6E6"/>
            <w:hideMark/>
          </w:tcPr>
          <w:p w:rsidR="008479E7" w:rsidRPr="00F82A29" w:rsidRDefault="008479E7" w:rsidP="00692EDE">
            <w:pPr>
              <w:rPr>
                <w:b/>
                <w:bCs/>
                <w:sz w:val="22"/>
                <w:szCs w:val="22"/>
              </w:rPr>
            </w:pPr>
            <w:r w:rsidRPr="00F82A29">
              <w:rPr>
                <w:b/>
                <w:bCs/>
                <w:sz w:val="22"/>
                <w:szCs w:val="22"/>
              </w:rPr>
              <w:t>  3.  Ciele a výsledný stav</w:t>
            </w:r>
          </w:p>
        </w:tc>
      </w:tr>
      <w:tr w:rsidR="008479E7" w:rsidRPr="008C76D5" w:rsidTr="00692EDE">
        <w:trPr>
          <w:trHeight w:val="600"/>
          <w:jc w:val="center"/>
        </w:trPr>
        <w:tc>
          <w:tcPr>
            <w:tcW w:w="250" w:type="pct"/>
            <w:tcBorders>
              <w:top w:val="outset" w:sz="6" w:space="0" w:color="000000"/>
              <w:bottom w:val="outset" w:sz="6" w:space="0" w:color="000000"/>
            </w:tcBorders>
            <w:hideMark/>
          </w:tcPr>
          <w:p w:rsidR="008479E7" w:rsidRPr="00F82A29" w:rsidRDefault="008479E7" w:rsidP="00692EDE">
            <w:pPr>
              <w:jc w:val="both"/>
              <w:rPr>
                <w:sz w:val="22"/>
                <w:szCs w:val="22"/>
              </w:rPr>
            </w:pPr>
            <w:r w:rsidRPr="00012392">
              <w:rPr>
                <w:sz w:val="22"/>
                <w:szCs w:val="22"/>
              </w:rPr>
              <w:t>Cieľom navrhovanej právnej úpravy je najmä vypustenie definície pojmu „obvyklý pobyt“ z príslušných právnych predpisov v oblasti justičnej spolupráce v trestných veciach na úrovni Európskej únie za účelom dosiahnutia súladu vnútroštátnej právnej úpravy s judikatúrou Súdneho dvora EÚ s ohľadom na skutočnosť, že v prípade pojmu ,,obvyklý pobyt“ ide o autonómny pojem práva EÚ a teda nie je žiaduce aby bol zadefinovaný prostredníctvom vnútroštátnych predpisov.</w:t>
            </w:r>
          </w:p>
        </w:tc>
      </w:tr>
      <w:tr w:rsidR="008479E7" w:rsidRPr="008C76D5" w:rsidTr="00692EDE">
        <w:trPr>
          <w:jc w:val="center"/>
        </w:trPr>
        <w:tc>
          <w:tcPr>
            <w:tcW w:w="250" w:type="pct"/>
            <w:tcBorders>
              <w:top w:val="outset" w:sz="6" w:space="0" w:color="000000"/>
              <w:bottom w:val="outset" w:sz="6" w:space="0" w:color="000000"/>
            </w:tcBorders>
            <w:shd w:val="clear" w:color="auto" w:fill="E6E6E6"/>
            <w:hideMark/>
          </w:tcPr>
          <w:p w:rsidR="008479E7" w:rsidRPr="00F82A29" w:rsidRDefault="008479E7" w:rsidP="00692EDE">
            <w:pPr>
              <w:rPr>
                <w:b/>
                <w:bCs/>
                <w:sz w:val="22"/>
                <w:szCs w:val="22"/>
              </w:rPr>
            </w:pPr>
            <w:r w:rsidRPr="00F82A29">
              <w:rPr>
                <w:b/>
                <w:bCs/>
                <w:sz w:val="22"/>
                <w:szCs w:val="22"/>
              </w:rPr>
              <w:t>  4.  Dotknuté subjekty</w:t>
            </w:r>
          </w:p>
        </w:tc>
      </w:tr>
      <w:tr w:rsidR="008479E7" w:rsidRPr="008C76D5" w:rsidTr="00692EDE">
        <w:trPr>
          <w:trHeight w:val="600"/>
          <w:jc w:val="center"/>
        </w:trPr>
        <w:tc>
          <w:tcPr>
            <w:tcW w:w="250" w:type="pct"/>
            <w:tcBorders>
              <w:top w:val="outset" w:sz="6" w:space="0" w:color="000000"/>
              <w:bottom w:val="outset" w:sz="6" w:space="0" w:color="000000"/>
            </w:tcBorders>
            <w:hideMark/>
          </w:tcPr>
          <w:p w:rsidR="008479E7" w:rsidRPr="00F82A29" w:rsidRDefault="008479E7" w:rsidP="00692EDE">
            <w:pPr>
              <w:rPr>
                <w:sz w:val="22"/>
                <w:szCs w:val="22"/>
              </w:rPr>
            </w:pPr>
            <w:r>
              <w:rPr>
                <w:sz w:val="22"/>
                <w:szCs w:val="22"/>
              </w:rPr>
              <w:t>Štátne orgány, súdy, fyzické osoby - odsúdení</w:t>
            </w:r>
          </w:p>
        </w:tc>
      </w:tr>
      <w:tr w:rsidR="008479E7" w:rsidRPr="008C76D5" w:rsidTr="00692EDE">
        <w:trPr>
          <w:jc w:val="center"/>
        </w:trPr>
        <w:tc>
          <w:tcPr>
            <w:tcW w:w="250" w:type="pct"/>
            <w:tcBorders>
              <w:top w:val="outset" w:sz="6" w:space="0" w:color="000000"/>
              <w:bottom w:val="outset" w:sz="6" w:space="0" w:color="000000"/>
            </w:tcBorders>
            <w:shd w:val="clear" w:color="auto" w:fill="E6E6E6"/>
            <w:hideMark/>
          </w:tcPr>
          <w:p w:rsidR="008479E7" w:rsidRPr="00F82A29" w:rsidRDefault="008479E7" w:rsidP="00692EDE">
            <w:pPr>
              <w:rPr>
                <w:b/>
                <w:bCs/>
                <w:sz w:val="22"/>
                <w:szCs w:val="22"/>
              </w:rPr>
            </w:pPr>
            <w:r w:rsidRPr="00F82A29">
              <w:rPr>
                <w:b/>
                <w:bCs/>
                <w:sz w:val="22"/>
                <w:szCs w:val="22"/>
              </w:rPr>
              <w:t>  5.  Alternatívne riešenia</w:t>
            </w:r>
          </w:p>
        </w:tc>
      </w:tr>
      <w:tr w:rsidR="008479E7" w:rsidRPr="008C76D5" w:rsidTr="00692EDE">
        <w:trPr>
          <w:trHeight w:val="600"/>
          <w:jc w:val="center"/>
        </w:trPr>
        <w:tc>
          <w:tcPr>
            <w:tcW w:w="250" w:type="pct"/>
            <w:tcBorders>
              <w:top w:val="outset" w:sz="6" w:space="0" w:color="000000"/>
              <w:bottom w:val="outset" w:sz="6" w:space="0" w:color="000000"/>
            </w:tcBorders>
            <w:hideMark/>
          </w:tcPr>
          <w:p w:rsidR="008479E7" w:rsidRPr="00F82A29" w:rsidRDefault="008479E7" w:rsidP="00692EDE">
            <w:pPr>
              <w:jc w:val="both"/>
              <w:rPr>
                <w:sz w:val="22"/>
                <w:szCs w:val="22"/>
              </w:rPr>
            </w:pPr>
            <w:r>
              <w:rPr>
                <w:sz w:val="22"/>
                <w:szCs w:val="22"/>
              </w:rPr>
              <w:t>Alternatívne riešenia neboli posudzované.</w:t>
            </w:r>
          </w:p>
        </w:tc>
      </w:tr>
      <w:tr w:rsidR="008479E7" w:rsidRPr="008C76D5" w:rsidTr="00692EDE">
        <w:trPr>
          <w:jc w:val="center"/>
        </w:trPr>
        <w:tc>
          <w:tcPr>
            <w:tcW w:w="250" w:type="pct"/>
            <w:tcBorders>
              <w:top w:val="outset" w:sz="6" w:space="0" w:color="000000"/>
              <w:bottom w:val="outset" w:sz="6" w:space="0" w:color="000000"/>
            </w:tcBorders>
            <w:shd w:val="clear" w:color="auto" w:fill="E6E6E6"/>
            <w:hideMark/>
          </w:tcPr>
          <w:p w:rsidR="008479E7" w:rsidRPr="008C76D5" w:rsidRDefault="008479E7" w:rsidP="00692EDE">
            <w:pPr>
              <w:rPr>
                <w:b/>
                <w:bCs/>
                <w:sz w:val="22"/>
                <w:szCs w:val="22"/>
              </w:rPr>
            </w:pPr>
            <w:r w:rsidRPr="008C76D5">
              <w:rPr>
                <w:b/>
                <w:bCs/>
                <w:sz w:val="22"/>
                <w:szCs w:val="22"/>
              </w:rPr>
              <w:t>  6.  Vykonávacie predpisy</w:t>
            </w:r>
          </w:p>
        </w:tc>
      </w:tr>
      <w:tr w:rsidR="008479E7" w:rsidRPr="008C76D5" w:rsidTr="00692EDE">
        <w:trPr>
          <w:trHeight w:val="600"/>
          <w:jc w:val="center"/>
        </w:trPr>
        <w:tc>
          <w:tcPr>
            <w:tcW w:w="250" w:type="pct"/>
            <w:tcBorders>
              <w:top w:val="outset" w:sz="6" w:space="0" w:color="000000"/>
              <w:bottom w:val="outset" w:sz="6" w:space="0" w:color="000000"/>
            </w:tcBorders>
            <w:hideMark/>
          </w:tcPr>
          <w:p w:rsidR="008479E7" w:rsidRDefault="008479E7" w:rsidP="00692EDE">
            <w:pPr>
              <w:rPr>
                <w:sz w:val="22"/>
                <w:szCs w:val="22"/>
              </w:rPr>
            </w:pPr>
            <w:r w:rsidRPr="008C76D5">
              <w:rPr>
                <w:sz w:val="22"/>
                <w:szCs w:val="22"/>
              </w:rPr>
              <w:lastRenderedPageBreak/>
              <w:t>Predpokladá sa prijatie/zmena vykonávacích predpisov?                          </w:t>
            </w:r>
            <w:r w:rsidRPr="008C76D5">
              <w:rPr>
                <w:sz w:val="22"/>
                <w:szCs w:val="22"/>
              </w:rPr>
              <w:t>   Áno            </w:t>
            </w:r>
            <w:r w:rsidRPr="008C76D5">
              <w:rPr>
                <w:rFonts w:ascii="Wingdings 2" w:hAnsi="Wingdings 2" w:cs="Times"/>
                <w:sz w:val="22"/>
                <w:szCs w:val="22"/>
              </w:rPr>
              <w:t></w:t>
            </w:r>
            <w:r w:rsidRPr="008C76D5">
              <w:rPr>
                <w:sz w:val="22"/>
                <w:szCs w:val="22"/>
              </w:rPr>
              <w:t>  Nie</w:t>
            </w:r>
          </w:p>
          <w:p w:rsidR="008479E7" w:rsidRPr="008C76D5" w:rsidRDefault="008479E7" w:rsidP="00692EDE">
            <w:pPr>
              <w:rPr>
                <w:sz w:val="22"/>
                <w:szCs w:val="22"/>
              </w:rPr>
            </w:pPr>
            <w:r>
              <w:rPr>
                <w:sz w:val="22"/>
                <w:szCs w:val="22"/>
              </w:rPr>
              <w:t>bezpredmetné</w:t>
            </w:r>
          </w:p>
        </w:tc>
      </w:tr>
      <w:tr w:rsidR="008479E7" w:rsidRPr="008C76D5" w:rsidTr="00692EDE">
        <w:trPr>
          <w:jc w:val="center"/>
        </w:trPr>
        <w:tc>
          <w:tcPr>
            <w:tcW w:w="250" w:type="pct"/>
            <w:tcBorders>
              <w:top w:val="outset" w:sz="6" w:space="0" w:color="000000"/>
              <w:bottom w:val="outset" w:sz="6" w:space="0" w:color="000000"/>
            </w:tcBorders>
            <w:shd w:val="clear" w:color="auto" w:fill="E6E6E6"/>
            <w:hideMark/>
          </w:tcPr>
          <w:p w:rsidR="008479E7" w:rsidRPr="008C76D5" w:rsidRDefault="008479E7" w:rsidP="00692EDE">
            <w:pPr>
              <w:rPr>
                <w:b/>
                <w:bCs/>
                <w:sz w:val="22"/>
                <w:szCs w:val="22"/>
              </w:rPr>
            </w:pPr>
            <w:r w:rsidRPr="008C76D5">
              <w:rPr>
                <w:b/>
                <w:bCs/>
                <w:sz w:val="22"/>
                <w:szCs w:val="22"/>
              </w:rPr>
              <w:t xml:space="preserve">  7.  Transpozícia práva EÚ </w:t>
            </w:r>
          </w:p>
        </w:tc>
      </w:tr>
      <w:tr w:rsidR="008479E7" w:rsidRPr="008C76D5" w:rsidTr="00692EDE">
        <w:trPr>
          <w:trHeight w:val="600"/>
          <w:jc w:val="center"/>
        </w:trPr>
        <w:tc>
          <w:tcPr>
            <w:tcW w:w="250" w:type="pct"/>
            <w:tcBorders>
              <w:top w:val="outset" w:sz="6" w:space="0" w:color="000000"/>
              <w:bottom w:val="outset" w:sz="6" w:space="0" w:color="000000"/>
            </w:tcBorders>
            <w:hideMark/>
          </w:tcPr>
          <w:p w:rsidR="008479E7" w:rsidRPr="008C76D5" w:rsidRDefault="008479E7" w:rsidP="00692EDE">
            <w:pPr>
              <w:rPr>
                <w:sz w:val="22"/>
                <w:szCs w:val="22"/>
              </w:rPr>
            </w:pPr>
            <w:r>
              <w:rPr>
                <w:rFonts w:ascii="Times" w:hAnsi="Times" w:cs="Times"/>
              </w:rPr>
              <w:t>Národná právna úprava nejde nad rámec minimálnych požiadaviek EÚ.</w:t>
            </w:r>
          </w:p>
        </w:tc>
      </w:tr>
      <w:tr w:rsidR="008479E7" w:rsidRPr="008C76D5" w:rsidTr="00692EDE">
        <w:trPr>
          <w:jc w:val="center"/>
        </w:trPr>
        <w:tc>
          <w:tcPr>
            <w:tcW w:w="250" w:type="pct"/>
            <w:tcBorders>
              <w:top w:val="outset" w:sz="6" w:space="0" w:color="000000"/>
              <w:bottom w:val="outset" w:sz="6" w:space="0" w:color="000000"/>
            </w:tcBorders>
            <w:shd w:val="clear" w:color="auto" w:fill="E6E6E6"/>
            <w:hideMark/>
          </w:tcPr>
          <w:p w:rsidR="008479E7" w:rsidRPr="008C76D5" w:rsidRDefault="008479E7" w:rsidP="00692EDE">
            <w:pPr>
              <w:rPr>
                <w:b/>
                <w:bCs/>
                <w:sz w:val="22"/>
                <w:szCs w:val="22"/>
              </w:rPr>
            </w:pPr>
            <w:r w:rsidRPr="008C76D5">
              <w:rPr>
                <w:b/>
                <w:bCs/>
                <w:sz w:val="22"/>
                <w:szCs w:val="22"/>
              </w:rPr>
              <w:t>  8.  Preskúmanie účelnosti**</w:t>
            </w:r>
          </w:p>
        </w:tc>
      </w:tr>
      <w:tr w:rsidR="008479E7" w:rsidRPr="008C76D5" w:rsidTr="00692EDE">
        <w:trPr>
          <w:trHeight w:val="600"/>
          <w:jc w:val="center"/>
        </w:trPr>
        <w:tc>
          <w:tcPr>
            <w:tcW w:w="250" w:type="pct"/>
            <w:tcBorders>
              <w:top w:val="outset" w:sz="6" w:space="0" w:color="000000"/>
              <w:bottom w:val="outset" w:sz="6" w:space="0" w:color="000000"/>
            </w:tcBorders>
            <w:hideMark/>
          </w:tcPr>
          <w:p w:rsidR="008479E7" w:rsidRPr="008C76D5" w:rsidRDefault="008479E7" w:rsidP="00692EDE">
            <w:pPr>
              <w:rPr>
                <w:b/>
                <w:bCs/>
                <w:sz w:val="22"/>
                <w:szCs w:val="22"/>
              </w:rPr>
            </w:pPr>
            <w:r w:rsidRPr="00947532">
              <w:t>Preskúmanie účelnosti navrhovaného predpisu bude vykonávané priebežne po nadobudnutí účinnosti.</w:t>
            </w:r>
          </w:p>
        </w:tc>
      </w:tr>
    </w:tbl>
    <w:p w:rsidR="008479E7" w:rsidRPr="008C76D5" w:rsidRDefault="008479E7" w:rsidP="008479E7">
      <w:pPr>
        <w:pStyle w:val="Normlnywebov"/>
        <w:spacing w:before="0" w:beforeAutospacing="0" w:after="0" w:afterAutospacing="0"/>
        <w:rPr>
          <w:bCs/>
          <w:sz w:val="22"/>
          <w:szCs w:val="22"/>
        </w:rPr>
      </w:pPr>
    </w:p>
    <w:p w:rsidR="008479E7" w:rsidRPr="008C76D5" w:rsidRDefault="008479E7" w:rsidP="008479E7">
      <w:pPr>
        <w:ind w:left="142" w:hanging="142"/>
        <w:rPr>
          <w:sz w:val="22"/>
          <w:szCs w:val="22"/>
        </w:rPr>
      </w:pPr>
      <w:r w:rsidRPr="008C76D5">
        <w:rPr>
          <w:sz w:val="22"/>
          <w:szCs w:val="22"/>
        </w:rPr>
        <w:t>* vyplniť iba v prípade, ak materiál nie je zahrnutý do Plánu práce vlády Slovensk</w:t>
      </w:r>
      <w:r>
        <w:rPr>
          <w:sz w:val="22"/>
          <w:szCs w:val="22"/>
        </w:rPr>
        <w:t xml:space="preserve">ej republiky alebo Plánu </w:t>
      </w:r>
      <w:r w:rsidRPr="008C76D5">
        <w:rPr>
          <w:sz w:val="22"/>
          <w:szCs w:val="22"/>
        </w:rPr>
        <w:t xml:space="preserve">legislatívnych úloh vlády Slovenskej republiky. </w:t>
      </w:r>
    </w:p>
    <w:p w:rsidR="008479E7" w:rsidRPr="008C76D5" w:rsidRDefault="008479E7" w:rsidP="008479E7">
      <w:pPr>
        <w:pStyle w:val="Normlnywebov"/>
        <w:spacing w:before="0" w:beforeAutospacing="0" w:after="0" w:afterAutospacing="0"/>
        <w:rPr>
          <w:sz w:val="22"/>
          <w:szCs w:val="22"/>
        </w:rPr>
      </w:pPr>
      <w:r w:rsidRPr="008C76D5">
        <w:rPr>
          <w:sz w:val="22"/>
          <w:szCs w:val="22"/>
        </w:rPr>
        <w:t>** nepovinné</w:t>
      </w:r>
    </w:p>
    <w:p w:rsidR="008479E7" w:rsidRPr="008C76D5" w:rsidRDefault="008479E7" w:rsidP="008479E7">
      <w:pPr>
        <w:pStyle w:val="Normlnywebov"/>
        <w:spacing w:before="0" w:beforeAutospacing="0" w:after="0" w:afterAutospacing="0"/>
        <w:rPr>
          <w:sz w:val="22"/>
          <w:szCs w:val="22"/>
        </w:rPr>
      </w:pPr>
    </w:p>
    <w:p w:rsidR="008479E7" w:rsidRPr="008C76D5" w:rsidRDefault="008479E7" w:rsidP="008479E7">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1"/>
        <w:gridCol w:w="1811"/>
        <w:gridCol w:w="1811"/>
        <w:gridCol w:w="1811"/>
      </w:tblGrid>
      <w:tr w:rsidR="008479E7" w:rsidRPr="008C76D5" w:rsidTr="00692EDE">
        <w:trPr>
          <w:trHeight w:val="450"/>
          <w:jc w:val="center"/>
        </w:trPr>
        <w:tc>
          <w:tcPr>
            <w:tcW w:w="5000" w:type="pct"/>
            <w:gridSpan w:val="4"/>
            <w:tcBorders>
              <w:top w:val="outset" w:sz="6" w:space="0" w:color="000000"/>
              <w:bottom w:val="outset" w:sz="6" w:space="0" w:color="000000"/>
            </w:tcBorders>
            <w:shd w:val="clear" w:color="auto" w:fill="E6E6E6"/>
            <w:hideMark/>
          </w:tcPr>
          <w:p w:rsidR="008479E7" w:rsidRPr="008C76D5" w:rsidRDefault="008479E7" w:rsidP="00692EDE">
            <w:pPr>
              <w:rPr>
                <w:b/>
                <w:bCs/>
                <w:sz w:val="22"/>
                <w:szCs w:val="22"/>
              </w:rPr>
            </w:pPr>
            <w:r w:rsidRPr="008C76D5">
              <w:rPr>
                <w:b/>
                <w:bCs/>
                <w:sz w:val="22"/>
                <w:szCs w:val="22"/>
              </w:rPr>
              <w:t>  9.   Vplyvy navrhovaného materiálu</w:t>
            </w:r>
          </w:p>
        </w:tc>
      </w:tr>
      <w:tr w:rsidR="008479E7" w:rsidRPr="008C76D5" w:rsidTr="00692EDE">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8479E7" w:rsidRPr="008C76D5" w:rsidRDefault="008479E7" w:rsidP="00692EDE">
            <w:pPr>
              <w:rPr>
                <w:sz w:val="22"/>
                <w:szCs w:val="22"/>
              </w:rPr>
            </w:pPr>
            <w:r w:rsidRPr="008C76D5">
              <w:rPr>
                <w:b/>
                <w:bCs/>
                <w:sz w:val="22"/>
                <w:szCs w:val="22"/>
              </w:rPr>
              <w:t>  Vplyvy na rozpočet verejnej správy</w:t>
            </w:r>
            <w:r w:rsidRPr="008C76D5">
              <w:rPr>
                <w:sz w:val="22"/>
                <w:szCs w:val="22"/>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r w:rsidRPr="008C76D5">
              <w:rPr>
                <w:sz w:val="22"/>
                <w:szCs w:val="22"/>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r w:rsidRPr="008C76D5">
              <w:rPr>
                <w:rFonts w:ascii="Wingdings 2" w:hAnsi="Wingdings 2" w:cs="Times"/>
                <w:sz w:val="22"/>
                <w:szCs w:val="22"/>
              </w:rPr>
              <w:t></w:t>
            </w:r>
            <w:r w:rsidRPr="008C76D5">
              <w:rPr>
                <w:sz w:val="22"/>
                <w:szCs w:val="22"/>
              </w:rPr>
              <w:t xml:space="preserve">     Žiadne</w:t>
            </w:r>
          </w:p>
        </w:tc>
        <w:tc>
          <w:tcPr>
            <w:tcW w:w="1000" w:type="pct"/>
            <w:tcBorders>
              <w:top w:val="outset" w:sz="6" w:space="0" w:color="000000"/>
              <w:left w:val="outset" w:sz="6" w:space="0" w:color="000000"/>
              <w:bottom w:val="outset" w:sz="6" w:space="0" w:color="000000"/>
            </w:tcBorders>
            <w:vAlign w:val="center"/>
            <w:hideMark/>
          </w:tcPr>
          <w:p w:rsidR="008479E7" w:rsidRPr="008C76D5" w:rsidRDefault="008479E7" w:rsidP="00692EDE">
            <w:pPr>
              <w:rPr>
                <w:sz w:val="22"/>
                <w:szCs w:val="22"/>
              </w:rPr>
            </w:pPr>
            <w:r w:rsidRPr="008C76D5">
              <w:rPr>
                <w:sz w:val="22"/>
                <w:szCs w:val="22"/>
              </w:rPr>
              <w:t>   Negatívne</w:t>
            </w:r>
          </w:p>
        </w:tc>
      </w:tr>
      <w:tr w:rsidR="008479E7" w:rsidRPr="008C76D5" w:rsidTr="00692EDE">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r w:rsidRPr="008C76D5">
              <w:rPr>
                <w:sz w:val="22"/>
                <w:szCs w:val="22"/>
              </w:rPr>
              <w:t>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r w:rsidRPr="008C76D5">
              <w:rPr>
                <w:sz w:val="22"/>
                <w:szCs w:val="22"/>
              </w:rPr>
              <w:t>     Nie</w:t>
            </w:r>
          </w:p>
        </w:tc>
        <w:tc>
          <w:tcPr>
            <w:tcW w:w="1000" w:type="pct"/>
            <w:tcBorders>
              <w:top w:val="outset" w:sz="6" w:space="0" w:color="000000"/>
              <w:left w:val="outset" w:sz="6" w:space="0" w:color="000000"/>
              <w:bottom w:val="outset" w:sz="6" w:space="0" w:color="000000"/>
            </w:tcBorders>
            <w:vAlign w:val="center"/>
            <w:hideMark/>
          </w:tcPr>
          <w:p w:rsidR="008479E7" w:rsidRPr="008C76D5" w:rsidRDefault="008479E7" w:rsidP="00692EDE">
            <w:pPr>
              <w:rPr>
                <w:sz w:val="22"/>
                <w:szCs w:val="22"/>
              </w:rPr>
            </w:pPr>
            <w:r w:rsidRPr="008C76D5">
              <w:rPr>
                <w:sz w:val="22"/>
                <w:szCs w:val="22"/>
              </w:rPr>
              <w:t>   Čiastočne</w:t>
            </w:r>
          </w:p>
        </w:tc>
      </w:tr>
      <w:tr w:rsidR="008479E7" w:rsidRPr="008C76D5" w:rsidTr="00692EDE">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8479E7" w:rsidRPr="008C76D5" w:rsidRDefault="008479E7" w:rsidP="00692EDE">
            <w:pPr>
              <w:rPr>
                <w:sz w:val="22"/>
                <w:szCs w:val="22"/>
              </w:rPr>
            </w:pPr>
            <w:r w:rsidRPr="008C76D5">
              <w:rPr>
                <w:b/>
                <w:bCs/>
                <w:sz w:val="22"/>
                <w:szCs w:val="22"/>
              </w:rPr>
              <w:t>  Vplyvy na podnikateľské prostredie</w:t>
            </w:r>
            <w:r w:rsidRPr="008C76D5">
              <w:rPr>
                <w:sz w:val="22"/>
                <w:szCs w:val="22"/>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r w:rsidRPr="008C76D5">
              <w:rPr>
                <w:sz w:val="22"/>
                <w:szCs w:val="22"/>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r w:rsidRPr="00036E6B">
              <w:rPr>
                <w:rFonts w:ascii="Wingdings 2" w:hAnsi="Wingdings 2" w:cs="Times"/>
                <w:sz w:val="20"/>
                <w:szCs w:val="20"/>
              </w:rPr>
              <w:t></w:t>
            </w:r>
            <w:r w:rsidRPr="008C76D5">
              <w:rPr>
                <w:sz w:val="22"/>
                <w:szCs w:val="22"/>
              </w:rPr>
              <w:t>    Žiadne</w:t>
            </w:r>
          </w:p>
        </w:tc>
        <w:tc>
          <w:tcPr>
            <w:tcW w:w="1000" w:type="pct"/>
            <w:tcBorders>
              <w:top w:val="outset" w:sz="6" w:space="0" w:color="000000"/>
              <w:left w:val="outset" w:sz="6" w:space="0" w:color="000000"/>
              <w:bottom w:val="outset" w:sz="6" w:space="0" w:color="000000"/>
            </w:tcBorders>
            <w:vAlign w:val="center"/>
            <w:hideMark/>
          </w:tcPr>
          <w:p w:rsidR="008479E7" w:rsidRPr="008C76D5" w:rsidRDefault="008479E7" w:rsidP="00692EDE">
            <w:pPr>
              <w:rPr>
                <w:sz w:val="22"/>
                <w:szCs w:val="22"/>
              </w:rPr>
            </w:pPr>
            <w:r w:rsidRPr="008C76D5">
              <w:rPr>
                <w:sz w:val="22"/>
                <w:szCs w:val="22"/>
              </w:rPr>
              <w:t>   Negatívne</w:t>
            </w:r>
          </w:p>
        </w:tc>
      </w:tr>
      <w:tr w:rsidR="008479E7" w:rsidRPr="008C76D5" w:rsidTr="00692EDE">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r w:rsidRPr="008C76D5">
              <w:rPr>
                <w:sz w:val="22"/>
                <w:szCs w:val="22"/>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r w:rsidRPr="008C76D5">
              <w:rPr>
                <w:sz w:val="22"/>
                <w:szCs w:val="22"/>
              </w:rPr>
              <w:t>     Žiadne</w:t>
            </w:r>
          </w:p>
        </w:tc>
        <w:tc>
          <w:tcPr>
            <w:tcW w:w="1000" w:type="pct"/>
            <w:tcBorders>
              <w:top w:val="outset" w:sz="6" w:space="0" w:color="000000"/>
              <w:left w:val="outset" w:sz="6" w:space="0" w:color="000000"/>
              <w:bottom w:val="outset" w:sz="6" w:space="0" w:color="000000"/>
            </w:tcBorders>
            <w:vAlign w:val="center"/>
            <w:hideMark/>
          </w:tcPr>
          <w:p w:rsidR="008479E7" w:rsidRPr="008C76D5" w:rsidRDefault="008479E7" w:rsidP="00692EDE">
            <w:pPr>
              <w:rPr>
                <w:sz w:val="22"/>
                <w:szCs w:val="22"/>
              </w:rPr>
            </w:pPr>
            <w:r w:rsidRPr="008C76D5">
              <w:rPr>
                <w:sz w:val="22"/>
                <w:szCs w:val="22"/>
              </w:rPr>
              <w:t>   Negatívne</w:t>
            </w:r>
          </w:p>
        </w:tc>
      </w:tr>
      <w:tr w:rsidR="008479E7" w:rsidRPr="008C76D5" w:rsidTr="00692EDE">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8479E7" w:rsidRPr="008C76D5" w:rsidRDefault="008479E7" w:rsidP="00692EDE">
            <w:pPr>
              <w:rPr>
                <w:sz w:val="22"/>
                <w:szCs w:val="22"/>
              </w:rPr>
            </w:pPr>
            <w:r w:rsidRPr="008C76D5">
              <w:rPr>
                <w:b/>
                <w:bCs/>
                <w:sz w:val="22"/>
                <w:szCs w:val="22"/>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r w:rsidRPr="008C76D5">
              <w:rPr>
                <w:sz w:val="22"/>
                <w:szCs w:val="22"/>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r w:rsidRPr="00036E6B">
              <w:rPr>
                <w:rFonts w:ascii="Wingdings 2" w:hAnsi="Wingdings 2" w:cs="Times"/>
                <w:sz w:val="20"/>
                <w:szCs w:val="20"/>
              </w:rPr>
              <w:t></w:t>
            </w:r>
            <w:r w:rsidRPr="008C76D5">
              <w:rPr>
                <w:sz w:val="22"/>
                <w:szCs w:val="22"/>
              </w:rPr>
              <w:t xml:space="preserve">     Žiadne</w:t>
            </w:r>
          </w:p>
        </w:tc>
        <w:tc>
          <w:tcPr>
            <w:tcW w:w="1000" w:type="pct"/>
            <w:tcBorders>
              <w:top w:val="outset" w:sz="6" w:space="0" w:color="000000"/>
              <w:left w:val="outset" w:sz="6" w:space="0" w:color="000000"/>
              <w:bottom w:val="outset" w:sz="6" w:space="0" w:color="000000"/>
            </w:tcBorders>
            <w:vAlign w:val="center"/>
            <w:hideMark/>
          </w:tcPr>
          <w:p w:rsidR="008479E7" w:rsidRPr="008C76D5" w:rsidRDefault="008479E7" w:rsidP="00692EDE">
            <w:pPr>
              <w:rPr>
                <w:sz w:val="22"/>
                <w:szCs w:val="22"/>
              </w:rPr>
            </w:pPr>
            <w:r w:rsidRPr="008C76D5">
              <w:rPr>
                <w:sz w:val="22"/>
                <w:szCs w:val="22"/>
              </w:rPr>
              <w:t>   Negatívne</w:t>
            </w:r>
          </w:p>
        </w:tc>
      </w:tr>
      <w:tr w:rsidR="008479E7" w:rsidRPr="008C76D5" w:rsidTr="00692EDE">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8479E7" w:rsidRPr="008C76D5" w:rsidRDefault="008479E7" w:rsidP="00692EDE">
            <w:pPr>
              <w:rPr>
                <w:sz w:val="22"/>
                <w:szCs w:val="22"/>
              </w:rPr>
            </w:pPr>
            <w:r w:rsidRPr="008C76D5">
              <w:rPr>
                <w:b/>
                <w:bCs/>
                <w:sz w:val="22"/>
                <w:szCs w:val="22"/>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r w:rsidRPr="008C76D5">
              <w:rPr>
                <w:sz w:val="22"/>
                <w:szCs w:val="22"/>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r w:rsidRPr="00036E6B">
              <w:rPr>
                <w:rFonts w:ascii="Wingdings 2" w:hAnsi="Wingdings 2" w:cs="Times"/>
                <w:sz w:val="20"/>
                <w:szCs w:val="20"/>
              </w:rPr>
              <w:t></w:t>
            </w:r>
            <w:r w:rsidRPr="008C76D5">
              <w:rPr>
                <w:sz w:val="22"/>
                <w:szCs w:val="22"/>
              </w:rPr>
              <w:t xml:space="preserve">     Žiadne</w:t>
            </w:r>
          </w:p>
        </w:tc>
        <w:tc>
          <w:tcPr>
            <w:tcW w:w="1000" w:type="pct"/>
            <w:tcBorders>
              <w:top w:val="outset" w:sz="6" w:space="0" w:color="000000"/>
              <w:left w:val="outset" w:sz="6" w:space="0" w:color="000000"/>
              <w:bottom w:val="outset" w:sz="6" w:space="0" w:color="000000"/>
            </w:tcBorders>
            <w:vAlign w:val="center"/>
            <w:hideMark/>
          </w:tcPr>
          <w:p w:rsidR="008479E7" w:rsidRPr="008C76D5" w:rsidRDefault="008479E7" w:rsidP="00692EDE">
            <w:pPr>
              <w:rPr>
                <w:sz w:val="22"/>
                <w:szCs w:val="22"/>
              </w:rPr>
            </w:pPr>
            <w:r w:rsidRPr="008C76D5">
              <w:rPr>
                <w:sz w:val="22"/>
                <w:szCs w:val="22"/>
              </w:rPr>
              <w:t>   Negatívne</w:t>
            </w:r>
          </w:p>
        </w:tc>
      </w:tr>
      <w:tr w:rsidR="008479E7" w:rsidRPr="008C76D5" w:rsidTr="00692EDE">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8479E7" w:rsidRPr="008C76D5" w:rsidRDefault="008479E7" w:rsidP="00692EDE">
            <w:pPr>
              <w:rPr>
                <w:sz w:val="22"/>
                <w:szCs w:val="22"/>
              </w:rPr>
            </w:pPr>
            <w:r w:rsidRPr="008C76D5">
              <w:rPr>
                <w:b/>
                <w:bCs/>
                <w:sz w:val="22"/>
                <w:szCs w:val="22"/>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r w:rsidRPr="008C76D5">
              <w:rPr>
                <w:sz w:val="22"/>
                <w:szCs w:val="22"/>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r w:rsidRPr="00036E6B">
              <w:rPr>
                <w:rFonts w:ascii="Wingdings 2" w:hAnsi="Wingdings 2" w:cs="Times"/>
                <w:sz w:val="20"/>
                <w:szCs w:val="20"/>
              </w:rPr>
              <w:t></w:t>
            </w:r>
            <w:r w:rsidRPr="008C76D5">
              <w:rPr>
                <w:sz w:val="22"/>
                <w:szCs w:val="22"/>
              </w:rPr>
              <w:t xml:space="preserve">     Žiadne</w:t>
            </w:r>
          </w:p>
        </w:tc>
        <w:tc>
          <w:tcPr>
            <w:tcW w:w="1000" w:type="pct"/>
            <w:tcBorders>
              <w:top w:val="outset" w:sz="6" w:space="0" w:color="000000"/>
              <w:left w:val="outset" w:sz="6" w:space="0" w:color="000000"/>
              <w:bottom w:val="outset" w:sz="6" w:space="0" w:color="000000"/>
            </w:tcBorders>
            <w:vAlign w:val="center"/>
            <w:hideMark/>
          </w:tcPr>
          <w:p w:rsidR="008479E7" w:rsidRPr="008C76D5" w:rsidRDefault="008479E7" w:rsidP="00692EDE">
            <w:pPr>
              <w:rPr>
                <w:sz w:val="22"/>
                <w:szCs w:val="22"/>
              </w:rPr>
            </w:pPr>
            <w:r w:rsidRPr="008C76D5">
              <w:rPr>
                <w:sz w:val="22"/>
                <w:szCs w:val="22"/>
              </w:rPr>
              <w:t>   Negatívne</w:t>
            </w:r>
          </w:p>
        </w:tc>
      </w:tr>
      <w:tr w:rsidR="008479E7" w:rsidRPr="008C76D5" w:rsidTr="00692EDE">
        <w:trPr>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8479E7" w:rsidRPr="008C76D5" w:rsidRDefault="008479E7" w:rsidP="00692EDE">
            <w:pPr>
              <w:rPr>
                <w:sz w:val="22"/>
                <w:szCs w:val="22"/>
              </w:rPr>
            </w:pPr>
            <w:r w:rsidRPr="008C76D5">
              <w:rPr>
                <w:b/>
                <w:bCs/>
                <w:sz w:val="22"/>
                <w:szCs w:val="22"/>
              </w:rPr>
              <w:t>  Vplyvy na služby pre občana z toho</w:t>
            </w:r>
            <w:r w:rsidRPr="008C76D5">
              <w:rPr>
                <w:sz w:val="22"/>
                <w:szCs w:val="22"/>
              </w:rPr>
              <w:br/>
              <w:t>    vplyvy služieb verejnej správy na občana</w:t>
            </w:r>
            <w:r w:rsidRPr="008C76D5">
              <w:rPr>
                <w:sz w:val="22"/>
                <w:szCs w:val="22"/>
              </w:rPr>
              <w:br/>
              <w:t>    vplyvy na procesy služieb vo verejnej</w:t>
            </w:r>
            <w:r w:rsidRPr="008C76D5">
              <w:rPr>
                <w:sz w:val="22"/>
                <w:szCs w:val="22"/>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r w:rsidRPr="008C76D5">
              <w:rPr>
                <w:sz w:val="22"/>
                <w:szCs w:val="22"/>
              </w:rPr>
              <w:br/>
            </w:r>
            <w:r w:rsidRPr="008C76D5">
              <w:rPr>
                <w:sz w:val="22"/>
                <w:szCs w:val="22"/>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r w:rsidRPr="008C76D5">
              <w:rPr>
                <w:sz w:val="22"/>
                <w:szCs w:val="22"/>
              </w:rPr>
              <w:br/>
            </w:r>
            <w:r w:rsidRPr="00036E6B">
              <w:rPr>
                <w:rFonts w:ascii="Wingdings 2" w:hAnsi="Wingdings 2" w:cs="Times"/>
                <w:sz w:val="20"/>
                <w:szCs w:val="20"/>
              </w:rPr>
              <w:t></w:t>
            </w:r>
            <w:r w:rsidRPr="008C76D5">
              <w:rPr>
                <w:sz w:val="22"/>
                <w:szCs w:val="22"/>
              </w:rPr>
              <w:t xml:space="preserve">     Žiadne</w:t>
            </w:r>
          </w:p>
        </w:tc>
        <w:tc>
          <w:tcPr>
            <w:tcW w:w="1000" w:type="pct"/>
            <w:tcBorders>
              <w:top w:val="outset" w:sz="6" w:space="0" w:color="000000"/>
              <w:left w:val="outset" w:sz="6" w:space="0" w:color="000000"/>
              <w:bottom w:val="outset" w:sz="6" w:space="0" w:color="000000"/>
            </w:tcBorders>
            <w:vAlign w:val="center"/>
            <w:hideMark/>
          </w:tcPr>
          <w:p w:rsidR="008479E7" w:rsidRPr="008C76D5" w:rsidRDefault="008479E7" w:rsidP="00692EDE">
            <w:pPr>
              <w:rPr>
                <w:sz w:val="22"/>
                <w:szCs w:val="22"/>
              </w:rPr>
            </w:pPr>
            <w:r w:rsidRPr="008C76D5">
              <w:rPr>
                <w:sz w:val="22"/>
                <w:szCs w:val="22"/>
              </w:rPr>
              <w:br/>
            </w:r>
            <w:r w:rsidRPr="008C76D5">
              <w:rPr>
                <w:sz w:val="22"/>
                <w:szCs w:val="22"/>
              </w:rPr>
              <w:t>   Negatívne</w:t>
            </w:r>
          </w:p>
        </w:tc>
      </w:tr>
      <w:tr w:rsidR="008479E7" w:rsidRPr="008C76D5" w:rsidTr="00692EDE">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r w:rsidRPr="008C76D5">
              <w:rPr>
                <w:sz w:val="22"/>
                <w:szCs w:val="22"/>
              </w:rPr>
              <w:t>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479E7" w:rsidRPr="008C76D5" w:rsidRDefault="008479E7" w:rsidP="00692EDE">
            <w:pPr>
              <w:rPr>
                <w:sz w:val="22"/>
                <w:szCs w:val="22"/>
              </w:rPr>
            </w:pPr>
            <w:r w:rsidRPr="00036E6B">
              <w:rPr>
                <w:rFonts w:ascii="Wingdings 2" w:hAnsi="Wingdings 2" w:cs="Times"/>
                <w:sz w:val="20"/>
                <w:szCs w:val="20"/>
              </w:rPr>
              <w:t></w:t>
            </w:r>
            <w:r w:rsidRPr="008C76D5">
              <w:rPr>
                <w:sz w:val="22"/>
                <w:szCs w:val="22"/>
              </w:rPr>
              <w:t xml:space="preserve">     Žiadne</w:t>
            </w:r>
          </w:p>
        </w:tc>
        <w:tc>
          <w:tcPr>
            <w:tcW w:w="1000" w:type="pct"/>
            <w:tcBorders>
              <w:top w:val="outset" w:sz="6" w:space="0" w:color="000000"/>
              <w:left w:val="outset" w:sz="6" w:space="0" w:color="000000"/>
              <w:bottom w:val="outset" w:sz="6" w:space="0" w:color="000000"/>
            </w:tcBorders>
            <w:vAlign w:val="center"/>
            <w:hideMark/>
          </w:tcPr>
          <w:p w:rsidR="008479E7" w:rsidRPr="008C76D5" w:rsidRDefault="008479E7" w:rsidP="00692EDE">
            <w:pPr>
              <w:rPr>
                <w:sz w:val="22"/>
                <w:szCs w:val="22"/>
              </w:rPr>
            </w:pPr>
            <w:r w:rsidRPr="008C76D5">
              <w:rPr>
                <w:sz w:val="22"/>
                <w:szCs w:val="22"/>
              </w:rPr>
              <w:t>   Negatívne</w:t>
            </w:r>
          </w:p>
        </w:tc>
      </w:tr>
      <w:tr w:rsidR="008479E7" w:rsidRPr="008C76D5" w:rsidTr="008479E7">
        <w:trPr>
          <w:trHeight w:val="150"/>
          <w:jc w:val="center"/>
        </w:trPr>
        <w:tc>
          <w:tcPr>
            <w:tcW w:w="0" w:type="auto"/>
            <w:tcBorders>
              <w:top w:val="outset" w:sz="6" w:space="0" w:color="000000"/>
              <w:bottom w:val="outset" w:sz="6" w:space="0" w:color="000000"/>
              <w:right w:val="outset" w:sz="6" w:space="0" w:color="000000"/>
            </w:tcBorders>
            <w:shd w:val="clear" w:color="auto" w:fill="D9D9D9"/>
            <w:vAlign w:val="center"/>
          </w:tcPr>
          <w:p w:rsidR="008479E7" w:rsidRPr="008C76D5" w:rsidRDefault="008479E7" w:rsidP="00692EDE">
            <w:pPr>
              <w:rPr>
                <w:sz w:val="22"/>
                <w:szCs w:val="22"/>
              </w:rPr>
            </w:pPr>
            <w:r w:rsidRPr="008C76D5">
              <w:rPr>
                <w:b/>
                <w:bCs/>
                <w:sz w:val="22"/>
                <w:szCs w:val="22"/>
              </w:rPr>
              <w:t xml:space="preserve">  Vplyvy na </w:t>
            </w:r>
            <w:r>
              <w:rPr>
                <w:b/>
                <w:bCs/>
                <w:sz w:val="22"/>
                <w:szCs w:val="22"/>
              </w:rPr>
              <w:t>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tcPr>
          <w:p w:rsidR="008479E7" w:rsidRPr="008C76D5" w:rsidRDefault="008479E7" w:rsidP="00692EDE">
            <w:pPr>
              <w:rPr>
                <w:sz w:val="22"/>
                <w:szCs w:val="22"/>
              </w:rPr>
            </w:pPr>
            <w:r w:rsidRPr="008C76D5">
              <w:rPr>
                <w:sz w:val="22"/>
                <w:szCs w:val="22"/>
              </w:rPr>
              <w:t>     Pozitívne</w:t>
            </w:r>
          </w:p>
        </w:tc>
        <w:tc>
          <w:tcPr>
            <w:tcW w:w="1000" w:type="pct"/>
            <w:tcBorders>
              <w:top w:val="outset" w:sz="6" w:space="0" w:color="000000"/>
              <w:left w:val="outset" w:sz="6" w:space="0" w:color="000000"/>
              <w:bottom w:val="outset" w:sz="6" w:space="0" w:color="000000"/>
              <w:right w:val="outset" w:sz="6" w:space="0" w:color="000000"/>
            </w:tcBorders>
            <w:vAlign w:val="center"/>
          </w:tcPr>
          <w:p w:rsidR="008479E7" w:rsidRPr="00036E6B" w:rsidRDefault="008479E7" w:rsidP="00692EDE">
            <w:pPr>
              <w:rPr>
                <w:rFonts w:ascii="Wingdings 2" w:hAnsi="Wingdings 2" w:cs="Times"/>
                <w:sz w:val="20"/>
                <w:szCs w:val="20"/>
              </w:rPr>
            </w:pPr>
            <w:r w:rsidRPr="00036E6B">
              <w:rPr>
                <w:rFonts w:ascii="Wingdings 2" w:hAnsi="Wingdings 2" w:cs="Times"/>
                <w:sz w:val="20"/>
                <w:szCs w:val="20"/>
              </w:rPr>
              <w:t></w:t>
            </w:r>
            <w:r w:rsidRPr="008C76D5">
              <w:rPr>
                <w:sz w:val="22"/>
                <w:szCs w:val="22"/>
              </w:rPr>
              <w:t xml:space="preserve">     Žiadne</w:t>
            </w:r>
          </w:p>
        </w:tc>
        <w:tc>
          <w:tcPr>
            <w:tcW w:w="1000" w:type="pct"/>
            <w:tcBorders>
              <w:top w:val="outset" w:sz="6" w:space="0" w:color="000000"/>
              <w:left w:val="outset" w:sz="6" w:space="0" w:color="000000"/>
              <w:bottom w:val="outset" w:sz="6" w:space="0" w:color="000000"/>
            </w:tcBorders>
            <w:vAlign w:val="center"/>
          </w:tcPr>
          <w:p w:rsidR="008479E7" w:rsidRPr="008C76D5" w:rsidRDefault="008479E7" w:rsidP="00692EDE">
            <w:pPr>
              <w:rPr>
                <w:sz w:val="22"/>
                <w:szCs w:val="22"/>
              </w:rPr>
            </w:pPr>
            <w:r w:rsidRPr="008C76D5">
              <w:rPr>
                <w:sz w:val="22"/>
                <w:szCs w:val="22"/>
              </w:rPr>
              <w:t>   Negatívne</w:t>
            </w:r>
          </w:p>
        </w:tc>
      </w:tr>
    </w:tbl>
    <w:p w:rsidR="008479E7" w:rsidRPr="008C76D5" w:rsidRDefault="008479E7" w:rsidP="008479E7">
      <w:pPr>
        <w:pStyle w:val="Normlnywebov"/>
        <w:spacing w:before="0" w:beforeAutospacing="0" w:after="0" w:afterAutospacing="0"/>
        <w:rPr>
          <w:sz w:val="22"/>
          <w:szCs w:val="22"/>
        </w:rPr>
      </w:pPr>
    </w:p>
    <w:p w:rsidR="008479E7" w:rsidRPr="008C76D5" w:rsidRDefault="008479E7" w:rsidP="008479E7">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4"/>
      </w:tblGrid>
      <w:tr w:rsidR="008479E7" w:rsidRPr="008C76D5" w:rsidTr="00692EDE">
        <w:trPr>
          <w:jc w:val="center"/>
        </w:trPr>
        <w:tc>
          <w:tcPr>
            <w:tcW w:w="250" w:type="pct"/>
            <w:tcBorders>
              <w:top w:val="outset" w:sz="6" w:space="0" w:color="000000"/>
              <w:bottom w:val="outset" w:sz="6" w:space="0" w:color="000000"/>
            </w:tcBorders>
            <w:shd w:val="clear" w:color="auto" w:fill="E6E6E6"/>
            <w:hideMark/>
          </w:tcPr>
          <w:p w:rsidR="008479E7" w:rsidRPr="008C76D5" w:rsidRDefault="008479E7" w:rsidP="00692EDE">
            <w:pPr>
              <w:rPr>
                <w:b/>
                <w:bCs/>
                <w:sz w:val="22"/>
                <w:szCs w:val="22"/>
              </w:rPr>
            </w:pPr>
            <w:r w:rsidRPr="008C76D5">
              <w:rPr>
                <w:b/>
                <w:bCs/>
                <w:sz w:val="22"/>
                <w:szCs w:val="22"/>
              </w:rPr>
              <w:t>  10.  Poznámky</w:t>
            </w:r>
          </w:p>
        </w:tc>
      </w:tr>
      <w:tr w:rsidR="008479E7" w:rsidRPr="008C76D5" w:rsidTr="00692EDE">
        <w:trPr>
          <w:trHeight w:val="600"/>
          <w:jc w:val="center"/>
        </w:trPr>
        <w:tc>
          <w:tcPr>
            <w:tcW w:w="250" w:type="pct"/>
            <w:tcBorders>
              <w:top w:val="outset" w:sz="6" w:space="0" w:color="000000"/>
              <w:bottom w:val="outset" w:sz="6" w:space="0" w:color="000000"/>
            </w:tcBorders>
            <w:hideMark/>
          </w:tcPr>
          <w:p w:rsidR="008479E7" w:rsidRPr="008C76D5" w:rsidRDefault="008479E7" w:rsidP="00692EDE">
            <w:pPr>
              <w:jc w:val="both"/>
              <w:rPr>
                <w:sz w:val="22"/>
                <w:szCs w:val="22"/>
              </w:rPr>
            </w:pPr>
          </w:p>
        </w:tc>
      </w:tr>
      <w:tr w:rsidR="008479E7" w:rsidRPr="008C76D5" w:rsidTr="00692EDE">
        <w:trPr>
          <w:jc w:val="center"/>
        </w:trPr>
        <w:tc>
          <w:tcPr>
            <w:tcW w:w="250" w:type="pct"/>
            <w:tcBorders>
              <w:top w:val="outset" w:sz="6" w:space="0" w:color="000000"/>
              <w:bottom w:val="outset" w:sz="6" w:space="0" w:color="000000"/>
            </w:tcBorders>
            <w:shd w:val="clear" w:color="auto" w:fill="E6E6E6"/>
            <w:hideMark/>
          </w:tcPr>
          <w:p w:rsidR="008479E7" w:rsidRPr="008C76D5" w:rsidRDefault="008479E7" w:rsidP="00692EDE">
            <w:pPr>
              <w:rPr>
                <w:b/>
                <w:bCs/>
                <w:sz w:val="22"/>
                <w:szCs w:val="22"/>
              </w:rPr>
            </w:pPr>
            <w:r w:rsidRPr="008C76D5">
              <w:rPr>
                <w:b/>
                <w:bCs/>
                <w:sz w:val="22"/>
                <w:szCs w:val="22"/>
              </w:rPr>
              <w:t>  11.  Kontakt na spracovateľa</w:t>
            </w:r>
          </w:p>
        </w:tc>
      </w:tr>
      <w:tr w:rsidR="008479E7" w:rsidRPr="008C76D5" w:rsidTr="00692EDE">
        <w:trPr>
          <w:trHeight w:val="600"/>
          <w:jc w:val="center"/>
        </w:trPr>
        <w:tc>
          <w:tcPr>
            <w:tcW w:w="250" w:type="pct"/>
            <w:tcBorders>
              <w:top w:val="outset" w:sz="6" w:space="0" w:color="000000"/>
              <w:bottom w:val="outset" w:sz="6" w:space="0" w:color="000000"/>
            </w:tcBorders>
            <w:hideMark/>
          </w:tcPr>
          <w:p w:rsidR="008479E7" w:rsidRPr="008C76D5" w:rsidRDefault="008479E7" w:rsidP="00692EDE">
            <w:pPr>
              <w:rPr>
                <w:sz w:val="22"/>
                <w:szCs w:val="22"/>
              </w:rPr>
            </w:pPr>
            <w:r w:rsidRPr="008C76D5">
              <w:rPr>
                <w:sz w:val="22"/>
                <w:szCs w:val="22"/>
              </w:rPr>
              <w:t xml:space="preserve">Mgr. Simona Kočišová (tel. č. 02/888 91 299, </w:t>
            </w:r>
            <w:hyperlink r:id="rId8" w:history="1">
              <w:r w:rsidRPr="0005379B">
                <w:rPr>
                  <w:rStyle w:val="Hypertextovprepojenie"/>
                  <w:sz w:val="22"/>
                  <w:szCs w:val="22"/>
                </w:rPr>
                <w:t>simona.kocisova@justice.sk</w:t>
              </w:r>
            </w:hyperlink>
            <w:r>
              <w:rPr>
                <w:sz w:val="22"/>
                <w:szCs w:val="22"/>
              </w:rPr>
              <w:t>)</w:t>
            </w:r>
          </w:p>
        </w:tc>
      </w:tr>
      <w:tr w:rsidR="008479E7" w:rsidRPr="008C76D5" w:rsidTr="00692EDE">
        <w:trPr>
          <w:jc w:val="center"/>
        </w:trPr>
        <w:tc>
          <w:tcPr>
            <w:tcW w:w="250" w:type="pct"/>
            <w:tcBorders>
              <w:top w:val="outset" w:sz="6" w:space="0" w:color="000000"/>
              <w:bottom w:val="outset" w:sz="6" w:space="0" w:color="000000"/>
            </w:tcBorders>
            <w:shd w:val="clear" w:color="auto" w:fill="E6E6E6"/>
            <w:hideMark/>
          </w:tcPr>
          <w:p w:rsidR="008479E7" w:rsidRPr="008C76D5" w:rsidRDefault="008479E7" w:rsidP="00692EDE">
            <w:pPr>
              <w:rPr>
                <w:b/>
                <w:bCs/>
                <w:sz w:val="22"/>
                <w:szCs w:val="22"/>
              </w:rPr>
            </w:pPr>
            <w:r w:rsidRPr="008C76D5">
              <w:rPr>
                <w:b/>
                <w:bCs/>
                <w:sz w:val="22"/>
                <w:szCs w:val="22"/>
              </w:rPr>
              <w:t>  12.  Zdroje</w:t>
            </w:r>
          </w:p>
        </w:tc>
      </w:tr>
      <w:tr w:rsidR="008479E7" w:rsidRPr="008C76D5" w:rsidTr="00692EDE">
        <w:trPr>
          <w:trHeight w:val="600"/>
          <w:jc w:val="center"/>
        </w:trPr>
        <w:tc>
          <w:tcPr>
            <w:tcW w:w="250" w:type="pct"/>
            <w:tcBorders>
              <w:top w:val="outset" w:sz="6" w:space="0" w:color="000000"/>
              <w:bottom w:val="outset" w:sz="6" w:space="0" w:color="000000"/>
            </w:tcBorders>
            <w:hideMark/>
          </w:tcPr>
          <w:p w:rsidR="008479E7" w:rsidRPr="008C76D5" w:rsidRDefault="008479E7" w:rsidP="00692EDE">
            <w:pPr>
              <w:rPr>
                <w:sz w:val="22"/>
                <w:szCs w:val="22"/>
              </w:rPr>
            </w:pPr>
            <w:r>
              <w:rPr>
                <w:sz w:val="22"/>
                <w:szCs w:val="22"/>
              </w:rPr>
              <w:t xml:space="preserve"> Interná pracovná skupina zriadená v rámci rezortu spravodlivosti.</w:t>
            </w:r>
          </w:p>
        </w:tc>
      </w:tr>
      <w:tr w:rsidR="008479E7" w:rsidRPr="008C76D5" w:rsidTr="00692EDE">
        <w:trPr>
          <w:jc w:val="center"/>
        </w:trPr>
        <w:tc>
          <w:tcPr>
            <w:tcW w:w="250" w:type="pct"/>
            <w:tcBorders>
              <w:top w:val="outset" w:sz="6" w:space="0" w:color="000000"/>
              <w:bottom w:val="outset" w:sz="6" w:space="0" w:color="000000"/>
            </w:tcBorders>
            <w:shd w:val="clear" w:color="auto" w:fill="E6E6E6"/>
            <w:hideMark/>
          </w:tcPr>
          <w:p w:rsidR="008479E7" w:rsidRPr="008C76D5" w:rsidRDefault="008479E7" w:rsidP="00692EDE">
            <w:pPr>
              <w:rPr>
                <w:b/>
                <w:bCs/>
                <w:sz w:val="22"/>
                <w:szCs w:val="22"/>
              </w:rPr>
            </w:pPr>
            <w:r w:rsidRPr="008C76D5">
              <w:rPr>
                <w:b/>
                <w:bCs/>
                <w:sz w:val="22"/>
                <w:szCs w:val="22"/>
              </w:rPr>
              <w:t>  13.  Stanovisko Komisie pre posudzovanie vybraných vplyvov z PPK</w:t>
            </w:r>
          </w:p>
        </w:tc>
      </w:tr>
      <w:tr w:rsidR="008479E7" w:rsidRPr="008C76D5" w:rsidTr="00692EDE">
        <w:trPr>
          <w:trHeight w:val="970"/>
          <w:jc w:val="center"/>
        </w:trPr>
        <w:tc>
          <w:tcPr>
            <w:tcW w:w="250" w:type="pct"/>
            <w:tcBorders>
              <w:top w:val="outset" w:sz="6" w:space="0" w:color="000000"/>
              <w:bottom w:val="outset" w:sz="6" w:space="0" w:color="000000"/>
            </w:tcBorders>
            <w:hideMark/>
          </w:tcPr>
          <w:p w:rsidR="008479E7" w:rsidRPr="008C76D5" w:rsidRDefault="008479E7" w:rsidP="00692EDE">
            <w:pPr>
              <w:rPr>
                <w:sz w:val="22"/>
                <w:szCs w:val="22"/>
              </w:rPr>
            </w:pPr>
          </w:p>
        </w:tc>
      </w:tr>
    </w:tbl>
    <w:p w:rsidR="008479E7" w:rsidRPr="008C76D5" w:rsidRDefault="008479E7" w:rsidP="008479E7">
      <w:pPr>
        <w:pStyle w:val="Normlnywebov"/>
        <w:spacing w:before="0" w:beforeAutospacing="0" w:after="0" w:afterAutospacing="0"/>
        <w:rPr>
          <w:bCs/>
          <w:sz w:val="22"/>
          <w:szCs w:val="22"/>
        </w:rPr>
      </w:pPr>
    </w:p>
    <w:p w:rsidR="00BF2678" w:rsidRDefault="00BF2678" w:rsidP="006F0079">
      <w:pPr>
        <w:pStyle w:val="Normlnywebov"/>
        <w:spacing w:before="0" w:beforeAutospacing="0" w:after="0" w:afterAutospacing="0"/>
        <w:ind w:right="-108" w:firstLine="708"/>
        <w:jc w:val="both"/>
      </w:pPr>
    </w:p>
    <w:p w:rsidR="00BF2678" w:rsidRDefault="00BF2678" w:rsidP="006F0079">
      <w:pPr>
        <w:pStyle w:val="Normlnywebov"/>
        <w:spacing w:before="0" w:beforeAutospacing="0" w:after="0" w:afterAutospacing="0"/>
        <w:ind w:right="-108" w:firstLine="708"/>
        <w:jc w:val="both"/>
      </w:pPr>
    </w:p>
    <w:p w:rsidR="00BF2678" w:rsidRDefault="00BF2678" w:rsidP="006F0079">
      <w:pPr>
        <w:pStyle w:val="Normlnywebov"/>
        <w:spacing w:before="0" w:beforeAutospacing="0" w:after="0" w:afterAutospacing="0"/>
        <w:ind w:right="-108" w:firstLine="708"/>
        <w:jc w:val="both"/>
      </w:pPr>
    </w:p>
    <w:p w:rsidR="008479E7" w:rsidRPr="006B442D" w:rsidRDefault="008479E7" w:rsidP="008479E7">
      <w:pPr>
        <w:jc w:val="center"/>
        <w:rPr>
          <w:b/>
          <w:caps/>
          <w:spacing w:val="30"/>
        </w:rPr>
      </w:pPr>
      <w:r w:rsidRPr="006B442D">
        <w:rPr>
          <w:b/>
          <w:caps/>
          <w:spacing w:val="30"/>
        </w:rPr>
        <w:lastRenderedPageBreak/>
        <w:t>Doložka zlučiteľnosti</w:t>
      </w:r>
    </w:p>
    <w:p w:rsidR="008479E7" w:rsidRPr="006B442D" w:rsidRDefault="008479E7" w:rsidP="008479E7">
      <w:pPr>
        <w:jc w:val="center"/>
        <w:rPr>
          <w:b/>
        </w:rPr>
      </w:pPr>
      <w:r w:rsidRPr="006B442D">
        <w:rPr>
          <w:b/>
        </w:rPr>
        <w:t>návrhu zákona s právom Európskej únie</w:t>
      </w:r>
    </w:p>
    <w:p w:rsidR="008479E7" w:rsidRPr="006B442D" w:rsidRDefault="008479E7" w:rsidP="008479E7">
      <w:pPr>
        <w:jc w:val="both"/>
        <w:rPr>
          <w:b/>
        </w:rPr>
      </w:pPr>
    </w:p>
    <w:p w:rsidR="008479E7" w:rsidRPr="006B442D" w:rsidRDefault="008479E7" w:rsidP="008479E7">
      <w:pPr>
        <w:jc w:val="both"/>
        <w:rPr>
          <w:b/>
        </w:rPr>
      </w:pPr>
    </w:p>
    <w:tbl>
      <w:tblPr>
        <w:tblStyle w:val="Mriekatabuky"/>
        <w:tblW w:w="9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
        <w:gridCol w:w="9112"/>
      </w:tblGrid>
      <w:tr w:rsidR="008479E7" w:rsidRPr="006B442D" w:rsidTr="00692EDE">
        <w:tc>
          <w:tcPr>
            <w:tcW w:w="402" w:type="dxa"/>
          </w:tcPr>
          <w:p w:rsidR="008479E7" w:rsidRPr="006B442D" w:rsidRDefault="008479E7" w:rsidP="00692EDE">
            <w:pPr>
              <w:tabs>
                <w:tab w:val="left" w:pos="360"/>
              </w:tabs>
              <w:jc w:val="both"/>
              <w:rPr>
                <w:b/>
              </w:rPr>
            </w:pPr>
            <w:r w:rsidRPr="006B442D">
              <w:rPr>
                <w:b/>
              </w:rPr>
              <w:t>1.</w:t>
            </w:r>
          </w:p>
        </w:tc>
        <w:tc>
          <w:tcPr>
            <w:tcW w:w="9112" w:type="dxa"/>
          </w:tcPr>
          <w:p w:rsidR="008479E7" w:rsidRPr="006B442D" w:rsidRDefault="008479E7" w:rsidP="008479E7">
            <w:pPr>
              <w:tabs>
                <w:tab w:val="left" w:pos="360"/>
              </w:tabs>
              <w:jc w:val="both"/>
            </w:pPr>
            <w:r w:rsidRPr="006B442D">
              <w:rPr>
                <w:b/>
              </w:rPr>
              <w:t>Navrhovateľ zákona:</w:t>
            </w:r>
            <w:r w:rsidRPr="006B442D">
              <w:t xml:space="preserve"> </w:t>
            </w:r>
            <w:fldSimple w:instr=" DOCPROPERTY  FSC#SKEDITIONSLOVLEX@103.510:zodpinstitucia  \* MERGEFORMAT ">
              <w:r>
                <w:t>Vláda</w:t>
              </w:r>
              <w:r w:rsidRPr="006B442D">
                <w:t xml:space="preserve"> Slovenskej republiky</w:t>
              </w:r>
            </w:fldSimple>
          </w:p>
        </w:tc>
      </w:tr>
      <w:tr w:rsidR="008479E7" w:rsidRPr="006B442D" w:rsidTr="00692EDE">
        <w:tc>
          <w:tcPr>
            <w:tcW w:w="402" w:type="dxa"/>
          </w:tcPr>
          <w:p w:rsidR="008479E7" w:rsidRPr="006B442D" w:rsidRDefault="008479E7" w:rsidP="00692EDE">
            <w:pPr>
              <w:tabs>
                <w:tab w:val="left" w:pos="360"/>
              </w:tabs>
              <w:jc w:val="both"/>
            </w:pPr>
          </w:p>
        </w:tc>
        <w:tc>
          <w:tcPr>
            <w:tcW w:w="9112" w:type="dxa"/>
          </w:tcPr>
          <w:p w:rsidR="008479E7" w:rsidRPr="006B442D" w:rsidRDefault="008479E7" w:rsidP="00692EDE">
            <w:pPr>
              <w:tabs>
                <w:tab w:val="left" w:pos="360"/>
              </w:tabs>
              <w:jc w:val="both"/>
            </w:pPr>
          </w:p>
        </w:tc>
      </w:tr>
      <w:tr w:rsidR="008479E7" w:rsidRPr="006B442D" w:rsidTr="00692EDE">
        <w:tc>
          <w:tcPr>
            <w:tcW w:w="402" w:type="dxa"/>
          </w:tcPr>
          <w:p w:rsidR="008479E7" w:rsidRPr="006B442D" w:rsidRDefault="008479E7" w:rsidP="00692EDE">
            <w:pPr>
              <w:tabs>
                <w:tab w:val="left" w:pos="360"/>
              </w:tabs>
              <w:jc w:val="both"/>
              <w:rPr>
                <w:b/>
              </w:rPr>
            </w:pPr>
            <w:r w:rsidRPr="006B442D">
              <w:rPr>
                <w:b/>
              </w:rPr>
              <w:t>2.</w:t>
            </w:r>
          </w:p>
        </w:tc>
        <w:tc>
          <w:tcPr>
            <w:tcW w:w="9112" w:type="dxa"/>
          </w:tcPr>
          <w:p w:rsidR="008479E7" w:rsidRPr="006B442D" w:rsidRDefault="008479E7" w:rsidP="008479E7">
            <w:pPr>
              <w:tabs>
                <w:tab w:val="left" w:pos="360"/>
              </w:tabs>
              <w:jc w:val="both"/>
            </w:pPr>
            <w:r w:rsidRPr="006B442D">
              <w:rPr>
                <w:b/>
              </w:rPr>
              <w:t>Názov návrhu zákona:</w:t>
            </w:r>
            <w:r w:rsidRPr="006B442D">
              <w:t xml:space="preserve"> </w:t>
            </w:r>
            <w:fldSimple w:instr=" DOCPROPERTY  FSC#SKEDITIONSLOVLEX@103.510:plnynazovpredpis  \* MERGEFORMAT ">
              <w:r w:rsidRPr="006B442D">
                <w:t xml:space="preserve"> </w:t>
              </w:r>
              <w:r>
                <w:t>Vládny n</w:t>
              </w:r>
              <w:r w:rsidRPr="006B442D">
                <w:t xml:space="preserve">ávrh zákona, ktorým sa mení a dopĺňa zákon č. 183/2011 Z. z. o uznávaní a výkone rozhodnutí o peňažnej sankcii v Európskej únii a o zmene a doplnení niektorých zákonov </w:t>
              </w:r>
              <w:r w:rsidRPr="00885A4C">
                <w:t>v znení zákona č. 91/2016 Z. z.</w:t>
              </w:r>
              <w:r>
                <w:t xml:space="preserve"> </w:t>
              </w:r>
              <w:r w:rsidRPr="006B442D">
                <w:t xml:space="preserve">a ktorým sa menia a dopĺňajú niektoré zákony </w:t>
              </w:r>
            </w:fldSimple>
            <w:r w:rsidRPr="006B442D">
              <w:rPr>
                <w:sz w:val="22"/>
                <w:szCs w:val="22"/>
              </w:rPr>
              <w:fldChar w:fldCharType="begin"/>
            </w:r>
            <w:r w:rsidRPr="006B442D">
              <w:rPr>
                <w:sz w:val="22"/>
                <w:szCs w:val="22"/>
              </w:rPr>
              <w:instrText xml:space="preserve"> DOCPROPERTY  FSC#SKEDITIONSLOVLEX@103.510:plny</w:instrText>
            </w:r>
            <w:r w:rsidRPr="006B442D">
              <w:instrText xml:space="preserve">nazovpredpis1  \* MERGEFORMAT </w:instrText>
            </w:r>
            <w:r w:rsidRPr="006B442D">
              <w:rPr>
                <w:sz w:val="22"/>
                <w:szCs w:val="22"/>
              </w:rPr>
              <w:fldChar w:fldCharType="end"/>
            </w:r>
            <w:r w:rsidRPr="006B442D">
              <w:rPr>
                <w:sz w:val="22"/>
                <w:szCs w:val="22"/>
              </w:rPr>
              <w:fldChar w:fldCharType="begin"/>
            </w:r>
            <w:r w:rsidRPr="006B442D">
              <w:rPr>
                <w:sz w:val="22"/>
                <w:szCs w:val="22"/>
              </w:rPr>
              <w:instrText xml:space="preserve"> DOCPROPERTY  FSC#SKEDITIONSLOVLEX</w:instrText>
            </w:r>
            <w:r w:rsidRPr="006B442D">
              <w:instrText xml:space="preserve">@103.510:plnynazovpredpis2  \* MERGEFORMAT </w:instrText>
            </w:r>
            <w:r w:rsidRPr="006B442D">
              <w:rPr>
                <w:sz w:val="22"/>
                <w:szCs w:val="22"/>
              </w:rPr>
              <w:fldChar w:fldCharType="end"/>
            </w:r>
            <w:r w:rsidRPr="006B442D">
              <w:rPr>
                <w:sz w:val="22"/>
                <w:szCs w:val="22"/>
              </w:rPr>
              <w:fldChar w:fldCharType="begin"/>
            </w:r>
            <w:r w:rsidRPr="006B442D">
              <w:rPr>
                <w:sz w:val="22"/>
                <w:szCs w:val="22"/>
              </w:rPr>
              <w:instrText xml:space="preserve"> DOCPROPERTY  FSC#SKEDITIONSLOVLEX@103.510:plnynazovpredpis3  </w:instrText>
            </w:r>
            <w:r w:rsidRPr="006B442D">
              <w:instrText xml:space="preserve">\* MERGEFORMAT </w:instrText>
            </w:r>
            <w:r w:rsidRPr="006B442D">
              <w:rPr>
                <w:sz w:val="22"/>
                <w:szCs w:val="22"/>
              </w:rPr>
              <w:fldChar w:fldCharType="end"/>
            </w:r>
          </w:p>
        </w:tc>
      </w:tr>
      <w:tr w:rsidR="008479E7" w:rsidRPr="006B442D" w:rsidTr="00692EDE">
        <w:tc>
          <w:tcPr>
            <w:tcW w:w="402" w:type="dxa"/>
          </w:tcPr>
          <w:p w:rsidR="008479E7" w:rsidRPr="006B442D" w:rsidRDefault="008479E7" w:rsidP="00692EDE">
            <w:pPr>
              <w:tabs>
                <w:tab w:val="left" w:pos="360"/>
              </w:tabs>
              <w:jc w:val="both"/>
            </w:pPr>
          </w:p>
        </w:tc>
        <w:tc>
          <w:tcPr>
            <w:tcW w:w="9112" w:type="dxa"/>
          </w:tcPr>
          <w:p w:rsidR="008479E7" w:rsidRPr="006B442D" w:rsidRDefault="008479E7" w:rsidP="00692EDE">
            <w:pPr>
              <w:tabs>
                <w:tab w:val="left" w:pos="360"/>
              </w:tabs>
              <w:jc w:val="both"/>
            </w:pPr>
          </w:p>
        </w:tc>
      </w:tr>
      <w:tr w:rsidR="008479E7" w:rsidRPr="006B442D" w:rsidTr="00692EDE">
        <w:tc>
          <w:tcPr>
            <w:tcW w:w="402" w:type="dxa"/>
          </w:tcPr>
          <w:p w:rsidR="008479E7" w:rsidRPr="006B442D" w:rsidRDefault="008479E7" w:rsidP="00692EDE">
            <w:pPr>
              <w:tabs>
                <w:tab w:val="left" w:pos="360"/>
              </w:tabs>
              <w:jc w:val="both"/>
              <w:rPr>
                <w:b/>
              </w:rPr>
            </w:pPr>
            <w:r w:rsidRPr="006B442D">
              <w:rPr>
                <w:b/>
              </w:rPr>
              <w:t>3.</w:t>
            </w:r>
          </w:p>
        </w:tc>
        <w:tc>
          <w:tcPr>
            <w:tcW w:w="9112" w:type="dxa"/>
          </w:tcPr>
          <w:p w:rsidR="008479E7" w:rsidRPr="006B442D" w:rsidRDefault="008479E7" w:rsidP="00692EDE">
            <w:pPr>
              <w:tabs>
                <w:tab w:val="left" w:pos="360"/>
              </w:tabs>
              <w:jc w:val="both"/>
              <w:rPr>
                <w:b/>
              </w:rPr>
            </w:pPr>
            <w:r w:rsidRPr="006B442D">
              <w:rPr>
                <w:b/>
              </w:rPr>
              <w:t>Predmet návrhu zákona je upravený v práve Európskej únie:</w:t>
            </w:r>
          </w:p>
          <w:p w:rsidR="008479E7" w:rsidRPr="006B442D" w:rsidRDefault="008479E7" w:rsidP="00692EDE">
            <w:pPr>
              <w:tabs>
                <w:tab w:val="left" w:pos="360"/>
              </w:tabs>
              <w:jc w:val="both"/>
            </w:pPr>
          </w:p>
        </w:tc>
      </w:tr>
      <w:tr w:rsidR="008479E7" w:rsidRPr="006B442D" w:rsidTr="00692EDE">
        <w:tc>
          <w:tcPr>
            <w:tcW w:w="402" w:type="dxa"/>
          </w:tcPr>
          <w:p w:rsidR="008479E7" w:rsidRPr="006B442D" w:rsidRDefault="008479E7" w:rsidP="00692EDE">
            <w:pPr>
              <w:tabs>
                <w:tab w:val="left" w:pos="360"/>
              </w:tabs>
              <w:jc w:val="both"/>
            </w:pPr>
          </w:p>
        </w:tc>
        <w:tc>
          <w:tcPr>
            <w:tcW w:w="9112" w:type="dxa"/>
          </w:tcPr>
          <w:p w:rsidR="008479E7" w:rsidRPr="006B442D" w:rsidRDefault="008479E7" w:rsidP="008479E7">
            <w:pPr>
              <w:pStyle w:val="Odsekzoznamu"/>
              <w:widowControl w:val="0"/>
              <w:numPr>
                <w:ilvl w:val="0"/>
                <w:numId w:val="37"/>
              </w:numPr>
              <w:autoSpaceDE w:val="0"/>
              <w:autoSpaceDN w:val="0"/>
              <w:adjustRightInd w:val="0"/>
              <w:jc w:val="both"/>
            </w:pPr>
            <w:r w:rsidRPr="006B442D">
              <w:t>v primárnom práve (uviesť názov zmluvy a číslo článku)</w:t>
            </w:r>
            <w:r w:rsidRPr="006B442D">
              <w:rPr>
                <w:sz w:val="22"/>
                <w:szCs w:val="22"/>
              </w:rPr>
              <w:br/>
            </w:r>
            <w:r w:rsidRPr="006B442D">
              <w:rPr>
                <w:sz w:val="22"/>
                <w:szCs w:val="22"/>
              </w:rPr>
              <w:br/>
            </w:r>
            <w:r w:rsidRPr="006B442D">
              <w:t xml:space="preserve">-    </w:t>
            </w:r>
            <w:r w:rsidRPr="009F0378">
              <w:t xml:space="preserve">čl. 82 ods. </w:t>
            </w:r>
            <w:r>
              <w:t xml:space="preserve">1 a </w:t>
            </w:r>
            <w:r w:rsidRPr="009F0378">
              <w:t>2 a čl. 87 Zmluvy o fungovaní Európskej únie</w:t>
            </w:r>
            <w:r>
              <w:t xml:space="preserve"> (</w:t>
            </w:r>
            <w:r w:rsidRPr="00AC19AB">
              <w:t>Ú. v. ES C 202, 7.6.2016</w:t>
            </w:r>
            <w:r>
              <w:t>)</w:t>
            </w:r>
          </w:p>
          <w:p w:rsidR="008479E7" w:rsidRPr="006B442D" w:rsidRDefault="008479E7" w:rsidP="00692EDE">
            <w:pPr>
              <w:pStyle w:val="Odsekzoznamu"/>
              <w:ind w:left="360"/>
              <w:jc w:val="both"/>
            </w:pPr>
          </w:p>
          <w:p w:rsidR="008479E7" w:rsidRPr="006B442D" w:rsidRDefault="008479E7" w:rsidP="008479E7">
            <w:pPr>
              <w:pStyle w:val="Odsekzoznamu"/>
              <w:widowControl w:val="0"/>
              <w:numPr>
                <w:ilvl w:val="0"/>
                <w:numId w:val="37"/>
              </w:numPr>
              <w:autoSpaceDE w:val="0"/>
              <w:autoSpaceDN w:val="0"/>
              <w:adjustRightInd w:val="0"/>
              <w:jc w:val="both"/>
            </w:pPr>
            <w:r w:rsidRPr="006B442D">
              <w:t>v sekundárnom práve (uviesť druh, inštitúciu, číslo, názov a dátum vydania právneho aktu vzťahujúceho sa na upravovanú problematiku, vrátane jeho gestora)</w:t>
            </w:r>
          </w:p>
          <w:p w:rsidR="008479E7" w:rsidRPr="006B442D" w:rsidRDefault="008479E7" w:rsidP="00692EDE">
            <w:pPr>
              <w:pStyle w:val="Odsekzoznamu"/>
              <w:ind w:left="360"/>
              <w:jc w:val="both"/>
            </w:pPr>
          </w:p>
          <w:p w:rsidR="008479E7" w:rsidRPr="006B442D" w:rsidRDefault="008479E7" w:rsidP="00692EDE">
            <w:pPr>
              <w:jc w:val="both"/>
            </w:pPr>
            <w:r>
              <w:t xml:space="preserve">- </w:t>
            </w:r>
            <w:r w:rsidRPr="006B442D">
              <w:t>Rámcové rozhodnutie Rady 2005/214/SVV z 24. februára 2005 o uplatňovaní zásady vzájomného uznávania na peňažné sankcie (Ú. v. EÚ L 76, 22.3.2005) v</w:t>
            </w:r>
            <w:r>
              <w:t xml:space="preserve"> platnom </w:t>
            </w:r>
            <w:r w:rsidRPr="006B442D">
              <w:t>znení</w:t>
            </w:r>
            <w:r>
              <w:t xml:space="preserve">, </w:t>
            </w:r>
            <w:r w:rsidRPr="00071586">
              <w:t>Ministerstvo spravodlivosti Slovenskej republiky;</w:t>
            </w:r>
          </w:p>
          <w:p w:rsidR="008479E7" w:rsidRDefault="008479E7" w:rsidP="00692EDE">
            <w:pPr>
              <w:jc w:val="both"/>
            </w:pPr>
          </w:p>
          <w:p w:rsidR="008479E7" w:rsidRPr="006B442D" w:rsidRDefault="008479E7" w:rsidP="00692EDE">
            <w:pPr>
              <w:jc w:val="both"/>
            </w:pPr>
            <w:r>
              <w:t xml:space="preserve">- </w:t>
            </w:r>
            <w:r w:rsidRPr="006B442D">
              <w:t>Rámcové rozhodnutie Rady 2008/947/SVV z 27. novembra 2008 o uplatňovaní zásady vzájomného uznávania na rozsudky a probačné rozhodnutia na účely dohľadu nad probačnými opatreniami a alternatívnymi sankciami (Ú. v. EÚ L 337, 16.12.2008) v</w:t>
            </w:r>
            <w:r>
              <w:t xml:space="preserve"> platnom </w:t>
            </w:r>
            <w:r w:rsidRPr="006B442D">
              <w:t>znení</w:t>
            </w:r>
            <w:r>
              <w:t xml:space="preserve">, </w:t>
            </w:r>
            <w:r w:rsidRPr="00071586">
              <w:t>Ministerstvo spravodlivosti Slovenskej republiky;</w:t>
            </w:r>
          </w:p>
          <w:p w:rsidR="008479E7" w:rsidRPr="006B442D" w:rsidRDefault="008479E7" w:rsidP="00692EDE">
            <w:pPr>
              <w:pStyle w:val="Odsekzoznamu"/>
              <w:jc w:val="both"/>
            </w:pPr>
          </w:p>
          <w:p w:rsidR="008479E7" w:rsidRPr="006B442D" w:rsidRDefault="008479E7" w:rsidP="00692EDE">
            <w:pPr>
              <w:jc w:val="both"/>
              <w:rPr>
                <w:rStyle w:val="awspan"/>
              </w:rPr>
            </w:pPr>
            <w:r>
              <w:rPr>
                <w:rStyle w:val="awspan"/>
                <w:color w:val="000000"/>
              </w:rPr>
              <w:t xml:space="preserve">- </w:t>
            </w:r>
            <w:r w:rsidRPr="006B442D">
              <w:rPr>
                <w:rStyle w:val="awspan"/>
                <w:color w:val="000000"/>
              </w:rPr>
              <w:t>Rámcové rozhodnutie Rady 2008/909/SVV z 27. novembra 2008 o uplatňovaní zásady</w:t>
            </w:r>
            <w:r w:rsidRPr="006B442D">
              <w:rPr>
                <w:rStyle w:val="awspan"/>
                <w:color w:val="000000"/>
                <w:spacing w:val="51"/>
              </w:rPr>
              <w:t xml:space="preserve"> </w:t>
            </w:r>
            <w:r w:rsidRPr="006B442D">
              <w:rPr>
                <w:rStyle w:val="awspan"/>
                <w:color w:val="000000"/>
              </w:rPr>
              <w:t>vzájomného</w:t>
            </w:r>
            <w:r w:rsidRPr="006B442D">
              <w:rPr>
                <w:rStyle w:val="awspan"/>
                <w:color w:val="000000"/>
                <w:spacing w:val="51"/>
              </w:rPr>
              <w:t xml:space="preserve"> </w:t>
            </w:r>
            <w:r w:rsidRPr="006B442D">
              <w:rPr>
                <w:rStyle w:val="awspan"/>
                <w:color w:val="000000"/>
              </w:rPr>
              <w:t>uznávania</w:t>
            </w:r>
            <w:r w:rsidRPr="006B442D">
              <w:rPr>
                <w:rStyle w:val="awspan"/>
                <w:color w:val="000000"/>
                <w:spacing w:val="51"/>
              </w:rPr>
              <w:t xml:space="preserve"> </w:t>
            </w:r>
            <w:r w:rsidRPr="006B442D">
              <w:rPr>
                <w:rStyle w:val="awspan"/>
                <w:color w:val="000000"/>
              </w:rPr>
              <w:t>na</w:t>
            </w:r>
            <w:r w:rsidRPr="006B442D">
              <w:rPr>
                <w:rStyle w:val="awspan"/>
                <w:color w:val="000000"/>
                <w:spacing w:val="51"/>
              </w:rPr>
              <w:t xml:space="preserve"> </w:t>
            </w:r>
            <w:r w:rsidRPr="006B442D">
              <w:rPr>
                <w:rStyle w:val="awspan"/>
                <w:color w:val="000000"/>
              </w:rPr>
              <w:t>rozsudky</w:t>
            </w:r>
            <w:r w:rsidRPr="006B442D">
              <w:rPr>
                <w:rStyle w:val="awspan"/>
                <w:color w:val="000000"/>
                <w:spacing w:val="51"/>
              </w:rPr>
              <w:t xml:space="preserve"> </w:t>
            </w:r>
            <w:r w:rsidRPr="006B442D">
              <w:rPr>
                <w:rStyle w:val="awspan"/>
                <w:color w:val="000000"/>
              </w:rPr>
              <w:t>v</w:t>
            </w:r>
            <w:r w:rsidRPr="006B442D">
              <w:rPr>
                <w:rStyle w:val="awspan"/>
                <w:color w:val="000000"/>
                <w:spacing w:val="51"/>
              </w:rPr>
              <w:t xml:space="preserve"> </w:t>
            </w:r>
            <w:r w:rsidRPr="006B442D">
              <w:rPr>
                <w:rStyle w:val="awspan"/>
                <w:color w:val="000000"/>
              </w:rPr>
              <w:t>trestných</w:t>
            </w:r>
            <w:r w:rsidRPr="006B442D">
              <w:rPr>
                <w:rStyle w:val="awspan"/>
                <w:color w:val="000000"/>
                <w:spacing w:val="51"/>
              </w:rPr>
              <w:t xml:space="preserve"> </w:t>
            </w:r>
            <w:r w:rsidRPr="006B442D">
              <w:rPr>
                <w:rStyle w:val="awspan"/>
                <w:color w:val="000000"/>
              </w:rPr>
              <w:t>veciach,</w:t>
            </w:r>
            <w:r w:rsidRPr="006B442D">
              <w:rPr>
                <w:rStyle w:val="awspan"/>
                <w:color w:val="000000"/>
                <w:spacing w:val="51"/>
              </w:rPr>
              <w:t xml:space="preserve"> </w:t>
            </w:r>
            <w:r w:rsidRPr="006B442D">
              <w:rPr>
                <w:rStyle w:val="awspan"/>
                <w:color w:val="000000"/>
              </w:rPr>
              <w:t>ktorými</w:t>
            </w:r>
            <w:r w:rsidRPr="006B442D">
              <w:rPr>
                <w:rStyle w:val="awspan"/>
                <w:color w:val="000000"/>
                <w:spacing w:val="51"/>
              </w:rPr>
              <w:t xml:space="preserve"> </w:t>
            </w:r>
            <w:r w:rsidRPr="006B442D">
              <w:rPr>
                <w:rStyle w:val="awspan"/>
                <w:color w:val="000000"/>
              </w:rPr>
              <w:t>sa ukladajú</w:t>
            </w:r>
            <w:r w:rsidRPr="006B442D">
              <w:rPr>
                <w:rStyle w:val="awspan"/>
                <w:color w:val="000000"/>
                <w:spacing w:val="7"/>
              </w:rPr>
              <w:t xml:space="preserve"> </w:t>
            </w:r>
            <w:r w:rsidRPr="006B442D">
              <w:rPr>
                <w:rStyle w:val="awspan"/>
                <w:color w:val="000000"/>
              </w:rPr>
              <w:t>tresty</w:t>
            </w:r>
            <w:r w:rsidRPr="006B442D">
              <w:rPr>
                <w:rStyle w:val="awspan"/>
                <w:color w:val="000000"/>
                <w:spacing w:val="7"/>
              </w:rPr>
              <w:t xml:space="preserve"> </w:t>
            </w:r>
            <w:r w:rsidRPr="006B442D">
              <w:rPr>
                <w:rStyle w:val="awspan"/>
                <w:color w:val="000000"/>
              </w:rPr>
              <w:t>odňatia</w:t>
            </w:r>
            <w:r w:rsidRPr="006B442D">
              <w:rPr>
                <w:rStyle w:val="awspan"/>
                <w:color w:val="000000"/>
                <w:spacing w:val="7"/>
              </w:rPr>
              <w:t xml:space="preserve"> </w:t>
            </w:r>
            <w:r w:rsidRPr="006B442D">
              <w:rPr>
                <w:rStyle w:val="awspan"/>
                <w:color w:val="000000"/>
              </w:rPr>
              <w:t>slobody</w:t>
            </w:r>
            <w:r w:rsidRPr="006B442D">
              <w:rPr>
                <w:rStyle w:val="awspan"/>
                <w:color w:val="000000"/>
                <w:spacing w:val="7"/>
              </w:rPr>
              <w:t xml:space="preserve"> </w:t>
            </w:r>
            <w:r w:rsidRPr="006B442D">
              <w:rPr>
                <w:rStyle w:val="awspan"/>
                <w:color w:val="000000"/>
              </w:rPr>
              <w:t>alebo</w:t>
            </w:r>
            <w:r w:rsidRPr="006B442D">
              <w:rPr>
                <w:rStyle w:val="awspan"/>
                <w:color w:val="000000"/>
                <w:spacing w:val="7"/>
              </w:rPr>
              <w:t xml:space="preserve"> </w:t>
            </w:r>
            <w:r w:rsidRPr="006B442D">
              <w:rPr>
                <w:rStyle w:val="awspan"/>
                <w:color w:val="000000"/>
              </w:rPr>
              <w:t>opatrenia</w:t>
            </w:r>
            <w:r w:rsidRPr="006B442D">
              <w:rPr>
                <w:rStyle w:val="awspan"/>
                <w:color w:val="000000"/>
                <w:spacing w:val="7"/>
              </w:rPr>
              <w:t xml:space="preserve"> </w:t>
            </w:r>
            <w:r w:rsidRPr="006B442D">
              <w:rPr>
                <w:rStyle w:val="awspan"/>
                <w:color w:val="000000"/>
              </w:rPr>
              <w:t>zahŕňajúce</w:t>
            </w:r>
            <w:r w:rsidRPr="006B442D">
              <w:rPr>
                <w:rStyle w:val="awspan"/>
                <w:color w:val="000000"/>
                <w:spacing w:val="7"/>
              </w:rPr>
              <w:t xml:space="preserve"> </w:t>
            </w:r>
            <w:r w:rsidRPr="006B442D">
              <w:rPr>
                <w:rStyle w:val="awspan"/>
                <w:color w:val="000000"/>
              </w:rPr>
              <w:t>pozbavenie</w:t>
            </w:r>
            <w:r w:rsidRPr="006B442D">
              <w:rPr>
                <w:rStyle w:val="awspan"/>
                <w:color w:val="000000"/>
                <w:spacing w:val="7"/>
              </w:rPr>
              <w:t xml:space="preserve"> </w:t>
            </w:r>
            <w:r w:rsidRPr="006B442D">
              <w:rPr>
                <w:rStyle w:val="awspan"/>
                <w:color w:val="000000"/>
              </w:rPr>
              <w:t>osobnej slobody,</w:t>
            </w:r>
            <w:r w:rsidRPr="006B442D">
              <w:rPr>
                <w:rStyle w:val="awspan"/>
                <w:color w:val="000000"/>
                <w:spacing w:val="31"/>
              </w:rPr>
              <w:t xml:space="preserve"> </w:t>
            </w:r>
            <w:r w:rsidRPr="006B442D">
              <w:rPr>
                <w:rStyle w:val="awspan"/>
                <w:color w:val="000000"/>
              </w:rPr>
              <w:t>na</w:t>
            </w:r>
            <w:r w:rsidRPr="006B442D">
              <w:rPr>
                <w:rStyle w:val="awspan"/>
                <w:color w:val="000000"/>
                <w:spacing w:val="31"/>
              </w:rPr>
              <w:t xml:space="preserve"> </w:t>
            </w:r>
            <w:r w:rsidRPr="006B442D">
              <w:rPr>
                <w:rStyle w:val="awspan"/>
                <w:color w:val="000000"/>
              </w:rPr>
              <w:t>účely</w:t>
            </w:r>
            <w:r w:rsidRPr="006B442D">
              <w:rPr>
                <w:rStyle w:val="awspan"/>
                <w:color w:val="000000"/>
                <w:spacing w:val="31"/>
              </w:rPr>
              <w:t xml:space="preserve"> </w:t>
            </w:r>
            <w:r w:rsidRPr="006B442D">
              <w:rPr>
                <w:rStyle w:val="awspan"/>
                <w:color w:val="000000"/>
              </w:rPr>
              <w:t>ich</w:t>
            </w:r>
            <w:r w:rsidRPr="006B442D">
              <w:rPr>
                <w:rStyle w:val="awspan"/>
                <w:color w:val="000000"/>
                <w:spacing w:val="31"/>
              </w:rPr>
              <w:t xml:space="preserve"> </w:t>
            </w:r>
            <w:r w:rsidRPr="006B442D">
              <w:rPr>
                <w:rStyle w:val="awspan"/>
                <w:color w:val="000000"/>
              </w:rPr>
              <w:t>výkonu</w:t>
            </w:r>
            <w:r w:rsidRPr="006B442D">
              <w:rPr>
                <w:rStyle w:val="awspan"/>
                <w:color w:val="000000"/>
                <w:spacing w:val="31"/>
              </w:rPr>
              <w:t xml:space="preserve"> </w:t>
            </w:r>
            <w:r w:rsidRPr="006B442D">
              <w:rPr>
                <w:rStyle w:val="awspan"/>
                <w:color w:val="000000"/>
              </w:rPr>
              <w:t>v</w:t>
            </w:r>
            <w:r w:rsidRPr="006B442D">
              <w:rPr>
                <w:rStyle w:val="awspan"/>
                <w:color w:val="000000"/>
                <w:spacing w:val="31"/>
              </w:rPr>
              <w:t xml:space="preserve"> </w:t>
            </w:r>
            <w:r w:rsidRPr="006B442D">
              <w:rPr>
                <w:rStyle w:val="awspan"/>
                <w:color w:val="000000"/>
              </w:rPr>
              <w:t>Európskej</w:t>
            </w:r>
            <w:r w:rsidRPr="006B442D">
              <w:rPr>
                <w:rStyle w:val="awspan"/>
                <w:color w:val="000000"/>
                <w:spacing w:val="31"/>
              </w:rPr>
              <w:t xml:space="preserve"> </w:t>
            </w:r>
            <w:r w:rsidRPr="006B442D">
              <w:rPr>
                <w:rStyle w:val="awspan"/>
                <w:color w:val="000000"/>
              </w:rPr>
              <w:t>únii</w:t>
            </w:r>
            <w:r w:rsidRPr="006B442D">
              <w:rPr>
                <w:rStyle w:val="awspan"/>
                <w:color w:val="000000"/>
                <w:spacing w:val="31"/>
              </w:rPr>
              <w:t xml:space="preserve"> </w:t>
            </w:r>
            <w:r w:rsidRPr="006B442D">
              <w:rPr>
                <w:rStyle w:val="awspan"/>
                <w:color w:val="000000"/>
              </w:rPr>
              <w:t>(Ú.</w:t>
            </w:r>
            <w:r w:rsidRPr="006B442D">
              <w:rPr>
                <w:rStyle w:val="awspan"/>
                <w:color w:val="000000"/>
                <w:spacing w:val="31"/>
              </w:rPr>
              <w:t xml:space="preserve"> </w:t>
            </w:r>
            <w:r w:rsidRPr="006B442D">
              <w:rPr>
                <w:rStyle w:val="awspan"/>
                <w:color w:val="000000"/>
              </w:rPr>
              <w:t>v.</w:t>
            </w:r>
            <w:r w:rsidRPr="006B442D">
              <w:rPr>
                <w:rStyle w:val="awspan"/>
                <w:color w:val="000000"/>
                <w:spacing w:val="31"/>
              </w:rPr>
              <w:t xml:space="preserve"> </w:t>
            </w:r>
            <w:r w:rsidRPr="006B442D">
              <w:rPr>
                <w:rStyle w:val="awspan"/>
                <w:color w:val="000000"/>
              </w:rPr>
              <w:t>EÚ</w:t>
            </w:r>
            <w:r w:rsidRPr="006B442D">
              <w:rPr>
                <w:rStyle w:val="awspan"/>
                <w:color w:val="000000"/>
                <w:spacing w:val="31"/>
              </w:rPr>
              <w:t xml:space="preserve"> </w:t>
            </w:r>
            <w:r w:rsidRPr="006B442D">
              <w:rPr>
                <w:rStyle w:val="awspan"/>
                <w:color w:val="000000"/>
              </w:rPr>
              <w:t>L</w:t>
            </w:r>
            <w:r w:rsidRPr="006B442D">
              <w:rPr>
                <w:rStyle w:val="awspan"/>
                <w:color w:val="000000"/>
                <w:spacing w:val="31"/>
              </w:rPr>
              <w:t xml:space="preserve"> </w:t>
            </w:r>
            <w:r w:rsidRPr="006B442D">
              <w:rPr>
                <w:rStyle w:val="awspan"/>
                <w:color w:val="000000"/>
              </w:rPr>
              <w:t>327,</w:t>
            </w:r>
            <w:r w:rsidRPr="006B442D">
              <w:rPr>
                <w:rStyle w:val="awspan"/>
                <w:color w:val="000000"/>
                <w:spacing w:val="31"/>
              </w:rPr>
              <w:t xml:space="preserve"> </w:t>
            </w:r>
            <w:r w:rsidRPr="006B442D">
              <w:rPr>
                <w:rStyle w:val="awspan"/>
                <w:color w:val="000000"/>
              </w:rPr>
              <w:t>5.12.2008) v</w:t>
            </w:r>
            <w:r>
              <w:rPr>
                <w:rStyle w:val="awspan"/>
                <w:color w:val="000000"/>
              </w:rPr>
              <w:t xml:space="preserve"> platnom </w:t>
            </w:r>
            <w:r w:rsidRPr="006B442D">
              <w:rPr>
                <w:rStyle w:val="awspan"/>
                <w:color w:val="000000"/>
              </w:rPr>
              <w:t>znení</w:t>
            </w:r>
            <w:r>
              <w:rPr>
                <w:rStyle w:val="awspan"/>
                <w:color w:val="000000"/>
              </w:rPr>
              <w:t xml:space="preserve">, </w:t>
            </w:r>
            <w:r w:rsidRPr="00071586">
              <w:t>Ministerstvo spravodlivosti Slovenskej republiky;</w:t>
            </w:r>
          </w:p>
          <w:p w:rsidR="008479E7" w:rsidRPr="006B442D" w:rsidRDefault="008479E7" w:rsidP="00692EDE">
            <w:pPr>
              <w:pStyle w:val="Odsekzoznamu"/>
              <w:jc w:val="both"/>
              <w:rPr>
                <w:rStyle w:val="awspan"/>
              </w:rPr>
            </w:pPr>
          </w:p>
          <w:p w:rsidR="008479E7" w:rsidRPr="006B442D" w:rsidRDefault="008479E7" w:rsidP="00692EDE">
            <w:pPr>
              <w:jc w:val="both"/>
            </w:pPr>
            <w:r>
              <w:rPr>
                <w:rStyle w:val="awspan"/>
                <w:color w:val="000000"/>
              </w:rPr>
              <w:t xml:space="preserve">- </w:t>
            </w:r>
            <w:r w:rsidRPr="006B442D">
              <w:rPr>
                <w:rStyle w:val="awspan"/>
                <w:color w:val="000000"/>
              </w:rPr>
              <w:t>Rámcové</w:t>
            </w:r>
            <w:r w:rsidRPr="006B442D">
              <w:rPr>
                <w:rStyle w:val="awspan"/>
                <w:color w:val="000000"/>
                <w:spacing w:val="30"/>
              </w:rPr>
              <w:t xml:space="preserve"> </w:t>
            </w:r>
            <w:r w:rsidRPr="006B442D">
              <w:rPr>
                <w:rStyle w:val="awspan"/>
                <w:color w:val="000000"/>
              </w:rPr>
              <w:t>rozhodnutie</w:t>
            </w:r>
            <w:r w:rsidRPr="006B442D">
              <w:rPr>
                <w:rStyle w:val="awspan"/>
                <w:color w:val="000000"/>
                <w:spacing w:val="30"/>
              </w:rPr>
              <w:t xml:space="preserve"> </w:t>
            </w:r>
            <w:r w:rsidRPr="006B442D">
              <w:rPr>
                <w:rStyle w:val="awspan"/>
                <w:color w:val="000000"/>
              </w:rPr>
              <w:t>Rady</w:t>
            </w:r>
            <w:r w:rsidRPr="006B442D">
              <w:rPr>
                <w:rStyle w:val="awspan"/>
                <w:color w:val="000000"/>
                <w:spacing w:val="30"/>
              </w:rPr>
              <w:t xml:space="preserve"> </w:t>
            </w:r>
            <w:r w:rsidRPr="006B442D">
              <w:rPr>
                <w:rStyle w:val="awspan"/>
                <w:color w:val="000000"/>
              </w:rPr>
              <w:t>2009/829/SVV</w:t>
            </w:r>
            <w:r w:rsidRPr="006B442D">
              <w:rPr>
                <w:rStyle w:val="awspan"/>
                <w:color w:val="000000"/>
                <w:spacing w:val="30"/>
              </w:rPr>
              <w:t xml:space="preserve"> </w:t>
            </w:r>
            <w:r w:rsidRPr="006B442D">
              <w:rPr>
                <w:rStyle w:val="awspan"/>
                <w:color w:val="000000"/>
              </w:rPr>
              <w:t>z</w:t>
            </w:r>
            <w:r w:rsidRPr="006B442D">
              <w:rPr>
                <w:rStyle w:val="awspan"/>
                <w:color w:val="000000"/>
                <w:spacing w:val="30"/>
              </w:rPr>
              <w:t xml:space="preserve"> </w:t>
            </w:r>
            <w:r w:rsidRPr="006B442D">
              <w:rPr>
                <w:rStyle w:val="awspan"/>
                <w:color w:val="000000"/>
              </w:rPr>
              <w:t>23.</w:t>
            </w:r>
            <w:r w:rsidRPr="006B442D">
              <w:rPr>
                <w:rStyle w:val="awspan"/>
                <w:color w:val="000000"/>
                <w:spacing w:val="30"/>
              </w:rPr>
              <w:t xml:space="preserve"> </w:t>
            </w:r>
            <w:r w:rsidRPr="006B442D">
              <w:rPr>
                <w:rStyle w:val="awspan"/>
                <w:color w:val="000000"/>
              </w:rPr>
              <w:t>októbra</w:t>
            </w:r>
            <w:r w:rsidRPr="006B442D">
              <w:rPr>
                <w:rStyle w:val="awspan"/>
                <w:color w:val="000000"/>
                <w:spacing w:val="30"/>
              </w:rPr>
              <w:t xml:space="preserve"> </w:t>
            </w:r>
            <w:r w:rsidRPr="006B442D">
              <w:rPr>
                <w:rStyle w:val="awspan"/>
                <w:color w:val="000000"/>
              </w:rPr>
              <w:t>2009</w:t>
            </w:r>
            <w:r w:rsidRPr="006B442D">
              <w:rPr>
                <w:rStyle w:val="awspan"/>
                <w:color w:val="000000"/>
                <w:spacing w:val="30"/>
              </w:rPr>
              <w:t xml:space="preserve"> </w:t>
            </w:r>
            <w:r w:rsidRPr="006B442D">
              <w:rPr>
                <w:rStyle w:val="awspan"/>
                <w:color w:val="000000"/>
              </w:rPr>
              <w:t>o</w:t>
            </w:r>
            <w:r w:rsidRPr="006B442D">
              <w:rPr>
                <w:rStyle w:val="awspan"/>
                <w:color w:val="000000"/>
                <w:spacing w:val="30"/>
              </w:rPr>
              <w:t xml:space="preserve"> </w:t>
            </w:r>
            <w:r w:rsidRPr="006B442D">
              <w:rPr>
                <w:rStyle w:val="awspan"/>
                <w:color w:val="000000"/>
              </w:rPr>
              <w:t>uplatňovaní</w:t>
            </w:r>
            <w:r w:rsidRPr="006B442D">
              <w:rPr>
                <w:rStyle w:val="awspan"/>
                <w:color w:val="000000"/>
                <w:spacing w:val="30"/>
              </w:rPr>
              <w:t xml:space="preserve"> </w:t>
            </w:r>
            <w:r w:rsidRPr="006B442D">
              <w:rPr>
                <w:rStyle w:val="awspan"/>
                <w:color w:val="000000"/>
              </w:rPr>
              <w:t>zásady vzájomného</w:t>
            </w:r>
            <w:r w:rsidRPr="006B442D">
              <w:rPr>
                <w:rStyle w:val="awspan"/>
                <w:color w:val="000000"/>
                <w:spacing w:val="45"/>
              </w:rPr>
              <w:t xml:space="preserve"> </w:t>
            </w:r>
            <w:r w:rsidRPr="006B442D">
              <w:rPr>
                <w:rStyle w:val="awspan"/>
                <w:color w:val="000000"/>
              </w:rPr>
              <w:t>uznávania</w:t>
            </w:r>
            <w:r w:rsidRPr="006B442D">
              <w:rPr>
                <w:rStyle w:val="awspan"/>
                <w:color w:val="000000"/>
                <w:spacing w:val="45"/>
              </w:rPr>
              <w:t xml:space="preserve"> </w:t>
            </w:r>
            <w:r w:rsidRPr="006B442D">
              <w:rPr>
                <w:rStyle w:val="awspan"/>
                <w:color w:val="000000"/>
              </w:rPr>
              <w:t>na</w:t>
            </w:r>
            <w:r w:rsidRPr="006B442D">
              <w:rPr>
                <w:rStyle w:val="awspan"/>
                <w:color w:val="000000"/>
                <w:spacing w:val="45"/>
              </w:rPr>
              <w:t xml:space="preserve"> </w:t>
            </w:r>
            <w:r w:rsidRPr="006B442D">
              <w:rPr>
                <w:rStyle w:val="awspan"/>
                <w:color w:val="000000"/>
              </w:rPr>
              <w:t>rozhodnutia</w:t>
            </w:r>
            <w:r w:rsidRPr="006B442D">
              <w:rPr>
                <w:rStyle w:val="awspan"/>
                <w:color w:val="000000"/>
                <w:spacing w:val="45"/>
              </w:rPr>
              <w:t xml:space="preserve"> </w:t>
            </w:r>
            <w:r w:rsidRPr="006B442D">
              <w:rPr>
                <w:rStyle w:val="awspan"/>
                <w:color w:val="000000"/>
              </w:rPr>
              <w:t>o</w:t>
            </w:r>
            <w:r w:rsidRPr="006B442D">
              <w:rPr>
                <w:rStyle w:val="awspan"/>
                <w:color w:val="000000"/>
                <w:spacing w:val="45"/>
              </w:rPr>
              <w:t xml:space="preserve"> </w:t>
            </w:r>
            <w:r w:rsidRPr="006B442D">
              <w:rPr>
                <w:rStyle w:val="awspan"/>
                <w:color w:val="000000"/>
              </w:rPr>
              <w:t>opatreniach</w:t>
            </w:r>
            <w:r w:rsidRPr="006B442D">
              <w:rPr>
                <w:rStyle w:val="awspan"/>
                <w:color w:val="000000"/>
                <w:spacing w:val="45"/>
              </w:rPr>
              <w:t xml:space="preserve"> </w:t>
            </w:r>
            <w:r w:rsidRPr="006B442D">
              <w:rPr>
                <w:rStyle w:val="awspan"/>
                <w:color w:val="000000"/>
              </w:rPr>
              <w:t>dohľadu</w:t>
            </w:r>
            <w:r w:rsidRPr="006B442D">
              <w:rPr>
                <w:rStyle w:val="awspan"/>
                <w:color w:val="000000"/>
                <w:spacing w:val="45"/>
              </w:rPr>
              <w:t xml:space="preserve"> </w:t>
            </w:r>
            <w:r w:rsidRPr="006B442D">
              <w:rPr>
                <w:rStyle w:val="awspan"/>
                <w:color w:val="000000"/>
              </w:rPr>
              <w:t>ako</w:t>
            </w:r>
            <w:r w:rsidRPr="006B442D">
              <w:rPr>
                <w:rStyle w:val="awspan"/>
                <w:color w:val="000000"/>
                <w:spacing w:val="45"/>
              </w:rPr>
              <w:t xml:space="preserve"> </w:t>
            </w:r>
            <w:r w:rsidRPr="006B442D">
              <w:rPr>
                <w:rStyle w:val="awspan"/>
                <w:color w:val="000000"/>
              </w:rPr>
              <w:t>alternatíve</w:t>
            </w:r>
            <w:r w:rsidRPr="006B442D">
              <w:rPr>
                <w:rStyle w:val="awspan"/>
                <w:color w:val="000000"/>
                <w:spacing w:val="45"/>
              </w:rPr>
              <w:t xml:space="preserve"> </w:t>
            </w:r>
            <w:r w:rsidRPr="006B442D">
              <w:rPr>
                <w:rStyle w:val="awspan"/>
                <w:color w:val="000000"/>
              </w:rPr>
              <w:t>väzby medzi členskými štátmi Európskej únie</w:t>
            </w:r>
            <w:r>
              <w:rPr>
                <w:rStyle w:val="awspan"/>
                <w:color w:val="000000"/>
              </w:rPr>
              <w:t xml:space="preserve"> (Ú. v. EÚ L 294, 11.11.2009)</w:t>
            </w:r>
            <w:r>
              <w:t xml:space="preserve">, </w:t>
            </w:r>
            <w:r w:rsidRPr="00071586">
              <w:t>Ministerstvo spravodlivosti Slovenskej republiky</w:t>
            </w:r>
            <w:r>
              <w:t>.</w:t>
            </w:r>
          </w:p>
          <w:p w:rsidR="008479E7" w:rsidRPr="006B442D" w:rsidRDefault="008479E7" w:rsidP="00692EDE">
            <w:pPr>
              <w:pStyle w:val="Odsekzoznamu"/>
              <w:ind w:left="360"/>
              <w:jc w:val="both"/>
            </w:pPr>
          </w:p>
          <w:p w:rsidR="008479E7" w:rsidRPr="006B442D" w:rsidRDefault="008479E7" w:rsidP="008479E7">
            <w:pPr>
              <w:pStyle w:val="Odsekzoznamu"/>
              <w:widowControl w:val="0"/>
              <w:numPr>
                <w:ilvl w:val="0"/>
                <w:numId w:val="37"/>
              </w:numPr>
              <w:autoSpaceDE w:val="0"/>
              <w:autoSpaceDN w:val="0"/>
              <w:adjustRightInd w:val="0"/>
              <w:jc w:val="both"/>
            </w:pPr>
            <w:r w:rsidRPr="006B442D">
              <w:t>v judikatúre Súdneho dvora Európskej únie (uviesť číslo a označenie relevantného rozhodnutia a stručne jeho výrok alebo relevantné právne vety)</w:t>
            </w:r>
          </w:p>
        </w:tc>
      </w:tr>
      <w:tr w:rsidR="008479E7" w:rsidRPr="006B442D" w:rsidTr="00692EDE">
        <w:trPr>
          <w:trHeight w:val="80"/>
        </w:trPr>
        <w:tc>
          <w:tcPr>
            <w:tcW w:w="402" w:type="dxa"/>
          </w:tcPr>
          <w:p w:rsidR="008479E7" w:rsidRPr="006B442D" w:rsidRDefault="008479E7" w:rsidP="00692EDE">
            <w:pPr>
              <w:tabs>
                <w:tab w:val="left" w:pos="360"/>
              </w:tabs>
              <w:jc w:val="both"/>
              <w:rPr>
                <w:b/>
              </w:rPr>
            </w:pPr>
          </w:p>
        </w:tc>
        <w:tc>
          <w:tcPr>
            <w:tcW w:w="9112" w:type="dxa"/>
          </w:tcPr>
          <w:p w:rsidR="008479E7" w:rsidRPr="006B442D" w:rsidRDefault="008479E7" w:rsidP="00692EDE">
            <w:pPr>
              <w:tabs>
                <w:tab w:val="left" w:pos="360"/>
              </w:tabs>
              <w:jc w:val="both"/>
            </w:pPr>
          </w:p>
        </w:tc>
      </w:tr>
    </w:tbl>
    <w:p w:rsidR="008479E7" w:rsidRPr="006B442D" w:rsidRDefault="008479E7" w:rsidP="008479E7">
      <w:pPr>
        <w:pStyle w:val="Odsekzoznamu"/>
        <w:widowControl w:val="0"/>
        <w:numPr>
          <w:ilvl w:val="0"/>
          <w:numId w:val="38"/>
        </w:numPr>
        <w:tabs>
          <w:tab w:val="left" w:pos="360"/>
        </w:tabs>
        <w:autoSpaceDE w:val="0"/>
        <w:autoSpaceDN w:val="0"/>
        <w:adjustRightInd w:val="0"/>
        <w:jc w:val="both"/>
      </w:pPr>
      <w:r w:rsidRPr="009F0378">
        <w:t>Rozsudok Súdneho dvora zo 17. júla 2008</w:t>
      </w:r>
      <w:r>
        <w:t xml:space="preserve">, </w:t>
      </w:r>
      <w:r w:rsidRPr="009F0378">
        <w:t>C-66/08 Kozłowski, ECLI:EU:C:2008:437</w:t>
      </w:r>
      <w:r>
        <w:t>, body 39, 41, 48 a 53</w:t>
      </w:r>
      <w:r w:rsidRPr="009F0378">
        <w:t>.</w:t>
      </w:r>
    </w:p>
    <w:p w:rsidR="008479E7" w:rsidRPr="006B442D" w:rsidRDefault="008479E7" w:rsidP="008479E7">
      <w:pPr>
        <w:tabs>
          <w:tab w:val="left" w:pos="360"/>
        </w:tabs>
        <w:jc w:val="both"/>
      </w:pPr>
    </w:p>
    <w:tbl>
      <w:tblPr>
        <w:tblW w:w="5000" w:type="pct"/>
        <w:jc w:val="center"/>
        <w:tblCellMar>
          <w:left w:w="0" w:type="dxa"/>
          <w:right w:w="0" w:type="dxa"/>
        </w:tblCellMar>
        <w:tblLook w:val="04A0" w:firstRow="1" w:lastRow="0" w:firstColumn="1" w:lastColumn="0" w:noHBand="0" w:noVBand="1"/>
      </w:tblPr>
      <w:tblGrid>
        <w:gridCol w:w="454"/>
        <w:gridCol w:w="272"/>
        <w:gridCol w:w="8344"/>
      </w:tblGrid>
      <w:tr w:rsidR="008479E7" w:rsidRPr="006B442D" w:rsidTr="00692EDE">
        <w:trPr>
          <w:jc w:val="center"/>
        </w:trPr>
        <w:tc>
          <w:tcPr>
            <w:tcW w:w="250" w:type="pct"/>
            <w:tcBorders>
              <w:top w:val="nil"/>
              <w:left w:val="nil"/>
              <w:bottom w:val="nil"/>
              <w:right w:val="nil"/>
            </w:tcBorders>
            <w:hideMark/>
          </w:tcPr>
          <w:p w:rsidR="008479E7" w:rsidRPr="006B442D" w:rsidRDefault="008479E7" w:rsidP="00692EDE">
            <w:pPr>
              <w:jc w:val="both"/>
              <w:rPr>
                <w:b/>
                <w:bCs/>
              </w:rPr>
            </w:pPr>
            <w:r w:rsidRPr="006B442D">
              <w:rPr>
                <w:b/>
                <w:bCs/>
              </w:rPr>
              <w:t>4.</w:t>
            </w:r>
          </w:p>
          <w:p w:rsidR="008479E7" w:rsidRPr="006B442D" w:rsidRDefault="008479E7" w:rsidP="00692EDE">
            <w:pPr>
              <w:jc w:val="both"/>
              <w:rPr>
                <w:b/>
                <w:bCs/>
              </w:rPr>
            </w:pPr>
          </w:p>
        </w:tc>
        <w:tc>
          <w:tcPr>
            <w:tcW w:w="4750" w:type="pct"/>
            <w:gridSpan w:val="2"/>
            <w:tcBorders>
              <w:top w:val="nil"/>
              <w:left w:val="nil"/>
              <w:bottom w:val="nil"/>
              <w:right w:val="nil"/>
            </w:tcBorders>
            <w:vAlign w:val="center"/>
            <w:hideMark/>
          </w:tcPr>
          <w:p w:rsidR="008479E7" w:rsidRPr="006B442D" w:rsidRDefault="008479E7" w:rsidP="00692EDE">
            <w:pPr>
              <w:spacing w:after="250"/>
              <w:jc w:val="both"/>
              <w:rPr>
                <w:b/>
                <w:bCs/>
              </w:rPr>
            </w:pPr>
            <w:r w:rsidRPr="006B442D">
              <w:rPr>
                <w:b/>
                <w:bCs/>
              </w:rPr>
              <w:t>Záväzky Slovenskej republiky vo vzťahu k Európskej únii:</w:t>
            </w:r>
          </w:p>
          <w:p w:rsidR="008479E7" w:rsidRPr="006B442D" w:rsidRDefault="008479E7" w:rsidP="00692EDE">
            <w:pPr>
              <w:spacing w:after="250"/>
              <w:jc w:val="both"/>
            </w:pPr>
            <w:r w:rsidRPr="006B442D">
              <w:t>a) uviesť lehotu na prebranie príslušného právneho aktu Európskej únie, príp. aj osobitnú lehotu účinnosti jeho ustanovení</w:t>
            </w:r>
          </w:p>
          <w:p w:rsidR="008479E7" w:rsidRPr="006B442D" w:rsidRDefault="008479E7" w:rsidP="00692EDE">
            <w:pPr>
              <w:spacing w:after="250"/>
              <w:jc w:val="both"/>
            </w:pPr>
            <w:r w:rsidRPr="006B442D">
              <w:lastRenderedPageBreak/>
              <w:t xml:space="preserve">-    </w:t>
            </w:r>
            <w:r w:rsidRPr="009F0378">
              <w:t>bezpredmetné;</w:t>
            </w:r>
            <w:r>
              <w:t xml:space="preserve"> nakoľko príslušné právne akty EÚ už boli do slovenského právneho poriadku úplne transponované</w:t>
            </w:r>
          </w:p>
          <w:p w:rsidR="008479E7" w:rsidRPr="006B442D" w:rsidRDefault="008479E7" w:rsidP="00692EDE">
            <w:pPr>
              <w:spacing w:after="250"/>
              <w:jc w:val="both"/>
            </w:pPr>
            <w:r w:rsidRPr="006B442D">
              <w:t>b) 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rsidR="008479E7" w:rsidRPr="006B442D" w:rsidRDefault="008479E7" w:rsidP="00692EDE">
            <w:pPr>
              <w:spacing w:after="250"/>
              <w:jc w:val="both"/>
            </w:pPr>
            <w:r w:rsidRPr="006B442D">
              <w:t>-    bezpredmetné</w:t>
            </w:r>
          </w:p>
          <w:p w:rsidR="008479E7" w:rsidRPr="006B442D" w:rsidRDefault="008479E7" w:rsidP="00692EDE">
            <w:pPr>
              <w:spacing w:after="250"/>
              <w:jc w:val="both"/>
            </w:pPr>
            <w:r w:rsidRPr="006B442D">
              <w:t>c) uviesť informáciu o právnych predpisoch, v ktorých sú uvádzané právne akty Európskej únie už prebrané, spolu s uvedením rozsahu ich prebrania, príp. potreby prijatia ďalších úprav</w:t>
            </w:r>
          </w:p>
          <w:p w:rsidR="008479E7" w:rsidRDefault="008479E7" w:rsidP="00692EDE">
            <w:pPr>
              <w:spacing w:after="250"/>
              <w:jc w:val="both"/>
            </w:pPr>
            <w:r>
              <w:t>- z</w:t>
            </w:r>
            <w:r w:rsidRPr="006B442D">
              <w:t>ákon č. 183/2011 o uznávaní a výkone rozhodnutí o peňažnej sankcii v Európskej únii a o zmene a doplnení niektorých zákonov</w:t>
            </w:r>
            <w:r>
              <w:t xml:space="preserve"> (úplná transpozícia);</w:t>
            </w:r>
          </w:p>
          <w:p w:rsidR="008479E7" w:rsidRPr="006B442D" w:rsidRDefault="008479E7" w:rsidP="00692EDE">
            <w:pPr>
              <w:spacing w:after="250"/>
              <w:jc w:val="both"/>
              <w:rPr>
                <w:bCs/>
              </w:rPr>
            </w:pPr>
            <w:r>
              <w:rPr>
                <w:bCs/>
              </w:rPr>
              <w:t>- z</w:t>
            </w:r>
            <w:r w:rsidRPr="006B442D">
              <w:rPr>
                <w:bCs/>
              </w:rPr>
              <w:t>ákon č. 533/2011 Z. z. o uznávaní a výkone rozhodnutí, ktorými sa ukladá trestná sankcia nespojená s odňatím slobody alebo probačné opatrenie na účely dohľadu v Európskej únii</w:t>
            </w:r>
            <w:r>
              <w:rPr>
                <w:bCs/>
              </w:rPr>
              <w:t xml:space="preserve"> </w:t>
            </w:r>
            <w:r>
              <w:t>(úplná transpozícia)</w:t>
            </w:r>
            <w:r>
              <w:rPr>
                <w:bCs/>
              </w:rPr>
              <w:t>;</w:t>
            </w:r>
          </w:p>
          <w:p w:rsidR="008479E7" w:rsidRPr="006B442D" w:rsidRDefault="008479E7" w:rsidP="00692EDE">
            <w:pPr>
              <w:spacing w:after="250"/>
              <w:jc w:val="both"/>
            </w:pPr>
            <w:r>
              <w:t>- z</w:t>
            </w:r>
            <w:r w:rsidRPr="006B442D">
              <w:t>ákon č. 549/2011 Z. z. o uznávaní a výkone rozhodnutí, ktorými sa ukladá trestná sankcia spojená s odňatím slobody v Európskej únii a o zmene a doplnení zákona č. 221/2006 Z. z. o výkone väzby v znení neskorších predpisov</w:t>
            </w:r>
            <w:r>
              <w:t xml:space="preserve"> (úplná transpozícia);</w:t>
            </w:r>
          </w:p>
          <w:p w:rsidR="008479E7" w:rsidRPr="006B442D" w:rsidRDefault="008479E7" w:rsidP="00692EDE">
            <w:pPr>
              <w:spacing w:after="250"/>
              <w:jc w:val="both"/>
            </w:pPr>
            <w:r>
              <w:t>- z</w:t>
            </w:r>
            <w:r w:rsidRPr="006B442D">
              <w:t>ákon č. 161/2013 Z. z. o odovzdávaní, uznávaní a výkone rozhodnutí o opatreniach dohľadu ako náhrade väzby v Európskej únii</w:t>
            </w:r>
            <w:r>
              <w:t xml:space="preserve"> (úplná transpozícia);</w:t>
            </w:r>
          </w:p>
          <w:p w:rsidR="008479E7" w:rsidRPr="006B442D" w:rsidRDefault="008479E7" w:rsidP="00692EDE">
            <w:pPr>
              <w:jc w:val="both"/>
            </w:pPr>
            <w:r>
              <w:t>- z</w:t>
            </w:r>
            <w:r w:rsidRPr="006B442D">
              <w:t>ákon č. 316/2016 Z. z. o uznávaní a výkone majetkového rozhodnutia vydaného v trestnom konaní v Európskej únii a o zmene a doplnení niektorých zákonov</w:t>
            </w:r>
            <w:r>
              <w:t xml:space="preserve"> (úplná transpozícia).</w:t>
            </w:r>
          </w:p>
          <w:p w:rsidR="008479E7" w:rsidRPr="006B442D" w:rsidRDefault="008479E7" w:rsidP="00692EDE">
            <w:pPr>
              <w:spacing w:after="250"/>
              <w:jc w:val="both"/>
              <w:rPr>
                <w:b/>
                <w:bCs/>
              </w:rPr>
            </w:pPr>
          </w:p>
        </w:tc>
      </w:tr>
      <w:tr w:rsidR="008479E7" w:rsidRPr="006B442D" w:rsidTr="00692EDE">
        <w:trPr>
          <w:jc w:val="center"/>
        </w:trPr>
        <w:tc>
          <w:tcPr>
            <w:tcW w:w="0" w:type="auto"/>
            <w:tcBorders>
              <w:top w:val="nil"/>
              <w:left w:val="nil"/>
              <w:bottom w:val="nil"/>
              <w:right w:val="nil"/>
            </w:tcBorders>
            <w:hideMark/>
          </w:tcPr>
          <w:p w:rsidR="008479E7" w:rsidRPr="006B442D" w:rsidRDefault="008479E7" w:rsidP="00692EDE">
            <w:pPr>
              <w:spacing w:after="250"/>
              <w:jc w:val="both"/>
              <w:rPr>
                <w:b/>
                <w:bCs/>
              </w:rPr>
            </w:pPr>
          </w:p>
        </w:tc>
        <w:tc>
          <w:tcPr>
            <w:tcW w:w="150" w:type="pct"/>
            <w:tcBorders>
              <w:top w:val="nil"/>
              <w:left w:val="nil"/>
              <w:bottom w:val="nil"/>
              <w:right w:val="nil"/>
            </w:tcBorders>
            <w:hideMark/>
          </w:tcPr>
          <w:p w:rsidR="008479E7" w:rsidRPr="006B442D" w:rsidRDefault="008479E7" w:rsidP="00692EDE">
            <w:pPr>
              <w:jc w:val="both"/>
            </w:pPr>
          </w:p>
        </w:tc>
        <w:tc>
          <w:tcPr>
            <w:tcW w:w="4600" w:type="pct"/>
            <w:tcBorders>
              <w:top w:val="nil"/>
              <w:left w:val="nil"/>
              <w:bottom w:val="nil"/>
              <w:right w:val="nil"/>
            </w:tcBorders>
            <w:vAlign w:val="center"/>
            <w:hideMark/>
          </w:tcPr>
          <w:p w:rsidR="008479E7" w:rsidRPr="006B442D" w:rsidRDefault="008479E7" w:rsidP="00692EDE">
            <w:pPr>
              <w:spacing w:after="250"/>
              <w:jc w:val="both"/>
            </w:pPr>
          </w:p>
        </w:tc>
      </w:tr>
      <w:tr w:rsidR="008479E7" w:rsidRPr="006B442D" w:rsidTr="00692EDE">
        <w:trPr>
          <w:jc w:val="center"/>
        </w:trPr>
        <w:tc>
          <w:tcPr>
            <w:tcW w:w="0" w:type="auto"/>
            <w:tcBorders>
              <w:top w:val="nil"/>
              <w:left w:val="nil"/>
              <w:bottom w:val="nil"/>
              <w:right w:val="nil"/>
            </w:tcBorders>
            <w:hideMark/>
          </w:tcPr>
          <w:p w:rsidR="008479E7" w:rsidRPr="006B442D" w:rsidRDefault="008479E7" w:rsidP="00692EDE">
            <w:pPr>
              <w:spacing w:after="250"/>
              <w:jc w:val="both"/>
            </w:pPr>
          </w:p>
        </w:tc>
        <w:tc>
          <w:tcPr>
            <w:tcW w:w="150" w:type="pct"/>
            <w:tcBorders>
              <w:top w:val="nil"/>
              <w:left w:val="nil"/>
              <w:bottom w:val="nil"/>
              <w:right w:val="nil"/>
            </w:tcBorders>
            <w:hideMark/>
          </w:tcPr>
          <w:p w:rsidR="008479E7" w:rsidRPr="006B442D" w:rsidRDefault="008479E7" w:rsidP="00692EDE">
            <w:pPr>
              <w:jc w:val="both"/>
            </w:pPr>
          </w:p>
        </w:tc>
        <w:tc>
          <w:tcPr>
            <w:tcW w:w="4600" w:type="pct"/>
            <w:tcBorders>
              <w:top w:val="nil"/>
              <w:left w:val="nil"/>
              <w:bottom w:val="nil"/>
              <w:right w:val="nil"/>
            </w:tcBorders>
            <w:vAlign w:val="center"/>
            <w:hideMark/>
          </w:tcPr>
          <w:p w:rsidR="008479E7" w:rsidRPr="006B442D" w:rsidRDefault="008479E7" w:rsidP="00692EDE">
            <w:pPr>
              <w:spacing w:after="250"/>
              <w:jc w:val="both"/>
            </w:pPr>
          </w:p>
        </w:tc>
      </w:tr>
      <w:tr w:rsidR="008479E7" w:rsidRPr="006B442D" w:rsidTr="00692EDE">
        <w:trPr>
          <w:jc w:val="center"/>
        </w:trPr>
        <w:tc>
          <w:tcPr>
            <w:tcW w:w="0" w:type="auto"/>
            <w:tcBorders>
              <w:top w:val="nil"/>
              <w:left w:val="nil"/>
              <w:bottom w:val="nil"/>
              <w:right w:val="nil"/>
            </w:tcBorders>
            <w:hideMark/>
          </w:tcPr>
          <w:p w:rsidR="008479E7" w:rsidRPr="006B442D" w:rsidRDefault="008479E7" w:rsidP="00692EDE">
            <w:pPr>
              <w:spacing w:after="250"/>
              <w:jc w:val="both"/>
            </w:pPr>
          </w:p>
        </w:tc>
        <w:tc>
          <w:tcPr>
            <w:tcW w:w="150" w:type="pct"/>
            <w:tcBorders>
              <w:top w:val="nil"/>
              <w:left w:val="nil"/>
              <w:bottom w:val="nil"/>
              <w:right w:val="nil"/>
            </w:tcBorders>
            <w:hideMark/>
          </w:tcPr>
          <w:p w:rsidR="008479E7" w:rsidRPr="006B442D" w:rsidRDefault="008479E7" w:rsidP="00692EDE">
            <w:pPr>
              <w:jc w:val="both"/>
            </w:pPr>
          </w:p>
        </w:tc>
        <w:tc>
          <w:tcPr>
            <w:tcW w:w="4600" w:type="pct"/>
            <w:tcBorders>
              <w:top w:val="nil"/>
              <w:left w:val="nil"/>
              <w:bottom w:val="nil"/>
              <w:right w:val="nil"/>
            </w:tcBorders>
            <w:vAlign w:val="center"/>
            <w:hideMark/>
          </w:tcPr>
          <w:p w:rsidR="008479E7" w:rsidRPr="006B442D" w:rsidRDefault="008479E7" w:rsidP="00692EDE">
            <w:pPr>
              <w:spacing w:after="250"/>
              <w:jc w:val="both"/>
            </w:pPr>
          </w:p>
        </w:tc>
      </w:tr>
      <w:tr w:rsidR="008479E7" w:rsidRPr="00B24F51" w:rsidTr="00692EDE">
        <w:trPr>
          <w:jc w:val="center"/>
        </w:trPr>
        <w:tc>
          <w:tcPr>
            <w:tcW w:w="0" w:type="auto"/>
            <w:tcBorders>
              <w:top w:val="nil"/>
              <w:left w:val="nil"/>
              <w:bottom w:val="nil"/>
              <w:right w:val="nil"/>
            </w:tcBorders>
            <w:hideMark/>
          </w:tcPr>
          <w:p w:rsidR="008479E7" w:rsidRPr="006B442D" w:rsidRDefault="008479E7" w:rsidP="00692EDE">
            <w:pPr>
              <w:jc w:val="both"/>
              <w:rPr>
                <w:b/>
                <w:bCs/>
              </w:rPr>
            </w:pPr>
            <w:r w:rsidRPr="006B442D">
              <w:rPr>
                <w:b/>
                <w:bCs/>
              </w:rPr>
              <w:t>5.</w:t>
            </w:r>
          </w:p>
        </w:tc>
        <w:tc>
          <w:tcPr>
            <w:tcW w:w="0" w:type="auto"/>
            <w:gridSpan w:val="2"/>
            <w:tcBorders>
              <w:top w:val="nil"/>
              <w:left w:val="nil"/>
              <w:bottom w:val="nil"/>
              <w:right w:val="nil"/>
            </w:tcBorders>
            <w:hideMark/>
          </w:tcPr>
          <w:p w:rsidR="008479E7" w:rsidRPr="006B442D" w:rsidRDefault="008479E7" w:rsidP="00692EDE">
            <w:pPr>
              <w:spacing w:after="250"/>
              <w:jc w:val="both"/>
              <w:rPr>
                <w:b/>
                <w:bCs/>
              </w:rPr>
            </w:pPr>
            <w:r w:rsidRPr="006B442D">
              <w:rPr>
                <w:b/>
                <w:bCs/>
              </w:rPr>
              <w:t>Návrh zákona je zlučiteľný s právom Európskej únie:</w:t>
            </w:r>
          </w:p>
          <w:p w:rsidR="008479E7" w:rsidRPr="006B442D" w:rsidRDefault="008479E7" w:rsidP="00692EDE">
            <w:pPr>
              <w:spacing w:after="250"/>
              <w:jc w:val="both"/>
            </w:pPr>
            <w:r w:rsidRPr="006B442D">
              <w:t>a) úplne (ak je právny akt prebraný náležite, t. j. v zodpovedajúcej právnej forme, včas, v celom rozsahu a správne)</w:t>
            </w:r>
          </w:p>
          <w:p w:rsidR="008479E7" w:rsidRPr="006B442D" w:rsidRDefault="008479E7" w:rsidP="00692EDE">
            <w:pPr>
              <w:spacing w:after="250"/>
              <w:jc w:val="both"/>
            </w:pPr>
            <w:r w:rsidRPr="006B442D">
              <w:t>-    úplne</w:t>
            </w:r>
          </w:p>
          <w:p w:rsidR="008479E7" w:rsidRPr="006B442D" w:rsidRDefault="008479E7" w:rsidP="00692EDE">
            <w:pPr>
              <w:spacing w:after="250"/>
              <w:jc w:val="both"/>
            </w:pPr>
            <w:r w:rsidRPr="006B442D">
              <w:t>b) čiastočne (uviesť dôvody, predpokladaný termín a spôsob dosiahnutia úplného súladu)</w:t>
            </w:r>
          </w:p>
          <w:p w:rsidR="008479E7" w:rsidRPr="00B24F51" w:rsidRDefault="008479E7" w:rsidP="00692EDE">
            <w:pPr>
              <w:spacing w:after="250"/>
              <w:jc w:val="both"/>
              <w:rPr>
                <w:b/>
                <w:bCs/>
              </w:rPr>
            </w:pPr>
            <w:r w:rsidRPr="006B442D">
              <w:t>c) ak nie je, uviesť dôvody, predpokladaný termín a spôsob dosiahnutia úplného súladu</w:t>
            </w:r>
          </w:p>
        </w:tc>
      </w:tr>
    </w:tbl>
    <w:p w:rsidR="00BF2678" w:rsidRPr="00AA6D07" w:rsidRDefault="00BF2678" w:rsidP="00BF2678">
      <w:pPr>
        <w:pStyle w:val="Normlnywebov"/>
        <w:spacing w:before="0" w:beforeAutospacing="0" w:after="0" w:afterAutospacing="0"/>
        <w:ind w:right="-108" w:firstLine="708"/>
        <w:jc w:val="both"/>
      </w:pPr>
    </w:p>
    <w:p w:rsidR="0009118F" w:rsidRPr="00AA6D07" w:rsidRDefault="0009118F" w:rsidP="0009118F"/>
    <w:p w:rsidR="0009118F" w:rsidRPr="00AA6D07" w:rsidRDefault="0009118F" w:rsidP="0009118F"/>
    <w:p w:rsidR="0009118F" w:rsidRPr="00AA6D07" w:rsidRDefault="0009118F" w:rsidP="0009118F"/>
    <w:p w:rsidR="0009118F" w:rsidRPr="00AA6D07" w:rsidRDefault="0009118F" w:rsidP="0009118F">
      <w:pPr>
        <w:rPr>
          <w:b/>
        </w:rPr>
      </w:pPr>
    </w:p>
    <w:p w:rsidR="008479E7" w:rsidRPr="00E321FB" w:rsidRDefault="0080427E" w:rsidP="008479E7">
      <w:pPr>
        <w:rPr>
          <w:b/>
        </w:rPr>
      </w:pPr>
      <w:r w:rsidRPr="00AA6D07">
        <w:rPr>
          <w:b/>
          <w:bCs/>
        </w:rPr>
        <w:br w:type="page"/>
      </w:r>
      <w:r w:rsidR="008479E7" w:rsidRPr="00E321FB">
        <w:rPr>
          <w:b/>
        </w:rPr>
        <w:lastRenderedPageBreak/>
        <w:t>B. Osobitná časť</w:t>
      </w:r>
    </w:p>
    <w:p w:rsidR="008479E7" w:rsidRPr="00241ABA" w:rsidRDefault="008479E7" w:rsidP="008479E7">
      <w:pPr>
        <w:jc w:val="both"/>
      </w:pPr>
      <w:r w:rsidRPr="00241ABA">
        <w:t> </w:t>
      </w:r>
    </w:p>
    <w:p w:rsidR="008479E7" w:rsidRPr="00241ABA" w:rsidRDefault="008479E7" w:rsidP="008479E7">
      <w:pPr>
        <w:jc w:val="both"/>
        <w:rPr>
          <w:b/>
        </w:rPr>
      </w:pPr>
      <w:r w:rsidRPr="00241ABA">
        <w:rPr>
          <w:b/>
        </w:rPr>
        <w:t>K Čl. I</w:t>
      </w:r>
    </w:p>
    <w:p w:rsidR="008479E7" w:rsidRDefault="008479E7" w:rsidP="008479E7">
      <w:pPr>
        <w:jc w:val="both"/>
        <w:rPr>
          <w:i/>
        </w:rPr>
      </w:pPr>
      <w:r w:rsidRPr="00241ABA">
        <w:rPr>
          <w:i/>
        </w:rPr>
        <w:t>(</w:t>
      </w:r>
      <w:r>
        <w:rPr>
          <w:i/>
        </w:rPr>
        <w:t>z</w:t>
      </w:r>
      <w:r w:rsidRPr="00687833">
        <w:rPr>
          <w:i/>
        </w:rPr>
        <w:t xml:space="preserve">ákon č. </w:t>
      </w:r>
      <w:r>
        <w:rPr>
          <w:i/>
        </w:rPr>
        <w:t>183/</w:t>
      </w:r>
      <w:r w:rsidRPr="00687833">
        <w:rPr>
          <w:i/>
        </w:rPr>
        <w:t>2011 Z. z.</w:t>
      </w:r>
      <w:r w:rsidRPr="00241ABA">
        <w:rPr>
          <w:i/>
        </w:rPr>
        <w:t>)</w:t>
      </w:r>
    </w:p>
    <w:p w:rsidR="008479E7" w:rsidRDefault="008479E7" w:rsidP="008479E7">
      <w:pPr>
        <w:jc w:val="both"/>
        <w:rPr>
          <w:i/>
        </w:rPr>
      </w:pPr>
    </w:p>
    <w:p w:rsidR="008479E7" w:rsidRDefault="008479E7" w:rsidP="008479E7">
      <w:pPr>
        <w:jc w:val="both"/>
        <w:rPr>
          <w:u w:val="single"/>
        </w:rPr>
      </w:pPr>
      <w:r>
        <w:rPr>
          <w:u w:val="single"/>
        </w:rPr>
        <w:t>K bodu 1</w:t>
      </w:r>
    </w:p>
    <w:p w:rsidR="008479E7" w:rsidRDefault="008479E7" w:rsidP="008479E7">
      <w:pPr>
        <w:jc w:val="both"/>
        <w:rPr>
          <w:u w:val="single"/>
        </w:rPr>
      </w:pPr>
    </w:p>
    <w:p w:rsidR="008479E7" w:rsidRDefault="008479E7" w:rsidP="008479E7">
      <w:pPr>
        <w:jc w:val="both"/>
      </w:pPr>
      <w:r w:rsidRPr="009B2464">
        <w:tab/>
      </w:r>
      <w:r>
        <w:t xml:space="preserve">V dotknutých ustanoveniach (§ 4 a § 6 ods. 1) sa navrhuje nahradiť doposiaľ používaný pojem „bydlisko“ pojmom „obvyklý pobyt“. Zákon č. 183/2011 Z. z.  predstavuje transpozíciu rámcového rozhodnutia Rady </w:t>
      </w:r>
      <w:r w:rsidRPr="00123283">
        <w:t>2005/214/SVV z 24. februára 2005 o uplatňovaní zásady vzájomného uznávania na peňažné sankcie</w:t>
      </w:r>
      <w:r>
        <w:t xml:space="preserve">. Francúzska jazyková verzia citovaného rámcového rozhodnutia používa pojem </w:t>
      </w:r>
      <w:r w:rsidRPr="009B2464">
        <w:t>„résidence habituelle“</w:t>
      </w:r>
      <w:r>
        <w:t>, ktorého slovenským ekvivalentom je pojem „obvyklý pobyt“. Anglická jazyková verzia citovaného rámcového rozhodnutia používa pojem</w:t>
      </w:r>
      <w:r w:rsidRPr="009B2464">
        <w:t xml:space="preserve"> „is normally resident“</w:t>
      </w:r>
      <w:r>
        <w:t>, ktorého slovenským ekvivalentom je pojem „bydlisko“, avšak domnievame sa, že v danom prípade ide o chybný preklad a vhodným by v tomto smere aj s ohľadom na cieľ a kontext citovaného rámcového rozhodnutia mal byť pojem, ktorý je používaný vo francúzskej jazykovej verzii a jeho slovenský ekvivalent, ktorým je pojem „obvyklý pobyt“.</w:t>
      </w:r>
      <w:r w:rsidRPr="009B2464">
        <w:t xml:space="preserve"> </w:t>
      </w:r>
      <w:r>
        <w:t>P</w:t>
      </w:r>
      <w:r w:rsidRPr="009B2464">
        <w:t xml:space="preserve">ojem bydlisko by sa mal </w:t>
      </w:r>
      <w:r>
        <w:t xml:space="preserve">v rámci vnútroštátnych predpisov </w:t>
      </w:r>
      <w:r w:rsidRPr="009B2464">
        <w:t xml:space="preserve">používať </w:t>
      </w:r>
      <w:r>
        <w:t xml:space="preserve">ako slovenský ekvivalent vo vzťahu k pojmu </w:t>
      </w:r>
      <w:r w:rsidRPr="009B2464">
        <w:t>„domicile“</w:t>
      </w:r>
      <w:r>
        <w:t xml:space="preserve">, ktorý je používaný v právnych aktoch </w:t>
      </w:r>
      <w:r>
        <w:rPr>
          <w:bCs/>
        </w:rPr>
        <w:t>Európskej únie</w:t>
      </w:r>
      <w:r w:rsidDel="00CA70F1">
        <w:t xml:space="preserve"> </w:t>
      </w:r>
      <w:r>
        <w:t>v ich francúzskej jazykovej verzii. Okrem uvedeného treba pripomenúť, že pojem „b</w:t>
      </w:r>
      <w:r w:rsidRPr="009B2464">
        <w:t>ydlisko</w:t>
      </w:r>
      <w:r>
        <w:t>“ („</w:t>
      </w:r>
      <w:r w:rsidRPr="009B2464">
        <w:t>domicile</w:t>
      </w:r>
      <w:r>
        <w:t>“) je poj</w:t>
      </w:r>
      <w:r w:rsidRPr="009B2464">
        <w:t>m</w:t>
      </w:r>
      <w:r>
        <w:t>om</w:t>
      </w:r>
      <w:r w:rsidRPr="009B2464">
        <w:t xml:space="preserve">, ktorý je možné vykladať v súlade s vnútroštátnym právom. Naproti tomu pojem „obvyklý pobyt“ je </w:t>
      </w:r>
      <w:r>
        <w:t>autonómnym</w:t>
      </w:r>
      <w:r w:rsidRPr="009B2464">
        <w:t xml:space="preserve"> pojm</w:t>
      </w:r>
      <w:r>
        <w:t>om únijného práva</w:t>
      </w:r>
      <w:r w:rsidRPr="009B2464">
        <w:t>, ktorý podlieha výkladu</w:t>
      </w:r>
      <w:r>
        <w:t xml:space="preserve">, ktorý je oprávnený podávať výlučne </w:t>
      </w:r>
      <w:r w:rsidRPr="009B2464">
        <w:t>S</w:t>
      </w:r>
      <w:r>
        <w:t xml:space="preserve">údny dvor </w:t>
      </w:r>
      <w:r>
        <w:rPr>
          <w:bCs/>
        </w:rPr>
        <w:t>Európskej únie</w:t>
      </w:r>
      <w:r>
        <w:t xml:space="preserve">. Pri </w:t>
      </w:r>
      <w:r w:rsidRPr="00117001">
        <w:t xml:space="preserve">určovaní obvyklého pobytu </w:t>
      </w:r>
      <w:r>
        <w:t xml:space="preserve">je nevyhnutné, aby príslušný orgán najmä s ohľadom na povinnosť eurokonformného výkladu bral do úvahy okrem príslušnej judikatúry Súdneho dvora vo vzťahu k výkladu pojmu obvyklý pobyt, aj cieľ resp. účel príslušného právneho aktu </w:t>
      </w:r>
      <w:r>
        <w:rPr>
          <w:bCs/>
        </w:rPr>
        <w:t>Európskej únie</w:t>
      </w:r>
      <w:r>
        <w:t xml:space="preserve">, ktorý je prostredníctvom vnútroštátnej úpravy transponovaný do právneho poriadku Slovenskej republiky. Uvedené ma relevanciu najmä vo vzťahu ku skutočnosti, že hoci je pojem obvyklý pobyt jednotne používaný v navrhovanej právnej úprave nemusí byť obsahovo totožný pri jednotlivých vnútroštátnych zákonoch. V tomto smere je preto potrebné aby príslušný orgán skúmal naplnenie pojmových znakov obvyklého pobytu jednotlivo resp. osobitne pre každý prípad a to vo svetle cieľa resp. účelu príslušného právneho aktu </w:t>
      </w:r>
      <w:r>
        <w:rPr>
          <w:bCs/>
        </w:rPr>
        <w:t>Európskej únie</w:t>
      </w:r>
      <w:r>
        <w:t>.</w:t>
      </w:r>
    </w:p>
    <w:p w:rsidR="008479E7" w:rsidRDefault="008479E7" w:rsidP="008479E7">
      <w:pPr>
        <w:jc w:val="both"/>
      </w:pPr>
    </w:p>
    <w:p w:rsidR="008479E7" w:rsidRDefault="008479E7" w:rsidP="008479E7">
      <w:pPr>
        <w:jc w:val="both"/>
        <w:rPr>
          <w:u w:val="single"/>
        </w:rPr>
      </w:pPr>
      <w:r w:rsidRPr="00BC4917">
        <w:rPr>
          <w:u w:val="single"/>
        </w:rPr>
        <w:t>K bodu 2</w:t>
      </w:r>
    </w:p>
    <w:p w:rsidR="008479E7" w:rsidRDefault="008479E7" w:rsidP="008479E7">
      <w:pPr>
        <w:jc w:val="both"/>
        <w:rPr>
          <w:u w:val="single"/>
        </w:rPr>
      </w:pPr>
    </w:p>
    <w:p w:rsidR="008479E7" w:rsidRPr="000E7C69" w:rsidRDefault="008479E7" w:rsidP="008479E7">
      <w:pPr>
        <w:jc w:val="both"/>
      </w:pPr>
      <w:r w:rsidRPr="000E7C69">
        <w:tab/>
        <w:t>Navrhuje sa</w:t>
      </w:r>
      <w:r>
        <w:t>,</w:t>
      </w:r>
      <w:r w:rsidRPr="000E7C69">
        <w:t xml:space="preserve"> aby miestna príslušnosť slovenských krajských súdov ako vykonávajúcich justičných orgánov v prípade konania o uznaní a výkone rozhodnutia o peňažnej sankcii, ktoré vydal súd štátu pôvodu, bola determinovaná kritériom trvalého pobytu dotknutej osoby, </w:t>
      </w:r>
      <w:r>
        <w:t>keďže</w:t>
      </w:r>
      <w:r w:rsidRPr="000E7C69">
        <w:t xml:space="preserve"> kritérium obvyklého pobytu je smerodajné vo vzťahu k samotnému odovzdaniu rozhodnutia na uznanie a</w:t>
      </w:r>
      <w:r>
        <w:t> </w:t>
      </w:r>
      <w:r w:rsidRPr="000E7C69">
        <w:t>výkon</w:t>
      </w:r>
      <w:r>
        <w:t>,</w:t>
      </w:r>
      <w:r w:rsidRPr="000E7C69">
        <w:t xml:space="preserve"> a teda kritérium trvalého pobytu sa v ďalšom kroku javí ako vhodné na určenie príslušnosti konkrétneho súdu v Slovenskej republike. </w:t>
      </w:r>
    </w:p>
    <w:p w:rsidR="008479E7" w:rsidRDefault="008479E7" w:rsidP="008479E7">
      <w:pPr>
        <w:jc w:val="both"/>
        <w:rPr>
          <w:u w:val="single"/>
        </w:rPr>
      </w:pPr>
    </w:p>
    <w:p w:rsidR="008479E7" w:rsidRDefault="008479E7" w:rsidP="008479E7">
      <w:pPr>
        <w:jc w:val="both"/>
        <w:rPr>
          <w:i/>
        </w:rPr>
      </w:pPr>
      <w:r w:rsidRPr="00241ABA">
        <w:rPr>
          <w:u w:val="single"/>
        </w:rPr>
        <w:t>K</w:t>
      </w:r>
      <w:r>
        <w:rPr>
          <w:u w:val="single"/>
        </w:rPr>
        <w:t> bodom 3 až 5</w:t>
      </w:r>
    </w:p>
    <w:p w:rsidR="008479E7" w:rsidRDefault="008479E7" w:rsidP="008479E7">
      <w:pPr>
        <w:jc w:val="both"/>
        <w:rPr>
          <w:i/>
        </w:rPr>
      </w:pPr>
    </w:p>
    <w:p w:rsidR="008479E7" w:rsidRDefault="008479E7" w:rsidP="008479E7">
      <w:pPr>
        <w:jc w:val="both"/>
      </w:pPr>
      <w:r>
        <w:tab/>
        <w:t xml:space="preserve">Na základe poznatkov vyplývajúcich z aplikačnej praxe sa navrhuje zmena znenia § 11, ktorý upravuje rozhodovanie o uznaní a výkone rozhodnutia o peňažnej sankcii, pričom týmto sa v zmysle § 2 písm. a) rozumie </w:t>
      </w:r>
      <w:r w:rsidRPr="009B437E">
        <w:t>právoplatné odsudzujúce rozhodnutie vydané pre trestný čin alebo pre protiprávne konanie týkajúce sa porušenia pravidiel cestnej premávky vydané</w:t>
      </w:r>
      <w:r>
        <w:t xml:space="preserve"> </w:t>
      </w:r>
      <w:r w:rsidRPr="009B437E">
        <w:t>súdom štátu pôvodu v trestnom konaní, alebo</w:t>
      </w:r>
      <w:r>
        <w:t xml:space="preserve"> </w:t>
      </w:r>
      <w:r w:rsidRPr="009B437E">
        <w:t xml:space="preserve">správnym orgánom štátu pôvodu, ak podľa právneho poriadku štátu pôvodu bolo proti tomuto rozhodnutiu možné podať opravný prostriedok, o </w:t>
      </w:r>
      <w:r w:rsidRPr="009B437E">
        <w:lastRenderedPageBreak/>
        <w:t>ktorom rozhoduje súd s</w:t>
      </w:r>
      <w:r>
        <w:t xml:space="preserve"> právomocou v trestných veciach. Doposiaľ senát rozhodoval o uznaní a výkone oboch vyššie uvedených typoch rozhodnutia o peňažnej sankcii. Senát teda </w:t>
      </w:r>
      <w:r w:rsidRPr="001A1EFA">
        <w:t>bez nariadenia hlavného pojednávania, verejného zasadnutia alebo neverejného zasadnutia</w:t>
      </w:r>
      <w:r>
        <w:t xml:space="preserve"> uznesením rozhodoval aj v prípade, </w:t>
      </w:r>
      <w:r w:rsidRPr="001A1EFA">
        <w:t xml:space="preserve"> ak ide o rozhodnutie o uznaní a výkone peňažnej sankcie, ktoré vydal správny orgán štátu pôvodu.</w:t>
      </w:r>
      <w:r>
        <w:t xml:space="preserve"> Navrhuje sa, aby o tomto type rozhodnutia o peňažnej sankcii rozhodoval vyšší súdny úradník, keďže v danom prípade ide o uznávanie a výkon vo vzťahu k štandardným pokutám za dopravné priestupky, čo z vecného hľadiska nie je tak komplikovanou agendou, aby o nej  mal rozhodovať výlučne sudca. Táto zmena má za cieľ taktiež prispieť k odbremeneniu sudcov. V nadväznosti na skutočnosť, že rozhodovať uznesením o tomto type rozhodnutia o peňažnej sankcii bude vyšší súdny úradník, navrhuje sa, aby v súlade s čl. 142 ods. 2 Ústavy Slovenskej republiky bola opravným prostriedkom proti uvedenému uzneseniu sťažnosť, ktorá bude mať odkladný účinok, </w:t>
      </w:r>
      <w:r w:rsidRPr="00FD4F69">
        <w:t>pričom o takejto sťažnosti bude rozhodovať sudca.</w:t>
      </w:r>
      <w:r>
        <w:t xml:space="preserve"> Proti rozhodnutiu sudcu o sťažnosti nie je prípustný opravný prostriedok, keďže je potrebné uvedomiť si, že samotná sťažnosť smeruje voči rozhodnutiu (vyššieho súdneho úradníka) o </w:t>
      </w:r>
      <w:r w:rsidRPr="001F74B5">
        <w:t>uzn</w:t>
      </w:r>
      <w:r>
        <w:t>aní</w:t>
      </w:r>
      <w:r w:rsidRPr="001F74B5">
        <w:t xml:space="preserve"> a výkon</w:t>
      </w:r>
      <w:r>
        <w:t>e</w:t>
      </w:r>
      <w:r w:rsidRPr="001F74B5">
        <w:t xml:space="preserve"> </w:t>
      </w:r>
      <w:r>
        <w:t>rozhodnutia o štandardných</w:t>
      </w:r>
      <w:r w:rsidRPr="001F74B5">
        <w:t xml:space="preserve"> pokut</w:t>
      </w:r>
      <w:r>
        <w:t xml:space="preserve">ách </w:t>
      </w:r>
      <w:r w:rsidRPr="001F74B5">
        <w:t>za dopravné priestupky</w:t>
      </w:r>
      <w:r>
        <w:t xml:space="preserve">, teda ide o rozhodnutie správnej povahy, ktoré nie je z kvalitatívneho hľadiska tak závažného charakteru ako napr. súdne </w:t>
      </w:r>
      <w:r w:rsidRPr="009B437E">
        <w:t>rozhodnutie vydané pre trestný čin</w:t>
      </w:r>
      <w:r>
        <w:t xml:space="preserve">. Na účely zabezpečenia súdneho prieskumu je teda v tomto prípade postačujúce, aby o sťažnosti rozhodol sudca súdu toho istého stupňa bez možnosti podať ďalší opravný prostriedok voči tomuto rozhodnutiu sudcu, o ktorom by rozhodoval nadriadený súd, pričom uvedené je aj v záujme zabezpečenia rýchlosti konania. </w:t>
      </w:r>
    </w:p>
    <w:p w:rsidR="008479E7" w:rsidRDefault="008479E7" w:rsidP="008479E7">
      <w:pPr>
        <w:jc w:val="both"/>
      </w:pPr>
    </w:p>
    <w:p w:rsidR="008479E7" w:rsidRDefault="008479E7" w:rsidP="008479E7">
      <w:pPr>
        <w:jc w:val="both"/>
        <w:rPr>
          <w:u w:val="single"/>
        </w:rPr>
      </w:pPr>
      <w:r w:rsidRPr="00241ABA">
        <w:rPr>
          <w:u w:val="single"/>
        </w:rPr>
        <w:t>K</w:t>
      </w:r>
      <w:r>
        <w:rPr>
          <w:u w:val="single"/>
        </w:rPr>
        <w:t> bodu 6</w:t>
      </w:r>
    </w:p>
    <w:p w:rsidR="008479E7" w:rsidRDefault="008479E7" w:rsidP="008479E7">
      <w:pPr>
        <w:jc w:val="both"/>
        <w:rPr>
          <w:u w:val="single"/>
        </w:rPr>
      </w:pPr>
    </w:p>
    <w:p w:rsidR="008479E7" w:rsidRDefault="008479E7" w:rsidP="008479E7">
      <w:pPr>
        <w:jc w:val="both"/>
      </w:pPr>
      <w:r w:rsidRPr="005A70FD">
        <w:tab/>
        <w:t>V nadväznosti na prijatie novej právnej úpravy § 11, ktorý sa týka určitých procesných otázok je nevyhnutné, aby bolo doplnené prechodné ustanovenie, ktoré upravuje vzťah novej právnej úpravy k doterajšej právnej úprave. V zmysle navrhovaného prechodného ustanovenia sa konania, ktoré boli začaté pred navrhovanou účinnosťou návrhu zákona (t. j. 1. január 2020) dokončia podľa predchádzajúcej právnej úpravy – t. j. právnej úpravy účinnej do 31. decembra 2019.</w:t>
      </w:r>
    </w:p>
    <w:p w:rsidR="008479E7" w:rsidRDefault="008479E7" w:rsidP="008479E7">
      <w:pPr>
        <w:jc w:val="both"/>
      </w:pPr>
    </w:p>
    <w:p w:rsidR="008479E7" w:rsidRPr="00DF1C1F" w:rsidRDefault="008479E7" w:rsidP="008479E7">
      <w:pPr>
        <w:jc w:val="both"/>
        <w:rPr>
          <w:b/>
        </w:rPr>
      </w:pPr>
      <w:r>
        <w:rPr>
          <w:b/>
        </w:rPr>
        <w:t xml:space="preserve">K </w:t>
      </w:r>
      <w:r w:rsidRPr="00DF1C1F">
        <w:rPr>
          <w:b/>
        </w:rPr>
        <w:t>Čl. II</w:t>
      </w:r>
    </w:p>
    <w:p w:rsidR="008479E7" w:rsidRDefault="008479E7" w:rsidP="008479E7">
      <w:pPr>
        <w:jc w:val="both"/>
      </w:pPr>
      <w:r w:rsidRPr="001B4E47">
        <w:rPr>
          <w:i/>
        </w:rPr>
        <w:t>(zákon č. 549/2003 Z. z.)</w:t>
      </w:r>
    </w:p>
    <w:p w:rsidR="008479E7" w:rsidRDefault="008479E7" w:rsidP="008479E7">
      <w:pPr>
        <w:jc w:val="both"/>
      </w:pPr>
    </w:p>
    <w:p w:rsidR="008479E7" w:rsidRPr="00E00755" w:rsidRDefault="008479E7" w:rsidP="008479E7">
      <w:pPr>
        <w:jc w:val="both"/>
        <w:rPr>
          <w:i/>
        </w:rPr>
      </w:pPr>
      <w:r>
        <w:tab/>
        <w:t xml:space="preserve">Navrhovaná zmena reaguje na navrhovanú zmenu v čl. I, ktorej cieľom je zabezpečiť, aby namiesto sudcu rozhodoval </w:t>
      </w:r>
      <w:r w:rsidRPr="00E00755">
        <w:t xml:space="preserve">o uznaní a výkone </w:t>
      </w:r>
      <w:r>
        <w:t>rozhodnutia o peňažnej sankcii</w:t>
      </w:r>
      <w:r w:rsidRPr="00E00755">
        <w:t>, ktoré vydal správny orgán štátu pôvodu</w:t>
      </w:r>
      <w:r>
        <w:t>, vyšší súdny úradník</w:t>
      </w:r>
      <w:r w:rsidRPr="00E00755">
        <w:t>.</w:t>
      </w:r>
      <w:r>
        <w:t xml:space="preserve"> V nadväznosti na uvedené je tak potrebné uskutočniť zmenu aj v zákone č. 549/2003 Z. z. </w:t>
      </w:r>
      <w:r w:rsidRPr="001B4E47">
        <w:t>o súdnych úradníkoch</w:t>
      </w:r>
      <w:r>
        <w:t xml:space="preserve">, ktorý upravuje </w:t>
      </w:r>
      <w:r w:rsidRPr="001B4E47">
        <w:t>postavenie a činnosť súdnych úradníkov</w:t>
      </w:r>
      <w:r>
        <w:t>.</w:t>
      </w:r>
    </w:p>
    <w:p w:rsidR="008479E7" w:rsidRDefault="008479E7" w:rsidP="008479E7">
      <w:pPr>
        <w:jc w:val="both"/>
        <w:rPr>
          <w:i/>
        </w:rPr>
      </w:pPr>
    </w:p>
    <w:p w:rsidR="008479E7" w:rsidRPr="00241ABA" w:rsidRDefault="008479E7" w:rsidP="008479E7">
      <w:pPr>
        <w:jc w:val="both"/>
        <w:rPr>
          <w:b/>
        </w:rPr>
      </w:pPr>
      <w:r w:rsidRPr="00241ABA">
        <w:rPr>
          <w:b/>
        </w:rPr>
        <w:t xml:space="preserve">K Čl. </w:t>
      </w:r>
      <w:r>
        <w:rPr>
          <w:b/>
        </w:rPr>
        <w:t>III</w:t>
      </w:r>
    </w:p>
    <w:p w:rsidR="008479E7" w:rsidRDefault="008479E7" w:rsidP="008479E7">
      <w:pPr>
        <w:jc w:val="both"/>
        <w:rPr>
          <w:i/>
        </w:rPr>
      </w:pPr>
      <w:r w:rsidRPr="00241ABA">
        <w:rPr>
          <w:i/>
        </w:rPr>
        <w:t>(</w:t>
      </w:r>
      <w:r>
        <w:rPr>
          <w:i/>
        </w:rPr>
        <w:t>z</w:t>
      </w:r>
      <w:r w:rsidRPr="00687833">
        <w:rPr>
          <w:i/>
        </w:rPr>
        <w:t xml:space="preserve">ákon č. </w:t>
      </w:r>
      <w:r>
        <w:rPr>
          <w:i/>
        </w:rPr>
        <w:t>533/</w:t>
      </w:r>
      <w:r w:rsidRPr="00687833">
        <w:rPr>
          <w:i/>
        </w:rPr>
        <w:t>2011 Z. z.</w:t>
      </w:r>
      <w:r w:rsidRPr="00241ABA">
        <w:rPr>
          <w:i/>
        </w:rPr>
        <w:t>)</w:t>
      </w:r>
    </w:p>
    <w:p w:rsidR="008479E7" w:rsidRDefault="008479E7" w:rsidP="008479E7">
      <w:pPr>
        <w:jc w:val="both"/>
        <w:rPr>
          <w:i/>
        </w:rPr>
      </w:pPr>
    </w:p>
    <w:p w:rsidR="008479E7" w:rsidRPr="00A76803" w:rsidRDefault="008479E7" w:rsidP="008479E7">
      <w:pPr>
        <w:jc w:val="both"/>
        <w:rPr>
          <w:u w:val="single"/>
        </w:rPr>
      </w:pPr>
      <w:r w:rsidRPr="00A76803">
        <w:rPr>
          <w:u w:val="single"/>
        </w:rPr>
        <w:t>K bodu 1</w:t>
      </w:r>
    </w:p>
    <w:p w:rsidR="008479E7" w:rsidRDefault="008479E7" w:rsidP="008479E7">
      <w:pPr>
        <w:jc w:val="both"/>
      </w:pPr>
    </w:p>
    <w:p w:rsidR="008479E7" w:rsidRDefault="008479E7" w:rsidP="008479E7">
      <w:pPr>
        <w:jc w:val="both"/>
      </w:pPr>
      <w:r>
        <w:tab/>
        <w:t xml:space="preserve">Navrhuje sa vypustenie definície pojmu „obvyklý pobyt“, ktorý bol doposiaľ v zmysle § 3 písm. h) definovaný ako </w:t>
      </w:r>
      <w:r w:rsidRPr="00E321FB">
        <w:t>trvalý pobyt alebo prechodný pobyt</w:t>
      </w:r>
      <w:r>
        <w:t xml:space="preserve">. Takto formulovaná definícia nie je vhodná, keďže trvalý pobyt a prechodný pobyt majú v podmienkach Slovenskej republiky len evidenčný charakter, čo je v rozpore s výkladom pojmu „obvyklý pobyt“, ktorý vyplýva z právnych nástrojov </w:t>
      </w:r>
      <w:r>
        <w:rPr>
          <w:bCs/>
        </w:rPr>
        <w:t>Európskej únie</w:t>
      </w:r>
      <w:r>
        <w:t xml:space="preserve">, ako aj judikatúry Súdneho dvora </w:t>
      </w:r>
      <w:r>
        <w:rPr>
          <w:bCs/>
        </w:rPr>
        <w:t>Európskej únie</w:t>
      </w:r>
      <w:r>
        <w:t xml:space="preserve">. </w:t>
      </w:r>
      <w:r>
        <w:lastRenderedPageBreak/>
        <w:t xml:space="preserve">V tejto súvislosti je potrebné poukázať na skutočnosť, že pojem „obvyklý pobyt“ je autonómnym pojmom práva </w:t>
      </w:r>
      <w:r>
        <w:rPr>
          <w:bCs/>
        </w:rPr>
        <w:t>Európskej únie</w:t>
      </w:r>
      <w:r>
        <w:t xml:space="preserve"> a  je potrebné</w:t>
      </w:r>
      <w:r w:rsidRPr="00561A64">
        <w:t xml:space="preserve"> mať na zreteli</w:t>
      </w:r>
      <w:r>
        <w:t xml:space="preserve"> jeho</w:t>
      </w:r>
      <w:r w:rsidRPr="00561A64">
        <w:t xml:space="preserve"> autonómny charakter</w:t>
      </w:r>
      <w:r>
        <w:t>, ktorý tvorí prekážku pre</w:t>
      </w:r>
      <w:r w:rsidRPr="00561A64">
        <w:t xml:space="preserve"> podrobnejšiu úpravu vo vnútroštátnom práve.</w:t>
      </w:r>
      <w:r>
        <w:t xml:space="preserve"> S ohľadom na uvedené je než</w:t>
      </w:r>
      <w:r w:rsidRPr="00561A64">
        <w:t xml:space="preserve">iaduce aby </w:t>
      </w:r>
      <w:r>
        <w:t>bol tento pojem podrobne definovaný vo vnútroštátnom práve</w:t>
      </w:r>
      <w:r w:rsidRPr="00561A64">
        <w:t xml:space="preserve">, </w:t>
      </w:r>
      <w:r>
        <w:t>keďže</w:t>
      </w:r>
      <w:r w:rsidRPr="00561A64">
        <w:t xml:space="preserve"> </w:t>
      </w:r>
      <w:r>
        <w:t xml:space="preserve">uvedené </w:t>
      </w:r>
      <w:r w:rsidRPr="00561A64">
        <w:t xml:space="preserve">by mohlo mať za následok ohrozenie jednotného výkladu a s tým spojenej jednotnej aplikácie práva </w:t>
      </w:r>
      <w:r>
        <w:rPr>
          <w:bCs/>
        </w:rPr>
        <w:t>Európskej únie</w:t>
      </w:r>
      <w:r w:rsidRPr="00561A64">
        <w:t>. Z judikatúry Súdneho dvora</w:t>
      </w:r>
      <w:r>
        <w:t xml:space="preserve"> </w:t>
      </w:r>
      <w:r>
        <w:rPr>
          <w:bCs/>
        </w:rPr>
        <w:t>Európskej únie</w:t>
      </w:r>
      <w:r w:rsidRPr="00561A64">
        <w:t xml:space="preserve"> však vyplývajú vo vzťahu k pojmu </w:t>
      </w:r>
      <w:r>
        <w:t>„</w:t>
      </w:r>
      <w:r w:rsidRPr="00561A64">
        <w:t>obvyklý pobyt“ viaceré spoločné znaky</w:t>
      </w:r>
      <w:r>
        <w:t xml:space="preserve">, pričom ide </w:t>
      </w:r>
      <w:r w:rsidRPr="00561A64">
        <w:t xml:space="preserve">o skutkový koncept, nie právny. </w:t>
      </w:r>
      <w:r>
        <w:t>Pri určovaní obvyklého pobytu je potrebné zohľadniť, či ide</w:t>
      </w:r>
      <w:r w:rsidRPr="00561A64">
        <w:t xml:space="preserve"> </w:t>
      </w:r>
      <w:r>
        <w:t>o</w:t>
      </w:r>
      <w:r w:rsidRPr="00561A64">
        <w:t xml:space="preserve"> miesto, kde </w:t>
      </w:r>
      <w:r>
        <w:t>má dotknutá osob</w:t>
      </w:r>
      <w:r w:rsidRPr="00561A64">
        <w:t>a ťažisko svojho života, svojich záujmov</w:t>
      </w:r>
      <w:r>
        <w:t>,</w:t>
      </w:r>
      <w:r w:rsidRPr="00561A64">
        <w:t xml:space="preserve"> </w:t>
      </w:r>
      <w:r>
        <w:t xml:space="preserve">a to </w:t>
      </w:r>
      <w:r w:rsidRPr="00561A64">
        <w:t xml:space="preserve">s ohľadom na svoj rodinný, pracovný či sociálny život. </w:t>
      </w:r>
      <w:r>
        <w:t xml:space="preserve">Z judikatúry Súdneho dvora </w:t>
      </w:r>
      <w:r>
        <w:rPr>
          <w:bCs/>
        </w:rPr>
        <w:t>Európskej únie</w:t>
      </w:r>
      <w:r>
        <w:t xml:space="preserve"> taktiež vyplýva, že l</w:t>
      </w:r>
      <w:r w:rsidRPr="00561A64">
        <w:t xml:space="preserve">imitovanie obvyklého pobytu na zápis v registri </w:t>
      </w:r>
      <w:r>
        <w:t xml:space="preserve">(ako je tomu napr. v prípade trvalého pobytu) </w:t>
      </w:r>
      <w:r w:rsidRPr="00561A64">
        <w:t>nie je možné, i keď by zákon ukladal povinnosť registrovať skutočný skutkový stav.</w:t>
      </w:r>
      <w:r>
        <w:t xml:space="preserve"> Určenie obvyklého pobytu dotknutej osoby prináleží príslušnému súdu, a to na základe posúdenia a overenia výskytu znakov uvedených vyššie. </w:t>
      </w:r>
    </w:p>
    <w:p w:rsidR="008479E7" w:rsidRDefault="008479E7" w:rsidP="008479E7">
      <w:pPr>
        <w:jc w:val="both"/>
      </w:pPr>
    </w:p>
    <w:p w:rsidR="008479E7" w:rsidRDefault="008479E7" w:rsidP="008479E7">
      <w:pPr>
        <w:ind w:firstLine="708"/>
        <w:jc w:val="both"/>
      </w:pPr>
      <w:r>
        <w:t xml:space="preserve">V nadväznosti na vyššie uvedené sa predkladateľ inšpiroval konceptom,  ktorý je zavedený aj v Českej republike, ktorý taktiež v normatívnom texte príslušných právnych predpisov nedefinuje pojem „obvyklý pobyt“, avšak z rozhodovacej činnosti českých súdov je zrejmé, že tieto súdy napriek absencii definície nemajú problém pri aplikácii ustanovení, ktoré obsahujú pojem „obvyklý pobyt“. Z judikatúry českých súdov je zrejmé, že sa prikláňajú k judikatúre Súdneho dvora a pojem „obvyklý pobyt“ vykladajú ako </w:t>
      </w:r>
      <w:r w:rsidRPr="00944504">
        <w:t xml:space="preserve">miesto, kde sa osoba fakticky prevažne zdržiava, pričom v tomto mieste najmä vedie domácnosť a má zamestnanie, </w:t>
      </w:r>
      <w:r>
        <w:t>hoci</w:t>
      </w:r>
      <w:r w:rsidRPr="00944504">
        <w:t xml:space="preserve"> toto miesto sa nemusí zhodovať s miestom trvalého pobytu. </w:t>
      </w:r>
      <w:r>
        <w:t>České súdy taktiež zdôrazňujú, že i</w:t>
      </w:r>
      <w:r w:rsidRPr="00944504">
        <w:t xml:space="preserve">de </w:t>
      </w:r>
      <w:r>
        <w:t xml:space="preserve"> </w:t>
      </w:r>
      <w:r w:rsidRPr="00944504">
        <w:t xml:space="preserve"> o faktický a nie právny pojem, ktorý nemožno za každých okolností stotožňovať s trvalý</w:t>
      </w:r>
      <w:r>
        <w:t xml:space="preserve">m resp. iným oprávneným pobytom, </w:t>
      </w:r>
      <w:r w:rsidRPr="00944504">
        <w:t>ktoré majú skôr administratívnoprávnu povahu</w:t>
      </w:r>
      <w:r>
        <w:t xml:space="preserve"> (resp. evidenčný charakter)</w:t>
      </w:r>
      <w:r w:rsidRPr="00944504">
        <w:t xml:space="preserve">. Skutočnosť, že obvyklý pobyt je </w:t>
      </w:r>
      <w:r>
        <w:t>okrem iného</w:t>
      </w:r>
      <w:r w:rsidRPr="00944504">
        <w:t xml:space="preserve"> vykladaný tak, že ide o miesto, kde sa osoba prevažne fakticky zdržiava nemôže sama o sebe bez </w:t>
      </w:r>
      <w:r>
        <w:t xml:space="preserve"> ďalšej skutočnosti</w:t>
      </w:r>
      <w:r w:rsidRPr="00944504">
        <w:t xml:space="preserve"> znamenať, že miesto, kde sa osoba zdržiava je vždy jej obvyklým pobytom</w:t>
      </w:r>
      <w:r>
        <w:t xml:space="preserve">.  Z uvedeného </w:t>
      </w:r>
      <w:r w:rsidRPr="00944504">
        <w:t xml:space="preserve">je teda zrejmé, že </w:t>
      </w:r>
      <w:r>
        <w:t>nemožno stotožňovať „miesto, kde sa osoba fakticky zdržiava“   s pojmom „obvyklý pobyt“</w:t>
      </w:r>
      <w:r w:rsidRPr="00944504">
        <w:t xml:space="preserve"> </w:t>
      </w:r>
      <w:r>
        <w:t>(viď. napr. U</w:t>
      </w:r>
      <w:r w:rsidRPr="00944504">
        <w:t>zneseni</w:t>
      </w:r>
      <w:r>
        <w:t>e Najvyššieho súdu Českej republiky č. k.</w:t>
      </w:r>
      <w:r w:rsidRPr="00944504">
        <w:t xml:space="preserve"> 11 Td 22/2017-7 zo dňa 18. mája 2017</w:t>
      </w:r>
      <w:r>
        <w:t>)</w:t>
      </w:r>
      <w:r w:rsidRPr="00944504">
        <w:t>.</w:t>
      </w:r>
    </w:p>
    <w:p w:rsidR="008479E7" w:rsidRDefault="008479E7" w:rsidP="008479E7">
      <w:pPr>
        <w:ind w:firstLine="708"/>
        <w:jc w:val="both"/>
      </w:pPr>
    </w:p>
    <w:p w:rsidR="008479E7" w:rsidRDefault="008479E7" w:rsidP="008479E7">
      <w:pPr>
        <w:ind w:firstLine="708"/>
        <w:jc w:val="both"/>
      </w:pPr>
      <w:r>
        <w:t>Sumarizujúc vyššie uvedené p</w:t>
      </w:r>
      <w:r w:rsidRPr="00117001">
        <w:t xml:space="preserve">ri určovaní obvyklého pobytu </w:t>
      </w:r>
      <w:r>
        <w:t xml:space="preserve">vo všeobecnosti </w:t>
      </w:r>
      <w:r w:rsidRPr="00117001">
        <w:t xml:space="preserve">príslušný orgán berie do úvahy, </w:t>
      </w:r>
      <w:r>
        <w:t xml:space="preserve">aj skutočnosť </w:t>
      </w:r>
      <w:r w:rsidRPr="00117001">
        <w:t>či ide o miesto, kde sa osoba prevažne fakticky zdržiava a</w:t>
      </w:r>
      <w:r>
        <w:t>však</w:t>
      </w:r>
      <w:r w:rsidRPr="00117001">
        <w:t xml:space="preserve"> na tento účel zohľadní </w:t>
      </w:r>
      <w:r>
        <w:t xml:space="preserve">aj iné skutočnosti a to </w:t>
      </w:r>
      <w:r w:rsidRPr="00117001">
        <w:t>najmä existenciu</w:t>
      </w:r>
      <w:r>
        <w:t xml:space="preserve">  </w:t>
      </w:r>
      <w:r w:rsidRPr="00117001">
        <w:t>osobných väzieb, spočívajúcich najmä v založení, vedení a súžití v domácnosti, rodinných väzieb,</w:t>
      </w:r>
      <w:r>
        <w:t xml:space="preserve"> ďalej </w:t>
      </w:r>
      <w:r w:rsidRPr="00117001">
        <w:t>vlastníckeho práva alebo nájmu k nehnuteľnosti,</w:t>
      </w:r>
      <w:r>
        <w:t xml:space="preserve"> </w:t>
      </w:r>
      <w:r w:rsidRPr="00117001">
        <w:t>hospodárskych väzieb, spočívajúcich najmä vo výkone podnikania alebo pracovnej činnosti a</w:t>
      </w:r>
      <w:r>
        <w:t xml:space="preserve"> </w:t>
      </w:r>
      <w:r w:rsidRPr="00117001">
        <w:t>sociálnych väzieb</w:t>
      </w:r>
      <w:r>
        <w:t xml:space="preserve"> </w:t>
      </w:r>
      <w:r w:rsidRPr="00117001">
        <w:t>dotknutej osoby na toto miesto.</w:t>
      </w:r>
      <w:r>
        <w:t xml:space="preserve"> V každom prípade však pri posudzovaní reálneho výskytu spomenutých väzieb uprednostní  tie z nich , ktoré majú spojitosť s  účelom príslušného právneho nástroja </w:t>
      </w:r>
      <w:r>
        <w:rPr>
          <w:bCs/>
        </w:rPr>
        <w:t>Európskej únie</w:t>
      </w:r>
      <w:r>
        <w:t xml:space="preserve">, ktorý je do vnútroštátnym právnym predpisom transponovaný do právneho poriadku Slovenskej republiky. V prípade zákona č. 533/2011 Z. z. bude ťažisko posudzovania na rodinných, sociálnych a osobných väzbách. Uvedené ma relevanciu aj vo vzťahu k skutočnosti, že hoci je pojem obvyklý pobyt jednotne používaný v navrhovanej právnej úprave nemusí byť obsahovo totožný pri jednotlivých vnútroštátnych zákonoch. V tomto smere je preto potrebné, aby príslušný orgán skúmal naplnenie pojmových znakov obvyklého pobytu jednotlivo resp. osobitne pre každý prípad, a to vo svetle cieľa, resp. účelu príslušného právneho aktu </w:t>
      </w:r>
      <w:r>
        <w:rPr>
          <w:bCs/>
        </w:rPr>
        <w:t>Európskej únie</w:t>
      </w:r>
      <w:r>
        <w:t>.</w:t>
      </w:r>
    </w:p>
    <w:p w:rsidR="008479E7" w:rsidRDefault="008479E7" w:rsidP="008479E7">
      <w:pPr>
        <w:ind w:firstLine="708"/>
        <w:jc w:val="both"/>
      </w:pPr>
    </w:p>
    <w:p w:rsidR="008479E7" w:rsidRDefault="008479E7" w:rsidP="008479E7">
      <w:pPr>
        <w:jc w:val="both"/>
        <w:rPr>
          <w:u w:val="single"/>
        </w:rPr>
      </w:pPr>
      <w:r w:rsidRPr="0028403C">
        <w:rPr>
          <w:u w:val="single"/>
        </w:rPr>
        <w:t>K bodu 2</w:t>
      </w:r>
    </w:p>
    <w:p w:rsidR="008479E7" w:rsidRDefault="008479E7" w:rsidP="008479E7">
      <w:pPr>
        <w:jc w:val="both"/>
        <w:rPr>
          <w:u w:val="single"/>
        </w:rPr>
      </w:pPr>
    </w:p>
    <w:p w:rsidR="008479E7" w:rsidRPr="00CA5D67" w:rsidRDefault="008479E7" w:rsidP="008479E7">
      <w:pPr>
        <w:jc w:val="both"/>
      </w:pPr>
      <w:r w:rsidRPr="000E7C69">
        <w:tab/>
        <w:t xml:space="preserve">S ohľadom na navrhovanú zmenu konceptu obvyklého pobytu sa navrhuje vypustenie podmienky </w:t>
      </w:r>
      <w:r w:rsidRPr="00EE0D55">
        <w:t xml:space="preserve">zdržiavania sa na území Slovenskej republiky, </w:t>
      </w:r>
      <w:r>
        <w:t>keďže</w:t>
      </w:r>
      <w:r w:rsidRPr="00EE0D55">
        <w:t xml:space="preserve"> túto možno subsumovať pod splnenie podmienky existencie obvyklého pobytu</w:t>
      </w:r>
      <w:r>
        <w:t>,</w:t>
      </w:r>
      <w:r w:rsidRPr="00EE0D55">
        <w:t xml:space="preserve"> a </w:t>
      </w:r>
      <w:r w:rsidRPr="00CA5D67">
        <w:t>teda v normatívnom texte je nadbytočná.</w:t>
      </w:r>
    </w:p>
    <w:p w:rsidR="008479E7" w:rsidRDefault="008479E7" w:rsidP="008479E7">
      <w:pPr>
        <w:jc w:val="both"/>
        <w:rPr>
          <w:u w:val="single"/>
        </w:rPr>
      </w:pPr>
    </w:p>
    <w:p w:rsidR="008479E7" w:rsidRDefault="008479E7" w:rsidP="008479E7">
      <w:pPr>
        <w:jc w:val="both"/>
        <w:rPr>
          <w:u w:val="single"/>
        </w:rPr>
      </w:pPr>
      <w:r>
        <w:rPr>
          <w:u w:val="single"/>
        </w:rPr>
        <w:t>K bodu 3</w:t>
      </w:r>
    </w:p>
    <w:p w:rsidR="008479E7" w:rsidRDefault="008479E7" w:rsidP="008479E7">
      <w:pPr>
        <w:jc w:val="both"/>
        <w:rPr>
          <w:u w:val="single"/>
        </w:rPr>
      </w:pPr>
    </w:p>
    <w:p w:rsidR="008479E7" w:rsidRPr="00CA70F1" w:rsidRDefault="008479E7" w:rsidP="008479E7">
      <w:pPr>
        <w:jc w:val="both"/>
      </w:pPr>
      <w:r w:rsidRPr="000E7C69">
        <w:tab/>
        <w:t>Navrhuje sa</w:t>
      </w:r>
      <w:r>
        <w:t>,</w:t>
      </w:r>
      <w:r w:rsidRPr="000E7C69">
        <w:t xml:space="preserve"> aby miestna príslušnosť okresných súdov ako vykonávajúcich justičných orgánov v prípade konania o uznaní a výkone rozhodnutia vydaného justičným orgánom štátu pôvodu bola determinovaná na základe kritéria trvalého pobytu resp. posledného trvalého pobytu dotknutej osoby</w:t>
      </w:r>
      <w:r w:rsidRPr="00EE0D55">
        <w:t>. Preukázanie obvyklého pobytu slúži predovšetkým na účely odovzdávania výkonu rozhodnutia justičného orgánu Slovenskej republiky do iného členského štátu a naopak, nie na účel určovania príslušnosti justičného orgánu v Slovenskej republike na konanie o uznaní a výkone rozhodnutia. Aj vzhľadom k tomu, že tak európska legislatíva ako aj vnútroštátna legislatíva pripúšťa uznanie a výkon cudzieho rozhodnutia aj v prípade, ak odsúdený trvalo žijúci v zahraničí sa zamýšľa vrátiť na územie Slovenskej republiky, určovanie príslušnosti by mohli sprevádzať výrazn</w:t>
      </w:r>
      <w:r w:rsidRPr="00CA5D67">
        <w:t xml:space="preserve">é ťažkosti a teda vhodným riešením je </w:t>
      </w:r>
      <w:r w:rsidRPr="005E4784">
        <w:t>aplikovať ako rozhodujúce kritérium práve trvalý pobyt resp. posledný trvalý pobyt</w:t>
      </w:r>
      <w:r w:rsidRPr="00CA70F1">
        <w:t>.</w:t>
      </w:r>
    </w:p>
    <w:p w:rsidR="008479E7" w:rsidRPr="00884EE2" w:rsidRDefault="008479E7" w:rsidP="008479E7">
      <w:pPr>
        <w:jc w:val="both"/>
      </w:pPr>
    </w:p>
    <w:p w:rsidR="008479E7" w:rsidRPr="000E7C69" w:rsidRDefault="008479E7" w:rsidP="008479E7">
      <w:pPr>
        <w:jc w:val="both"/>
        <w:rPr>
          <w:u w:val="single"/>
        </w:rPr>
      </w:pPr>
      <w:r w:rsidRPr="000E7C69">
        <w:rPr>
          <w:u w:val="single"/>
        </w:rPr>
        <w:t>K bodu 4</w:t>
      </w:r>
    </w:p>
    <w:p w:rsidR="008479E7" w:rsidRPr="000E7C69" w:rsidRDefault="008479E7" w:rsidP="008479E7">
      <w:pPr>
        <w:jc w:val="both"/>
      </w:pPr>
    </w:p>
    <w:p w:rsidR="008479E7" w:rsidRPr="00CA5D67" w:rsidRDefault="008479E7" w:rsidP="008479E7">
      <w:pPr>
        <w:jc w:val="both"/>
      </w:pPr>
      <w:r w:rsidRPr="000E7C69">
        <w:tab/>
      </w:r>
      <w:r w:rsidRPr="005A70FD">
        <w:t xml:space="preserve">V nadväznosti na </w:t>
      </w:r>
      <w:r>
        <w:t>navrhovanú zmenu</w:t>
      </w:r>
      <w:r w:rsidRPr="005A70FD">
        <w:t xml:space="preserve"> právnej úpravy, ktor</w:t>
      </w:r>
      <w:r>
        <w:t>á</w:t>
      </w:r>
      <w:r w:rsidRPr="005A70FD">
        <w:t xml:space="preserve"> sa týka určitých procesných otázok</w:t>
      </w:r>
      <w:r>
        <w:t>,</w:t>
      </w:r>
      <w:r w:rsidRPr="005A70FD">
        <w:t xml:space="preserve"> je nevyhnutné, aby bolo doplnené prechodné ustanovenie, ktoré upravuje vzťah novej právnej úpravy k doterajšej právnej úprave. V zmysle navrhovaného prechodného ustanovenia sa konania, ktoré boli začaté pred navrhovanou účinnosťou návrhu zákona (t. j. 1. január 2020) dokončia podľa predchádzajúcej právnej úpravy – t. j. právnej úpravy účinnej do 31. decembra 2019.</w:t>
      </w:r>
    </w:p>
    <w:p w:rsidR="008479E7" w:rsidRDefault="008479E7" w:rsidP="008479E7">
      <w:pPr>
        <w:jc w:val="both"/>
      </w:pPr>
    </w:p>
    <w:p w:rsidR="008479E7" w:rsidRDefault="008479E7" w:rsidP="008479E7">
      <w:pPr>
        <w:jc w:val="both"/>
        <w:rPr>
          <w:b/>
        </w:rPr>
      </w:pPr>
      <w:r w:rsidRPr="00241ABA">
        <w:rPr>
          <w:b/>
        </w:rPr>
        <w:t xml:space="preserve">K Čl. </w:t>
      </w:r>
      <w:r>
        <w:rPr>
          <w:b/>
        </w:rPr>
        <w:t>IV</w:t>
      </w:r>
    </w:p>
    <w:p w:rsidR="008479E7" w:rsidRPr="00241ABA" w:rsidRDefault="008479E7" w:rsidP="008479E7">
      <w:pPr>
        <w:jc w:val="both"/>
        <w:rPr>
          <w:i/>
        </w:rPr>
      </w:pPr>
      <w:r w:rsidRPr="00241ABA">
        <w:rPr>
          <w:i/>
        </w:rPr>
        <w:t>(</w:t>
      </w:r>
      <w:r>
        <w:rPr>
          <w:i/>
        </w:rPr>
        <w:t>z</w:t>
      </w:r>
      <w:r w:rsidRPr="00687833">
        <w:rPr>
          <w:i/>
        </w:rPr>
        <w:t>ákon č. 549/2011 Z. z.</w:t>
      </w:r>
      <w:r w:rsidRPr="00241ABA">
        <w:rPr>
          <w:i/>
        </w:rPr>
        <w:t>)</w:t>
      </w:r>
    </w:p>
    <w:p w:rsidR="008479E7" w:rsidRPr="00241ABA" w:rsidRDefault="008479E7" w:rsidP="008479E7">
      <w:pPr>
        <w:jc w:val="both"/>
      </w:pPr>
    </w:p>
    <w:p w:rsidR="008479E7" w:rsidRDefault="008479E7" w:rsidP="008479E7">
      <w:pPr>
        <w:jc w:val="both"/>
        <w:rPr>
          <w:u w:val="single"/>
        </w:rPr>
      </w:pPr>
      <w:r w:rsidRPr="00241ABA">
        <w:rPr>
          <w:u w:val="single"/>
        </w:rPr>
        <w:t>K</w:t>
      </w:r>
      <w:r>
        <w:rPr>
          <w:u w:val="single"/>
        </w:rPr>
        <w:t> bodu 1</w:t>
      </w:r>
    </w:p>
    <w:p w:rsidR="008479E7" w:rsidRDefault="008479E7" w:rsidP="008479E7">
      <w:pPr>
        <w:jc w:val="both"/>
        <w:rPr>
          <w:u w:val="single"/>
        </w:rPr>
      </w:pPr>
    </w:p>
    <w:p w:rsidR="008479E7" w:rsidRPr="00117001" w:rsidRDefault="008479E7" w:rsidP="008479E7">
      <w:pPr>
        <w:jc w:val="both"/>
      </w:pPr>
      <w:r w:rsidRPr="00E321FB">
        <w:tab/>
      </w:r>
      <w:r>
        <w:t xml:space="preserve">Navrhuje sa vypustenie definície pojmu „obvyklý pobyt“, ktorý bol doposiaľ v zmysle § 3 písm. g) definovaný ako </w:t>
      </w:r>
      <w:r w:rsidRPr="00E321FB">
        <w:t>trvalý pobyt alebo prechodný pobyt</w:t>
      </w:r>
      <w:r>
        <w:t xml:space="preserve">. </w:t>
      </w:r>
      <w:r w:rsidRPr="005A70FD">
        <w:t>Takáto definícia je nevhodná, z</w:t>
      </w:r>
      <w:r w:rsidRPr="00964F13">
        <w:t> </w:t>
      </w:r>
      <w:r w:rsidRPr="005A70FD">
        <w:t>dôvodov, ktoré bližšie uvádzame pri odôvodnení k</w:t>
      </w:r>
      <w:r w:rsidRPr="00964F13">
        <w:t> </w:t>
      </w:r>
      <w:r w:rsidRPr="005A70FD">
        <w:t>čl. I</w:t>
      </w:r>
      <w:r>
        <w:t>I</w:t>
      </w:r>
      <w:r w:rsidRPr="005A70FD">
        <w:t>I</w:t>
      </w:r>
      <w:r>
        <w:t>.</w:t>
      </w:r>
      <w:r w:rsidRPr="00964F13">
        <w:t> </w:t>
      </w:r>
      <w:r>
        <w:t xml:space="preserve">Ako už vyššie uvádzame, súd v každom prípade zohľadňuje aj účel príslušného právneho nástroja </w:t>
      </w:r>
      <w:r>
        <w:rPr>
          <w:bCs/>
        </w:rPr>
        <w:t>Európskej únie</w:t>
      </w:r>
      <w:r>
        <w:t xml:space="preserve">, ktorý je vnútroštátnym právnym predpisom transponovaný do právneho poriadku Slovenskej republiky. V tejto súvislosti, v prípade aplikácie ustanovení </w:t>
      </w:r>
      <w:r w:rsidRPr="00E525D0">
        <w:t>zákon</w:t>
      </w:r>
      <w:r>
        <w:t>a</w:t>
      </w:r>
      <w:r w:rsidRPr="00E525D0">
        <w:t xml:space="preserve"> č. 549/2011 Z. z.</w:t>
      </w:r>
      <w:r>
        <w:t>, tak príslušný orgán p</w:t>
      </w:r>
      <w:r w:rsidRPr="00117001">
        <w:t>ri určovaní obvyklého pobytu berie do úvahy</w:t>
      </w:r>
      <w:r>
        <w:t xml:space="preserve"> tie kritériá, ktoré sú relevantné pre naplnenie cieľa r</w:t>
      </w:r>
      <w:r w:rsidRPr="00E525D0">
        <w:t>ámcové</w:t>
      </w:r>
      <w:r>
        <w:t>ho</w:t>
      </w:r>
      <w:r w:rsidRPr="00E525D0">
        <w:t xml:space="preserve"> rozhodnuti</w:t>
      </w:r>
      <w:r>
        <w:t>a</w:t>
      </w:r>
      <w:r w:rsidRPr="00E525D0">
        <w:t xml:space="preserve"> Rady 2008/909/SVV z 27. novembra 2008 o uplatňovaní zásady vzájomného uznávania na rozsudky v trestných veciach, ktorými sa ukladajú tresty odňatia slobody alebo opatrenia zahŕňajúce pozbavenie osobnej slobody, na účely ich výkonu v Európskej únii</w:t>
      </w:r>
      <w:r>
        <w:t xml:space="preserve">, ktorým je uľahčenie sociálnej nápravy odsúdenej osoby. To znamená, že v tomto prípade zohľadní najmä rodinné, pracovné a sociálne väzby odsúdenej osoby, t. j. miesto ťažiska jeho života. Uvedené má relevanciu aj vo vzťahu ku skutočnosti, že hoci je pojem obvyklý pobyt jednotne používaný v navrhovanej právnej úprave, nemusí byť obsahovo totožný pri jednotlivých vnútroštátnych zákonoch. V tomto smere je preto potrebné, aby príslušný orgán skúmal naplnenie pojmových znakov obvyklého pobytu jednotlivo, resp. </w:t>
      </w:r>
      <w:r>
        <w:lastRenderedPageBreak/>
        <w:t xml:space="preserve">osobitne pre každý prípad, a to vo svetle cieľa resp. účelu príslušného právneho aktu </w:t>
      </w:r>
      <w:r>
        <w:rPr>
          <w:bCs/>
        </w:rPr>
        <w:t>Európskej únie</w:t>
      </w:r>
      <w:r>
        <w:t>.</w:t>
      </w:r>
    </w:p>
    <w:p w:rsidR="008479E7" w:rsidRPr="00E321FB" w:rsidRDefault="008479E7" w:rsidP="008479E7">
      <w:pPr>
        <w:jc w:val="both"/>
      </w:pPr>
    </w:p>
    <w:p w:rsidR="008479E7" w:rsidRDefault="008479E7" w:rsidP="008479E7">
      <w:pPr>
        <w:jc w:val="both"/>
        <w:rPr>
          <w:u w:val="single"/>
        </w:rPr>
      </w:pPr>
      <w:r w:rsidRPr="00241ABA">
        <w:rPr>
          <w:u w:val="single"/>
        </w:rPr>
        <w:t>K</w:t>
      </w:r>
      <w:r>
        <w:rPr>
          <w:u w:val="single"/>
        </w:rPr>
        <w:t> bodom 2 a 3</w:t>
      </w:r>
    </w:p>
    <w:p w:rsidR="008479E7" w:rsidRDefault="008479E7" w:rsidP="008479E7">
      <w:pPr>
        <w:jc w:val="both"/>
        <w:rPr>
          <w:u w:val="single"/>
        </w:rPr>
      </w:pPr>
    </w:p>
    <w:p w:rsidR="008479E7" w:rsidRDefault="008479E7" w:rsidP="008479E7">
      <w:pPr>
        <w:jc w:val="both"/>
      </w:pPr>
      <w:r w:rsidRPr="00954A35">
        <w:tab/>
      </w:r>
      <w:r>
        <w:t xml:space="preserve">V nadväznosti na navrhovanú zmenu § 3 písm. g) sa navrhuje úprava kritérií pre </w:t>
      </w:r>
      <w:r w:rsidRPr="00954A35">
        <w:t>uzna</w:t>
      </w:r>
      <w:r>
        <w:t>nie a vý</w:t>
      </w:r>
      <w:r w:rsidRPr="00954A35">
        <w:t>kon</w:t>
      </w:r>
      <w:r>
        <w:t xml:space="preserve"> r</w:t>
      </w:r>
      <w:r w:rsidRPr="00954A35">
        <w:t>ozhodnuti</w:t>
      </w:r>
      <w:r>
        <w:t xml:space="preserve">a (v tomto prípade ide konkrétne o </w:t>
      </w:r>
      <w:r w:rsidRPr="00954A35">
        <w:t>právoplatné odsudzujúce rozhodnutie pre trestný čin alebo iné právoplatné rozhodnutie vydané súdom štátu pôvodu v trestnom konaní, ktorým sa ukladá trestná sankcia spojená s odňatím slobody</w:t>
      </w:r>
      <w:r>
        <w:t>) podľa § 4 ods. 1 písm. a) a kritérií</w:t>
      </w:r>
      <w:r w:rsidRPr="00954A35">
        <w:t xml:space="preserve"> </w:t>
      </w:r>
      <w:r>
        <w:t>pre</w:t>
      </w:r>
      <w:r w:rsidRPr="00954A35">
        <w:t xml:space="preserve"> odovzdanie výkonu rozhodnutia</w:t>
      </w:r>
      <w:r>
        <w:t xml:space="preserve"> podľa § 6 ods. 1 písm. a). Doposiaľ boli v citovaných ustanoveniach kritériá upravené alternatívnym spôsobom tak, že    dotknutá osoba je štátnym občanom Slovenskej republiky a musela spĺňať podmienku obvyklého pobytu (keďže za tento sa považoval trvalý alebo prechodný pobyt) alebo musela mať</w:t>
      </w:r>
      <w:r w:rsidRPr="00954A35">
        <w:t xml:space="preserve"> na úze</w:t>
      </w:r>
      <w:r>
        <w:t>mí dotknutého štátu p</w:t>
      </w:r>
      <w:r w:rsidRPr="00954A35">
        <w:t>reukázateľné rodinné, sociálne alebo pracovné väzby, ktoré môžu prispieť k uľahčeniu jeho nápravy počas výkonu trestnej sankcie spojenej s odňatím slobody na území Slovenskej republiky</w:t>
      </w:r>
      <w:r>
        <w:t xml:space="preserve">. Takéto nastavenie kritérií nie je vhodné, keďže aj s ohľadom na cieľ rámcového rozhodnutia </w:t>
      </w:r>
      <w:r w:rsidRPr="00E525D0">
        <w:t>2008/909/SVV</w:t>
      </w:r>
      <w:r>
        <w:t>, ktorým je uľahčenie sociálnej nápravy odsúdenej osoby –</w:t>
      </w:r>
      <w:r w:rsidRPr="00E525D0">
        <w:t xml:space="preserve"> </w:t>
      </w:r>
      <w:r>
        <w:t>táto osoba má mať na dotknuté územie určité väzby. Existenciu takýchto väzieb však možno subsumovať priamo pod obsah pojmu „obvyklý pobyt“. S ohľadom na skutočnosť, že navrhovanou zmenou § 3 písm. g) sa odstraňuje nevhodná definícia, nie je potrebné aby boli kritériá stanovené alternatívne, keďže splnenie kritéria obvyklého pobytu je v tomto smere postačujúce.</w:t>
      </w:r>
    </w:p>
    <w:p w:rsidR="008479E7" w:rsidRDefault="008479E7" w:rsidP="008479E7">
      <w:pPr>
        <w:jc w:val="both"/>
        <w:rPr>
          <w:u w:val="single"/>
        </w:rPr>
      </w:pPr>
    </w:p>
    <w:p w:rsidR="008479E7" w:rsidRDefault="008479E7" w:rsidP="008479E7">
      <w:pPr>
        <w:jc w:val="both"/>
        <w:rPr>
          <w:u w:val="single"/>
        </w:rPr>
      </w:pPr>
      <w:r w:rsidRPr="004D0BAB">
        <w:rPr>
          <w:u w:val="single"/>
        </w:rPr>
        <w:t>K bodom 4</w:t>
      </w:r>
      <w:r>
        <w:rPr>
          <w:u w:val="single"/>
        </w:rPr>
        <w:t xml:space="preserve"> a 5</w:t>
      </w:r>
      <w:r w:rsidRPr="0099555B">
        <w:rPr>
          <w:u w:val="single"/>
        </w:rPr>
        <w:t xml:space="preserve"> </w:t>
      </w:r>
    </w:p>
    <w:p w:rsidR="008479E7" w:rsidRDefault="008479E7" w:rsidP="008479E7">
      <w:pPr>
        <w:jc w:val="both"/>
        <w:rPr>
          <w:u w:val="single"/>
        </w:rPr>
      </w:pPr>
    </w:p>
    <w:p w:rsidR="008479E7" w:rsidRPr="004D0BAB" w:rsidRDefault="008479E7" w:rsidP="008479E7">
      <w:pPr>
        <w:jc w:val="both"/>
      </w:pPr>
      <w:r w:rsidRPr="000E7C69">
        <w:tab/>
        <w:t>Navrhuje sa</w:t>
      </w:r>
      <w:r>
        <w:t>,</w:t>
      </w:r>
      <w:r w:rsidRPr="000E7C69">
        <w:t xml:space="preserve"> aby miestna príslušnosť krajských súdov ako vykonávajúcich justičných orgánov v prípade konania o uznaní a výkone rozhodnutia, bola determinovaná na základe kritéria trvalého pobytu</w:t>
      </w:r>
      <w:r>
        <w:t>, prípadne posledného trvalého pobytu</w:t>
      </w:r>
      <w:r w:rsidRPr="000E7C69">
        <w:t xml:space="preserve"> resp. miesta, kde odsúdený vykonáva trest odňatia slobody. Pojem „obvyklý pobyt“ slúži predovšetkým na skú</w:t>
      </w:r>
      <w:r w:rsidRPr="00EE0D55">
        <w:t xml:space="preserve">manie podmienok na odovzdanie výkonu rozhodnutia alebo na prevzatie výkonu rozhodnutia, nie nevyhnutne </w:t>
      </w:r>
      <w:r w:rsidRPr="00CA5D67">
        <w:t xml:space="preserve">na účel určovania miestnej príslušnosti slovenských orgánov ako vykonávajúcich justičných orgánov. Aj Najvyšší súd Slovenskej republiky má dlhodobo ustálenú súdnu prax, že pre určenie príslušnosti na rozhodnutie je rozhodujúcou skutočnosťou, kde je odsúdený prihlásený k trvalému pobytu, pričom jeho skutočný pobyt a úmysel sa tu trvalo zdržiavať je na tento účel irelevantný (napríklad rozhodnutia vo veciach sp. zn. 6Ndt 6/2014 z 22. mája 2014, 2Ndt 16/2016 zo 16. augusta 2016, 7Ndc 5/2017 zo 7. júna 2017, 6Nds 9/2017 z 23. novembra 2017, 5Ndt 19/2018 z </w:t>
      </w:r>
      <w:r w:rsidRPr="005E4784">
        <w:t>25. júna 2018). Taktiež treba brať do úvahy skutočnosť, že ak by bola aj miesta príslušnosť slovenského súdu určená podľa kritéria obvyklého pobytu, tak v prípade, ak by podmienka obvyklého pobytu pre uznanie a výkon rozhodnutia nebola naplnená a bolo by</w:t>
      </w:r>
      <w:r w:rsidRPr="004D0BAB">
        <w:t xml:space="preserve"> nevyhnutné odmietnuť uznanie a výkon rozhodnutia, reálne by neexistoval v Slovenskej republike súd príslušný na vydanie tohto rozhodnutia.</w:t>
      </w:r>
      <w:r w:rsidRPr="00CA70F1">
        <w:t xml:space="preserve"> S ohľadom na uvedené sa tak javí</w:t>
      </w:r>
      <w:r w:rsidRPr="00884EE2">
        <w:t xml:space="preserve"> ako vhodnejší práve navrhovaný koncept, kedy sa pre určenie príslušnosti konkrétneho slovenského súdu bude používať kritérium trvalého pobytu (resp. miesta, kde odsúdený vykonáva trest odňatia slobody).</w:t>
      </w:r>
      <w:r>
        <w:t xml:space="preserve"> Zároveň sa dopĺňa druhá veta, ktorej cieľom je zachovanie príslušnosti bez ohľadu na zmenu rozhodných skutočností, ktoré nastali až po začatí konania.</w:t>
      </w:r>
    </w:p>
    <w:p w:rsidR="008479E7" w:rsidRDefault="008479E7" w:rsidP="008479E7">
      <w:pPr>
        <w:jc w:val="both"/>
        <w:rPr>
          <w:u w:val="single"/>
        </w:rPr>
      </w:pPr>
    </w:p>
    <w:p w:rsidR="008479E7" w:rsidRDefault="008479E7" w:rsidP="008479E7">
      <w:pPr>
        <w:jc w:val="both"/>
        <w:rPr>
          <w:u w:val="single"/>
        </w:rPr>
      </w:pPr>
    </w:p>
    <w:p w:rsidR="008479E7" w:rsidRDefault="008479E7" w:rsidP="008479E7">
      <w:pPr>
        <w:jc w:val="both"/>
        <w:rPr>
          <w:u w:val="single"/>
        </w:rPr>
      </w:pPr>
    </w:p>
    <w:p w:rsidR="008479E7" w:rsidRDefault="008479E7" w:rsidP="008479E7">
      <w:pPr>
        <w:jc w:val="both"/>
        <w:rPr>
          <w:u w:val="single"/>
        </w:rPr>
      </w:pPr>
      <w:r w:rsidRPr="00241ABA">
        <w:rPr>
          <w:u w:val="single"/>
        </w:rPr>
        <w:t>K</w:t>
      </w:r>
      <w:r>
        <w:rPr>
          <w:u w:val="single"/>
        </w:rPr>
        <w:t> bodu 6</w:t>
      </w:r>
    </w:p>
    <w:p w:rsidR="008479E7" w:rsidRDefault="008479E7" w:rsidP="008479E7">
      <w:pPr>
        <w:jc w:val="both"/>
        <w:rPr>
          <w:u w:val="single"/>
        </w:rPr>
      </w:pPr>
    </w:p>
    <w:p w:rsidR="008479E7" w:rsidRDefault="008479E7" w:rsidP="008479E7">
      <w:pPr>
        <w:jc w:val="both"/>
      </w:pPr>
      <w:r w:rsidRPr="008B006D">
        <w:lastRenderedPageBreak/>
        <w:tab/>
        <w:t>V zmysle čl. 6 ods. 4 rámcového rozhodnutia Rady 2008/909/SVV z 27. novembra 2008 o uplatňovaní zásady vzájomného uznávania na rozsudky v trestných veciach, ktorými sa ukladajú tresty odňatia slobody alebo opatrenia zahŕňajúce pozbavenie osobnej slobody, na účely ich výkonu v Európskej únii:</w:t>
      </w:r>
      <w:r>
        <w:t xml:space="preserve"> </w:t>
      </w:r>
      <w:r>
        <w:rPr>
          <w:i/>
        </w:rPr>
        <w:t>„</w:t>
      </w:r>
      <w:r w:rsidRPr="00B12ED5">
        <w:rPr>
          <w:i/>
        </w:rPr>
        <w:t>Príslušný orgán štátu pôvodu oznámi odsúdenej osobe v jazyku, ktorému rozumie, že rozhodol o zaslaní rozsudku spolu s osvedčením prostredníctvom štandardného tlačiva oznámenia uvedeného v prílohe II. Ak sa odsúdená osoba nachádza vo vykonávajúcom štáte v čase tohto rozhodnutia, uvedené tlačivo sa zašle vykonávajúcemu štátu, ktorý zodpovedajúcim spôsobom o tom informuje túto osobu.“</w:t>
      </w:r>
      <w:r w:rsidRPr="008B006D">
        <w:t>.</w:t>
      </w:r>
      <w:r>
        <w:t xml:space="preserve"> S ohľadom na poznatky vyplývajúce z aplikačnej praxe sa v § 12 ods. 2 upravuje presný postup</w:t>
      </w:r>
      <w:r w:rsidRPr="008B006D">
        <w:t xml:space="preserve"> slovenského súdu,</w:t>
      </w:r>
      <w:r>
        <w:t xml:space="preserve"> v prípade,</w:t>
      </w:r>
      <w:r w:rsidRPr="008B006D">
        <w:t xml:space="preserve"> ak o odoslaní osvedčenia zo štátu pôvodu do S</w:t>
      </w:r>
      <w:r>
        <w:t>lovenskej republiky a</w:t>
      </w:r>
      <w:r w:rsidRPr="008B006D">
        <w:t>ko štátu výkonu</w:t>
      </w:r>
      <w:r>
        <w:t>,</w:t>
      </w:r>
      <w:r w:rsidRPr="008B006D">
        <w:t xml:space="preserve"> štát pôvodu neinformuje dotknutú osobu,</w:t>
      </w:r>
      <w:r>
        <w:t xml:space="preserve"> pretože sa v čase vydania rozhodnutia o odovzdaní výkonu rozhodnutia nenachádzala na území štátu pôvodu,</w:t>
      </w:r>
      <w:r w:rsidRPr="008B006D">
        <w:t xml:space="preserve"> </w:t>
      </w:r>
      <w:r>
        <w:t>slovenský súd je povinný bezodkladne informovať dotknutú osobu o tejto skutočnosti.</w:t>
      </w:r>
    </w:p>
    <w:p w:rsidR="008479E7" w:rsidRDefault="008479E7" w:rsidP="008479E7">
      <w:pPr>
        <w:jc w:val="both"/>
      </w:pPr>
    </w:p>
    <w:p w:rsidR="008479E7" w:rsidRDefault="008479E7" w:rsidP="008479E7">
      <w:pPr>
        <w:jc w:val="both"/>
        <w:rPr>
          <w:u w:val="single"/>
        </w:rPr>
      </w:pPr>
      <w:r w:rsidRPr="00241ABA">
        <w:rPr>
          <w:u w:val="single"/>
        </w:rPr>
        <w:t>K</w:t>
      </w:r>
      <w:r>
        <w:rPr>
          <w:u w:val="single"/>
        </w:rPr>
        <w:t> bodu 7</w:t>
      </w:r>
    </w:p>
    <w:p w:rsidR="008479E7" w:rsidRDefault="008479E7" w:rsidP="008479E7">
      <w:pPr>
        <w:jc w:val="both"/>
      </w:pPr>
    </w:p>
    <w:p w:rsidR="008479E7" w:rsidRPr="006B6652" w:rsidRDefault="008479E7" w:rsidP="008479E7">
      <w:pPr>
        <w:ind w:firstLine="708"/>
        <w:jc w:val="both"/>
      </w:pPr>
      <w:r w:rsidRPr="005A70FD">
        <w:t xml:space="preserve">V nadväznosti na </w:t>
      </w:r>
      <w:r>
        <w:t>navrhovanú zmenu</w:t>
      </w:r>
      <w:r w:rsidRPr="005A70FD">
        <w:t xml:space="preserve"> právnej úpravy</w:t>
      </w:r>
      <w:r>
        <w:t>, ktorá</w:t>
      </w:r>
      <w:r w:rsidRPr="005A70FD">
        <w:t xml:space="preserve"> sa týka určitých procesných otázok je nevyhnutné, aby bolo doplnené prechodné ustanovenie, ktoré upravuje vzťah novej právnej úpravy k doterajšej právnej úprave. V zmysle navrhovaného prechodného ustanovenia sa konania, ktoré boli začaté pred navrhovanou účinnosťou návrhu zákona (t. j. 1. január 2020)</w:t>
      </w:r>
      <w:r>
        <w:t>,</w:t>
      </w:r>
      <w:r w:rsidRPr="005A70FD">
        <w:t xml:space="preserve"> dokončia podľa predchádzajúcej právnej úpravy – t. j. právnej úpravy účinnej do 31. decembra 2019.</w:t>
      </w:r>
    </w:p>
    <w:p w:rsidR="008479E7" w:rsidRPr="00B560B8" w:rsidRDefault="008479E7" w:rsidP="008479E7">
      <w:pPr>
        <w:jc w:val="both"/>
      </w:pPr>
    </w:p>
    <w:p w:rsidR="008479E7" w:rsidRDefault="008479E7" w:rsidP="008479E7">
      <w:pPr>
        <w:jc w:val="both"/>
      </w:pPr>
    </w:p>
    <w:p w:rsidR="008479E7" w:rsidRPr="00241ABA" w:rsidRDefault="008479E7" w:rsidP="008479E7">
      <w:pPr>
        <w:jc w:val="both"/>
        <w:rPr>
          <w:b/>
        </w:rPr>
      </w:pPr>
      <w:r w:rsidRPr="00241ABA">
        <w:rPr>
          <w:b/>
        </w:rPr>
        <w:t xml:space="preserve">K Čl. </w:t>
      </w:r>
      <w:r>
        <w:rPr>
          <w:b/>
        </w:rPr>
        <w:t>V</w:t>
      </w:r>
    </w:p>
    <w:p w:rsidR="008479E7" w:rsidRDefault="008479E7" w:rsidP="008479E7">
      <w:pPr>
        <w:jc w:val="both"/>
        <w:rPr>
          <w:i/>
        </w:rPr>
      </w:pPr>
      <w:r w:rsidRPr="00241ABA">
        <w:rPr>
          <w:i/>
        </w:rPr>
        <w:t>(</w:t>
      </w:r>
      <w:r>
        <w:rPr>
          <w:i/>
        </w:rPr>
        <w:t>z</w:t>
      </w:r>
      <w:r w:rsidRPr="00687833">
        <w:rPr>
          <w:i/>
        </w:rPr>
        <w:t xml:space="preserve">ákon č. </w:t>
      </w:r>
      <w:r>
        <w:rPr>
          <w:i/>
        </w:rPr>
        <w:t>161/</w:t>
      </w:r>
      <w:r w:rsidRPr="00687833">
        <w:rPr>
          <w:i/>
        </w:rPr>
        <w:t>201</w:t>
      </w:r>
      <w:r>
        <w:rPr>
          <w:i/>
        </w:rPr>
        <w:t>3</w:t>
      </w:r>
      <w:r w:rsidRPr="00687833">
        <w:rPr>
          <w:i/>
        </w:rPr>
        <w:t xml:space="preserve"> Z. z.</w:t>
      </w:r>
      <w:r w:rsidRPr="00241ABA">
        <w:rPr>
          <w:i/>
        </w:rPr>
        <w:t>)</w:t>
      </w:r>
    </w:p>
    <w:p w:rsidR="008479E7" w:rsidRDefault="008479E7" w:rsidP="008479E7">
      <w:pPr>
        <w:jc w:val="both"/>
        <w:rPr>
          <w:i/>
        </w:rPr>
      </w:pPr>
    </w:p>
    <w:p w:rsidR="008479E7" w:rsidRPr="00884EE2" w:rsidRDefault="008479E7" w:rsidP="008479E7">
      <w:pPr>
        <w:jc w:val="both"/>
        <w:rPr>
          <w:u w:val="single"/>
        </w:rPr>
      </w:pPr>
      <w:r w:rsidRPr="00884EE2">
        <w:rPr>
          <w:u w:val="single"/>
        </w:rPr>
        <w:t>K bodu 1</w:t>
      </w:r>
    </w:p>
    <w:p w:rsidR="008479E7" w:rsidRDefault="008479E7" w:rsidP="008479E7">
      <w:pPr>
        <w:jc w:val="both"/>
        <w:rPr>
          <w:i/>
        </w:rPr>
      </w:pPr>
    </w:p>
    <w:p w:rsidR="008479E7" w:rsidRDefault="008479E7" w:rsidP="008479E7">
      <w:pPr>
        <w:jc w:val="both"/>
      </w:pPr>
      <w:r>
        <w:tab/>
        <w:t xml:space="preserve">Navrhuje sa vypustenie definície pojmu „obvyklý pobyt“, ktorý bol doposiaľ v zmysle § 2 písm. g) definovaný ako </w:t>
      </w:r>
      <w:r w:rsidRPr="00E321FB">
        <w:t>trvalý pobyt alebo prechodný pobyt</w:t>
      </w:r>
      <w:r>
        <w:t xml:space="preserve">. Takáto definícia je nevhodná z dôvodov, ktoré bližšie uvádzame pri odôvodnení k čl. III, pričom   príslušné súdy by obvyklý pobyt mali určovať spôsobom,  ktorý špecifikujeme v odôvodnení k čl. III, s dôrazom na osobné, rodinné a sociálne väzby dotknutej osoby. Uvedené má relevanciu aj vo vzťahu k skutočnosti, že hoci je pojem obvyklý pobyt jednotne používaný v navrhovanej právnej úprave, nemusí byť obsahovo totožný pri jednotlivých vnútroštátnych zákonoch. V tomto smere je preto potrebné, aby príslušný orgán skúmal naplnenie pojmových znakov obvyklého pobytu jednotlivo, resp. osobitne pre každý prípad, a to vo svetle cieľa, resp. účelu príslušného právneho aktu </w:t>
      </w:r>
      <w:r>
        <w:rPr>
          <w:bCs/>
        </w:rPr>
        <w:t>Európskej únie</w:t>
      </w:r>
      <w:r>
        <w:t>.</w:t>
      </w:r>
    </w:p>
    <w:p w:rsidR="008479E7" w:rsidRDefault="008479E7" w:rsidP="008479E7">
      <w:pPr>
        <w:jc w:val="both"/>
      </w:pPr>
    </w:p>
    <w:p w:rsidR="008479E7" w:rsidRPr="00884EE2" w:rsidRDefault="008479E7" w:rsidP="008479E7">
      <w:pPr>
        <w:jc w:val="both"/>
        <w:rPr>
          <w:u w:val="single"/>
        </w:rPr>
      </w:pPr>
      <w:r w:rsidRPr="00884EE2">
        <w:rPr>
          <w:u w:val="single"/>
        </w:rPr>
        <w:t>K bodu 2</w:t>
      </w:r>
    </w:p>
    <w:p w:rsidR="008479E7" w:rsidRDefault="008479E7" w:rsidP="008479E7">
      <w:pPr>
        <w:jc w:val="both"/>
      </w:pPr>
    </w:p>
    <w:p w:rsidR="008479E7" w:rsidRDefault="008479E7" w:rsidP="008479E7">
      <w:pPr>
        <w:ind w:firstLine="708"/>
        <w:jc w:val="both"/>
      </w:pPr>
      <w:r w:rsidRPr="00884EE2">
        <w:t>Navrhuje</w:t>
      </w:r>
      <w:r>
        <w:t xml:space="preserve"> sa,</w:t>
      </w:r>
      <w:r w:rsidRPr="00884EE2">
        <w:t xml:space="preserve"> aby miestna príslušnosť okresných súdov ako vykonávajúcich justičných orgánov v prípade konania o uznaní a výkone rozhodnutia o opatreniach dohľadu bola determinovaná na základe kritéria</w:t>
      </w:r>
      <w:r w:rsidRPr="00D64DEA">
        <w:t xml:space="preserve"> </w:t>
      </w:r>
      <w:r>
        <w:t xml:space="preserve">trvalého pobytu, resp. posledného trvalého pobytu dotknutej osoby. </w:t>
      </w:r>
      <w:r w:rsidRPr="000D037C">
        <w:t>Ide tak o jednoznačné odlíšenie účelu pojmu „obvyklý pobyt“, ktorý slúži len na posúdenie dôvodnosti uznania a výkonu rozhodnutia justičného orgánu iného členského štátu o opatreniach dohľadu.</w:t>
      </w:r>
    </w:p>
    <w:p w:rsidR="008479E7" w:rsidRDefault="008479E7" w:rsidP="008479E7">
      <w:pPr>
        <w:ind w:firstLine="708"/>
        <w:jc w:val="both"/>
      </w:pPr>
    </w:p>
    <w:p w:rsidR="008479E7" w:rsidRPr="00884EE2" w:rsidRDefault="008479E7" w:rsidP="008479E7">
      <w:pPr>
        <w:jc w:val="both"/>
        <w:rPr>
          <w:u w:val="single"/>
        </w:rPr>
      </w:pPr>
      <w:r w:rsidRPr="00884EE2">
        <w:rPr>
          <w:u w:val="single"/>
        </w:rPr>
        <w:t>K bodom 3 a 4</w:t>
      </w:r>
    </w:p>
    <w:p w:rsidR="008479E7" w:rsidRDefault="008479E7" w:rsidP="008479E7">
      <w:pPr>
        <w:jc w:val="both"/>
      </w:pPr>
    </w:p>
    <w:p w:rsidR="008479E7" w:rsidRDefault="008479E7" w:rsidP="008479E7">
      <w:pPr>
        <w:ind w:firstLine="708"/>
        <w:jc w:val="both"/>
      </w:pPr>
      <w:r w:rsidRPr="005A70FD">
        <w:t xml:space="preserve">V nadväznosti na </w:t>
      </w:r>
      <w:r>
        <w:t>navrhovanú zmenu</w:t>
      </w:r>
      <w:r w:rsidRPr="005A70FD">
        <w:t xml:space="preserve"> právnej úpravy, ktor</w:t>
      </w:r>
      <w:r>
        <w:t>á</w:t>
      </w:r>
      <w:r w:rsidRPr="005A70FD">
        <w:t xml:space="preserve"> sa týka určitých procesných otázok je nevyhnutné, aby bolo doplnené prechodné ustanovenie, ktoré upravuje vzťah novej právnej úpravy k doterajšej právnej úprave. V zmysle navrhovaného prechodného ustanovenia sa konania, ktoré boli začaté pred navrhovanou účinnosťou návrhu zákona (t. j. 1. január 2020) dokončia podľa predchádzajúcej právnej úpravy – t. j. právnej úpravy účinnej do 31. decembra 2019.</w:t>
      </w:r>
    </w:p>
    <w:p w:rsidR="008479E7" w:rsidRDefault="008479E7" w:rsidP="008479E7">
      <w:pPr>
        <w:jc w:val="both"/>
        <w:rPr>
          <w:b/>
        </w:rPr>
      </w:pPr>
    </w:p>
    <w:p w:rsidR="008479E7" w:rsidRPr="00241ABA" w:rsidRDefault="008479E7" w:rsidP="008479E7">
      <w:pPr>
        <w:jc w:val="both"/>
        <w:rPr>
          <w:b/>
        </w:rPr>
      </w:pPr>
      <w:r w:rsidRPr="00241ABA">
        <w:rPr>
          <w:b/>
        </w:rPr>
        <w:t xml:space="preserve">K Čl. </w:t>
      </w:r>
      <w:r>
        <w:rPr>
          <w:b/>
        </w:rPr>
        <w:t>VI</w:t>
      </w:r>
    </w:p>
    <w:p w:rsidR="008479E7" w:rsidRDefault="008479E7" w:rsidP="008479E7">
      <w:pPr>
        <w:jc w:val="both"/>
        <w:rPr>
          <w:i/>
        </w:rPr>
      </w:pPr>
      <w:r w:rsidRPr="00241ABA">
        <w:rPr>
          <w:i/>
        </w:rPr>
        <w:t>(</w:t>
      </w:r>
      <w:r>
        <w:rPr>
          <w:i/>
        </w:rPr>
        <w:t>z</w:t>
      </w:r>
      <w:r w:rsidRPr="00687833">
        <w:rPr>
          <w:i/>
        </w:rPr>
        <w:t xml:space="preserve">ákon č. </w:t>
      </w:r>
      <w:r>
        <w:rPr>
          <w:i/>
        </w:rPr>
        <w:t>316/</w:t>
      </w:r>
      <w:r w:rsidRPr="00687833">
        <w:rPr>
          <w:i/>
        </w:rPr>
        <w:t>201</w:t>
      </w:r>
      <w:r>
        <w:rPr>
          <w:i/>
        </w:rPr>
        <w:t>6</w:t>
      </w:r>
      <w:r w:rsidRPr="00687833">
        <w:rPr>
          <w:i/>
        </w:rPr>
        <w:t xml:space="preserve"> Z. z.</w:t>
      </w:r>
      <w:r w:rsidRPr="00241ABA">
        <w:rPr>
          <w:i/>
        </w:rPr>
        <w:t>)</w:t>
      </w:r>
    </w:p>
    <w:p w:rsidR="008479E7" w:rsidRDefault="008479E7" w:rsidP="008479E7">
      <w:pPr>
        <w:jc w:val="both"/>
        <w:rPr>
          <w:i/>
        </w:rPr>
      </w:pPr>
    </w:p>
    <w:p w:rsidR="008479E7" w:rsidRPr="00884EE2" w:rsidRDefault="008479E7" w:rsidP="008479E7">
      <w:pPr>
        <w:jc w:val="both"/>
        <w:rPr>
          <w:i/>
          <w:u w:val="single"/>
        </w:rPr>
      </w:pPr>
      <w:r w:rsidRPr="00884EE2">
        <w:rPr>
          <w:u w:val="single"/>
        </w:rPr>
        <w:t>K bodu 1</w:t>
      </w:r>
    </w:p>
    <w:p w:rsidR="008479E7" w:rsidRPr="00241ABA" w:rsidRDefault="008479E7" w:rsidP="008479E7">
      <w:pPr>
        <w:jc w:val="both"/>
        <w:rPr>
          <w:i/>
        </w:rPr>
      </w:pPr>
    </w:p>
    <w:p w:rsidR="008479E7" w:rsidRDefault="008479E7" w:rsidP="008479E7">
      <w:pPr>
        <w:jc w:val="both"/>
      </w:pPr>
      <w:r>
        <w:tab/>
        <w:t xml:space="preserve">Navrhuje sa vypustenie definície pojmu „obvyklý pobyt“, ktorý bol doposiaľ v zmysle § 2 písm. g) definovaný ako </w:t>
      </w:r>
      <w:r w:rsidRPr="00E321FB">
        <w:t>trvalý pobyt alebo prechodný pobyt</w:t>
      </w:r>
      <w:r>
        <w:t xml:space="preserve">. Takáto definícia je nevhodná, z dôvodov, ktoré bližšie uvádzame pri odôvodnení k čl. III , pričom  príslušné súdy by obvyklý pobyt mali určovať spôsobom,  ktorý špecifikujeme v odôvodnení k čl. III. V tomto prípade je však potrebné mať na zreteli, že </w:t>
      </w:r>
      <w:r w:rsidRPr="00F9040E">
        <w:t>zákon č. 316/2016 Z. z.</w:t>
      </w:r>
      <w:r>
        <w:t xml:space="preserve"> predstavuje transpozíciu r</w:t>
      </w:r>
      <w:r w:rsidRPr="00F9040E">
        <w:t>ámcové</w:t>
      </w:r>
      <w:r>
        <w:t>ho</w:t>
      </w:r>
      <w:r w:rsidRPr="00F9040E">
        <w:t xml:space="preserve"> rozhodnuti</w:t>
      </w:r>
      <w:r>
        <w:t>a</w:t>
      </w:r>
      <w:r w:rsidRPr="00F9040E">
        <w:t xml:space="preserve"> Rady </w:t>
      </w:r>
      <w:r w:rsidRPr="00C23750">
        <w:t xml:space="preserve">č. 2006/783/SVV zo 6. októbra 2006 o uplatňovaní zásady vzájomného uznávania na príkazy na konfiškáciu v znení Rámcového rozhodnutia Rady 2009/299/SVV z 26. februára 2009 o zmene a doplnení rámcových rozhodnutí 2002/584/SVV, 2005/214/SVV, 2006/783/SVV, 2008/909/SVV a 2008/947/SVV a o posilnení procesných práv osôb, podpore uplatňovania zásady vzájomného uznávania, pokiaľ ide o rozhodnutia vydané v neprítomnosti dotknutej osoby na konaní </w:t>
      </w:r>
      <w:r>
        <w:t xml:space="preserve">(na rozdiel od iných právnych nástrojov </w:t>
      </w:r>
      <w:r>
        <w:rPr>
          <w:bCs/>
        </w:rPr>
        <w:t>Európskej únie</w:t>
      </w:r>
      <w:r>
        <w:t xml:space="preserve"> z trestnej oblasti, ktoré sa viažu k obmedzeniu osobnej slobody ako napr. r</w:t>
      </w:r>
      <w:r w:rsidRPr="00E525D0">
        <w:t>ámcové rozhodnuti</w:t>
      </w:r>
      <w:r>
        <w:t>e</w:t>
      </w:r>
      <w:r w:rsidRPr="00E525D0">
        <w:t xml:space="preserve"> Rady 2008/909/SVV z 27. novembra 2008 o uplatňovaní zásady vzájomného uznávania na rozsudky v trestných veciach, ktorými sa ukladajú tresty odňatia slobody alebo opatrenia zahŕňajúce pozbavenie osobnej slobody</w:t>
      </w:r>
      <w:r>
        <w:t xml:space="preserve">). Z uvedeného je zrejmé, že </w:t>
      </w:r>
      <w:r w:rsidRPr="006E2C06">
        <w:t xml:space="preserve">príslušný orgán bude pri určovaní obvyklého pobytu brať do úvahy najmä tie kritériá, ktoré majú takpovediac majetkový charakter, t. j. </w:t>
      </w:r>
      <w:r w:rsidRPr="00117001">
        <w:t>vlastnícke</w:t>
      </w:r>
      <w:r>
        <w:t xml:space="preserve"> právo</w:t>
      </w:r>
      <w:r w:rsidRPr="00117001">
        <w:t xml:space="preserve"> alebo náj</w:t>
      </w:r>
      <w:r>
        <w:t xml:space="preserve">om k nehnuteľnosti, pracovné a </w:t>
      </w:r>
      <w:r w:rsidRPr="00117001">
        <w:t>hospodársk</w:t>
      </w:r>
      <w:r>
        <w:t>e</w:t>
      </w:r>
      <w:r w:rsidRPr="00117001">
        <w:t xml:space="preserve"> väzb</w:t>
      </w:r>
      <w:r>
        <w:t>y</w:t>
      </w:r>
      <w:r w:rsidRPr="00117001">
        <w:t>, spočívajúc</w:t>
      </w:r>
      <w:r>
        <w:t>e</w:t>
      </w:r>
      <w:r w:rsidRPr="00117001">
        <w:t xml:space="preserve"> najmä vo výkone podnikania alebo pracovnej činnosti</w:t>
      </w:r>
      <w:r>
        <w:t xml:space="preserve">. Uvedené má relevanciu aj vo vzťahu k skutočnosti, že hoci je pojem obvyklý pobyt jednotne používaný v navrhovanej právnej úprave, nemusí byť obsahovo totožný pri jednotlivých vnútroštátnych zákonoch. V tomto smere je preto potrebné, aby príslušný orgán skúmal naplnenie pojmových znakov obvyklého pobytu jednotlivo, resp. osobitne pre každý prípad, a to vo svetle cieľa, resp. účelu príslušného právneho aktu </w:t>
      </w:r>
      <w:r>
        <w:rPr>
          <w:bCs/>
        </w:rPr>
        <w:t>Európskej únie</w:t>
      </w:r>
      <w:r>
        <w:t>.</w:t>
      </w:r>
    </w:p>
    <w:p w:rsidR="008479E7" w:rsidRDefault="008479E7" w:rsidP="008479E7">
      <w:pPr>
        <w:jc w:val="both"/>
      </w:pPr>
    </w:p>
    <w:p w:rsidR="008479E7" w:rsidRPr="00884EE2" w:rsidRDefault="008479E7" w:rsidP="008479E7">
      <w:pPr>
        <w:jc w:val="both"/>
        <w:rPr>
          <w:u w:val="single"/>
        </w:rPr>
      </w:pPr>
      <w:r w:rsidRPr="00884EE2">
        <w:rPr>
          <w:u w:val="single"/>
        </w:rPr>
        <w:t>K bodu 2</w:t>
      </w:r>
    </w:p>
    <w:p w:rsidR="008479E7" w:rsidRDefault="008479E7" w:rsidP="008479E7">
      <w:pPr>
        <w:jc w:val="both"/>
      </w:pPr>
    </w:p>
    <w:p w:rsidR="008479E7" w:rsidRPr="00BC2801" w:rsidRDefault="008479E7" w:rsidP="008479E7">
      <w:pPr>
        <w:ind w:firstLine="708"/>
        <w:jc w:val="both"/>
      </w:pPr>
      <w:r w:rsidRPr="00BC2801">
        <w:t>Navrhuje sa</w:t>
      </w:r>
      <w:r>
        <w:t>,</w:t>
      </w:r>
      <w:r w:rsidRPr="00BC2801">
        <w:t xml:space="preserve"> aby miestna príslušnosť okresných súdov ako vykonávajúcich justičných orgánov v prípade konania o uznaní a výkone majetkového rozhodnutia bola determinovaná v prípade fyzických osôb na základe kritéria trvalého pobytu. Preukázanie obvyklého pobytu odsúdeného slúži predovšetkým na účely odovzdávania výkonu rozhodnutia justičného orgánu Slovenskej republiky do iného členského štátu a naopak, nie na účel určovania príslušnosti justičného orgánu v Slovenskej republike na konanie o uznaní a výkone majetkového rozhodnutia</w:t>
      </w:r>
      <w:r>
        <w:t>. Z uvedeného dôvodu je tak</w:t>
      </w:r>
      <w:r w:rsidRPr="00BC2801">
        <w:t xml:space="preserve"> v prípade </w:t>
      </w:r>
      <w:r>
        <w:t>fyzických osôb</w:t>
      </w:r>
      <w:r w:rsidRPr="00BC2801">
        <w:t xml:space="preserve"> vhodnejším riešením, ak bude určujúcim kritériom pre miestnu príslušnosť slovenského súdu práve trvalý pobyt dotknutej fyzickej osoby.</w:t>
      </w:r>
    </w:p>
    <w:p w:rsidR="008479E7" w:rsidRDefault="008479E7" w:rsidP="008479E7">
      <w:pPr>
        <w:jc w:val="both"/>
      </w:pPr>
    </w:p>
    <w:p w:rsidR="008479E7" w:rsidRPr="00884EE2" w:rsidRDefault="008479E7" w:rsidP="008479E7">
      <w:pPr>
        <w:jc w:val="both"/>
        <w:rPr>
          <w:u w:val="single"/>
        </w:rPr>
      </w:pPr>
      <w:r w:rsidRPr="00884EE2">
        <w:rPr>
          <w:u w:val="single"/>
        </w:rPr>
        <w:t>K bodu 3</w:t>
      </w:r>
    </w:p>
    <w:p w:rsidR="008479E7" w:rsidRDefault="008479E7" w:rsidP="008479E7">
      <w:pPr>
        <w:jc w:val="both"/>
      </w:pPr>
    </w:p>
    <w:p w:rsidR="008479E7" w:rsidRDefault="008479E7" w:rsidP="008479E7">
      <w:pPr>
        <w:ind w:firstLine="708"/>
        <w:jc w:val="both"/>
      </w:pPr>
      <w:r w:rsidRPr="005A70FD">
        <w:t xml:space="preserve">V nadväznosti na </w:t>
      </w:r>
      <w:r>
        <w:t>navrhovanú zmenu</w:t>
      </w:r>
      <w:r w:rsidRPr="005A70FD">
        <w:t xml:space="preserve"> právnej úpravy, ktor</w:t>
      </w:r>
      <w:r>
        <w:t>á</w:t>
      </w:r>
      <w:r w:rsidRPr="005A70FD">
        <w:t xml:space="preserve"> sa týka určitých procesných otázok</w:t>
      </w:r>
      <w:r>
        <w:t>,</w:t>
      </w:r>
      <w:r w:rsidRPr="005A70FD">
        <w:t xml:space="preserve"> je nevyhnutné, aby bolo doplnené prechodné ustanovenie, ktoré upravuje vzťah novej právnej úpravy k doterajšej právnej úprave. V zmysle navrhovaného prechodného ustanovenia sa konania, ktoré boli začaté pred navrhovanou účinnosťou návrhu zákona (t. j. 1. január 2020)</w:t>
      </w:r>
      <w:r>
        <w:t>,</w:t>
      </w:r>
      <w:r w:rsidRPr="005A70FD">
        <w:t xml:space="preserve"> dokončia podľa predchádzajúcej právnej úpravy – t. j. právnej úpravy účinnej do 31. decembra 2019.</w:t>
      </w:r>
    </w:p>
    <w:p w:rsidR="008479E7" w:rsidRDefault="008479E7" w:rsidP="008479E7">
      <w:pPr>
        <w:ind w:firstLine="708"/>
        <w:jc w:val="both"/>
      </w:pPr>
    </w:p>
    <w:p w:rsidR="008479E7" w:rsidRPr="00F1406D" w:rsidRDefault="008479E7" w:rsidP="008479E7">
      <w:pPr>
        <w:jc w:val="both"/>
        <w:rPr>
          <w:b/>
        </w:rPr>
      </w:pPr>
      <w:r>
        <w:rPr>
          <w:b/>
        </w:rPr>
        <w:t xml:space="preserve">K Čl. </w:t>
      </w:r>
      <w:r w:rsidRPr="00F1406D">
        <w:rPr>
          <w:b/>
        </w:rPr>
        <w:t>V</w:t>
      </w:r>
      <w:r>
        <w:rPr>
          <w:b/>
        </w:rPr>
        <w:t>II</w:t>
      </w:r>
    </w:p>
    <w:p w:rsidR="008479E7" w:rsidRPr="00687833" w:rsidRDefault="008479E7" w:rsidP="008479E7">
      <w:pPr>
        <w:jc w:val="both"/>
        <w:rPr>
          <w:i/>
        </w:rPr>
      </w:pPr>
      <w:r w:rsidRPr="00687833">
        <w:rPr>
          <w:i/>
        </w:rPr>
        <w:t>(účinnosť)</w:t>
      </w:r>
    </w:p>
    <w:p w:rsidR="001D7165" w:rsidRDefault="008479E7" w:rsidP="00687D38">
      <w:pPr>
        <w:pStyle w:val="Normlnywebov"/>
        <w:ind w:right="-108"/>
      </w:pPr>
      <w:r>
        <w:t xml:space="preserve">Po zohľadnení dĺžky legislatívneho procesu a potrebnej legisvakancie sa navrhuje účinnosť od </w:t>
      </w:r>
      <w:r w:rsidRPr="00157309">
        <w:t xml:space="preserve">1. </w:t>
      </w:r>
      <w:r>
        <w:t>januára</w:t>
      </w:r>
      <w:r w:rsidRPr="00157309">
        <w:t xml:space="preserve"> 20</w:t>
      </w:r>
      <w:r>
        <w:t>20.</w:t>
      </w:r>
    </w:p>
    <w:p w:rsidR="00BF2678" w:rsidRDefault="00BF2678" w:rsidP="007A34F4">
      <w:pPr>
        <w:jc w:val="both"/>
      </w:pPr>
    </w:p>
    <w:p w:rsidR="00BF2678" w:rsidRPr="007B522D" w:rsidRDefault="00BF2678" w:rsidP="00BF2678">
      <w:pPr>
        <w:jc w:val="both"/>
      </w:pPr>
      <w:r w:rsidRPr="00204773">
        <w:t>V Bratislave, 2</w:t>
      </w:r>
      <w:r w:rsidR="008479E7">
        <w:t>1</w:t>
      </w:r>
      <w:r w:rsidRPr="00204773">
        <w:t>. a</w:t>
      </w:r>
      <w:r>
        <w:t>ugusta</w:t>
      </w:r>
      <w:r w:rsidRPr="00204773">
        <w:t xml:space="preserve"> 201</w:t>
      </w:r>
      <w:r w:rsidR="008479E7">
        <w:t>9</w:t>
      </w:r>
    </w:p>
    <w:p w:rsidR="00BF2678" w:rsidRDefault="00BF2678" w:rsidP="00BF2678">
      <w:pPr>
        <w:jc w:val="both"/>
      </w:pPr>
    </w:p>
    <w:p w:rsidR="00BF2678" w:rsidRDefault="00BF2678" w:rsidP="00BF2678">
      <w:pPr>
        <w:jc w:val="both"/>
      </w:pPr>
    </w:p>
    <w:p w:rsidR="00BF2678" w:rsidRDefault="00BF2678" w:rsidP="00BF2678">
      <w:pPr>
        <w:jc w:val="both"/>
      </w:pPr>
    </w:p>
    <w:p w:rsidR="00BF2678" w:rsidRDefault="00BF2678" w:rsidP="00BF2678">
      <w:pPr>
        <w:jc w:val="both"/>
      </w:pPr>
    </w:p>
    <w:p w:rsidR="00BF2678" w:rsidRPr="00962FCA" w:rsidRDefault="00BF2678" w:rsidP="00BF2678">
      <w:pPr>
        <w:jc w:val="both"/>
      </w:pPr>
    </w:p>
    <w:p w:rsidR="00BF2678" w:rsidRDefault="00BF2678" w:rsidP="00BF2678"/>
    <w:p w:rsidR="00D42ADB" w:rsidRPr="002472D3" w:rsidRDefault="00D42ADB" w:rsidP="00D42ADB">
      <w:pPr>
        <w:jc w:val="center"/>
        <w:rPr>
          <w:b/>
          <w:lang w:eastAsia="en-US"/>
        </w:rPr>
      </w:pPr>
      <w:r>
        <w:rPr>
          <w:b/>
          <w:lang w:eastAsia="en-US"/>
        </w:rPr>
        <w:t>Peter Pellegrini v. r.</w:t>
      </w:r>
    </w:p>
    <w:p w:rsidR="00D42ADB" w:rsidRPr="002472D3" w:rsidRDefault="00D42ADB" w:rsidP="00D42ADB">
      <w:pPr>
        <w:jc w:val="center"/>
        <w:rPr>
          <w:lang w:eastAsia="en-US"/>
        </w:rPr>
      </w:pPr>
      <w:r w:rsidRPr="002472D3">
        <w:rPr>
          <w:lang w:eastAsia="en-US"/>
        </w:rPr>
        <w:t>predseda vlády Slovenskej republiky</w:t>
      </w:r>
    </w:p>
    <w:p w:rsidR="00D42ADB" w:rsidRPr="002472D3" w:rsidRDefault="00D42ADB" w:rsidP="00D42ADB">
      <w:pPr>
        <w:jc w:val="center"/>
        <w:rPr>
          <w:lang w:eastAsia="en-US"/>
        </w:rPr>
      </w:pPr>
    </w:p>
    <w:p w:rsidR="00D42ADB" w:rsidRPr="002472D3" w:rsidRDefault="00D42ADB" w:rsidP="00D42ADB">
      <w:pPr>
        <w:jc w:val="center"/>
        <w:rPr>
          <w:lang w:eastAsia="en-US"/>
        </w:rPr>
      </w:pPr>
    </w:p>
    <w:p w:rsidR="00D42ADB" w:rsidRDefault="00D42ADB" w:rsidP="00D42ADB">
      <w:pPr>
        <w:rPr>
          <w:lang w:eastAsia="en-US"/>
        </w:rPr>
      </w:pPr>
    </w:p>
    <w:p w:rsidR="00D42ADB" w:rsidRPr="002472D3" w:rsidRDefault="00D42ADB" w:rsidP="00D42ADB">
      <w:pPr>
        <w:rPr>
          <w:lang w:eastAsia="en-US"/>
        </w:rPr>
      </w:pPr>
    </w:p>
    <w:p w:rsidR="00D42ADB" w:rsidRPr="002472D3" w:rsidRDefault="00D42ADB" w:rsidP="00D42ADB">
      <w:pPr>
        <w:jc w:val="center"/>
        <w:rPr>
          <w:lang w:eastAsia="en-US"/>
        </w:rPr>
      </w:pPr>
    </w:p>
    <w:p w:rsidR="00D42ADB" w:rsidRPr="002472D3" w:rsidRDefault="00D42ADB" w:rsidP="00D42ADB">
      <w:pPr>
        <w:jc w:val="center"/>
        <w:rPr>
          <w:lang w:eastAsia="en-US"/>
        </w:rPr>
      </w:pPr>
    </w:p>
    <w:p w:rsidR="00D42ADB" w:rsidRPr="002472D3" w:rsidRDefault="00D42ADB" w:rsidP="00D42ADB">
      <w:pPr>
        <w:jc w:val="center"/>
        <w:rPr>
          <w:b/>
          <w:lang w:eastAsia="en-US"/>
        </w:rPr>
      </w:pPr>
      <w:r>
        <w:rPr>
          <w:b/>
          <w:lang w:eastAsia="en-US"/>
        </w:rPr>
        <w:t>Gábor Gál</w:t>
      </w:r>
      <w:r w:rsidRPr="002472D3">
        <w:rPr>
          <w:b/>
          <w:lang w:eastAsia="en-US"/>
        </w:rPr>
        <w:t xml:space="preserve"> </w:t>
      </w:r>
      <w:r>
        <w:rPr>
          <w:b/>
          <w:lang w:eastAsia="en-US"/>
        </w:rPr>
        <w:t>v. r.</w:t>
      </w:r>
    </w:p>
    <w:p w:rsidR="00D42ADB" w:rsidRPr="002472D3" w:rsidRDefault="00D42ADB" w:rsidP="00D42ADB">
      <w:pPr>
        <w:jc w:val="center"/>
        <w:rPr>
          <w:lang w:eastAsia="en-US"/>
        </w:rPr>
      </w:pPr>
      <w:r>
        <w:rPr>
          <w:lang w:eastAsia="en-US"/>
        </w:rPr>
        <w:t>minister</w:t>
      </w:r>
      <w:r w:rsidRPr="002472D3">
        <w:rPr>
          <w:lang w:eastAsia="en-US"/>
        </w:rPr>
        <w:t xml:space="preserve"> spravodlivosti</w:t>
      </w:r>
    </w:p>
    <w:p w:rsidR="00BF2678" w:rsidRPr="002472D3" w:rsidRDefault="00D42ADB" w:rsidP="00D42ADB">
      <w:pPr>
        <w:jc w:val="center"/>
        <w:rPr>
          <w:lang w:eastAsia="en-US"/>
        </w:rPr>
      </w:pPr>
      <w:r w:rsidRPr="002472D3">
        <w:rPr>
          <w:lang w:eastAsia="en-US"/>
        </w:rPr>
        <w:t>Slovenskej republiky</w:t>
      </w:r>
    </w:p>
    <w:p w:rsidR="00BF2678" w:rsidRPr="009F4854" w:rsidRDefault="00BF2678" w:rsidP="007A34F4">
      <w:pPr>
        <w:jc w:val="both"/>
      </w:pPr>
    </w:p>
    <w:p w:rsidR="0009118F" w:rsidRPr="009F4854" w:rsidRDefault="0009118F" w:rsidP="0009118F">
      <w:pPr>
        <w:jc w:val="both"/>
      </w:pPr>
    </w:p>
    <w:p w:rsidR="00CE565E" w:rsidRPr="009F4854" w:rsidRDefault="00CE565E" w:rsidP="0009118F">
      <w:pPr>
        <w:jc w:val="both"/>
      </w:pPr>
    </w:p>
    <w:p w:rsidR="00121734" w:rsidRPr="009F4854" w:rsidRDefault="00121734" w:rsidP="003B28BB"/>
    <w:p w:rsidR="00121734" w:rsidRPr="009F4854" w:rsidRDefault="00121734" w:rsidP="003B28BB"/>
    <w:p w:rsidR="003B28BB" w:rsidRPr="009F4854" w:rsidRDefault="003B28BB" w:rsidP="003B28BB">
      <w:pPr>
        <w:ind w:firstLine="708"/>
        <w:jc w:val="both"/>
      </w:pPr>
    </w:p>
    <w:sectPr w:rsidR="003B28BB" w:rsidRPr="009F4854" w:rsidSect="0009118F">
      <w:footerReference w:type="even" r:id="rId9"/>
      <w:footerReference w:type="defaul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EE7" w:rsidRDefault="005D3EE7">
      <w:r>
        <w:separator/>
      </w:r>
    </w:p>
  </w:endnote>
  <w:endnote w:type="continuationSeparator" w:id="0">
    <w:p w:rsidR="005D3EE7" w:rsidRDefault="005D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egoe UI">
    <w:altName w:val="Century Gothic"/>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EE"/>
    <w:family w:val="roman"/>
    <w:pitch w:val="variable"/>
    <w:sig w:usb0="20002A87" w:usb1="00000000" w:usb2="00000000"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Calibri">
    <w:altName w:val="Arial"/>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4D" w:rsidRDefault="0097474D" w:rsidP="0009118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7474D" w:rsidRDefault="0097474D" w:rsidP="0009118F">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79" w:rsidRDefault="006F0079">
    <w:pPr>
      <w:pStyle w:val="Pta"/>
      <w:jc w:val="center"/>
    </w:pPr>
    <w:r>
      <w:fldChar w:fldCharType="begin"/>
    </w:r>
    <w:r>
      <w:instrText>PAGE   \* MERGEFORMAT</w:instrText>
    </w:r>
    <w:r>
      <w:fldChar w:fldCharType="separate"/>
    </w:r>
    <w:r w:rsidR="004241A3">
      <w:rPr>
        <w:noProof/>
      </w:rPr>
      <w:t>14</w:t>
    </w:r>
    <w:r>
      <w:fldChar w:fldCharType="end"/>
    </w:r>
  </w:p>
  <w:p w:rsidR="0097474D" w:rsidRDefault="0097474D" w:rsidP="0009118F">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EE7" w:rsidRDefault="005D3EE7">
      <w:r>
        <w:separator/>
      </w:r>
    </w:p>
  </w:footnote>
  <w:footnote w:type="continuationSeparator" w:id="0">
    <w:p w:rsidR="005D3EE7" w:rsidRDefault="005D3E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C608C"/>
    <w:multiLevelType w:val="hybridMultilevel"/>
    <w:tmpl w:val="7C30B84A"/>
    <w:lvl w:ilvl="0" w:tplc="963CEE24">
      <w:start w:val="1"/>
      <w:numFmt w:val="decimal"/>
      <w:lvlText w:val="(%1)"/>
      <w:lvlJc w:val="left"/>
      <w:pPr>
        <w:tabs>
          <w:tab w:val="num" w:pos="1440"/>
        </w:tabs>
        <w:ind w:left="1440" w:hanging="360"/>
      </w:pPr>
      <w:rPr>
        <w:rFonts w:cs="Times New Roman" w:hint="default"/>
      </w:rPr>
    </w:lvl>
    <w:lvl w:ilvl="1" w:tplc="041B0019" w:tentative="1">
      <w:start w:val="1"/>
      <w:numFmt w:val="lowerLetter"/>
      <w:lvlText w:val="%2."/>
      <w:lvlJc w:val="left"/>
      <w:pPr>
        <w:tabs>
          <w:tab w:val="num" w:pos="1815"/>
        </w:tabs>
        <w:ind w:left="1815" w:hanging="360"/>
      </w:pPr>
      <w:rPr>
        <w:rFonts w:cs="Times New Roman"/>
      </w:rPr>
    </w:lvl>
    <w:lvl w:ilvl="2" w:tplc="041B001B" w:tentative="1">
      <w:start w:val="1"/>
      <w:numFmt w:val="lowerRoman"/>
      <w:lvlText w:val="%3."/>
      <w:lvlJc w:val="right"/>
      <w:pPr>
        <w:tabs>
          <w:tab w:val="num" w:pos="2535"/>
        </w:tabs>
        <w:ind w:left="2535" w:hanging="180"/>
      </w:pPr>
      <w:rPr>
        <w:rFonts w:cs="Times New Roman"/>
      </w:rPr>
    </w:lvl>
    <w:lvl w:ilvl="3" w:tplc="041B000F" w:tentative="1">
      <w:start w:val="1"/>
      <w:numFmt w:val="decimal"/>
      <w:lvlText w:val="%4."/>
      <w:lvlJc w:val="left"/>
      <w:pPr>
        <w:tabs>
          <w:tab w:val="num" w:pos="3255"/>
        </w:tabs>
        <w:ind w:left="3255" w:hanging="360"/>
      </w:pPr>
      <w:rPr>
        <w:rFonts w:cs="Times New Roman"/>
      </w:rPr>
    </w:lvl>
    <w:lvl w:ilvl="4" w:tplc="041B0019" w:tentative="1">
      <w:start w:val="1"/>
      <w:numFmt w:val="lowerLetter"/>
      <w:lvlText w:val="%5."/>
      <w:lvlJc w:val="left"/>
      <w:pPr>
        <w:tabs>
          <w:tab w:val="num" w:pos="3975"/>
        </w:tabs>
        <w:ind w:left="3975" w:hanging="360"/>
      </w:pPr>
      <w:rPr>
        <w:rFonts w:cs="Times New Roman"/>
      </w:rPr>
    </w:lvl>
    <w:lvl w:ilvl="5" w:tplc="041B001B" w:tentative="1">
      <w:start w:val="1"/>
      <w:numFmt w:val="lowerRoman"/>
      <w:lvlText w:val="%6."/>
      <w:lvlJc w:val="right"/>
      <w:pPr>
        <w:tabs>
          <w:tab w:val="num" w:pos="4695"/>
        </w:tabs>
        <w:ind w:left="4695" w:hanging="180"/>
      </w:pPr>
      <w:rPr>
        <w:rFonts w:cs="Times New Roman"/>
      </w:rPr>
    </w:lvl>
    <w:lvl w:ilvl="6" w:tplc="041B000F" w:tentative="1">
      <w:start w:val="1"/>
      <w:numFmt w:val="decimal"/>
      <w:lvlText w:val="%7."/>
      <w:lvlJc w:val="left"/>
      <w:pPr>
        <w:tabs>
          <w:tab w:val="num" w:pos="5415"/>
        </w:tabs>
        <w:ind w:left="5415" w:hanging="360"/>
      </w:pPr>
      <w:rPr>
        <w:rFonts w:cs="Times New Roman"/>
      </w:rPr>
    </w:lvl>
    <w:lvl w:ilvl="7" w:tplc="041B0019" w:tentative="1">
      <w:start w:val="1"/>
      <w:numFmt w:val="lowerLetter"/>
      <w:lvlText w:val="%8."/>
      <w:lvlJc w:val="left"/>
      <w:pPr>
        <w:tabs>
          <w:tab w:val="num" w:pos="6135"/>
        </w:tabs>
        <w:ind w:left="6135" w:hanging="360"/>
      </w:pPr>
      <w:rPr>
        <w:rFonts w:cs="Times New Roman"/>
      </w:rPr>
    </w:lvl>
    <w:lvl w:ilvl="8" w:tplc="041B001B" w:tentative="1">
      <w:start w:val="1"/>
      <w:numFmt w:val="lowerRoman"/>
      <w:lvlText w:val="%9."/>
      <w:lvlJc w:val="right"/>
      <w:pPr>
        <w:tabs>
          <w:tab w:val="num" w:pos="6855"/>
        </w:tabs>
        <w:ind w:left="6855" w:hanging="180"/>
      </w:pPr>
      <w:rPr>
        <w:rFonts w:cs="Times New Roman"/>
      </w:rPr>
    </w:lvl>
  </w:abstractNum>
  <w:abstractNum w:abstractNumId="1" w15:restartNumberingAfterBreak="0">
    <w:nsid w:val="0C80485C"/>
    <w:multiLevelType w:val="hybridMultilevel"/>
    <w:tmpl w:val="7DF828C8"/>
    <w:lvl w:ilvl="0" w:tplc="D63C619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BA642C"/>
    <w:multiLevelType w:val="hybridMultilevel"/>
    <w:tmpl w:val="54607762"/>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51536B"/>
    <w:multiLevelType w:val="hybridMultilevel"/>
    <w:tmpl w:val="A2309352"/>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A35F7C"/>
    <w:multiLevelType w:val="hybridMultilevel"/>
    <w:tmpl w:val="E3BE9544"/>
    <w:lvl w:ilvl="0" w:tplc="D63C619C">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64F78EC"/>
    <w:multiLevelType w:val="hybridMultilevel"/>
    <w:tmpl w:val="8E14FDFC"/>
    <w:lvl w:ilvl="0" w:tplc="04090017">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8455361"/>
    <w:multiLevelType w:val="hybridMultilevel"/>
    <w:tmpl w:val="D304FA4E"/>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DA6E8F"/>
    <w:multiLevelType w:val="hybridMultilevel"/>
    <w:tmpl w:val="A9E8B2D6"/>
    <w:lvl w:ilvl="0" w:tplc="D63C619C">
      <w:start w:val="1"/>
      <w:numFmt w:val="lowerLetter"/>
      <w:lvlText w:val="%1)"/>
      <w:lvlJc w:val="left"/>
      <w:pPr>
        <w:tabs>
          <w:tab w:val="num" w:pos="1065"/>
        </w:tabs>
        <w:ind w:left="1065" w:hanging="360"/>
      </w:pPr>
      <w:rPr>
        <w:rFonts w:cs="Times New Roman" w:hint="default"/>
      </w:rPr>
    </w:lvl>
    <w:lvl w:ilvl="1" w:tplc="2214D5B8">
      <w:start w:val="1"/>
      <w:numFmt w:val="decimal"/>
      <w:lvlText w:val="(%2)"/>
      <w:lvlJc w:val="left"/>
      <w:pPr>
        <w:tabs>
          <w:tab w:val="num" w:pos="1455"/>
        </w:tabs>
        <w:ind w:left="1455" w:hanging="735"/>
      </w:pPr>
      <w:rPr>
        <w:rFonts w:cs="Times New Roman"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4255D6B"/>
    <w:multiLevelType w:val="hybridMultilevel"/>
    <w:tmpl w:val="A31627BC"/>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8F4465"/>
    <w:multiLevelType w:val="hybridMultilevel"/>
    <w:tmpl w:val="BCE8B1D0"/>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DE5F1B"/>
    <w:multiLevelType w:val="hybridMultilevel"/>
    <w:tmpl w:val="FAEE25D4"/>
    <w:lvl w:ilvl="0" w:tplc="D63C619C">
      <w:start w:val="1"/>
      <w:numFmt w:val="lowerLetter"/>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183263"/>
    <w:multiLevelType w:val="hybridMultilevel"/>
    <w:tmpl w:val="EEFCE3A8"/>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98511B6"/>
    <w:multiLevelType w:val="hybridMultilevel"/>
    <w:tmpl w:val="D81C554E"/>
    <w:lvl w:ilvl="0" w:tplc="D63C619C">
      <w:start w:val="18"/>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3E172A"/>
    <w:multiLevelType w:val="hybridMultilevel"/>
    <w:tmpl w:val="641C1D44"/>
    <w:lvl w:ilvl="0" w:tplc="041B0017">
      <w:start w:val="1"/>
      <w:numFmt w:val="lowerLetter"/>
      <w:lvlText w:val="%1)"/>
      <w:lvlJc w:val="left"/>
      <w:pPr>
        <w:tabs>
          <w:tab w:val="num" w:pos="720"/>
        </w:tabs>
        <w:ind w:left="720" w:hanging="360"/>
      </w:pPr>
      <w:rPr>
        <w:rFonts w:cs="Times New Roman" w:hint="default"/>
      </w:rPr>
    </w:lvl>
    <w:lvl w:ilvl="1" w:tplc="D63C619C">
      <w:start w:val="1"/>
      <w:numFmt w:val="lowerLetter"/>
      <w:lvlText w:val="%2)"/>
      <w:lvlJc w:val="left"/>
      <w:pPr>
        <w:tabs>
          <w:tab w:val="num" w:pos="1095"/>
        </w:tabs>
        <w:ind w:left="1095" w:hanging="360"/>
      </w:pPr>
      <w:rPr>
        <w:rFonts w:cs="Times New Roman" w:hint="default"/>
      </w:rPr>
    </w:lvl>
    <w:lvl w:ilvl="2" w:tplc="041B001B" w:tentative="1">
      <w:start w:val="1"/>
      <w:numFmt w:val="lowerRoman"/>
      <w:lvlText w:val="%3."/>
      <w:lvlJc w:val="right"/>
      <w:pPr>
        <w:tabs>
          <w:tab w:val="num" w:pos="1815"/>
        </w:tabs>
        <w:ind w:left="1815" w:hanging="180"/>
      </w:pPr>
      <w:rPr>
        <w:rFonts w:cs="Times New Roman"/>
      </w:rPr>
    </w:lvl>
    <w:lvl w:ilvl="3" w:tplc="041B000F" w:tentative="1">
      <w:start w:val="1"/>
      <w:numFmt w:val="decimal"/>
      <w:lvlText w:val="%4."/>
      <w:lvlJc w:val="left"/>
      <w:pPr>
        <w:tabs>
          <w:tab w:val="num" w:pos="2535"/>
        </w:tabs>
        <w:ind w:left="2535" w:hanging="360"/>
      </w:pPr>
      <w:rPr>
        <w:rFonts w:cs="Times New Roman"/>
      </w:rPr>
    </w:lvl>
    <w:lvl w:ilvl="4" w:tplc="041B0019" w:tentative="1">
      <w:start w:val="1"/>
      <w:numFmt w:val="lowerLetter"/>
      <w:lvlText w:val="%5."/>
      <w:lvlJc w:val="left"/>
      <w:pPr>
        <w:tabs>
          <w:tab w:val="num" w:pos="3255"/>
        </w:tabs>
        <w:ind w:left="3255" w:hanging="360"/>
      </w:pPr>
      <w:rPr>
        <w:rFonts w:cs="Times New Roman"/>
      </w:rPr>
    </w:lvl>
    <w:lvl w:ilvl="5" w:tplc="041B001B" w:tentative="1">
      <w:start w:val="1"/>
      <w:numFmt w:val="lowerRoman"/>
      <w:lvlText w:val="%6."/>
      <w:lvlJc w:val="right"/>
      <w:pPr>
        <w:tabs>
          <w:tab w:val="num" w:pos="3975"/>
        </w:tabs>
        <w:ind w:left="3975" w:hanging="180"/>
      </w:pPr>
      <w:rPr>
        <w:rFonts w:cs="Times New Roman"/>
      </w:rPr>
    </w:lvl>
    <w:lvl w:ilvl="6" w:tplc="041B000F" w:tentative="1">
      <w:start w:val="1"/>
      <w:numFmt w:val="decimal"/>
      <w:lvlText w:val="%7."/>
      <w:lvlJc w:val="left"/>
      <w:pPr>
        <w:tabs>
          <w:tab w:val="num" w:pos="4695"/>
        </w:tabs>
        <w:ind w:left="4695" w:hanging="360"/>
      </w:pPr>
      <w:rPr>
        <w:rFonts w:cs="Times New Roman"/>
      </w:rPr>
    </w:lvl>
    <w:lvl w:ilvl="7" w:tplc="041B0019" w:tentative="1">
      <w:start w:val="1"/>
      <w:numFmt w:val="lowerLetter"/>
      <w:lvlText w:val="%8."/>
      <w:lvlJc w:val="left"/>
      <w:pPr>
        <w:tabs>
          <w:tab w:val="num" w:pos="5415"/>
        </w:tabs>
        <w:ind w:left="5415" w:hanging="360"/>
      </w:pPr>
      <w:rPr>
        <w:rFonts w:cs="Times New Roman"/>
      </w:rPr>
    </w:lvl>
    <w:lvl w:ilvl="8" w:tplc="041B001B" w:tentative="1">
      <w:start w:val="1"/>
      <w:numFmt w:val="lowerRoman"/>
      <w:lvlText w:val="%9."/>
      <w:lvlJc w:val="right"/>
      <w:pPr>
        <w:tabs>
          <w:tab w:val="num" w:pos="6135"/>
        </w:tabs>
        <w:ind w:left="6135" w:hanging="180"/>
      </w:pPr>
      <w:rPr>
        <w:rFonts w:cs="Times New Roman"/>
      </w:rPr>
    </w:lvl>
  </w:abstractNum>
  <w:abstractNum w:abstractNumId="14" w15:restartNumberingAfterBreak="0">
    <w:nsid w:val="3E6C6559"/>
    <w:multiLevelType w:val="hybridMultilevel"/>
    <w:tmpl w:val="263E7E0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EB86802"/>
    <w:multiLevelType w:val="hybridMultilevel"/>
    <w:tmpl w:val="F5A45688"/>
    <w:lvl w:ilvl="0" w:tplc="D63C619C">
      <w:start w:val="1"/>
      <w:numFmt w:val="lowerLetter"/>
      <w:lvlText w:val="%1)"/>
      <w:lvlJc w:val="left"/>
      <w:pPr>
        <w:tabs>
          <w:tab w:val="num" w:pos="720"/>
        </w:tabs>
        <w:ind w:left="720" w:hanging="360"/>
      </w:pPr>
      <w:rPr>
        <w:rFonts w:cs="Times New Roman" w:hint="default"/>
      </w:rPr>
    </w:lvl>
    <w:lvl w:ilvl="1" w:tplc="F5569576">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975625"/>
    <w:multiLevelType w:val="hybridMultilevel"/>
    <w:tmpl w:val="E0FA6364"/>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041B000F">
      <w:start w:val="1"/>
      <w:numFmt w:val="decimal"/>
      <w:lvlText w:val="%3."/>
      <w:lvlJc w:val="left"/>
      <w:pPr>
        <w:tabs>
          <w:tab w:val="num" w:pos="2340"/>
        </w:tabs>
        <w:ind w:left="2340" w:hanging="360"/>
      </w:pPr>
      <w:rPr>
        <w:rFonts w:cs="Times New Roman" w:hint="default"/>
      </w:rPr>
    </w:lvl>
    <w:lvl w:ilvl="3" w:tplc="963CEE24">
      <w:start w:val="1"/>
      <w:numFmt w:val="decimal"/>
      <w:lvlText w:val="(%4)"/>
      <w:lvlJc w:val="left"/>
      <w:pPr>
        <w:tabs>
          <w:tab w:val="num" w:pos="2880"/>
        </w:tabs>
        <w:ind w:left="2880" w:hanging="360"/>
      </w:pPr>
      <w:rPr>
        <w:rFonts w:cs="Times New Roman"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30723D2"/>
    <w:multiLevelType w:val="hybridMultilevel"/>
    <w:tmpl w:val="D3A87E2A"/>
    <w:lvl w:ilvl="0" w:tplc="D63C619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264643"/>
    <w:multiLevelType w:val="hybridMultilevel"/>
    <w:tmpl w:val="96C0C512"/>
    <w:lvl w:ilvl="0" w:tplc="D63C619C">
      <w:start w:val="1"/>
      <w:numFmt w:val="lowerLetter"/>
      <w:lvlText w:val="%1)"/>
      <w:lvlJc w:val="left"/>
      <w:pPr>
        <w:tabs>
          <w:tab w:val="num" w:pos="1440"/>
        </w:tabs>
        <w:ind w:left="1440" w:hanging="360"/>
      </w:pPr>
      <w:rPr>
        <w:rFonts w:cs="Times New Roman" w:hint="default"/>
      </w:rPr>
    </w:lvl>
    <w:lvl w:ilvl="1" w:tplc="963CEE24">
      <w:start w:val="1"/>
      <w:numFmt w:val="decimal"/>
      <w:lvlText w:val="(%2)"/>
      <w:lvlJc w:val="left"/>
      <w:pPr>
        <w:tabs>
          <w:tab w:val="num" w:pos="2160"/>
        </w:tabs>
        <w:ind w:left="2160" w:hanging="360"/>
      </w:pPr>
      <w:rPr>
        <w:rFonts w:cs="Times New Roman" w:hint="default"/>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67364A9"/>
    <w:multiLevelType w:val="hybridMultilevel"/>
    <w:tmpl w:val="41468FD2"/>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3A0C71"/>
    <w:multiLevelType w:val="hybridMultilevel"/>
    <w:tmpl w:val="67327FD2"/>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A5D11B6"/>
    <w:multiLevelType w:val="hybridMultilevel"/>
    <w:tmpl w:val="316E91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3F81F20"/>
    <w:multiLevelType w:val="hybridMultilevel"/>
    <w:tmpl w:val="8FBEF1D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FD4DD1"/>
    <w:multiLevelType w:val="hybridMultilevel"/>
    <w:tmpl w:val="1D12AE3E"/>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5A61B45"/>
    <w:multiLevelType w:val="hybridMultilevel"/>
    <w:tmpl w:val="56D002A4"/>
    <w:lvl w:ilvl="0" w:tplc="D63C619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9D1776D"/>
    <w:multiLevelType w:val="hybridMultilevel"/>
    <w:tmpl w:val="CAACD3BC"/>
    <w:lvl w:ilvl="0" w:tplc="33FA75AC">
      <w:numFmt w:val="bullet"/>
      <w:lvlText w:val="-"/>
      <w:lvlJc w:val="left"/>
      <w:pPr>
        <w:ind w:left="1068" w:hanging="360"/>
      </w:pPr>
      <w:rPr>
        <w:rFonts w:ascii="Times New Roman" w:eastAsia="Times New Roman" w:hAnsi="Times New Roman"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15:restartNumberingAfterBreak="0">
    <w:nsid w:val="5FB33243"/>
    <w:multiLevelType w:val="hybridMultilevel"/>
    <w:tmpl w:val="B5DE8C9A"/>
    <w:lvl w:ilvl="0" w:tplc="963CEE24">
      <w:start w:val="1"/>
      <w:numFmt w:val="decimal"/>
      <w:lvlText w:val="(%1)"/>
      <w:lvlJc w:val="left"/>
      <w:pPr>
        <w:tabs>
          <w:tab w:val="num" w:pos="1440"/>
        </w:tabs>
        <w:ind w:left="1440" w:hanging="360"/>
      </w:pPr>
      <w:rPr>
        <w:rFonts w:cs="Times New Roman" w:hint="default"/>
      </w:rPr>
    </w:lvl>
    <w:lvl w:ilvl="1" w:tplc="D63C619C">
      <w:start w:val="1"/>
      <w:numFmt w:val="lowerLetter"/>
      <w:lvlText w:val="%2)"/>
      <w:lvlJc w:val="left"/>
      <w:pPr>
        <w:tabs>
          <w:tab w:val="num" w:pos="1837"/>
        </w:tabs>
        <w:ind w:left="1837" w:hanging="360"/>
      </w:pPr>
      <w:rPr>
        <w:rFonts w:cs="Times New Roman" w:hint="default"/>
      </w:rPr>
    </w:lvl>
    <w:lvl w:ilvl="2" w:tplc="963CEE24">
      <w:start w:val="1"/>
      <w:numFmt w:val="decimal"/>
      <w:lvlText w:val="(%3)"/>
      <w:lvlJc w:val="left"/>
      <w:pPr>
        <w:tabs>
          <w:tab w:val="num" w:pos="2737"/>
        </w:tabs>
        <w:ind w:left="2737" w:hanging="360"/>
      </w:pPr>
      <w:rPr>
        <w:rFonts w:cs="Times New Roman" w:hint="default"/>
      </w:rPr>
    </w:lvl>
    <w:lvl w:ilvl="3" w:tplc="041B000F" w:tentative="1">
      <w:start w:val="1"/>
      <w:numFmt w:val="decimal"/>
      <w:lvlText w:val="%4."/>
      <w:lvlJc w:val="left"/>
      <w:pPr>
        <w:tabs>
          <w:tab w:val="num" w:pos="3277"/>
        </w:tabs>
        <w:ind w:left="3277" w:hanging="360"/>
      </w:pPr>
      <w:rPr>
        <w:rFonts w:cs="Times New Roman"/>
      </w:rPr>
    </w:lvl>
    <w:lvl w:ilvl="4" w:tplc="041B0019" w:tentative="1">
      <w:start w:val="1"/>
      <w:numFmt w:val="lowerLetter"/>
      <w:lvlText w:val="%5."/>
      <w:lvlJc w:val="left"/>
      <w:pPr>
        <w:tabs>
          <w:tab w:val="num" w:pos="3997"/>
        </w:tabs>
        <w:ind w:left="3997" w:hanging="360"/>
      </w:pPr>
      <w:rPr>
        <w:rFonts w:cs="Times New Roman"/>
      </w:rPr>
    </w:lvl>
    <w:lvl w:ilvl="5" w:tplc="041B001B" w:tentative="1">
      <w:start w:val="1"/>
      <w:numFmt w:val="lowerRoman"/>
      <w:lvlText w:val="%6."/>
      <w:lvlJc w:val="right"/>
      <w:pPr>
        <w:tabs>
          <w:tab w:val="num" w:pos="4717"/>
        </w:tabs>
        <w:ind w:left="4717" w:hanging="180"/>
      </w:pPr>
      <w:rPr>
        <w:rFonts w:cs="Times New Roman"/>
      </w:rPr>
    </w:lvl>
    <w:lvl w:ilvl="6" w:tplc="041B000F" w:tentative="1">
      <w:start w:val="1"/>
      <w:numFmt w:val="decimal"/>
      <w:lvlText w:val="%7."/>
      <w:lvlJc w:val="left"/>
      <w:pPr>
        <w:tabs>
          <w:tab w:val="num" w:pos="5437"/>
        </w:tabs>
        <w:ind w:left="5437" w:hanging="360"/>
      </w:pPr>
      <w:rPr>
        <w:rFonts w:cs="Times New Roman"/>
      </w:rPr>
    </w:lvl>
    <w:lvl w:ilvl="7" w:tplc="041B0019" w:tentative="1">
      <w:start w:val="1"/>
      <w:numFmt w:val="lowerLetter"/>
      <w:lvlText w:val="%8."/>
      <w:lvlJc w:val="left"/>
      <w:pPr>
        <w:tabs>
          <w:tab w:val="num" w:pos="6157"/>
        </w:tabs>
        <w:ind w:left="6157" w:hanging="360"/>
      </w:pPr>
      <w:rPr>
        <w:rFonts w:cs="Times New Roman"/>
      </w:rPr>
    </w:lvl>
    <w:lvl w:ilvl="8" w:tplc="041B001B" w:tentative="1">
      <w:start w:val="1"/>
      <w:numFmt w:val="lowerRoman"/>
      <w:lvlText w:val="%9."/>
      <w:lvlJc w:val="right"/>
      <w:pPr>
        <w:tabs>
          <w:tab w:val="num" w:pos="6877"/>
        </w:tabs>
        <w:ind w:left="6877" w:hanging="180"/>
      </w:pPr>
      <w:rPr>
        <w:rFonts w:cs="Times New Roman"/>
      </w:rPr>
    </w:lvl>
  </w:abstractNum>
  <w:abstractNum w:abstractNumId="27" w15:restartNumberingAfterBreak="0">
    <w:nsid w:val="6434705A"/>
    <w:multiLevelType w:val="hybridMultilevel"/>
    <w:tmpl w:val="F0544CD6"/>
    <w:lvl w:ilvl="0" w:tplc="D63C619C">
      <w:start w:val="1"/>
      <w:numFmt w:val="lowerLetter"/>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785"/>
        </w:tabs>
        <w:ind w:left="1785" w:hanging="360"/>
      </w:pPr>
      <w:rPr>
        <w:rFonts w:cs="Times New Roman"/>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28" w15:restartNumberingAfterBreak="0">
    <w:nsid w:val="66743F7A"/>
    <w:multiLevelType w:val="hybridMultilevel"/>
    <w:tmpl w:val="CDFE24D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81E11A5"/>
    <w:multiLevelType w:val="hybridMultilevel"/>
    <w:tmpl w:val="36EC5D1C"/>
    <w:lvl w:ilvl="0" w:tplc="963CEE24">
      <w:start w:val="1"/>
      <w:numFmt w:val="decimal"/>
      <w:lvlText w:val="(%1)"/>
      <w:lvlJc w:val="left"/>
      <w:pPr>
        <w:tabs>
          <w:tab w:val="num" w:pos="1440"/>
        </w:tabs>
        <w:ind w:left="1440" w:hanging="360"/>
      </w:pPr>
      <w:rPr>
        <w:rFonts w:cs="Times New Roman" w:hint="default"/>
      </w:rPr>
    </w:lvl>
    <w:lvl w:ilvl="1" w:tplc="041B0019" w:tentative="1">
      <w:start w:val="1"/>
      <w:numFmt w:val="lowerLetter"/>
      <w:lvlText w:val="%2."/>
      <w:lvlJc w:val="left"/>
      <w:pPr>
        <w:tabs>
          <w:tab w:val="num" w:pos="1815"/>
        </w:tabs>
        <w:ind w:left="1815" w:hanging="360"/>
      </w:pPr>
      <w:rPr>
        <w:rFonts w:cs="Times New Roman"/>
      </w:rPr>
    </w:lvl>
    <w:lvl w:ilvl="2" w:tplc="041B001B" w:tentative="1">
      <w:start w:val="1"/>
      <w:numFmt w:val="lowerRoman"/>
      <w:lvlText w:val="%3."/>
      <w:lvlJc w:val="right"/>
      <w:pPr>
        <w:tabs>
          <w:tab w:val="num" w:pos="2535"/>
        </w:tabs>
        <w:ind w:left="2535" w:hanging="180"/>
      </w:pPr>
      <w:rPr>
        <w:rFonts w:cs="Times New Roman"/>
      </w:rPr>
    </w:lvl>
    <w:lvl w:ilvl="3" w:tplc="041B000F" w:tentative="1">
      <w:start w:val="1"/>
      <w:numFmt w:val="decimal"/>
      <w:lvlText w:val="%4."/>
      <w:lvlJc w:val="left"/>
      <w:pPr>
        <w:tabs>
          <w:tab w:val="num" w:pos="3255"/>
        </w:tabs>
        <w:ind w:left="3255" w:hanging="360"/>
      </w:pPr>
      <w:rPr>
        <w:rFonts w:cs="Times New Roman"/>
      </w:rPr>
    </w:lvl>
    <w:lvl w:ilvl="4" w:tplc="041B0019" w:tentative="1">
      <w:start w:val="1"/>
      <w:numFmt w:val="lowerLetter"/>
      <w:lvlText w:val="%5."/>
      <w:lvlJc w:val="left"/>
      <w:pPr>
        <w:tabs>
          <w:tab w:val="num" w:pos="3975"/>
        </w:tabs>
        <w:ind w:left="3975" w:hanging="360"/>
      </w:pPr>
      <w:rPr>
        <w:rFonts w:cs="Times New Roman"/>
      </w:rPr>
    </w:lvl>
    <w:lvl w:ilvl="5" w:tplc="041B001B" w:tentative="1">
      <w:start w:val="1"/>
      <w:numFmt w:val="lowerRoman"/>
      <w:lvlText w:val="%6."/>
      <w:lvlJc w:val="right"/>
      <w:pPr>
        <w:tabs>
          <w:tab w:val="num" w:pos="4695"/>
        </w:tabs>
        <w:ind w:left="4695" w:hanging="180"/>
      </w:pPr>
      <w:rPr>
        <w:rFonts w:cs="Times New Roman"/>
      </w:rPr>
    </w:lvl>
    <w:lvl w:ilvl="6" w:tplc="041B000F" w:tentative="1">
      <w:start w:val="1"/>
      <w:numFmt w:val="decimal"/>
      <w:lvlText w:val="%7."/>
      <w:lvlJc w:val="left"/>
      <w:pPr>
        <w:tabs>
          <w:tab w:val="num" w:pos="5415"/>
        </w:tabs>
        <w:ind w:left="5415" w:hanging="360"/>
      </w:pPr>
      <w:rPr>
        <w:rFonts w:cs="Times New Roman"/>
      </w:rPr>
    </w:lvl>
    <w:lvl w:ilvl="7" w:tplc="041B0019" w:tentative="1">
      <w:start w:val="1"/>
      <w:numFmt w:val="lowerLetter"/>
      <w:lvlText w:val="%8."/>
      <w:lvlJc w:val="left"/>
      <w:pPr>
        <w:tabs>
          <w:tab w:val="num" w:pos="6135"/>
        </w:tabs>
        <w:ind w:left="6135" w:hanging="360"/>
      </w:pPr>
      <w:rPr>
        <w:rFonts w:cs="Times New Roman"/>
      </w:rPr>
    </w:lvl>
    <w:lvl w:ilvl="8" w:tplc="041B001B" w:tentative="1">
      <w:start w:val="1"/>
      <w:numFmt w:val="lowerRoman"/>
      <w:lvlText w:val="%9."/>
      <w:lvlJc w:val="right"/>
      <w:pPr>
        <w:tabs>
          <w:tab w:val="num" w:pos="6855"/>
        </w:tabs>
        <w:ind w:left="6855" w:hanging="180"/>
      </w:pPr>
      <w:rPr>
        <w:rFonts w:cs="Times New Roman"/>
      </w:rPr>
    </w:lvl>
  </w:abstractNum>
  <w:abstractNum w:abstractNumId="30" w15:restartNumberingAfterBreak="0">
    <w:nsid w:val="6924573A"/>
    <w:multiLevelType w:val="hybridMultilevel"/>
    <w:tmpl w:val="84C890DC"/>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B6130A8"/>
    <w:multiLevelType w:val="hybridMultilevel"/>
    <w:tmpl w:val="DBFAAA9C"/>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D995630"/>
    <w:multiLevelType w:val="hybridMultilevel"/>
    <w:tmpl w:val="74ECE130"/>
    <w:lvl w:ilvl="0" w:tplc="D63C619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E073EF4"/>
    <w:multiLevelType w:val="hybridMultilevel"/>
    <w:tmpl w:val="0032EA28"/>
    <w:lvl w:ilvl="0" w:tplc="D63C619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B45546"/>
    <w:multiLevelType w:val="hybridMultilevel"/>
    <w:tmpl w:val="7042FED8"/>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5E76058"/>
    <w:multiLevelType w:val="hybridMultilevel"/>
    <w:tmpl w:val="CBDA21E2"/>
    <w:lvl w:ilvl="0" w:tplc="251C1900">
      <w:start w:val="1"/>
      <w:numFmt w:val="lowerLetter"/>
      <w:lvlText w:val="%1)"/>
      <w:lvlJc w:val="left"/>
      <w:pPr>
        <w:tabs>
          <w:tab w:val="num" w:pos="1065"/>
        </w:tabs>
        <w:ind w:left="1065" w:hanging="360"/>
      </w:pPr>
      <w:rPr>
        <w:rFonts w:ascii="Times New Roman" w:eastAsia="Times New Roman" w:hAnsi="Times New Roman" w:cs="Times New Roman"/>
      </w:rPr>
    </w:lvl>
    <w:lvl w:ilvl="1" w:tplc="D63C619C">
      <w:start w:val="1"/>
      <w:numFmt w:val="lowerLetter"/>
      <w:lvlText w:val="%2)"/>
      <w:lvlJc w:val="left"/>
      <w:pPr>
        <w:tabs>
          <w:tab w:val="num" w:pos="1440"/>
        </w:tabs>
        <w:ind w:left="1440" w:hanging="360"/>
      </w:pPr>
      <w:rPr>
        <w:rFonts w:cs="Times New Roman" w:hint="default"/>
      </w:rPr>
    </w:lvl>
    <w:lvl w:ilvl="2" w:tplc="963CEE24">
      <w:start w:val="1"/>
      <w:numFmt w:val="decimal"/>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7D74A1F"/>
    <w:multiLevelType w:val="hybridMultilevel"/>
    <w:tmpl w:val="EEFCE3A8"/>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8A40372"/>
    <w:multiLevelType w:val="hybridMultilevel"/>
    <w:tmpl w:val="1E74BA1C"/>
    <w:lvl w:ilvl="0" w:tplc="963CEE24">
      <w:start w:val="1"/>
      <w:numFmt w:val="decimal"/>
      <w:lvlText w:val="(%1)"/>
      <w:lvlJc w:val="left"/>
      <w:pPr>
        <w:tabs>
          <w:tab w:val="num" w:pos="1065"/>
        </w:tabs>
        <w:ind w:left="1065" w:hanging="360"/>
      </w:pPr>
      <w:rPr>
        <w:rFonts w:cs="Times New Roman" w:hint="default"/>
      </w:rPr>
    </w:lvl>
    <w:lvl w:ilvl="1" w:tplc="D63C61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E6A6D74"/>
    <w:multiLevelType w:val="hybridMultilevel"/>
    <w:tmpl w:val="EB42C244"/>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9" w15:restartNumberingAfterBreak="0">
    <w:nsid w:val="7EF267AF"/>
    <w:multiLevelType w:val="hybridMultilevel"/>
    <w:tmpl w:val="8C0628DA"/>
    <w:lvl w:ilvl="0" w:tplc="D63C619C">
      <w:start w:val="1"/>
      <w:numFmt w:val="lowerLetter"/>
      <w:lvlText w:val="%1)"/>
      <w:lvlJc w:val="left"/>
      <w:pPr>
        <w:tabs>
          <w:tab w:val="num" w:pos="720"/>
        </w:tabs>
        <w:ind w:left="720" w:hanging="360"/>
      </w:pPr>
      <w:rPr>
        <w:rFonts w:cs="Times New Roman" w:hint="default"/>
      </w:rPr>
    </w:lvl>
    <w:lvl w:ilvl="1" w:tplc="963CEE24">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5"/>
  </w:num>
  <w:num w:numId="3">
    <w:abstractNumId w:val="12"/>
  </w:num>
  <w:num w:numId="4">
    <w:abstractNumId w:val="1"/>
  </w:num>
  <w:num w:numId="5">
    <w:abstractNumId w:val="28"/>
  </w:num>
  <w:num w:numId="6">
    <w:abstractNumId w:val="22"/>
  </w:num>
  <w:num w:numId="7">
    <w:abstractNumId w:val="5"/>
  </w:num>
  <w:num w:numId="8">
    <w:abstractNumId w:val="3"/>
  </w:num>
  <w:num w:numId="9">
    <w:abstractNumId w:val="32"/>
  </w:num>
  <w:num w:numId="10">
    <w:abstractNumId w:val="31"/>
  </w:num>
  <w:num w:numId="11">
    <w:abstractNumId w:val="6"/>
  </w:num>
  <w:num w:numId="12">
    <w:abstractNumId w:val="20"/>
  </w:num>
  <w:num w:numId="13">
    <w:abstractNumId w:val="10"/>
  </w:num>
  <w:num w:numId="14">
    <w:abstractNumId w:val="27"/>
  </w:num>
  <w:num w:numId="15">
    <w:abstractNumId w:val="16"/>
  </w:num>
  <w:num w:numId="16">
    <w:abstractNumId w:val="37"/>
  </w:num>
  <w:num w:numId="17">
    <w:abstractNumId w:val="34"/>
  </w:num>
  <w:num w:numId="18">
    <w:abstractNumId w:val="30"/>
  </w:num>
  <w:num w:numId="19">
    <w:abstractNumId w:val="2"/>
  </w:num>
  <w:num w:numId="20">
    <w:abstractNumId w:val="19"/>
  </w:num>
  <w:num w:numId="21">
    <w:abstractNumId w:val="4"/>
  </w:num>
  <w:num w:numId="22">
    <w:abstractNumId w:val="35"/>
  </w:num>
  <w:num w:numId="23">
    <w:abstractNumId w:val="18"/>
  </w:num>
  <w:num w:numId="24">
    <w:abstractNumId w:val="7"/>
  </w:num>
  <w:num w:numId="25">
    <w:abstractNumId w:val="26"/>
  </w:num>
  <w:num w:numId="26">
    <w:abstractNumId w:val="33"/>
  </w:num>
  <w:num w:numId="27">
    <w:abstractNumId w:val="24"/>
  </w:num>
  <w:num w:numId="28">
    <w:abstractNumId w:val="23"/>
  </w:num>
  <w:num w:numId="29">
    <w:abstractNumId w:val="13"/>
  </w:num>
  <w:num w:numId="30">
    <w:abstractNumId w:val="8"/>
  </w:num>
  <w:num w:numId="31">
    <w:abstractNumId w:val="9"/>
  </w:num>
  <w:num w:numId="32">
    <w:abstractNumId w:val="39"/>
  </w:num>
  <w:num w:numId="33">
    <w:abstractNumId w:val="29"/>
  </w:num>
  <w:num w:numId="34">
    <w:abstractNumId w:val="0"/>
  </w:num>
  <w:num w:numId="35">
    <w:abstractNumId w:val="36"/>
  </w:num>
  <w:num w:numId="36">
    <w:abstractNumId w:val="14"/>
  </w:num>
  <w:num w:numId="37">
    <w:abstractNumId w:val="38"/>
  </w:num>
  <w:num w:numId="38">
    <w:abstractNumId w:val="25"/>
  </w:num>
  <w:num w:numId="39">
    <w:abstractNumId w:val="21"/>
  </w:num>
  <w:num w:numId="40">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8F"/>
    <w:rsid w:val="00000CBD"/>
    <w:rsid w:val="00001E75"/>
    <w:rsid w:val="000044CF"/>
    <w:rsid w:val="00012392"/>
    <w:rsid w:val="0001446F"/>
    <w:rsid w:val="000153B4"/>
    <w:rsid w:val="00021CDF"/>
    <w:rsid w:val="00022D85"/>
    <w:rsid w:val="00025FA8"/>
    <w:rsid w:val="00027D64"/>
    <w:rsid w:val="00036E6B"/>
    <w:rsid w:val="00041BAB"/>
    <w:rsid w:val="000423CF"/>
    <w:rsid w:val="00042FA4"/>
    <w:rsid w:val="00043587"/>
    <w:rsid w:val="00045079"/>
    <w:rsid w:val="00047A57"/>
    <w:rsid w:val="00051487"/>
    <w:rsid w:val="0005379B"/>
    <w:rsid w:val="00055292"/>
    <w:rsid w:val="00055483"/>
    <w:rsid w:val="00056F43"/>
    <w:rsid w:val="000602D7"/>
    <w:rsid w:val="00067E25"/>
    <w:rsid w:val="00070160"/>
    <w:rsid w:val="00071586"/>
    <w:rsid w:val="00075C0A"/>
    <w:rsid w:val="0008084E"/>
    <w:rsid w:val="00081240"/>
    <w:rsid w:val="00084412"/>
    <w:rsid w:val="00084457"/>
    <w:rsid w:val="00084D52"/>
    <w:rsid w:val="00090F35"/>
    <w:rsid w:val="0009118F"/>
    <w:rsid w:val="00092A4F"/>
    <w:rsid w:val="0009340F"/>
    <w:rsid w:val="00095AFC"/>
    <w:rsid w:val="000A0193"/>
    <w:rsid w:val="000A29FF"/>
    <w:rsid w:val="000A2DF6"/>
    <w:rsid w:val="000A751C"/>
    <w:rsid w:val="000B29BF"/>
    <w:rsid w:val="000B2AA3"/>
    <w:rsid w:val="000B2C35"/>
    <w:rsid w:val="000B3224"/>
    <w:rsid w:val="000B5BA0"/>
    <w:rsid w:val="000B68EF"/>
    <w:rsid w:val="000B6B6A"/>
    <w:rsid w:val="000B71CF"/>
    <w:rsid w:val="000C2839"/>
    <w:rsid w:val="000C6AAB"/>
    <w:rsid w:val="000C727E"/>
    <w:rsid w:val="000D037C"/>
    <w:rsid w:val="000D1A51"/>
    <w:rsid w:val="000D5B0A"/>
    <w:rsid w:val="000D7F03"/>
    <w:rsid w:val="000E1178"/>
    <w:rsid w:val="000E7C69"/>
    <w:rsid w:val="000F120E"/>
    <w:rsid w:val="000F141C"/>
    <w:rsid w:val="000F26CB"/>
    <w:rsid w:val="000F3A17"/>
    <w:rsid w:val="000F5186"/>
    <w:rsid w:val="000F61B1"/>
    <w:rsid w:val="00103ECD"/>
    <w:rsid w:val="00107350"/>
    <w:rsid w:val="00117001"/>
    <w:rsid w:val="00121734"/>
    <w:rsid w:val="0012180D"/>
    <w:rsid w:val="00121AFC"/>
    <w:rsid w:val="00123283"/>
    <w:rsid w:val="001240DE"/>
    <w:rsid w:val="00130FC8"/>
    <w:rsid w:val="0013188F"/>
    <w:rsid w:val="001456AB"/>
    <w:rsid w:val="001515B3"/>
    <w:rsid w:val="00152981"/>
    <w:rsid w:val="00154476"/>
    <w:rsid w:val="001561C4"/>
    <w:rsid w:val="00157309"/>
    <w:rsid w:val="00157DB1"/>
    <w:rsid w:val="00161378"/>
    <w:rsid w:val="00164759"/>
    <w:rsid w:val="00166560"/>
    <w:rsid w:val="001672A6"/>
    <w:rsid w:val="00171596"/>
    <w:rsid w:val="001724FA"/>
    <w:rsid w:val="0017373F"/>
    <w:rsid w:val="00176684"/>
    <w:rsid w:val="001801C1"/>
    <w:rsid w:val="00184B60"/>
    <w:rsid w:val="001902B6"/>
    <w:rsid w:val="00192548"/>
    <w:rsid w:val="00194496"/>
    <w:rsid w:val="0019615B"/>
    <w:rsid w:val="001970F2"/>
    <w:rsid w:val="001973D0"/>
    <w:rsid w:val="001A1EFA"/>
    <w:rsid w:val="001A2D5C"/>
    <w:rsid w:val="001A3518"/>
    <w:rsid w:val="001A445B"/>
    <w:rsid w:val="001A6A00"/>
    <w:rsid w:val="001B1DB7"/>
    <w:rsid w:val="001B4E47"/>
    <w:rsid w:val="001B5E72"/>
    <w:rsid w:val="001C2470"/>
    <w:rsid w:val="001C76F3"/>
    <w:rsid w:val="001D1EA8"/>
    <w:rsid w:val="001D3E6B"/>
    <w:rsid w:val="001D52F3"/>
    <w:rsid w:val="001D5C62"/>
    <w:rsid w:val="001D6C42"/>
    <w:rsid w:val="001D7165"/>
    <w:rsid w:val="001D7234"/>
    <w:rsid w:val="001D7528"/>
    <w:rsid w:val="001E2025"/>
    <w:rsid w:val="001E2416"/>
    <w:rsid w:val="001E3281"/>
    <w:rsid w:val="001E681D"/>
    <w:rsid w:val="001E7980"/>
    <w:rsid w:val="001F3903"/>
    <w:rsid w:val="001F5A86"/>
    <w:rsid w:val="001F6027"/>
    <w:rsid w:val="001F70EF"/>
    <w:rsid w:val="001F74B5"/>
    <w:rsid w:val="00201A56"/>
    <w:rsid w:val="00202C5D"/>
    <w:rsid w:val="00203A47"/>
    <w:rsid w:val="00204773"/>
    <w:rsid w:val="0020563E"/>
    <w:rsid w:val="0020669F"/>
    <w:rsid w:val="002129A3"/>
    <w:rsid w:val="00213560"/>
    <w:rsid w:val="00213D04"/>
    <w:rsid w:val="00217B0C"/>
    <w:rsid w:val="0022352D"/>
    <w:rsid w:val="00223F8D"/>
    <w:rsid w:val="002265BF"/>
    <w:rsid w:val="002344FC"/>
    <w:rsid w:val="002364C1"/>
    <w:rsid w:val="002369F1"/>
    <w:rsid w:val="00236F36"/>
    <w:rsid w:val="00240A7D"/>
    <w:rsid w:val="00241ABA"/>
    <w:rsid w:val="002441B8"/>
    <w:rsid w:val="002442C8"/>
    <w:rsid w:val="00246FE7"/>
    <w:rsid w:val="002472D3"/>
    <w:rsid w:val="00247A19"/>
    <w:rsid w:val="00251676"/>
    <w:rsid w:val="002616B8"/>
    <w:rsid w:val="00263CF2"/>
    <w:rsid w:val="00267AFA"/>
    <w:rsid w:val="002734BD"/>
    <w:rsid w:val="0028072F"/>
    <w:rsid w:val="00283151"/>
    <w:rsid w:val="0028403C"/>
    <w:rsid w:val="0028704C"/>
    <w:rsid w:val="00290047"/>
    <w:rsid w:val="00291944"/>
    <w:rsid w:val="002929E2"/>
    <w:rsid w:val="002A0736"/>
    <w:rsid w:val="002A08FB"/>
    <w:rsid w:val="002A7E54"/>
    <w:rsid w:val="002B0301"/>
    <w:rsid w:val="002B2C29"/>
    <w:rsid w:val="002B3D00"/>
    <w:rsid w:val="002C150D"/>
    <w:rsid w:val="002C2EDA"/>
    <w:rsid w:val="002C3243"/>
    <w:rsid w:val="002C4EC6"/>
    <w:rsid w:val="002C73AE"/>
    <w:rsid w:val="002D03A4"/>
    <w:rsid w:val="002D0BBA"/>
    <w:rsid w:val="002D1F1E"/>
    <w:rsid w:val="002D431B"/>
    <w:rsid w:val="002D6F4A"/>
    <w:rsid w:val="002E0E7E"/>
    <w:rsid w:val="002E2677"/>
    <w:rsid w:val="002E468F"/>
    <w:rsid w:val="002E486C"/>
    <w:rsid w:val="002E6888"/>
    <w:rsid w:val="002F0102"/>
    <w:rsid w:val="002F017C"/>
    <w:rsid w:val="002F12BC"/>
    <w:rsid w:val="002F1976"/>
    <w:rsid w:val="002F5B28"/>
    <w:rsid w:val="002F6F21"/>
    <w:rsid w:val="003069C8"/>
    <w:rsid w:val="00312B27"/>
    <w:rsid w:val="00312D8F"/>
    <w:rsid w:val="003136B6"/>
    <w:rsid w:val="00324F74"/>
    <w:rsid w:val="0032529F"/>
    <w:rsid w:val="00325A10"/>
    <w:rsid w:val="00326096"/>
    <w:rsid w:val="003400C4"/>
    <w:rsid w:val="00341305"/>
    <w:rsid w:val="0034475E"/>
    <w:rsid w:val="0034536A"/>
    <w:rsid w:val="00345678"/>
    <w:rsid w:val="00351889"/>
    <w:rsid w:val="003566F8"/>
    <w:rsid w:val="00361E77"/>
    <w:rsid w:val="00363803"/>
    <w:rsid w:val="003752DB"/>
    <w:rsid w:val="00383B1E"/>
    <w:rsid w:val="00384544"/>
    <w:rsid w:val="00385B66"/>
    <w:rsid w:val="00385D62"/>
    <w:rsid w:val="003868B9"/>
    <w:rsid w:val="00387C37"/>
    <w:rsid w:val="003909E0"/>
    <w:rsid w:val="00391792"/>
    <w:rsid w:val="00391E31"/>
    <w:rsid w:val="00392025"/>
    <w:rsid w:val="0039351D"/>
    <w:rsid w:val="00394B64"/>
    <w:rsid w:val="00396057"/>
    <w:rsid w:val="00396293"/>
    <w:rsid w:val="003A30AA"/>
    <w:rsid w:val="003A432F"/>
    <w:rsid w:val="003B0179"/>
    <w:rsid w:val="003B28BB"/>
    <w:rsid w:val="003B3485"/>
    <w:rsid w:val="003B5C2F"/>
    <w:rsid w:val="003C034C"/>
    <w:rsid w:val="003C3C6A"/>
    <w:rsid w:val="003C4350"/>
    <w:rsid w:val="003C4C12"/>
    <w:rsid w:val="003C4C24"/>
    <w:rsid w:val="003D522F"/>
    <w:rsid w:val="003E5BB8"/>
    <w:rsid w:val="003F15CA"/>
    <w:rsid w:val="003F2543"/>
    <w:rsid w:val="003F2A7B"/>
    <w:rsid w:val="003F7F66"/>
    <w:rsid w:val="00400289"/>
    <w:rsid w:val="00404C8C"/>
    <w:rsid w:val="00412894"/>
    <w:rsid w:val="004146DB"/>
    <w:rsid w:val="00415D47"/>
    <w:rsid w:val="00416A78"/>
    <w:rsid w:val="0041736C"/>
    <w:rsid w:val="004176CC"/>
    <w:rsid w:val="004241A3"/>
    <w:rsid w:val="004329EA"/>
    <w:rsid w:val="00436C5B"/>
    <w:rsid w:val="004404A9"/>
    <w:rsid w:val="004410E5"/>
    <w:rsid w:val="0044155A"/>
    <w:rsid w:val="00443CE6"/>
    <w:rsid w:val="00450BA1"/>
    <w:rsid w:val="0045149C"/>
    <w:rsid w:val="00457558"/>
    <w:rsid w:val="00461388"/>
    <w:rsid w:val="00463F74"/>
    <w:rsid w:val="0046578F"/>
    <w:rsid w:val="00466C94"/>
    <w:rsid w:val="00476580"/>
    <w:rsid w:val="0048366D"/>
    <w:rsid w:val="00485B80"/>
    <w:rsid w:val="00487087"/>
    <w:rsid w:val="004878AF"/>
    <w:rsid w:val="004878E0"/>
    <w:rsid w:val="00494A4E"/>
    <w:rsid w:val="004A0944"/>
    <w:rsid w:val="004A2EBC"/>
    <w:rsid w:val="004A38E8"/>
    <w:rsid w:val="004C0240"/>
    <w:rsid w:val="004C27DB"/>
    <w:rsid w:val="004C3C48"/>
    <w:rsid w:val="004C5272"/>
    <w:rsid w:val="004C6CD6"/>
    <w:rsid w:val="004D033C"/>
    <w:rsid w:val="004D0BAB"/>
    <w:rsid w:val="004E183D"/>
    <w:rsid w:val="004E356F"/>
    <w:rsid w:val="004E6F41"/>
    <w:rsid w:val="004F22B1"/>
    <w:rsid w:val="004F40E6"/>
    <w:rsid w:val="00501C24"/>
    <w:rsid w:val="0050281F"/>
    <w:rsid w:val="00502878"/>
    <w:rsid w:val="0050403F"/>
    <w:rsid w:val="00505542"/>
    <w:rsid w:val="00506BDC"/>
    <w:rsid w:val="00514B71"/>
    <w:rsid w:val="005159FD"/>
    <w:rsid w:val="00521BEF"/>
    <w:rsid w:val="00522084"/>
    <w:rsid w:val="00524985"/>
    <w:rsid w:val="00530DC2"/>
    <w:rsid w:val="0053495C"/>
    <w:rsid w:val="00536756"/>
    <w:rsid w:val="00540DAD"/>
    <w:rsid w:val="00543571"/>
    <w:rsid w:val="00543824"/>
    <w:rsid w:val="00546500"/>
    <w:rsid w:val="00550733"/>
    <w:rsid w:val="00554E3C"/>
    <w:rsid w:val="00554E5C"/>
    <w:rsid w:val="0055604E"/>
    <w:rsid w:val="00557C73"/>
    <w:rsid w:val="00560EA8"/>
    <w:rsid w:val="00561A64"/>
    <w:rsid w:val="00566463"/>
    <w:rsid w:val="00573091"/>
    <w:rsid w:val="005737AB"/>
    <w:rsid w:val="00582238"/>
    <w:rsid w:val="0058486B"/>
    <w:rsid w:val="00585141"/>
    <w:rsid w:val="00590244"/>
    <w:rsid w:val="00590F9F"/>
    <w:rsid w:val="0059189F"/>
    <w:rsid w:val="0059572D"/>
    <w:rsid w:val="00596855"/>
    <w:rsid w:val="00597357"/>
    <w:rsid w:val="005A117A"/>
    <w:rsid w:val="005A5607"/>
    <w:rsid w:val="005A6F56"/>
    <w:rsid w:val="005A70FD"/>
    <w:rsid w:val="005B2CF4"/>
    <w:rsid w:val="005B36E1"/>
    <w:rsid w:val="005B4335"/>
    <w:rsid w:val="005B4913"/>
    <w:rsid w:val="005B543E"/>
    <w:rsid w:val="005B5CA5"/>
    <w:rsid w:val="005B67C4"/>
    <w:rsid w:val="005B68DA"/>
    <w:rsid w:val="005C569B"/>
    <w:rsid w:val="005C66A7"/>
    <w:rsid w:val="005C6BBC"/>
    <w:rsid w:val="005C6C27"/>
    <w:rsid w:val="005C7BED"/>
    <w:rsid w:val="005D065C"/>
    <w:rsid w:val="005D0BE4"/>
    <w:rsid w:val="005D1C1D"/>
    <w:rsid w:val="005D3EE7"/>
    <w:rsid w:val="005D49D6"/>
    <w:rsid w:val="005D675A"/>
    <w:rsid w:val="005E1440"/>
    <w:rsid w:val="005E4784"/>
    <w:rsid w:val="005F35CF"/>
    <w:rsid w:val="00601743"/>
    <w:rsid w:val="00603590"/>
    <w:rsid w:val="00605670"/>
    <w:rsid w:val="006060A1"/>
    <w:rsid w:val="006124EB"/>
    <w:rsid w:val="00612D35"/>
    <w:rsid w:val="00613CE8"/>
    <w:rsid w:val="00616D63"/>
    <w:rsid w:val="00631CF2"/>
    <w:rsid w:val="0064154F"/>
    <w:rsid w:val="00641EA3"/>
    <w:rsid w:val="00645C99"/>
    <w:rsid w:val="006479B7"/>
    <w:rsid w:val="00650E9C"/>
    <w:rsid w:val="006523AA"/>
    <w:rsid w:val="006560B8"/>
    <w:rsid w:val="0066378F"/>
    <w:rsid w:val="0066390D"/>
    <w:rsid w:val="00673B05"/>
    <w:rsid w:val="0068144A"/>
    <w:rsid w:val="00687833"/>
    <w:rsid w:val="00687D38"/>
    <w:rsid w:val="00690D76"/>
    <w:rsid w:val="00691088"/>
    <w:rsid w:val="00691CEA"/>
    <w:rsid w:val="00692EDE"/>
    <w:rsid w:val="00693A6A"/>
    <w:rsid w:val="00697584"/>
    <w:rsid w:val="006A0EAF"/>
    <w:rsid w:val="006A1FEF"/>
    <w:rsid w:val="006A31A9"/>
    <w:rsid w:val="006A38ED"/>
    <w:rsid w:val="006A7BFC"/>
    <w:rsid w:val="006A7FC1"/>
    <w:rsid w:val="006B3FAA"/>
    <w:rsid w:val="006B40D5"/>
    <w:rsid w:val="006B442D"/>
    <w:rsid w:val="006B58AC"/>
    <w:rsid w:val="006B6652"/>
    <w:rsid w:val="006C080F"/>
    <w:rsid w:val="006C0999"/>
    <w:rsid w:val="006C50AA"/>
    <w:rsid w:val="006E2C06"/>
    <w:rsid w:val="006E49AD"/>
    <w:rsid w:val="006E6150"/>
    <w:rsid w:val="006E669F"/>
    <w:rsid w:val="006E6B36"/>
    <w:rsid w:val="006F0079"/>
    <w:rsid w:val="006F2EBD"/>
    <w:rsid w:val="006F566B"/>
    <w:rsid w:val="0071154C"/>
    <w:rsid w:val="00712752"/>
    <w:rsid w:val="00713D4A"/>
    <w:rsid w:val="00714634"/>
    <w:rsid w:val="0071622E"/>
    <w:rsid w:val="007168D8"/>
    <w:rsid w:val="00716CDF"/>
    <w:rsid w:val="007202EF"/>
    <w:rsid w:val="00721D22"/>
    <w:rsid w:val="0072367D"/>
    <w:rsid w:val="00724173"/>
    <w:rsid w:val="007276FA"/>
    <w:rsid w:val="007318A2"/>
    <w:rsid w:val="00732B6B"/>
    <w:rsid w:val="007370C7"/>
    <w:rsid w:val="0074095A"/>
    <w:rsid w:val="007529EC"/>
    <w:rsid w:val="00756EB3"/>
    <w:rsid w:val="0075766C"/>
    <w:rsid w:val="00764FFD"/>
    <w:rsid w:val="00766C59"/>
    <w:rsid w:val="0077525C"/>
    <w:rsid w:val="00775302"/>
    <w:rsid w:val="007770E7"/>
    <w:rsid w:val="0077741E"/>
    <w:rsid w:val="00782890"/>
    <w:rsid w:val="007858C7"/>
    <w:rsid w:val="00792761"/>
    <w:rsid w:val="007958C2"/>
    <w:rsid w:val="00796DD3"/>
    <w:rsid w:val="007A0296"/>
    <w:rsid w:val="007A34F4"/>
    <w:rsid w:val="007A430C"/>
    <w:rsid w:val="007A5006"/>
    <w:rsid w:val="007B484E"/>
    <w:rsid w:val="007B522D"/>
    <w:rsid w:val="007D2819"/>
    <w:rsid w:val="007D55B4"/>
    <w:rsid w:val="007D6DCD"/>
    <w:rsid w:val="007D74AA"/>
    <w:rsid w:val="007E4F7C"/>
    <w:rsid w:val="007E7A75"/>
    <w:rsid w:val="007E7F41"/>
    <w:rsid w:val="007F0311"/>
    <w:rsid w:val="007F2BC0"/>
    <w:rsid w:val="007F450C"/>
    <w:rsid w:val="007F6DBD"/>
    <w:rsid w:val="008001D8"/>
    <w:rsid w:val="0080149D"/>
    <w:rsid w:val="0080427E"/>
    <w:rsid w:val="00804559"/>
    <w:rsid w:val="008045F6"/>
    <w:rsid w:val="00805CD6"/>
    <w:rsid w:val="00810827"/>
    <w:rsid w:val="008111A0"/>
    <w:rsid w:val="0081216D"/>
    <w:rsid w:val="0081755F"/>
    <w:rsid w:val="008176CD"/>
    <w:rsid w:val="00817ACB"/>
    <w:rsid w:val="00817B31"/>
    <w:rsid w:val="00822630"/>
    <w:rsid w:val="008237B5"/>
    <w:rsid w:val="008246BB"/>
    <w:rsid w:val="00824C70"/>
    <w:rsid w:val="00842682"/>
    <w:rsid w:val="00844F23"/>
    <w:rsid w:val="008457E1"/>
    <w:rsid w:val="008479E7"/>
    <w:rsid w:val="00852C0C"/>
    <w:rsid w:val="008538B6"/>
    <w:rsid w:val="00862373"/>
    <w:rsid w:val="008629EF"/>
    <w:rsid w:val="008807AD"/>
    <w:rsid w:val="00884738"/>
    <w:rsid w:val="00884EE2"/>
    <w:rsid w:val="00885A4C"/>
    <w:rsid w:val="008861AA"/>
    <w:rsid w:val="00887901"/>
    <w:rsid w:val="0089104A"/>
    <w:rsid w:val="00891D23"/>
    <w:rsid w:val="00895893"/>
    <w:rsid w:val="008A3F20"/>
    <w:rsid w:val="008A59A1"/>
    <w:rsid w:val="008B006D"/>
    <w:rsid w:val="008B3483"/>
    <w:rsid w:val="008B4793"/>
    <w:rsid w:val="008B4D89"/>
    <w:rsid w:val="008B5130"/>
    <w:rsid w:val="008B65C4"/>
    <w:rsid w:val="008B7089"/>
    <w:rsid w:val="008B72BD"/>
    <w:rsid w:val="008B7CDD"/>
    <w:rsid w:val="008B7F3C"/>
    <w:rsid w:val="008C76D5"/>
    <w:rsid w:val="008D597C"/>
    <w:rsid w:val="008D6AFC"/>
    <w:rsid w:val="008F14C0"/>
    <w:rsid w:val="008F34F8"/>
    <w:rsid w:val="008F6C92"/>
    <w:rsid w:val="009072A8"/>
    <w:rsid w:val="00907692"/>
    <w:rsid w:val="009102B4"/>
    <w:rsid w:val="00910D30"/>
    <w:rsid w:val="0091501D"/>
    <w:rsid w:val="00920BA7"/>
    <w:rsid w:val="00925430"/>
    <w:rsid w:val="009326BA"/>
    <w:rsid w:val="00936069"/>
    <w:rsid w:val="009361CC"/>
    <w:rsid w:val="0093653C"/>
    <w:rsid w:val="00940320"/>
    <w:rsid w:val="00943419"/>
    <w:rsid w:val="00944504"/>
    <w:rsid w:val="00947532"/>
    <w:rsid w:val="00947CF7"/>
    <w:rsid w:val="00951AEE"/>
    <w:rsid w:val="0095263E"/>
    <w:rsid w:val="00952ABB"/>
    <w:rsid w:val="00953A42"/>
    <w:rsid w:val="00954A35"/>
    <w:rsid w:val="00962FCA"/>
    <w:rsid w:val="00964F13"/>
    <w:rsid w:val="00966ACA"/>
    <w:rsid w:val="00972CF8"/>
    <w:rsid w:val="00973789"/>
    <w:rsid w:val="0097474D"/>
    <w:rsid w:val="00974761"/>
    <w:rsid w:val="0097574C"/>
    <w:rsid w:val="0097636F"/>
    <w:rsid w:val="00977D42"/>
    <w:rsid w:val="00981A6F"/>
    <w:rsid w:val="009825C3"/>
    <w:rsid w:val="00984561"/>
    <w:rsid w:val="00984DF7"/>
    <w:rsid w:val="009908FC"/>
    <w:rsid w:val="0099555B"/>
    <w:rsid w:val="009A05B3"/>
    <w:rsid w:val="009A283D"/>
    <w:rsid w:val="009A73DA"/>
    <w:rsid w:val="009B2464"/>
    <w:rsid w:val="009B437E"/>
    <w:rsid w:val="009B627E"/>
    <w:rsid w:val="009B7984"/>
    <w:rsid w:val="009C3481"/>
    <w:rsid w:val="009C3ACF"/>
    <w:rsid w:val="009C5AF2"/>
    <w:rsid w:val="009C72F8"/>
    <w:rsid w:val="009D2706"/>
    <w:rsid w:val="009D3F11"/>
    <w:rsid w:val="009F0378"/>
    <w:rsid w:val="009F1BB3"/>
    <w:rsid w:val="009F4854"/>
    <w:rsid w:val="009F617E"/>
    <w:rsid w:val="009F6417"/>
    <w:rsid w:val="00A03794"/>
    <w:rsid w:val="00A03F29"/>
    <w:rsid w:val="00A04ABC"/>
    <w:rsid w:val="00A100A7"/>
    <w:rsid w:val="00A1455B"/>
    <w:rsid w:val="00A14AAA"/>
    <w:rsid w:val="00A14C2F"/>
    <w:rsid w:val="00A22DE3"/>
    <w:rsid w:val="00A26A0D"/>
    <w:rsid w:val="00A31524"/>
    <w:rsid w:val="00A32974"/>
    <w:rsid w:val="00A40C7B"/>
    <w:rsid w:val="00A443CC"/>
    <w:rsid w:val="00A50514"/>
    <w:rsid w:val="00A51AAE"/>
    <w:rsid w:val="00A5246B"/>
    <w:rsid w:val="00A53CEA"/>
    <w:rsid w:val="00A55991"/>
    <w:rsid w:val="00A569C2"/>
    <w:rsid w:val="00A5753F"/>
    <w:rsid w:val="00A5787E"/>
    <w:rsid w:val="00A75294"/>
    <w:rsid w:val="00A753F1"/>
    <w:rsid w:val="00A75B11"/>
    <w:rsid w:val="00A76803"/>
    <w:rsid w:val="00A83B60"/>
    <w:rsid w:val="00A86112"/>
    <w:rsid w:val="00A922CB"/>
    <w:rsid w:val="00A9296D"/>
    <w:rsid w:val="00A93CCE"/>
    <w:rsid w:val="00A957DC"/>
    <w:rsid w:val="00A96E55"/>
    <w:rsid w:val="00AA6344"/>
    <w:rsid w:val="00AA6D07"/>
    <w:rsid w:val="00AA7BA2"/>
    <w:rsid w:val="00AB17A8"/>
    <w:rsid w:val="00AB4AF4"/>
    <w:rsid w:val="00AB571E"/>
    <w:rsid w:val="00AB62D5"/>
    <w:rsid w:val="00AB6852"/>
    <w:rsid w:val="00AB68D1"/>
    <w:rsid w:val="00AB6F63"/>
    <w:rsid w:val="00AB754E"/>
    <w:rsid w:val="00AB786F"/>
    <w:rsid w:val="00AC05DA"/>
    <w:rsid w:val="00AC19AB"/>
    <w:rsid w:val="00AC2097"/>
    <w:rsid w:val="00AC2DBF"/>
    <w:rsid w:val="00AC4090"/>
    <w:rsid w:val="00AC691A"/>
    <w:rsid w:val="00AC7C39"/>
    <w:rsid w:val="00AC7CDF"/>
    <w:rsid w:val="00AD5D1B"/>
    <w:rsid w:val="00AD6068"/>
    <w:rsid w:val="00AD71C9"/>
    <w:rsid w:val="00AD7305"/>
    <w:rsid w:val="00AE4BFF"/>
    <w:rsid w:val="00AF000F"/>
    <w:rsid w:val="00AF3709"/>
    <w:rsid w:val="00AF3DDD"/>
    <w:rsid w:val="00AF64C7"/>
    <w:rsid w:val="00AF73CC"/>
    <w:rsid w:val="00AF7EB6"/>
    <w:rsid w:val="00B00633"/>
    <w:rsid w:val="00B03A6B"/>
    <w:rsid w:val="00B101AD"/>
    <w:rsid w:val="00B120CD"/>
    <w:rsid w:val="00B12B24"/>
    <w:rsid w:val="00B12ED5"/>
    <w:rsid w:val="00B134D2"/>
    <w:rsid w:val="00B13C55"/>
    <w:rsid w:val="00B1466C"/>
    <w:rsid w:val="00B15D83"/>
    <w:rsid w:val="00B20993"/>
    <w:rsid w:val="00B20D69"/>
    <w:rsid w:val="00B21A45"/>
    <w:rsid w:val="00B23879"/>
    <w:rsid w:val="00B24F51"/>
    <w:rsid w:val="00B25CE4"/>
    <w:rsid w:val="00B27649"/>
    <w:rsid w:val="00B35E38"/>
    <w:rsid w:val="00B37012"/>
    <w:rsid w:val="00B418EB"/>
    <w:rsid w:val="00B41EA1"/>
    <w:rsid w:val="00B47ABA"/>
    <w:rsid w:val="00B511DC"/>
    <w:rsid w:val="00B51F24"/>
    <w:rsid w:val="00B53033"/>
    <w:rsid w:val="00B551B8"/>
    <w:rsid w:val="00B558C8"/>
    <w:rsid w:val="00B55F20"/>
    <w:rsid w:val="00B560B8"/>
    <w:rsid w:val="00B56E7B"/>
    <w:rsid w:val="00B67121"/>
    <w:rsid w:val="00B70241"/>
    <w:rsid w:val="00B708DD"/>
    <w:rsid w:val="00B73427"/>
    <w:rsid w:val="00B73D30"/>
    <w:rsid w:val="00B75DA8"/>
    <w:rsid w:val="00B77664"/>
    <w:rsid w:val="00B821A9"/>
    <w:rsid w:val="00B8470F"/>
    <w:rsid w:val="00B854B5"/>
    <w:rsid w:val="00B9084D"/>
    <w:rsid w:val="00B9525F"/>
    <w:rsid w:val="00B959A6"/>
    <w:rsid w:val="00BA19AA"/>
    <w:rsid w:val="00BA1D3F"/>
    <w:rsid w:val="00BA3BBE"/>
    <w:rsid w:val="00BA71A7"/>
    <w:rsid w:val="00BB3A05"/>
    <w:rsid w:val="00BC0976"/>
    <w:rsid w:val="00BC1A58"/>
    <w:rsid w:val="00BC2801"/>
    <w:rsid w:val="00BC2A4C"/>
    <w:rsid w:val="00BC4917"/>
    <w:rsid w:val="00BC5571"/>
    <w:rsid w:val="00BC7867"/>
    <w:rsid w:val="00BD2F9F"/>
    <w:rsid w:val="00BD68D7"/>
    <w:rsid w:val="00BE0D42"/>
    <w:rsid w:val="00BE371B"/>
    <w:rsid w:val="00BE3F81"/>
    <w:rsid w:val="00BE4DFA"/>
    <w:rsid w:val="00BE63C7"/>
    <w:rsid w:val="00BF1B2D"/>
    <w:rsid w:val="00BF2678"/>
    <w:rsid w:val="00BF4BE3"/>
    <w:rsid w:val="00BF7D6E"/>
    <w:rsid w:val="00C00AAD"/>
    <w:rsid w:val="00C00F14"/>
    <w:rsid w:val="00C10F5D"/>
    <w:rsid w:val="00C12289"/>
    <w:rsid w:val="00C1556E"/>
    <w:rsid w:val="00C2280D"/>
    <w:rsid w:val="00C23750"/>
    <w:rsid w:val="00C3432C"/>
    <w:rsid w:val="00C36283"/>
    <w:rsid w:val="00C406C0"/>
    <w:rsid w:val="00C43867"/>
    <w:rsid w:val="00C44426"/>
    <w:rsid w:val="00C44E7D"/>
    <w:rsid w:val="00C460D7"/>
    <w:rsid w:val="00C461C9"/>
    <w:rsid w:val="00C463DF"/>
    <w:rsid w:val="00C52520"/>
    <w:rsid w:val="00C64FA6"/>
    <w:rsid w:val="00C652A6"/>
    <w:rsid w:val="00C660AB"/>
    <w:rsid w:val="00C663E2"/>
    <w:rsid w:val="00C66B55"/>
    <w:rsid w:val="00C67579"/>
    <w:rsid w:val="00C716E9"/>
    <w:rsid w:val="00C727E0"/>
    <w:rsid w:val="00C7303F"/>
    <w:rsid w:val="00C737FA"/>
    <w:rsid w:val="00C7634E"/>
    <w:rsid w:val="00C81C1A"/>
    <w:rsid w:val="00C8419E"/>
    <w:rsid w:val="00C84D9A"/>
    <w:rsid w:val="00C86049"/>
    <w:rsid w:val="00C945AE"/>
    <w:rsid w:val="00C97B15"/>
    <w:rsid w:val="00CA0801"/>
    <w:rsid w:val="00CA0E73"/>
    <w:rsid w:val="00CA368A"/>
    <w:rsid w:val="00CA5D67"/>
    <w:rsid w:val="00CA70F1"/>
    <w:rsid w:val="00CB02C5"/>
    <w:rsid w:val="00CB0C75"/>
    <w:rsid w:val="00CB5018"/>
    <w:rsid w:val="00CC242A"/>
    <w:rsid w:val="00CC3F0B"/>
    <w:rsid w:val="00CC52DA"/>
    <w:rsid w:val="00CC6DF7"/>
    <w:rsid w:val="00CD4929"/>
    <w:rsid w:val="00CD6DE0"/>
    <w:rsid w:val="00CE565E"/>
    <w:rsid w:val="00CF4CF0"/>
    <w:rsid w:val="00CF78D2"/>
    <w:rsid w:val="00D10381"/>
    <w:rsid w:val="00D10F78"/>
    <w:rsid w:val="00D11BCA"/>
    <w:rsid w:val="00D1224C"/>
    <w:rsid w:val="00D13A53"/>
    <w:rsid w:val="00D21B3B"/>
    <w:rsid w:val="00D26852"/>
    <w:rsid w:val="00D276F9"/>
    <w:rsid w:val="00D318FA"/>
    <w:rsid w:val="00D35621"/>
    <w:rsid w:val="00D40556"/>
    <w:rsid w:val="00D42ADB"/>
    <w:rsid w:val="00D55AEF"/>
    <w:rsid w:val="00D578AF"/>
    <w:rsid w:val="00D64DEA"/>
    <w:rsid w:val="00D67813"/>
    <w:rsid w:val="00D739E9"/>
    <w:rsid w:val="00D74499"/>
    <w:rsid w:val="00D7584E"/>
    <w:rsid w:val="00D7606C"/>
    <w:rsid w:val="00D765DB"/>
    <w:rsid w:val="00D76A72"/>
    <w:rsid w:val="00D80D93"/>
    <w:rsid w:val="00D82809"/>
    <w:rsid w:val="00D84929"/>
    <w:rsid w:val="00D866CB"/>
    <w:rsid w:val="00D95691"/>
    <w:rsid w:val="00D95BB5"/>
    <w:rsid w:val="00D97411"/>
    <w:rsid w:val="00DA1F74"/>
    <w:rsid w:val="00DB0656"/>
    <w:rsid w:val="00DB1587"/>
    <w:rsid w:val="00DB7E96"/>
    <w:rsid w:val="00DC4E69"/>
    <w:rsid w:val="00DC7A03"/>
    <w:rsid w:val="00DD1572"/>
    <w:rsid w:val="00DD7B27"/>
    <w:rsid w:val="00DE048B"/>
    <w:rsid w:val="00DE504F"/>
    <w:rsid w:val="00DE6DCA"/>
    <w:rsid w:val="00DF15CD"/>
    <w:rsid w:val="00DF1C1F"/>
    <w:rsid w:val="00DF3BD4"/>
    <w:rsid w:val="00DF46EB"/>
    <w:rsid w:val="00DF68A0"/>
    <w:rsid w:val="00DF6EB0"/>
    <w:rsid w:val="00DF79C4"/>
    <w:rsid w:val="00E005DF"/>
    <w:rsid w:val="00E00755"/>
    <w:rsid w:val="00E00FE4"/>
    <w:rsid w:val="00E040C3"/>
    <w:rsid w:val="00E10EC2"/>
    <w:rsid w:val="00E11BBF"/>
    <w:rsid w:val="00E120F8"/>
    <w:rsid w:val="00E12CA4"/>
    <w:rsid w:val="00E13A18"/>
    <w:rsid w:val="00E147A7"/>
    <w:rsid w:val="00E150EA"/>
    <w:rsid w:val="00E223EB"/>
    <w:rsid w:val="00E23D26"/>
    <w:rsid w:val="00E24B10"/>
    <w:rsid w:val="00E24FA3"/>
    <w:rsid w:val="00E254F5"/>
    <w:rsid w:val="00E25C9F"/>
    <w:rsid w:val="00E274F6"/>
    <w:rsid w:val="00E321FB"/>
    <w:rsid w:val="00E34226"/>
    <w:rsid w:val="00E4417C"/>
    <w:rsid w:val="00E46B2E"/>
    <w:rsid w:val="00E47148"/>
    <w:rsid w:val="00E5095C"/>
    <w:rsid w:val="00E525D0"/>
    <w:rsid w:val="00E53D89"/>
    <w:rsid w:val="00E55538"/>
    <w:rsid w:val="00E5737B"/>
    <w:rsid w:val="00E6063C"/>
    <w:rsid w:val="00E64CEF"/>
    <w:rsid w:val="00E655FF"/>
    <w:rsid w:val="00E677AD"/>
    <w:rsid w:val="00E71BAF"/>
    <w:rsid w:val="00E71E08"/>
    <w:rsid w:val="00E7271F"/>
    <w:rsid w:val="00E73324"/>
    <w:rsid w:val="00E81276"/>
    <w:rsid w:val="00E83469"/>
    <w:rsid w:val="00E94F84"/>
    <w:rsid w:val="00E96D2E"/>
    <w:rsid w:val="00E977E9"/>
    <w:rsid w:val="00EA282A"/>
    <w:rsid w:val="00EA6E53"/>
    <w:rsid w:val="00EB0051"/>
    <w:rsid w:val="00EB236A"/>
    <w:rsid w:val="00EB344B"/>
    <w:rsid w:val="00EB475F"/>
    <w:rsid w:val="00EC07F1"/>
    <w:rsid w:val="00EC28D6"/>
    <w:rsid w:val="00EC420A"/>
    <w:rsid w:val="00EC47E2"/>
    <w:rsid w:val="00EC790A"/>
    <w:rsid w:val="00ED27AA"/>
    <w:rsid w:val="00ED3686"/>
    <w:rsid w:val="00ED4E50"/>
    <w:rsid w:val="00ED52AE"/>
    <w:rsid w:val="00ED55A1"/>
    <w:rsid w:val="00EE09F3"/>
    <w:rsid w:val="00EE0B16"/>
    <w:rsid w:val="00EE0D55"/>
    <w:rsid w:val="00EE5B17"/>
    <w:rsid w:val="00EE6F22"/>
    <w:rsid w:val="00EF112D"/>
    <w:rsid w:val="00F012CA"/>
    <w:rsid w:val="00F04FF1"/>
    <w:rsid w:val="00F1040B"/>
    <w:rsid w:val="00F1406D"/>
    <w:rsid w:val="00F14B8F"/>
    <w:rsid w:val="00F171D3"/>
    <w:rsid w:val="00F22238"/>
    <w:rsid w:val="00F22E3F"/>
    <w:rsid w:val="00F26339"/>
    <w:rsid w:val="00F2651A"/>
    <w:rsid w:val="00F26C83"/>
    <w:rsid w:val="00F35962"/>
    <w:rsid w:val="00F40110"/>
    <w:rsid w:val="00F4577F"/>
    <w:rsid w:val="00F51D6C"/>
    <w:rsid w:val="00F520C0"/>
    <w:rsid w:val="00F562A4"/>
    <w:rsid w:val="00F56469"/>
    <w:rsid w:val="00F6109D"/>
    <w:rsid w:val="00F61C67"/>
    <w:rsid w:val="00F6352A"/>
    <w:rsid w:val="00F67FF7"/>
    <w:rsid w:val="00F76EC5"/>
    <w:rsid w:val="00F80593"/>
    <w:rsid w:val="00F820E0"/>
    <w:rsid w:val="00F82A29"/>
    <w:rsid w:val="00F83CA8"/>
    <w:rsid w:val="00F84388"/>
    <w:rsid w:val="00F87B22"/>
    <w:rsid w:val="00F9040E"/>
    <w:rsid w:val="00F9155E"/>
    <w:rsid w:val="00F92496"/>
    <w:rsid w:val="00F92622"/>
    <w:rsid w:val="00F94C85"/>
    <w:rsid w:val="00FA05C2"/>
    <w:rsid w:val="00FA5C01"/>
    <w:rsid w:val="00FA6E67"/>
    <w:rsid w:val="00FB17C7"/>
    <w:rsid w:val="00FB22F8"/>
    <w:rsid w:val="00FB48E3"/>
    <w:rsid w:val="00FB60E5"/>
    <w:rsid w:val="00FB672A"/>
    <w:rsid w:val="00FB7C55"/>
    <w:rsid w:val="00FC020F"/>
    <w:rsid w:val="00FC0A71"/>
    <w:rsid w:val="00FC4296"/>
    <w:rsid w:val="00FC57D9"/>
    <w:rsid w:val="00FC5946"/>
    <w:rsid w:val="00FD058D"/>
    <w:rsid w:val="00FD10FC"/>
    <w:rsid w:val="00FD4F69"/>
    <w:rsid w:val="00FD70EE"/>
    <w:rsid w:val="00FE3896"/>
    <w:rsid w:val="00FE3C92"/>
    <w:rsid w:val="00FE4001"/>
    <w:rsid w:val="00FE48DC"/>
    <w:rsid w:val="00FE6597"/>
    <w:rsid w:val="00FE7792"/>
    <w:rsid w:val="00FF2C4A"/>
    <w:rsid w:val="00FF64B6"/>
    <w:rsid w:val="00FF68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CE46C1-4BC7-43C9-851B-E1BA7791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18F"/>
    <w:rPr>
      <w:sz w:val="24"/>
      <w:szCs w:val="24"/>
    </w:rPr>
  </w:style>
  <w:style w:type="character" w:default="1" w:styleId="Predvolenpsmoodseku">
    <w:name w:val="Default Paragraph Font"/>
    <w:uiPriority w:val="1"/>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rsid w:val="0009118F"/>
    <w:pPr>
      <w:spacing w:before="100" w:beforeAutospacing="1" w:after="100" w:afterAutospacing="1"/>
    </w:pPr>
  </w:style>
  <w:style w:type="paragraph" w:styleId="Zarkazkladnhotextu">
    <w:name w:val="Body Text Indent"/>
    <w:basedOn w:val="Normlny"/>
    <w:link w:val="ZarkazkladnhotextuChar"/>
    <w:uiPriority w:val="99"/>
    <w:rsid w:val="0009118F"/>
    <w:pPr>
      <w:ind w:firstLine="708"/>
      <w:jc w:val="both"/>
    </w:pPr>
  </w:style>
  <w:style w:type="character" w:customStyle="1" w:styleId="ZarkazkladnhotextuChar">
    <w:name w:val="Zarážka základného textu Char"/>
    <w:basedOn w:val="Predvolenpsmoodseku"/>
    <w:link w:val="Zarkazkladnhotextu"/>
    <w:uiPriority w:val="99"/>
    <w:semiHidden/>
    <w:locked/>
    <w:rPr>
      <w:rFonts w:cs="Times New Roman"/>
      <w:sz w:val="24"/>
    </w:rPr>
  </w:style>
  <w:style w:type="paragraph" w:styleId="Textpoznmkypodiarou">
    <w:name w:val="footnote text"/>
    <w:basedOn w:val="Normlny"/>
    <w:link w:val="TextpoznmkypodiarouChar"/>
    <w:uiPriority w:val="99"/>
    <w:semiHidden/>
    <w:rsid w:val="0009118F"/>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rPr>
  </w:style>
  <w:style w:type="paragraph" w:styleId="Zarkazkladnhotextu3">
    <w:name w:val="Body Text Indent 3"/>
    <w:basedOn w:val="Normlny"/>
    <w:link w:val="Zarkazkladnhotextu3Char"/>
    <w:uiPriority w:val="99"/>
    <w:rsid w:val="0009118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Pr>
      <w:rFonts w:cs="Times New Roman"/>
      <w:sz w:val="16"/>
    </w:rPr>
  </w:style>
  <w:style w:type="paragraph" w:styleId="Pta">
    <w:name w:val="footer"/>
    <w:basedOn w:val="Normlny"/>
    <w:link w:val="PtaChar"/>
    <w:uiPriority w:val="99"/>
    <w:rsid w:val="0009118F"/>
    <w:pPr>
      <w:tabs>
        <w:tab w:val="center" w:pos="4536"/>
        <w:tab w:val="right" w:pos="9072"/>
      </w:tabs>
    </w:pPr>
  </w:style>
  <w:style w:type="character" w:customStyle="1" w:styleId="PtaChar">
    <w:name w:val="Päta Char"/>
    <w:basedOn w:val="Predvolenpsmoodseku"/>
    <w:link w:val="Pta"/>
    <w:uiPriority w:val="99"/>
    <w:locked/>
    <w:rPr>
      <w:rFonts w:cs="Times New Roman"/>
      <w:sz w:val="24"/>
    </w:rPr>
  </w:style>
  <w:style w:type="character" w:styleId="slostrany">
    <w:name w:val="page number"/>
    <w:basedOn w:val="Predvolenpsmoodseku"/>
    <w:uiPriority w:val="99"/>
    <w:rsid w:val="0009118F"/>
    <w:rPr>
      <w:rFonts w:cs="Times New Roman"/>
    </w:rPr>
  </w:style>
  <w:style w:type="paragraph" w:customStyle="1" w:styleId="text-textrozhodnutia">
    <w:name w:val="text - text rozhodnutia"/>
    <w:link w:val="text-textrozhodnutiaChar"/>
    <w:rsid w:val="009A05B3"/>
    <w:pPr>
      <w:spacing w:line="360" w:lineRule="auto"/>
      <w:ind w:firstLine="709"/>
      <w:jc w:val="both"/>
    </w:pPr>
    <w:rPr>
      <w:sz w:val="26"/>
      <w:lang w:eastAsia="en-US"/>
    </w:rPr>
  </w:style>
  <w:style w:type="character" w:customStyle="1" w:styleId="text-textrozhodnutiaChar">
    <w:name w:val="text - text rozhodnutia Char"/>
    <w:link w:val="text-textrozhodnutia"/>
    <w:locked/>
    <w:rsid w:val="009A05B3"/>
    <w:rPr>
      <w:sz w:val="26"/>
      <w:lang w:val="x-none" w:eastAsia="en-US"/>
    </w:rPr>
  </w:style>
  <w:style w:type="character" w:styleId="Odkaznapoznmkupodiarou">
    <w:name w:val="footnote reference"/>
    <w:basedOn w:val="Predvolenpsmoodseku"/>
    <w:uiPriority w:val="99"/>
    <w:rsid w:val="00E120F8"/>
    <w:rPr>
      <w:rFonts w:cs="Times New Roman"/>
      <w:vertAlign w:val="superscript"/>
    </w:rPr>
  </w:style>
  <w:style w:type="paragraph" w:styleId="Odsekzoznamu">
    <w:name w:val="List Paragraph"/>
    <w:basedOn w:val="Normlny"/>
    <w:uiPriority w:val="99"/>
    <w:qFormat/>
    <w:rsid w:val="00554E5C"/>
    <w:pPr>
      <w:ind w:left="720"/>
      <w:contextualSpacing/>
    </w:pPr>
  </w:style>
  <w:style w:type="paragraph" w:styleId="Hlavika">
    <w:name w:val="header"/>
    <w:basedOn w:val="Normlny"/>
    <w:link w:val="HlavikaChar"/>
    <w:uiPriority w:val="99"/>
    <w:rsid w:val="006F0079"/>
    <w:pPr>
      <w:tabs>
        <w:tab w:val="center" w:pos="4536"/>
        <w:tab w:val="right" w:pos="9072"/>
      </w:tabs>
    </w:pPr>
  </w:style>
  <w:style w:type="character" w:customStyle="1" w:styleId="HlavikaChar">
    <w:name w:val="Hlavička Char"/>
    <w:basedOn w:val="Predvolenpsmoodseku"/>
    <w:link w:val="Hlavika"/>
    <w:uiPriority w:val="99"/>
    <w:locked/>
    <w:rsid w:val="006F0079"/>
    <w:rPr>
      <w:rFonts w:cs="Times New Roman"/>
      <w:sz w:val="24"/>
    </w:rPr>
  </w:style>
  <w:style w:type="paragraph" w:styleId="Textbubliny">
    <w:name w:val="Balloon Text"/>
    <w:basedOn w:val="Normlny"/>
    <w:link w:val="TextbublinyChar"/>
    <w:uiPriority w:val="99"/>
    <w:rsid w:val="007958C2"/>
    <w:rPr>
      <w:rFonts w:ascii="Segoe UI" w:hAnsi="Segoe UI" w:cs="Segoe UI"/>
      <w:sz w:val="18"/>
      <w:szCs w:val="18"/>
    </w:rPr>
  </w:style>
  <w:style w:type="character" w:customStyle="1" w:styleId="TextbublinyChar">
    <w:name w:val="Text bubliny Char"/>
    <w:basedOn w:val="Predvolenpsmoodseku"/>
    <w:link w:val="Textbubliny"/>
    <w:uiPriority w:val="99"/>
    <w:locked/>
    <w:rsid w:val="007958C2"/>
    <w:rPr>
      <w:rFonts w:ascii="Segoe UI" w:hAnsi="Segoe UI" w:cs="Times New Roman"/>
      <w:sz w:val="18"/>
    </w:rPr>
  </w:style>
  <w:style w:type="character" w:styleId="Odkaznakomentr">
    <w:name w:val="annotation reference"/>
    <w:basedOn w:val="Predvolenpsmoodseku"/>
    <w:uiPriority w:val="99"/>
    <w:rsid w:val="007958C2"/>
    <w:rPr>
      <w:rFonts w:cs="Times New Roman"/>
      <w:sz w:val="16"/>
    </w:rPr>
  </w:style>
  <w:style w:type="paragraph" w:styleId="Textkomentra">
    <w:name w:val="annotation text"/>
    <w:basedOn w:val="Normlny"/>
    <w:link w:val="TextkomentraChar"/>
    <w:uiPriority w:val="99"/>
    <w:rsid w:val="007958C2"/>
    <w:rPr>
      <w:sz w:val="20"/>
      <w:szCs w:val="20"/>
    </w:rPr>
  </w:style>
  <w:style w:type="character" w:customStyle="1" w:styleId="TextkomentraChar">
    <w:name w:val="Text komentára Char"/>
    <w:basedOn w:val="Predvolenpsmoodseku"/>
    <w:link w:val="Textkomentra"/>
    <w:uiPriority w:val="99"/>
    <w:locked/>
    <w:rsid w:val="007958C2"/>
    <w:rPr>
      <w:rFonts w:cs="Times New Roman"/>
    </w:rPr>
  </w:style>
  <w:style w:type="paragraph" w:styleId="Predmetkomentra">
    <w:name w:val="annotation subject"/>
    <w:basedOn w:val="Textkomentra"/>
    <w:next w:val="Textkomentra"/>
    <w:link w:val="PredmetkomentraChar"/>
    <w:uiPriority w:val="99"/>
    <w:rsid w:val="007958C2"/>
    <w:rPr>
      <w:b/>
      <w:bCs/>
    </w:rPr>
  </w:style>
  <w:style w:type="character" w:customStyle="1" w:styleId="PredmetkomentraChar">
    <w:name w:val="Predmet komentára Char"/>
    <w:basedOn w:val="TextkomentraChar"/>
    <w:link w:val="Predmetkomentra"/>
    <w:uiPriority w:val="99"/>
    <w:locked/>
    <w:rsid w:val="007958C2"/>
    <w:rPr>
      <w:rFonts w:cs="Times New Roman"/>
      <w:b/>
    </w:rPr>
  </w:style>
  <w:style w:type="paragraph" w:styleId="Zkladntext">
    <w:name w:val="Body Text"/>
    <w:basedOn w:val="Normlny"/>
    <w:link w:val="ZkladntextChar"/>
    <w:uiPriority w:val="99"/>
    <w:rsid w:val="00BF2678"/>
    <w:pPr>
      <w:spacing w:after="120"/>
    </w:pPr>
  </w:style>
  <w:style w:type="character" w:customStyle="1" w:styleId="ZkladntextChar">
    <w:name w:val="Základný text Char"/>
    <w:basedOn w:val="Predvolenpsmoodseku"/>
    <w:link w:val="Zkladntext"/>
    <w:uiPriority w:val="99"/>
    <w:locked/>
    <w:rsid w:val="00BF2678"/>
    <w:rPr>
      <w:rFonts w:cs="Times New Roman"/>
      <w:sz w:val="24"/>
      <w:szCs w:val="24"/>
    </w:rPr>
  </w:style>
  <w:style w:type="character" w:styleId="Hypertextovprepojenie">
    <w:name w:val="Hyperlink"/>
    <w:basedOn w:val="Predvolenpsmoodseku"/>
    <w:uiPriority w:val="99"/>
    <w:unhideWhenUsed/>
    <w:rsid w:val="008479E7"/>
    <w:rPr>
      <w:rFonts w:cs="Times New Roman"/>
      <w:color w:val="0000FF"/>
      <w:u w:val="single"/>
    </w:rPr>
  </w:style>
  <w:style w:type="table" w:styleId="Mriekatabuky">
    <w:name w:val="Table Grid"/>
    <w:basedOn w:val="Normlnatabuka"/>
    <w:uiPriority w:val="99"/>
    <w:unhideWhenUsed/>
    <w:rsid w:val="008479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wspan">
    <w:name w:val="awspan"/>
    <w:rsid w:val="0084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154938">
      <w:marLeft w:val="0"/>
      <w:marRight w:val="0"/>
      <w:marTop w:val="0"/>
      <w:marBottom w:val="0"/>
      <w:divBdr>
        <w:top w:val="none" w:sz="0" w:space="0" w:color="auto"/>
        <w:left w:val="none" w:sz="0" w:space="0" w:color="auto"/>
        <w:bottom w:val="none" w:sz="0" w:space="0" w:color="auto"/>
        <w:right w:val="none" w:sz="0" w:space="0" w:color="auto"/>
      </w:divBdr>
    </w:div>
    <w:div w:id="1730154945">
      <w:marLeft w:val="0"/>
      <w:marRight w:val="0"/>
      <w:marTop w:val="0"/>
      <w:marBottom w:val="0"/>
      <w:divBdr>
        <w:top w:val="none" w:sz="0" w:space="0" w:color="auto"/>
        <w:left w:val="none" w:sz="0" w:space="0" w:color="auto"/>
        <w:bottom w:val="none" w:sz="0" w:space="0" w:color="auto"/>
        <w:right w:val="none" w:sz="0" w:space="0" w:color="auto"/>
      </w:divBdr>
      <w:divsChild>
        <w:div w:id="1730154943">
          <w:marLeft w:val="0"/>
          <w:marRight w:val="75"/>
          <w:marTop w:val="0"/>
          <w:marBottom w:val="0"/>
          <w:divBdr>
            <w:top w:val="none" w:sz="0" w:space="0" w:color="auto"/>
            <w:left w:val="none" w:sz="0" w:space="0" w:color="auto"/>
            <w:bottom w:val="none" w:sz="0" w:space="0" w:color="auto"/>
            <w:right w:val="none" w:sz="0" w:space="0" w:color="auto"/>
          </w:divBdr>
        </w:div>
        <w:div w:id="1730154948">
          <w:marLeft w:val="0"/>
          <w:marRight w:val="0"/>
          <w:marTop w:val="0"/>
          <w:marBottom w:val="300"/>
          <w:divBdr>
            <w:top w:val="none" w:sz="0" w:space="0" w:color="auto"/>
            <w:left w:val="none" w:sz="0" w:space="0" w:color="auto"/>
            <w:bottom w:val="none" w:sz="0" w:space="0" w:color="auto"/>
            <w:right w:val="none" w:sz="0" w:space="0" w:color="auto"/>
          </w:divBdr>
        </w:div>
        <w:div w:id="1730154963">
          <w:marLeft w:val="255"/>
          <w:marRight w:val="0"/>
          <w:marTop w:val="75"/>
          <w:marBottom w:val="0"/>
          <w:divBdr>
            <w:top w:val="none" w:sz="0" w:space="0" w:color="auto"/>
            <w:left w:val="none" w:sz="0" w:space="0" w:color="auto"/>
            <w:bottom w:val="none" w:sz="0" w:space="0" w:color="auto"/>
            <w:right w:val="none" w:sz="0" w:space="0" w:color="auto"/>
          </w:divBdr>
          <w:divsChild>
            <w:div w:id="1730154940">
              <w:marLeft w:val="255"/>
              <w:marRight w:val="0"/>
              <w:marTop w:val="0"/>
              <w:marBottom w:val="0"/>
              <w:divBdr>
                <w:top w:val="none" w:sz="0" w:space="0" w:color="auto"/>
                <w:left w:val="none" w:sz="0" w:space="0" w:color="auto"/>
                <w:bottom w:val="none" w:sz="0" w:space="0" w:color="auto"/>
                <w:right w:val="none" w:sz="0" w:space="0" w:color="auto"/>
              </w:divBdr>
            </w:div>
            <w:div w:id="1730154941">
              <w:marLeft w:val="255"/>
              <w:marRight w:val="0"/>
              <w:marTop w:val="0"/>
              <w:marBottom w:val="0"/>
              <w:divBdr>
                <w:top w:val="none" w:sz="0" w:space="0" w:color="auto"/>
                <w:left w:val="none" w:sz="0" w:space="0" w:color="auto"/>
                <w:bottom w:val="none" w:sz="0" w:space="0" w:color="auto"/>
                <w:right w:val="none" w:sz="0" w:space="0" w:color="auto"/>
              </w:divBdr>
            </w:div>
            <w:div w:id="173015494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30154947">
      <w:marLeft w:val="0"/>
      <w:marRight w:val="0"/>
      <w:marTop w:val="0"/>
      <w:marBottom w:val="0"/>
      <w:divBdr>
        <w:top w:val="none" w:sz="0" w:space="0" w:color="auto"/>
        <w:left w:val="none" w:sz="0" w:space="0" w:color="auto"/>
        <w:bottom w:val="none" w:sz="0" w:space="0" w:color="auto"/>
        <w:right w:val="none" w:sz="0" w:space="0" w:color="auto"/>
      </w:divBdr>
      <w:divsChild>
        <w:div w:id="1730154939">
          <w:marLeft w:val="255"/>
          <w:marRight w:val="0"/>
          <w:marTop w:val="0"/>
          <w:marBottom w:val="0"/>
          <w:divBdr>
            <w:top w:val="none" w:sz="0" w:space="0" w:color="auto"/>
            <w:left w:val="none" w:sz="0" w:space="0" w:color="auto"/>
            <w:bottom w:val="none" w:sz="0" w:space="0" w:color="auto"/>
            <w:right w:val="none" w:sz="0" w:space="0" w:color="auto"/>
          </w:divBdr>
        </w:div>
        <w:div w:id="1730154942">
          <w:marLeft w:val="255"/>
          <w:marRight w:val="0"/>
          <w:marTop w:val="0"/>
          <w:marBottom w:val="0"/>
          <w:divBdr>
            <w:top w:val="none" w:sz="0" w:space="0" w:color="auto"/>
            <w:left w:val="none" w:sz="0" w:space="0" w:color="auto"/>
            <w:bottom w:val="none" w:sz="0" w:space="0" w:color="auto"/>
            <w:right w:val="none" w:sz="0" w:space="0" w:color="auto"/>
          </w:divBdr>
        </w:div>
        <w:div w:id="1730154946">
          <w:marLeft w:val="255"/>
          <w:marRight w:val="0"/>
          <w:marTop w:val="0"/>
          <w:marBottom w:val="0"/>
          <w:divBdr>
            <w:top w:val="none" w:sz="0" w:space="0" w:color="auto"/>
            <w:left w:val="none" w:sz="0" w:space="0" w:color="auto"/>
            <w:bottom w:val="none" w:sz="0" w:space="0" w:color="auto"/>
            <w:right w:val="none" w:sz="0" w:space="0" w:color="auto"/>
          </w:divBdr>
        </w:div>
        <w:div w:id="1730154962">
          <w:marLeft w:val="255"/>
          <w:marRight w:val="0"/>
          <w:marTop w:val="0"/>
          <w:marBottom w:val="0"/>
          <w:divBdr>
            <w:top w:val="none" w:sz="0" w:space="0" w:color="auto"/>
            <w:left w:val="none" w:sz="0" w:space="0" w:color="auto"/>
            <w:bottom w:val="none" w:sz="0" w:space="0" w:color="auto"/>
            <w:right w:val="none" w:sz="0" w:space="0" w:color="auto"/>
          </w:divBdr>
        </w:div>
        <w:div w:id="1730154964">
          <w:marLeft w:val="255"/>
          <w:marRight w:val="0"/>
          <w:marTop w:val="0"/>
          <w:marBottom w:val="0"/>
          <w:divBdr>
            <w:top w:val="none" w:sz="0" w:space="0" w:color="auto"/>
            <w:left w:val="none" w:sz="0" w:space="0" w:color="auto"/>
            <w:bottom w:val="none" w:sz="0" w:space="0" w:color="auto"/>
            <w:right w:val="none" w:sz="0" w:space="0" w:color="auto"/>
          </w:divBdr>
        </w:div>
        <w:div w:id="1730154965">
          <w:marLeft w:val="255"/>
          <w:marRight w:val="0"/>
          <w:marTop w:val="0"/>
          <w:marBottom w:val="0"/>
          <w:divBdr>
            <w:top w:val="none" w:sz="0" w:space="0" w:color="auto"/>
            <w:left w:val="none" w:sz="0" w:space="0" w:color="auto"/>
            <w:bottom w:val="none" w:sz="0" w:space="0" w:color="auto"/>
            <w:right w:val="none" w:sz="0" w:space="0" w:color="auto"/>
          </w:divBdr>
        </w:div>
        <w:div w:id="1730154966">
          <w:marLeft w:val="255"/>
          <w:marRight w:val="0"/>
          <w:marTop w:val="0"/>
          <w:marBottom w:val="0"/>
          <w:divBdr>
            <w:top w:val="none" w:sz="0" w:space="0" w:color="auto"/>
            <w:left w:val="none" w:sz="0" w:space="0" w:color="auto"/>
            <w:bottom w:val="none" w:sz="0" w:space="0" w:color="auto"/>
            <w:right w:val="none" w:sz="0" w:space="0" w:color="auto"/>
          </w:divBdr>
        </w:div>
        <w:div w:id="1730154967">
          <w:marLeft w:val="255"/>
          <w:marRight w:val="0"/>
          <w:marTop w:val="0"/>
          <w:marBottom w:val="0"/>
          <w:divBdr>
            <w:top w:val="none" w:sz="0" w:space="0" w:color="auto"/>
            <w:left w:val="none" w:sz="0" w:space="0" w:color="auto"/>
            <w:bottom w:val="none" w:sz="0" w:space="0" w:color="auto"/>
            <w:right w:val="none" w:sz="0" w:space="0" w:color="auto"/>
          </w:divBdr>
        </w:div>
        <w:div w:id="1730154968">
          <w:marLeft w:val="255"/>
          <w:marRight w:val="0"/>
          <w:marTop w:val="0"/>
          <w:marBottom w:val="0"/>
          <w:divBdr>
            <w:top w:val="none" w:sz="0" w:space="0" w:color="auto"/>
            <w:left w:val="none" w:sz="0" w:space="0" w:color="auto"/>
            <w:bottom w:val="none" w:sz="0" w:space="0" w:color="auto"/>
            <w:right w:val="none" w:sz="0" w:space="0" w:color="auto"/>
          </w:divBdr>
        </w:div>
      </w:divsChild>
    </w:div>
    <w:div w:id="1730154949">
      <w:marLeft w:val="0"/>
      <w:marRight w:val="0"/>
      <w:marTop w:val="0"/>
      <w:marBottom w:val="0"/>
      <w:divBdr>
        <w:top w:val="none" w:sz="0" w:space="0" w:color="auto"/>
        <w:left w:val="none" w:sz="0" w:space="0" w:color="auto"/>
        <w:bottom w:val="none" w:sz="0" w:space="0" w:color="auto"/>
        <w:right w:val="none" w:sz="0" w:space="0" w:color="auto"/>
      </w:divBdr>
      <w:divsChild>
        <w:div w:id="1730154960">
          <w:marLeft w:val="255"/>
          <w:marRight w:val="0"/>
          <w:marTop w:val="0"/>
          <w:marBottom w:val="0"/>
          <w:divBdr>
            <w:top w:val="none" w:sz="0" w:space="0" w:color="auto"/>
            <w:left w:val="none" w:sz="0" w:space="0" w:color="auto"/>
            <w:bottom w:val="none" w:sz="0" w:space="0" w:color="auto"/>
            <w:right w:val="none" w:sz="0" w:space="0" w:color="auto"/>
          </w:divBdr>
        </w:div>
        <w:div w:id="1730154961">
          <w:marLeft w:val="255"/>
          <w:marRight w:val="0"/>
          <w:marTop w:val="0"/>
          <w:marBottom w:val="0"/>
          <w:divBdr>
            <w:top w:val="none" w:sz="0" w:space="0" w:color="auto"/>
            <w:left w:val="none" w:sz="0" w:space="0" w:color="auto"/>
            <w:bottom w:val="none" w:sz="0" w:space="0" w:color="auto"/>
            <w:right w:val="none" w:sz="0" w:space="0" w:color="auto"/>
          </w:divBdr>
        </w:div>
      </w:divsChild>
    </w:div>
    <w:div w:id="1730154955">
      <w:marLeft w:val="0"/>
      <w:marRight w:val="0"/>
      <w:marTop w:val="0"/>
      <w:marBottom w:val="0"/>
      <w:divBdr>
        <w:top w:val="none" w:sz="0" w:space="0" w:color="auto"/>
        <w:left w:val="none" w:sz="0" w:space="0" w:color="auto"/>
        <w:bottom w:val="none" w:sz="0" w:space="0" w:color="auto"/>
        <w:right w:val="none" w:sz="0" w:space="0" w:color="auto"/>
      </w:divBdr>
      <w:divsChild>
        <w:div w:id="1730154958">
          <w:marLeft w:val="255"/>
          <w:marRight w:val="0"/>
          <w:marTop w:val="0"/>
          <w:marBottom w:val="0"/>
          <w:divBdr>
            <w:top w:val="none" w:sz="0" w:space="0" w:color="auto"/>
            <w:left w:val="none" w:sz="0" w:space="0" w:color="auto"/>
            <w:bottom w:val="none" w:sz="0" w:space="0" w:color="auto"/>
            <w:right w:val="none" w:sz="0" w:space="0" w:color="auto"/>
          </w:divBdr>
          <w:divsChild>
            <w:div w:id="1730154951">
              <w:marLeft w:val="7845"/>
              <w:marRight w:val="0"/>
              <w:marTop w:val="510"/>
              <w:marBottom w:val="0"/>
              <w:divBdr>
                <w:top w:val="single" w:sz="12" w:space="2" w:color="481659"/>
                <w:left w:val="single" w:sz="12" w:space="2" w:color="481659"/>
                <w:bottom w:val="single" w:sz="12" w:space="2" w:color="481659"/>
                <w:right w:val="single" w:sz="12" w:space="2" w:color="481659"/>
              </w:divBdr>
            </w:div>
          </w:divsChild>
        </w:div>
      </w:divsChild>
    </w:div>
    <w:div w:id="1730154956">
      <w:marLeft w:val="0"/>
      <w:marRight w:val="0"/>
      <w:marTop w:val="0"/>
      <w:marBottom w:val="0"/>
      <w:divBdr>
        <w:top w:val="none" w:sz="0" w:space="0" w:color="auto"/>
        <w:left w:val="none" w:sz="0" w:space="0" w:color="auto"/>
        <w:bottom w:val="none" w:sz="0" w:space="0" w:color="auto"/>
        <w:right w:val="none" w:sz="0" w:space="0" w:color="auto"/>
      </w:divBdr>
      <w:divsChild>
        <w:div w:id="1730154950">
          <w:marLeft w:val="255"/>
          <w:marRight w:val="0"/>
          <w:marTop w:val="0"/>
          <w:marBottom w:val="0"/>
          <w:divBdr>
            <w:top w:val="none" w:sz="0" w:space="0" w:color="auto"/>
            <w:left w:val="none" w:sz="0" w:space="0" w:color="auto"/>
            <w:bottom w:val="none" w:sz="0" w:space="0" w:color="auto"/>
            <w:right w:val="none" w:sz="0" w:space="0" w:color="auto"/>
          </w:divBdr>
          <w:divsChild>
            <w:div w:id="1730154953">
              <w:marLeft w:val="7845"/>
              <w:marRight w:val="0"/>
              <w:marTop w:val="510"/>
              <w:marBottom w:val="0"/>
              <w:divBdr>
                <w:top w:val="single" w:sz="12" w:space="2" w:color="481659"/>
                <w:left w:val="single" w:sz="12" w:space="2" w:color="481659"/>
                <w:bottom w:val="single" w:sz="12" w:space="2" w:color="481659"/>
                <w:right w:val="single" w:sz="12" w:space="2" w:color="481659"/>
              </w:divBdr>
            </w:div>
          </w:divsChild>
        </w:div>
        <w:div w:id="1730154957">
          <w:marLeft w:val="255"/>
          <w:marRight w:val="0"/>
          <w:marTop w:val="0"/>
          <w:marBottom w:val="0"/>
          <w:divBdr>
            <w:top w:val="none" w:sz="0" w:space="0" w:color="auto"/>
            <w:left w:val="none" w:sz="0" w:space="0" w:color="auto"/>
            <w:bottom w:val="none" w:sz="0" w:space="0" w:color="auto"/>
            <w:right w:val="none" w:sz="0" w:space="0" w:color="auto"/>
          </w:divBdr>
        </w:div>
      </w:divsChild>
    </w:div>
    <w:div w:id="1730154959">
      <w:marLeft w:val="0"/>
      <w:marRight w:val="0"/>
      <w:marTop w:val="0"/>
      <w:marBottom w:val="0"/>
      <w:divBdr>
        <w:top w:val="none" w:sz="0" w:space="0" w:color="auto"/>
        <w:left w:val="none" w:sz="0" w:space="0" w:color="auto"/>
        <w:bottom w:val="none" w:sz="0" w:space="0" w:color="auto"/>
        <w:right w:val="none" w:sz="0" w:space="0" w:color="auto"/>
      </w:divBdr>
      <w:divsChild>
        <w:div w:id="1730154952">
          <w:marLeft w:val="0"/>
          <w:marRight w:val="75"/>
          <w:marTop w:val="0"/>
          <w:marBottom w:val="0"/>
          <w:divBdr>
            <w:top w:val="none" w:sz="0" w:space="0" w:color="auto"/>
            <w:left w:val="none" w:sz="0" w:space="0" w:color="auto"/>
            <w:bottom w:val="none" w:sz="0" w:space="0" w:color="auto"/>
            <w:right w:val="none" w:sz="0" w:space="0" w:color="auto"/>
          </w:divBdr>
        </w:div>
        <w:div w:id="173015495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a.kocisova@justi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66177-A9C8-4858-AA52-C45FAB4B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5539</Words>
  <Characters>31573</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DÔVODOVÁ SPRÁVA</vt:lpstr>
    </vt:vector>
  </TitlesOfParts>
  <Company/>
  <LinksUpToDate>false</LinksUpToDate>
  <CharactersWithSpaces>37038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subject/>
  <dc:creator/>
  <cp:keywords/>
  <dc:description/>
  <cp:lastModifiedBy>KOČIŠOVÁ Simona</cp:lastModifiedBy>
  <cp:revision>3</cp:revision>
  <cp:lastPrinted>2014-12-11T13:37:00Z</cp:lastPrinted>
  <dcterms:created xsi:type="dcterms:W3CDTF">2019-08-21T11:50:00Z</dcterms:created>
  <dcterms:modified xsi:type="dcterms:W3CDTF">2019-08-21T11:50:00Z</dcterms:modified>
</cp:coreProperties>
</file>