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6A2393" w:rsidTr="00E1659F">
        <w:trPr>
          <w:trHeight w:val="534"/>
          <w:jc w:val="center"/>
        </w:trPr>
        <w:tc>
          <w:tcPr>
            <w:tcW w:w="5000" w:type="pct"/>
            <w:shd w:val="clear" w:color="auto" w:fill="D9D9D9"/>
          </w:tcPr>
          <w:p w:rsidR="00224847" w:rsidRPr="006A2393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6A2393">
              <w:rPr>
                <w:rFonts w:ascii="Times New Roman" w:hAnsi="Times New Roman"/>
                <w:b/>
                <w:sz w:val="28"/>
                <w:lang w:eastAsia="sk-SK"/>
              </w:rPr>
              <w:t>Analýza sociálnych vplyvov</w:t>
            </w:r>
          </w:p>
          <w:p w:rsidR="00224847" w:rsidRPr="006A2393" w:rsidRDefault="00224847" w:rsidP="00E16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6A2393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6A2393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6A2393" w:rsidRDefault="00224847" w:rsidP="00E1659F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6A2393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6A239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Pr="006A2393" w:rsidRDefault="00224847" w:rsidP="00224847">
      <w:pPr>
        <w:shd w:val="clear" w:color="auto" w:fill="F2F2F2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224847" w:rsidRPr="006A2393" w:rsidSect="00224847">
          <w:headerReference w:type="default" r:id="rId12"/>
          <w:footerReference w:type="default" r:id="rId13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6A2393" w:rsidTr="00E1659F">
        <w:trPr>
          <w:trHeight w:val="736"/>
          <w:jc w:val="center"/>
        </w:trPr>
        <w:tc>
          <w:tcPr>
            <w:tcW w:w="5000" w:type="pct"/>
            <w:shd w:val="clear" w:color="auto" w:fill="F2F2F2"/>
          </w:tcPr>
          <w:p w:rsidR="00224847" w:rsidRPr="006A2393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6A2393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6A2393" w:rsidRDefault="00224847" w:rsidP="00E1659F">
            <w:pPr>
              <w:shd w:val="clear" w:color="auto" w:fill="F2F2F2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Pr="006A2393" w:rsidRDefault="00224847" w:rsidP="00224847">
      <w:pPr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224847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224847" w:rsidRPr="006A2393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</w:tcPr>
          <w:p w:rsidR="00224847" w:rsidRPr="006A2393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</w:tcPr>
          <w:p w:rsidR="00C64A6B" w:rsidRPr="006A2393" w:rsidRDefault="00AB0F47" w:rsidP="00C64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Uvedená právna úprava má pozitívny vplyv na </w:t>
            </w:r>
            <w:r w:rsidR="004276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hospodárenie domácností nemocensky poistených osôb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ktoré </w:t>
            </w:r>
            <w:r w:rsidR="004276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ošetrujú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 domácom prostredí </w:t>
            </w:r>
            <w:r w:rsidR="004276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blízku osobu </w:t>
            </w:r>
            <w:r w:rsidR="000B1ACD" w:rsidRPr="006A23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 dôvodu potreby poskytovania </w:t>
            </w:r>
            <w:r w:rsidR="0034293A">
              <w:rPr>
                <w:rFonts w:ascii="Times New Roman" w:hAnsi="Times New Roman"/>
                <w:color w:val="000000"/>
                <w:sz w:val="20"/>
                <w:szCs w:val="20"/>
              </w:rPr>
              <w:t>domácej</w:t>
            </w:r>
            <w:r w:rsidR="000B1ACD" w:rsidRPr="006A23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starostlivosti</w:t>
            </w:r>
            <w:r w:rsidR="002A35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alebo paliatívnej starostlivosti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. </w:t>
            </w:r>
            <w:r w:rsidR="00C64A6B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Priemerné </w:t>
            </w:r>
            <w:r w:rsidR="000E1D04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mesačné </w:t>
            </w:r>
            <w:r w:rsidR="00C64A6B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zvýšenie príjmov </w:t>
            </w:r>
            <w:r w:rsidR="000E1D04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osôb z </w:t>
            </w:r>
            <w:r w:rsidR="00C64A6B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dotknutých domácností sa odhaduje </w:t>
            </w:r>
            <w:r w:rsidR="000E1D04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v</w:t>
            </w:r>
            <w:r w:rsidR="00B71475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 roku 2020 na úrovni 466 eur</w:t>
            </w:r>
            <w:r w:rsidR="005A2F76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;</w:t>
            </w:r>
            <w:r w:rsidR="00B71475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 roku 2021 na úrovni 496 eur a v roku 2022 na úrovni 522 eur</w:t>
            </w:r>
            <w:r w:rsidR="000E1D04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  <w:p w:rsidR="0050590C" w:rsidRPr="006A2393" w:rsidRDefault="0050590C" w:rsidP="00C64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31D98" w:rsidRDefault="0050590C" w:rsidP="00C64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Pozitívne budú ovplyvnené osoby, ktoré poskytujú ošetrenie blízkej osobe v priamom rade alebo súrodencovi, nakoľko im rovnako vznikne nárok na dávku ošetrovné</w:t>
            </w:r>
            <w:r w:rsidR="00F31D98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  <w:p w:rsidR="00F31D98" w:rsidRDefault="00F31D98" w:rsidP="00C64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50590C" w:rsidRPr="006A2393" w:rsidRDefault="00F31D98" w:rsidP="00C64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Pozitívne budú ovplyvnené aj osoby, ktoré poberajú dávku ošetrovné, nakoľko sa navrhuje predĺž</w:t>
            </w:r>
            <w:r w:rsidR="00C0570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enie </w:t>
            </w:r>
            <w:r w:rsidR="00723C51">
              <w:rPr>
                <w:rFonts w:ascii="Times New Roman" w:hAnsi="Times New Roman"/>
                <w:sz w:val="20"/>
                <w:szCs w:val="20"/>
                <w:lang w:eastAsia="sk-SK"/>
              </w:rPr>
              <w:t>obdobia poskytovania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dávky ošetrovné zo súčasných 10 dní na 14 dní.</w:t>
            </w:r>
            <w:r w:rsidR="008A60E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To znamená, že poistenci budú môcť dávku ošetrovné poberať dlhšie.</w:t>
            </w:r>
            <w:r w:rsidR="00C0570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Vplyvom predĺženia obdobia</w:t>
            </w:r>
            <w:r w:rsidR="00723C5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poskytovania dávky ošetrovné</w:t>
            </w:r>
            <w:r w:rsidR="00C0570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sa predpokladá </w:t>
            </w:r>
            <w:r w:rsidR="00C02BB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maximálne </w:t>
            </w:r>
            <w:r w:rsidR="00C0570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zvýšenie priemernej sumy dávky ošetrovné </w:t>
            </w:r>
            <w:r w:rsidR="00C72E56">
              <w:rPr>
                <w:rFonts w:ascii="Times New Roman" w:hAnsi="Times New Roman"/>
                <w:sz w:val="20"/>
                <w:szCs w:val="20"/>
                <w:lang w:eastAsia="sk-SK"/>
              </w:rPr>
              <w:t>v roku 2020 o približne 44 eur</w:t>
            </w:r>
            <w:r w:rsidR="007452A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 roku 202</w:t>
            </w:r>
            <w:r w:rsidR="00C72E56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  <w:r w:rsidR="007452A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 približne 46 eur a v roku 202</w:t>
            </w:r>
            <w:r w:rsidR="00C72E56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  <w:r w:rsidR="007452A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 približne 48 eur.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  <w:p w:rsidR="00E67CD1" w:rsidRPr="006A2393" w:rsidRDefault="00E67CD1" w:rsidP="00F61D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6A2393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</w:tcPr>
          <w:p w:rsidR="00224847" w:rsidRPr="006A2393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:rsidR="00EF2071" w:rsidRPr="006A2393" w:rsidRDefault="00EF2071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C21C49" w:rsidRDefault="00427699" w:rsidP="00B66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Nemocensky poisten</w:t>
            </w:r>
            <w:r w:rsidR="00B668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ým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osob</w:t>
            </w:r>
            <w:r w:rsidR="00B668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ám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, ktoré ošetrujú zákonom vymedzený okruh osôb  v domácom prostredí z dôvodu potreby poskytovania</w:t>
            </w:r>
            <w:r w:rsid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2A35C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paliatívnej </w:t>
            </w:r>
            <w:r w:rsidR="006A2393">
              <w:rPr>
                <w:rFonts w:ascii="Times New Roman" w:hAnsi="Times New Roman"/>
                <w:sz w:val="20"/>
                <w:szCs w:val="20"/>
                <w:lang w:eastAsia="sk-SK"/>
              </w:rPr>
              <w:t>starostlivosti a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34293A">
              <w:rPr>
                <w:rFonts w:ascii="Times New Roman" w:hAnsi="Times New Roman"/>
                <w:sz w:val="20"/>
                <w:szCs w:val="20"/>
                <w:lang w:eastAsia="sk-SK"/>
              </w:rPr>
              <w:t>domácej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starostlivosti</w:t>
            </w:r>
            <w:r w:rsidR="0089344C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vznik</w:t>
            </w:r>
            <w:r w:rsidR="00B668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ne</w:t>
            </w:r>
            <w:r w:rsidR="0089344C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nárok na ošetrovné.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C64A6B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Odhaduje sa, že n</w:t>
            </w:r>
            <w:r w:rsidR="00B22BF5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avrhovanou </w:t>
            </w:r>
            <w:r w:rsidR="00636A46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právnou </w:t>
            </w:r>
            <w:r w:rsidR="00C64A6B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úpravou bude</w:t>
            </w:r>
            <w:r w:rsidR="00B22BF5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3B7AA3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v rokoch 20</w:t>
            </w:r>
            <w:r w:rsidR="00F004FE">
              <w:rPr>
                <w:rFonts w:ascii="Times New Roman" w:hAnsi="Times New Roman"/>
                <w:sz w:val="20"/>
                <w:szCs w:val="20"/>
                <w:lang w:eastAsia="sk-SK"/>
              </w:rPr>
              <w:t>20</w:t>
            </w:r>
            <w:r w:rsidR="003B7AA3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až 2022</w:t>
            </w:r>
            <w:r w:rsidR="00C64A6B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pozitívne ovplyvnených</w:t>
            </w:r>
            <w:r w:rsidR="00B22BF5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C64A6B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približne </w:t>
            </w:r>
            <w:r w:rsidR="005A2F76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6 950</w:t>
            </w:r>
            <w:r w:rsidR="003B7AA3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osôb ročne.</w:t>
            </w:r>
            <w:r w:rsidR="00C64A6B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  <w:p w:rsidR="00F31D98" w:rsidRDefault="00F31D98" w:rsidP="00B668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31D98" w:rsidRPr="006A2393" w:rsidRDefault="00C763A6" w:rsidP="00C763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Pozitívne budú ovplyvnení aj poberatelia dávky ošetrovné, ktorí budú dávku ošetrovné poberať dlhšie ako 10 dní. </w:t>
            </w:r>
          </w:p>
        </w:tc>
      </w:tr>
      <w:tr w:rsidR="00224847" w:rsidRPr="006A2393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</w:tcPr>
          <w:p w:rsidR="00224847" w:rsidRPr="006A2393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</w:tcPr>
          <w:p w:rsidR="000E1D04" w:rsidRPr="006A2393" w:rsidRDefault="000E1D04" w:rsidP="000E4A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6A2393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</w:tcPr>
          <w:p w:rsidR="00224847" w:rsidRPr="006A2393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8F5EF0" w:rsidRPr="006A2393" w:rsidRDefault="000E1D04" w:rsidP="00636A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val="en-US" w:eastAsia="sk-SK"/>
              </w:rPr>
              <w:t xml:space="preserve">Bez 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vplyvu</w:t>
            </w:r>
          </w:p>
        </w:tc>
      </w:tr>
      <w:tr w:rsidR="00224847" w:rsidRPr="006A2393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</w:tcPr>
          <w:p w:rsidR="00224847" w:rsidRPr="006A2393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</w:tcPr>
          <w:p w:rsidR="00224847" w:rsidRPr="006A2393" w:rsidRDefault="008F5EF0" w:rsidP="0077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 zákona nemá výrazne pozitívnejší </w:t>
            </w:r>
            <w:r w:rsidR="00B26591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a rovnako ani výrazne negatívnejší 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vplyv na skupiny osôb v riziku chudoby alebo sociálnom vylúčení.</w:t>
            </w:r>
          </w:p>
        </w:tc>
      </w:tr>
    </w:tbl>
    <w:p w:rsidR="00224847" w:rsidRPr="006A2393" w:rsidRDefault="00224847" w:rsidP="0022484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R="00224847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6A2393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224847" w:rsidRPr="006A2393" w:rsidRDefault="00224847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6A2393" w:rsidRDefault="00224847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6A2393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Pr="006A2393" w:rsidRDefault="00224847" w:rsidP="0022484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R="00224847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224847" w:rsidRPr="006A2393" w:rsidTr="00E1659F">
        <w:trPr>
          <w:trHeight w:val="265"/>
          <w:jc w:val="center"/>
        </w:trPr>
        <w:tc>
          <w:tcPr>
            <w:tcW w:w="5000" w:type="pct"/>
            <w:gridSpan w:val="2"/>
          </w:tcPr>
          <w:p w:rsidR="00224847" w:rsidRPr="006A2393" w:rsidRDefault="00224847" w:rsidP="00451F3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Ovplyvnená skupina č. </w:t>
            </w:r>
            <w:r w:rsidR="00E60691"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1</w:t>
            </w: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:</w:t>
            </w:r>
            <w:r w:rsidR="00F350C5"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r w:rsidR="00451F3D"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Osoby po</w:t>
            </w:r>
            <w:r w:rsidR="00427699"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skytujúce</w:t>
            </w:r>
            <w:r w:rsidR="00451F3D"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r w:rsidR="0034293A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domácu starostlivosť</w:t>
            </w:r>
            <w:r w:rsidR="009C2D35"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080E2A" w:rsidRPr="006A2393" w:rsidTr="00E1659F">
        <w:trPr>
          <w:trHeight w:val="587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080E2A" w:rsidRPr="006A2393" w:rsidRDefault="00080E2A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427699" w:rsidRPr="006A2393" w:rsidRDefault="00427699" w:rsidP="004276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 zákona </w:t>
            </w:r>
            <w:r w:rsidR="009C2D35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má pozitívny vplyv </w:t>
            </w:r>
            <w:r w:rsidR="00F76BED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na uvedenú skupinu poberateľov.</w:t>
            </w:r>
            <w:r w:rsidR="007D082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Priemerná denná výška ošetrovné</w:t>
            </w:r>
            <w:r w:rsidR="005A2F76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ho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5A2F76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v</w:t>
            </w:r>
            <w:r w:rsidR="0034293A"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="005A2F76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prípade</w:t>
            </w:r>
            <w:r w:rsidR="0034293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domácej</w:t>
            </w:r>
            <w:r w:rsidR="005A2F76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starostlivosti sa</w:t>
            </w:r>
            <w:r w:rsidR="007430E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7452A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odhaduje </w:t>
            </w:r>
            <w:r w:rsidR="003B7AA3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v roku 2020 na úrovni 15,3 eura</w:t>
            </w:r>
            <w:r w:rsidR="005A2F76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;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 v roku 2021 na úrovni </w:t>
            </w:r>
            <w:r w:rsidR="003B7AA3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16,3 eura a v roku 2022 na úrovni približne 17,2 eura.</w:t>
            </w:r>
          </w:p>
          <w:p w:rsidR="00080E2A" w:rsidRPr="006A2393" w:rsidRDefault="00080E2A" w:rsidP="00302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080E2A" w:rsidRPr="006A2393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0E2A" w:rsidRPr="006A2393" w:rsidRDefault="00080E2A" w:rsidP="00E1659F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C2D35" w:rsidRPr="006A2393" w:rsidRDefault="00427699" w:rsidP="004276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Uvedený návrh zákona nemá negatívny vplyv na dotknutú skupinu osôb.</w:t>
            </w:r>
            <w:r w:rsidR="009C2D35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</w:p>
        </w:tc>
      </w:tr>
      <w:tr w:rsidR="00080E2A" w:rsidRPr="006A2393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080E2A" w:rsidRPr="006A2393" w:rsidRDefault="00080E2A" w:rsidP="00E1659F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080E2A" w:rsidRPr="006A2393" w:rsidRDefault="0058413A" w:rsidP="00FC45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Počet do</w:t>
            </w:r>
            <w:r w:rsidR="004276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tknutých osôb sa odhaduje v rokoch 20</w:t>
            </w:r>
            <w:r w:rsidR="00B23FFB">
              <w:rPr>
                <w:rFonts w:ascii="Times New Roman" w:hAnsi="Times New Roman"/>
                <w:sz w:val="20"/>
                <w:szCs w:val="20"/>
                <w:lang w:eastAsia="sk-SK"/>
              </w:rPr>
              <w:t>20</w:t>
            </w:r>
            <w:r w:rsidR="004276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až 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20</w:t>
            </w:r>
            <w:r w:rsidR="003B7AA3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22</w:t>
            </w:r>
            <w:r w:rsidR="00622000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4276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na úrovni približne </w:t>
            </w:r>
            <w:r w:rsidR="005A2F76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2 400</w:t>
            </w:r>
            <w:r w:rsidR="004276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osôb ročne</w:t>
            </w:r>
            <w:r w:rsidR="005A2F76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(v priemere sa predpokladá, že bude osoba poberať ošetrovné 60 dní</w:t>
            </w:r>
            <w:r w:rsidR="007430E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)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 w:rsidR="0089344C" w:rsidRPr="006A2393" w:rsidTr="00B7104D">
        <w:trPr>
          <w:trHeight w:val="670"/>
          <w:jc w:val="center"/>
        </w:trPr>
        <w:tc>
          <w:tcPr>
            <w:tcW w:w="2500" w:type="pct"/>
          </w:tcPr>
          <w:p w:rsidR="0089344C" w:rsidRPr="006A2393" w:rsidRDefault="0089344C" w:rsidP="00B7104D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</w:tcPr>
          <w:p w:rsidR="0089344C" w:rsidRPr="006A2393" w:rsidRDefault="0089344C" w:rsidP="00C92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Návrh zákona nemá výrazne pozitívnejší a rovnako ani výrazne negatívnejší vplyv na skupiny osôb v riziku chudoby alebo sociálnom vylúčení.</w:t>
            </w:r>
          </w:p>
        </w:tc>
      </w:tr>
      <w:tr w:rsidR="001562B5" w:rsidRPr="006A2393" w:rsidTr="001562B5">
        <w:trPr>
          <w:trHeight w:val="340"/>
          <w:jc w:val="center"/>
        </w:trPr>
        <w:tc>
          <w:tcPr>
            <w:tcW w:w="5000" w:type="pct"/>
            <w:gridSpan w:val="2"/>
          </w:tcPr>
          <w:p w:rsidR="001562B5" w:rsidRPr="006A2393" w:rsidRDefault="001562B5" w:rsidP="00C06D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Ovplyvnená skupina č. </w:t>
            </w:r>
            <w:r w:rsidR="00C06D70"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2</w:t>
            </w: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: </w:t>
            </w:r>
            <w:r w:rsidR="00C06D70"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Osoby starajúce sa o blízku osobu v priamom rade alebo súrodenca</w:t>
            </w:r>
          </w:p>
        </w:tc>
      </w:tr>
      <w:tr w:rsidR="001562B5" w:rsidRPr="006A2393" w:rsidTr="00B7104D">
        <w:trPr>
          <w:trHeight w:val="670"/>
          <w:jc w:val="center"/>
        </w:trPr>
        <w:tc>
          <w:tcPr>
            <w:tcW w:w="2500" w:type="pct"/>
          </w:tcPr>
          <w:p w:rsidR="001562B5" w:rsidRPr="006A2393" w:rsidRDefault="001562B5" w:rsidP="00B710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</w:tcPr>
          <w:p w:rsidR="001562B5" w:rsidRPr="006A2393" w:rsidRDefault="00113D81" w:rsidP="00C92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Uvedená právna úprava má pozitívny vplyv na uvedenú skupinu osôb z dôvodu vzniku nároku na dávku ošetrovné. </w:t>
            </w:r>
          </w:p>
        </w:tc>
      </w:tr>
      <w:tr w:rsidR="0050590C" w:rsidRPr="006A2393" w:rsidTr="00B7104D">
        <w:trPr>
          <w:trHeight w:val="670"/>
          <w:jc w:val="center"/>
        </w:trPr>
        <w:tc>
          <w:tcPr>
            <w:tcW w:w="2500" w:type="pct"/>
          </w:tcPr>
          <w:p w:rsidR="0050590C" w:rsidRPr="006A2393" w:rsidRDefault="0050590C" w:rsidP="00C92207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</w:tcPr>
          <w:p w:rsidR="0050590C" w:rsidRPr="006A2393" w:rsidRDefault="0050590C" w:rsidP="00C92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Uvedený návrh zákona nemá negatívny vplyv na dotknutú skupinu osôb.  </w:t>
            </w:r>
          </w:p>
        </w:tc>
      </w:tr>
      <w:tr w:rsidR="0050590C" w:rsidRPr="006A2393" w:rsidTr="00B7104D">
        <w:trPr>
          <w:trHeight w:val="670"/>
          <w:jc w:val="center"/>
        </w:trPr>
        <w:tc>
          <w:tcPr>
            <w:tcW w:w="2500" w:type="pct"/>
          </w:tcPr>
          <w:p w:rsidR="0050590C" w:rsidRPr="006A2393" w:rsidRDefault="0050590C" w:rsidP="00C92207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</w:tcPr>
          <w:p w:rsidR="0050590C" w:rsidRPr="006A2393" w:rsidRDefault="0050590C" w:rsidP="004C00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Odhaduje sa, že uvedená právna úprava bude predstavovať zvýšenie priemerného mesačného počtu vyplatených dávok ošetrovné o</w:t>
            </w:r>
            <w:r w:rsidR="00207825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 cca </w:t>
            </w:r>
            <w:r w:rsidR="00267732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70</w:t>
            </w:r>
            <w:r w:rsidR="003B7AA3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  <w:r w:rsidR="00207825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dávok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.  Počet dotknutých osôb sa odhaduje v rokoch 20</w:t>
            </w:r>
            <w:r w:rsidR="00F004FE">
              <w:rPr>
                <w:rFonts w:ascii="Times New Roman" w:hAnsi="Times New Roman"/>
                <w:sz w:val="20"/>
                <w:szCs w:val="20"/>
                <w:lang w:eastAsia="sk-SK"/>
              </w:rPr>
              <w:t>20</w:t>
            </w:r>
            <w:r w:rsidR="00F5325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až 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20</w:t>
            </w:r>
            <w:r w:rsidR="00267732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22 na úrovni približne 4 5</w:t>
            </w:r>
            <w:r w:rsidR="006A2393">
              <w:rPr>
                <w:rFonts w:ascii="Times New Roman" w:hAnsi="Times New Roman"/>
                <w:sz w:val="20"/>
                <w:szCs w:val="20"/>
                <w:lang w:eastAsia="sk-SK"/>
              </w:rPr>
              <w:t>5</w:t>
            </w:r>
            <w:r w:rsidR="003B7AA3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osôb ročne</w:t>
            </w:r>
            <w:r w:rsidR="004C009A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  <w:r w:rsidR="00AD670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50590C" w:rsidRPr="006A2393" w:rsidTr="00B7104D">
        <w:trPr>
          <w:trHeight w:val="670"/>
          <w:jc w:val="center"/>
        </w:trPr>
        <w:tc>
          <w:tcPr>
            <w:tcW w:w="2500" w:type="pct"/>
          </w:tcPr>
          <w:p w:rsidR="0050590C" w:rsidRPr="006A2393" w:rsidRDefault="0050590C" w:rsidP="00C92207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</w:tcPr>
          <w:p w:rsidR="0050590C" w:rsidRPr="006A2393" w:rsidRDefault="0050590C" w:rsidP="00C922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Návrh zákona nemá výrazne pozitívnejší a rovnako ani výrazne negatívnejší vplyv na skupiny osôb v riziku chudoby alebo sociálnom vylúčení.</w:t>
            </w:r>
          </w:p>
        </w:tc>
      </w:tr>
      <w:tr w:rsidR="007452A9" w:rsidRPr="006A2393" w:rsidTr="007452A9">
        <w:trPr>
          <w:trHeight w:val="323"/>
          <w:jc w:val="center"/>
        </w:trPr>
        <w:tc>
          <w:tcPr>
            <w:tcW w:w="5000" w:type="pct"/>
            <w:gridSpan w:val="2"/>
          </w:tcPr>
          <w:p w:rsidR="007452A9" w:rsidRPr="007452A9" w:rsidRDefault="007452A9" w:rsidP="007452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Ovplyvnená skupina č.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3</w:t>
            </w:r>
            <w:r w:rsidRPr="006A239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: Osoby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poberajúce dávku ošetrovné</w:t>
            </w:r>
          </w:p>
        </w:tc>
      </w:tr>
      <w:tr w:rsidR="007452A9" w:rsidRPr="006A2393" w:rsidTr="00B7104D">
        <w:trPr>
          <w:trHeight w:val="670"/>
          <w:jc w:val="center"/>
        </w:trPr>
        <w:tc>
          <w:tcPr>
            <w:tcW w:w="2500" w:type="pct"/>
          </w:tcPr>
          <w:p w:rsidR="007452A9" w:rsidRPr="006A2393" w:rsidRDefault="007452A9" w:rsidP="007452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</w:tcPr>
          <w:p w:rsidR="007452A9" w:rsidRPr="006A2393" w:rsidRDefault="007452A9" w:rsidP="007452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Uvedená právna úprava má pozitívny vplyv na uvedenú skupinu osôb z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dôvodu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predĺženia obdobia </w:t>
            </w:r>
            <w:r w:rsidR="00B840B9">
              <w:rPr>
                <w:rFonts w:ascii="Times New Roman" w:hAnsi="Times New Roman"/>
                <w:sz w:val="20"/>
                <w:szCs w:val="20"/>
                <w:lang w:eastAsia="sk-SK"/>
              </w:rPr>
              <w:t>poskytovania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dávky ošetrovné z 10 dní na 14 dní.</w:t>
            </w:r>
            <w:r w:rsidR="005C02B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Vplyvom predĺženia obdobia </w:t>
            </w:r>
            <w:r w:rsidR="00B840B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poskytovania dávky ošetrovné </w:t>
            </w:r>
            <w:r w:rsidR="005C02B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sa predpokladá maximálne zvýšenie priemernej sumy dávky ošetrovné </w:t>
            </w:r>
            <w:r w:rsidR="00C72E56">
              <w:rPr>
                <w:rFonts w:ascii="Times New Roman" w:hAnsi="Times New Roman"/>
                <w:sz w:val="20"/>
                <w:szCs w:val="20"/>
                <w:lang w:eastAsia="sk-SK"/>
              </w:rPr>
              <w:t>v roku 2020 o približne 44 eur</w:t>
            </w:r>
            <w:r w:rsidR="00A3226B">
              <w:rPr>
                <w:rFonts w:ascii="Times New Roman" w:hAnsi="Times New Roman"/>
                <w:sz w:val="20"/>
                <w:szCs w:val="20"/>
                <w:lang w:eastAsia="sk-SK"/>
              </w:rPr>
              <w:t>;</w:t>
            </w:r>
            <w:r w:rsidR="005C02B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 roku 202</w:t>
            </w:r>
            <w:r w:rsidR="00A3226B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  <w:r w:rsidR="005C02B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 približne 46 eur a v roku 202</w:t>
            </w:r>
            <w:r w:rsidR="00A3226B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  <w:r w:rsidR="005C02B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 približne 48 eur.</w:t>
            </w:r>
          </w:p>
        </w:tc>
      </w:tr>
      <w:tr w:rsidR="007452A9" w:rsidRPr="006A2393" w:rsidTr="00B7104D">
        <w:trPr>
          <w:trHeight w:val="670"/>
          <w:jc w:val="center"/>
        </w:trPr>
        <w:tc>
          <w:tcPr>
            <w:tcW w:w="2500" w:type="pct"/>
          </w:tcPr>
          <w:p w:rsidR="007452A9" w:rsidRPr="006A2393" w:rsidRDefault="007452A9" w:rsidP="007452A9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</w:tcPr>
          <w:p w:rsidR="007452A9" w:rsidRPr="006A2393" w:rsidRDefault="007452A9" w:rsidP="007452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Uvedený návrh zákona nemá negatívny vplyv na dotknutú skupinu osôb.</w:t>
            </w:r>
          </w:p>
        </w:tc>
      </w:tr>
      <w:tr w:rsidR="007452A9" w:rsidRPr="006A2393" w:rsidTr="00B7104D">
        <w:trPr>
          <w:trHeight w:val="670"/>
          <w:jc w:val="center"/>
        </w:trPr>
        <w:tc>
          <w:tcPr>
            <w:tcW w:w="2500" w:type="pct"/>
          </w:tcPr>
          <w:p w:rsidR="007452A9" w:rsidRPr="006A2393" w:rsidRDefault="007452A9" w:rsidP="007452A9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</w:tcPr>
          <w:p w:rsidR="007452A9" w:rsidRPr="006A2393" w:rsidRDefault="00C763A6" w:rsidP="007452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Odhaduje sa, že priemerný mesačný počet poberateľov dávky ošetrovné, bude v rokoch 2020 až 2022 na úrovn</w:t>
            </w:r>
            <w:r w:rsidR="0071468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i približne 14 až 15 tisíc osôb, pričom </w:t>
            </w:r>
            <w:r w:rsidR="00B840B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sa predpokladá, že </w:t>
            </w:r>
            <w:r w:rsidR="00714681"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prevažná väčšina z týchto osôb využije predĺženie podporného obdobia zo súčasných 10 dní na 14 dní.</w:t>
            </w:r>
          </w:p>
        </w:tc>
      </w:tr>
      <w:tr w:rsidR="007452A9" w:rsidRPr="006A2393" w:rsidTr="00B7104D">
        <w:trPr>
          <w:trHeight w:val="670"/>
          <w:jc w:val="center"/>
        </w:trPr>
        <w:tc>
          <w:tcPr>
            <w:tcW w:w="2500" w:type="pct"/>
          </w:tcPr>
          <w:p w:rsidR="007452A9" w:rsidRPr="006A2393" w:rsidRDefault="007452A9" w:rsidP="007452A9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</w:tcPr>
          <w:p w:rsidR="007452A9" w:rsidRPr="006A2393" w:rsidRDefault="007452A9" w:rsidP="007452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E44578" w:rsidRPr="006A2393" w:rsidRDefault="00E44578" w:rsidP="002248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RPr="006A2393" w:rsidRDefault="00E44578" w:rsidP="002248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R="00E44578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A30F1C" w:rsidRPr="006A2393" w:rsidTr="00E1659F">
        <w:trPr>
          <w:trHeight w:val="339"/>
          <w:jc w:val="center"/>
        </w:trPr>
        <w:tc>
          <w:tcPr>
            <w:tcW w:w="5000" w:type="pct"/>
            <w:shd w:val="clear" w:color="auto" w:fill="D9D9D9"/>
          </w:tcPr>
          <w:p w:rsidR="00A30F1C" w:rsidRPr="006A2393" w:rsidRDefault="00A30F1C" w:rsidP="00E1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A239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6A2393" w:rsidTr="00E1659F">
        <w:trPr>
          <w:trHeight w:val="290"/>
          <w:jc w:val="center"/>
        </w:trPr>
        <w:tc>
          <w:tcPr>
            <w:tcW w:w="5000" w:type="pct"/>
            <w:shd w:val="clear" w:color="auto" w:fill="F2F2F2"/>
          </w:tcPr>
          <w:p w:rsidR="00A30F1C" w:rsidRPr="006A2393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6A2393" w:rsidRDefault="00A30F1C" w:rsidP="00E1659F">
            <w:pPr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Pr="006A2393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A30F1C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A30F1C" w:rsidRPr="006A2393" w:rsidTr="00F00651">
        <w:trPr>
          <w:trHeight w:val="557"/>
          <w:jc w:val="center"/>
        </w:trPr>
        <w:tc>
          <w:tcPr>
            <w:tcW w:w="1993" w:type="pct"/>
          </w:tcPr>
          <w:p w:rsidR="00A30F1C" w:rsidRPr="006A2393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6A2393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</w:tcPr>
          <w:p w:rsidR="0089344C" w:rsidRPr="006A2393" w:rsidRDefault="0089344C" w:rsidP="008934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Predkladaná novela zlepšuje prístup k zdrojom, právam, tovarom a službám, a to najmä:</w:t>
            </w:r>
          </w:p>
          <w:p w:rsidR="0089344C" w:rsidRPr="006A2393" w:rsidRDefault="0089344C" w:rsidP="008934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00651" w:rsidRDefault="0089344C" w:rsidP="004C009A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Prístup k dávke </w:t>
            </w:r>
            <w:r w:rsidR="00BA4DA3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ošetrovné pri ošetrovaní blízkej osoby v priamom rade a</w:t>
            </w:r>
            <w:r w:rsidR="006A2393">
              <w:rPr>
                <w:rFonts w:ascii="Times New Roman" w:hAnsi="Times New Roman"/>
                <w:sz w:val="20"/>
                <w:szCs w:val="20"/>
                <w:lang w:eastAsia="sk-SK"/>
              </w:rPr>
              <w:t>lebo súrodenca a prístup k ošetrovnému pri</w:t>
            </w:r>
            <w:r w:rsidR="0034293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tzv. domácej starostlivosti </w:t>
            </w:r>
            <w:r w:rsidR="00B668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 dôvodu poskytovania </w:t>
            </w:r>
            <w:r w:rsidR="002A35C2">
              <w:rPr>
                <w:rFonts w:ascii="Times New Roman" w:hAnsi="Times New Roman"/>
                <w:sz w:val="20"/>
                <w:szCs w:val="20"/>
                <w:lang w:eastAsia="sk-SK"/>
              </w:rPr>
              <w:t>paliatívnej starostlivosti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kedy si bude môcť poistenec uplatňovať nárok na uvedenú dávku </w:t>
            </w:r>
            <w:r w:rsidR="00B66899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s podporným obdobím najviac 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90 dní počas ktorých poistenec poskytuje ošetrenie blízkej osobe. </w:t>
            </w:r>
          </w:p>
          <w:p w:rsidR="004C009A" w:rsidRDefault="004C009A" w:rsidP="004C009A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Rozšírením siete hospicov, mobilných hospicov, agentúr domácej ošetrovateľskej starostlivosti a domov ošetrovateľskej starostlivosti sa zlepší a rozšíri prístup k zdravotnej starostlivosti</w:t>
            </w:r>
            <w:r w:rsidR="002C362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pri zachovaní kvalitnej a bezpečnej zdravotnej starostlivosti.</w:t>
            </w:r>
          </w:p>
          <w:p w:rsidR="002C362C" w:rsidRDefault="002C362C" w:rsidP="002C362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P</w:t>
            </w:r>
            <w:r w:rsidRPr="002C362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osilňuje </w:t>
            </w:r>
            <w:r w:rsidR="00047F3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sa </w:t>
            </w:r>
            <w:r w:rsidRPr="002C362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právne postavenie osôb pri dohľade, ktoré oň požiadali a zároveň týmto osobám priznáva právo na získanie informácií z dohľadu. </w:t>
            </w:r>
          </w:p>
          <w:p w:rsidR="002C362C" w:rsidRDefault="002C362C" w:rsidP="002C362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</w:t>
            </w:r>
            <w:r w:rsidRPr="002C362C">
              <w:rPr>
                <w:rFonts w:ascii="Times New Roman" w:hAnsi="Times New Roman"/>
                <w:sz w:val="20"/>
                <w:szCs w:val="20"/>
                <w:lang w:eastAsia="sk-SK"/>
              </w:rPr>
              <w:t>ýkon dočasnej odbornej stáže občanom z tretích štátov v prípade splnenia zákonom ustanovených podmienok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umožní lekárom z tretích štátov sa lepšie adaptovať na podmienky poskytovania zdravotnej starostlivosti v SR, čím sa rýchlejšie doplnia chýbajúce stavy lekárov v nemocniciach.</w:t>
            </w:r>
          </w:p>
          <w:p w:rsidR="002C362C" w:rsidRPr="006A2393" w:rsidRDefault="002C362C" w:rsidP="00047F37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Realizáciou </w:t>
            </w:r>
            <w:r w:rsidRPr="002C362C">
              <w:rPr>
                <w:rFonts w:ascii="Times New Roman" w:hAnsi="Times New Roman"/>
                <w:sz w:val="20"/>
                <w:szCs w:val="20"/>
                <w:lang w:eastAsia="sk-SK"/>
              </w:rPr>
              <w:t>následnej zdravotnej starostlivosti, vyplývajúcej aj z potrieb akútnych nemocníc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, predovšetkým FBLR, LDCH/ODCH sa zabezpečí prevencia</w:t>
            </w:r>
            <w:r w:rsidRPr="002C362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pred opakovanými hospitalizáciami na akútnych lôžkach počas dlhšieho časového sledu aj niekoľkých mesiacov, ktoré vznikajú kvôli predčasnému prepúšťaniu z nemocnice,  Potreba dofinancovania v prípade následnej zdravotnej starostlivosti je spôsobená predovšetkým dodatočnými potrebami v oblasti hospicov. Práve posilnenie týchto kapacít a regulácia týchto odvetví pomôže pacientom, ktorí sú v terminálnych štádiách života a nepatria ani domov, ani na akútne lôžka, ale do hospicu a nemajú v súčasnosti kam ísť.</w:t>
            </w:r>
          </w:p>
        </w:tc>
      </w:tr>
    </w:tbl>
    <w:p w:rsidR="00A30F1C" w:rsidRPr="006A2393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R="00A30F1C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A30F1C" w:rsidRPr="006A2393" w:rsidTr="00E1659F">
        <w:trPr>
          <w:jc w:val="center"/>
        </w:trPr>
        <w:tc>
          <w:tcPr>
            <w:tcW w:w="5000" w:type="pct"/>
            <w:shd w:val="clear" w:color="auto" w:fill="F2F2F2"/>
          </w:tcPr>
          <w:p w:rsidR="00A30F1C" w:rsidRPr="006A2393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6A2393" w:rsidRDefault="00A30F1C" w:rsidP="00E1659F">
            <w:pPr>
              <w:spacing w:after="0" w:line="240" w:lineRule="auto"/>
              <w:jc w:val="both"/>
              <w:rPr>
                <w:rFonts w:ascii="Calibri" w:hAnsi="Calibri"/>
                <w:i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v riziku chudoby a sociálneho vylúčenia a popíšte vplyv na </w:t>
            </w:r>
            <w:proofErr w:type="spellStart"/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ne</w:t>
            </w:r>
            <w:proofErr w:type="spellEnd"/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. Je tento vplyv väčší ako vplyv na iné skupiny či subjekty? Uveďte veľkosť jednotlivých ovplyvnených skupín.</w:t>
            </w:r>
          </w:p>
        </w:tc>
      </w:tr>
    </w:tbl>
    <w:p w:rsidR="00A30F1C" w:rsidRPr="006A2393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A30F1C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A30F1C" w:rsidRPr="006A2393" w:rsidTr="00E1659F">
        <w:trPr>
          <w:trHeight w:val="677"/>
          <w:jc w:val="center"/>
        </w:trPr>
        <w:tc>
          <w:tcPr>
            <w:tcW w:w="1993" w:type="pct"/>
          </w:tcPr>
          <w:p w:rsidR="00A30F1C" w:rsidRPr="006A2393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lastRenderedPageBreak/>
              <w:t>Zraniteľné skupiny alebo skupiny v riziku chudoby alebo sociálneho vylúčenia sú napr.: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6A2393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</w:tcPr>
          <w:p w:rsidR="00AB0F47" w:rsidRPr="006A2393" w:rsidRDefault="00AB0F47" w:rsidP="00AB0F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</w:rPr>
              <w:t>Bez vplyvu.</w:t>
            </w:r>
          </w:p>
          <w:p w:rsidR="00C15168" w:rsidRPr="006A2393" w:rsidRDefault="00C15168" w:rsidP="00035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A87D5B" w:rsidRPr="006A2393" w:rsidRDefault="00A87D5B"/>
    <w:p w:rsidR="00C63956" w:rsidRPr="006A2393" w:rsidRDefault="00C63956" w:rsidP="00DA4453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R="00C63956" w:rsidRPr="006A2393" w:rsidSect="0040544D">
          <w:headerReference w:type="default" r:id="rId14"/>
          <w:footerReference w:type="default" r:id="rId15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6A2393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6A2393" w:rsidRDefault="00CD4982" w:rsidP="00DA44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A239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6A2393" w:rsidRDefault="00CD4982" w:rsidP="00DA4453">
            <w:pPr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  <w:lang w:eastAsia="sk-SK"/>
              </w:rPr>
            </w:pPr>
            <w:r w:rsidRPr="006A239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6A2393" w:rsidTr="00DA4453">
        <w:trPr>
          <w:jc w:val="center"/>
        </w:trPr>
        <w:tc>
          <w:tcPr>
            <w:tcW w:w="5000" w:type="pct"/>
            <w:shd w:val="clear" w:color="auto" w:fill="F2F2F2"/>
          </w:tcPr>
          <w:p w:rsidR="00CD4982" w:rsidRPr="006A2393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Pr="006A2393" w:rsidRDefault="00CA6BAF" w:rsidP="00DA4453">
      <w:pPr>
        <w:spacing w:after="0" w:line="240" w:lineRule="auto"/>
        <w:rPr>
          <w:rFonts w:ascii="Times New Roman" w:hAnsi="Times New Roman"/>
          <w:sz w:val="20"/>
          <w:lang w:eastAsia="sk-SK"/>
        </w:rPr>
        <w:sectPr w:rsidR="00CA6BAF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6A2393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</w:tcPr>
          <w:p w:rsidR="00E67CD1" w:rsidRPr="006A2393" w:rsidRDefault="00E67CD1" w:rsidP="00E67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Návrh zákona dodržiava povinnosť rovnakého zaobchádzania so skupinami alebo jednotlivcami na základe pohlavia, rasy, etnicity, náboženstva alebo viery, zdravotného postihnutia a sexuálnej orientácie. Návrh zákona nemá vplyv na rovnosť príležitostí.</w:t>
            </w:r>
          </w:p>
          <w:p w:rsidR="00CD4982" w:rsidRPr="006A2393" w:rsidRDefault="00CD4982" w:rsidP="00DA4453">
            <w:pPr>
              <w:spacing w:after="0" w:line="240" w:lineRule="auto"/>
              <w:rPr>
                <w:rFonts w:ascii="Times New Roman" w:hAnsi="Times New Roman"/>
                <w:i/>
                <w:sz w:val="20"/>
                <w:lang w:eastAsia="sk-SK"/>
              </w:rPr>
            </w:pPr>
          </w:p>
        </w:tc>
      </w:tr>
    </w:tbl>
    <w:p w:rsidR="00C63956" w:rsidRPr="006A2393" w:rsidRDefault="00C63956" w:rsidP="00DA4453">
      <w:pPr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C63956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6A2393" w:rsidTr="00DA4453">
        <w:trPr>
          <w:trHeight w:val="345"/>
          <w:jc w:val="center"/>
        </w:trPr>
        <w:tc>
          <w:tcPr>
            <w:tcW w:w="5000" w:type="pct"/>
            <w:shd w:val="clear" w:color="auto" w:fill="F2F2F2"/>
            <w:vAlign w:val="center"/>
          </w:tcPr>
          <w:p w:rsidR="00CD4982" w:rsidRPr="006A2393" w:rsidRDefault="00CD4982" w:rsidP="00DA44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Pr="006A2393" w:rsidRDefault="00C63956" w:rsidP="00DA445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C63956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CD4982" w:rsidRPr="006A2393" w:rsidTr="007B003C">
        <w:trPr>
          <w:trHeight w:val="1235"/>
          <w:jc w:val="center"/>
        </w:trPr>
        <w:tc>
          <w:tcPr>
            <w:tcW w:w="1993" w:type="pct"/>
          </w:tcPr>
          <w:p w:rsidR="00CD4982" w:rsidRPr="006A2393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6A2393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6A2393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6A2393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6A2393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6A2393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</w:tcPr>
          <w:p w:rsidR="002E3560" w:rsidRPr="006A2393" w:rsidRDefault="0005372C" w:rsidP="00C923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</w:rPr>
              <w:t>Bez vplyvu.</w:t>
            </w:r>
          </w:p>
          <w:p w:rsidR="002E3560" w:rsidRPr="006A2393" w:rsidRDefault="002E3560" w:rsidP="002E3560">
            <w:pPr>
              <w:tabs>
                <w:tab w:val="left" w:pos="2212"/>
              </w:tabs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ab/>
            </w:r>
          </w:p>
        </w:tc>
      </w:tr>
    </w:tbl>
    <w:p w:rsidR="00C63956" w:rsidRPr="006A2393" w:rsidRDefault="00C63956" w:rsidP="00DA4453">
      <w:pPr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R="00C63956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6A2393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994C53" w:rsidRPr="006A2393" w:rsidRDefault="00CD4982" w:rsidP="00994C5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6A2393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="00994C53" w:rsidRPr="006A239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6A2393" w:rsidRDefault="00994C53" w:rsidP="00994C53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6A239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6A239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6A239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Pr="006A2393" w:rsidRDefault="00C63956" w:rsidP="00DA4453">
      <w:pPr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R="00C63956" w:rsidRPr="006A2393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994C53" w:rsidRPr="006A2393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F2F2F2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Uľahčuje návrh vznik nových pracovných miest? Ak áno, ako? Ak je to možné, doplňte kvantifikáciu.</w:t>
            </w:r>
          </w:p>
        </w:tc>
      </w:tr>
      <w:tr w:rsidR="00994C53" w:rsidRPr="006A2393" w:rsidTr="000D226A">
        <w:trPr>
          <w:trHeight w:val="567"/>
          <w:jc w:val="center"/>
        </w:trPr>
        <w:tc>
          <w:tcPr>
            <w:tcW w:w="1993" w:type="pct"/>
            <w:tcBorders>
              <w:top w:val="nil"/>
            </w:tcBorders>
            <w:shd w:val="clear" w:color="auto" w:fill="FFFFFF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</w:tcBorders>
            <w:shd w:val="clear" w:color="auto" w:fill="FFFFFF"/>
          </w:tcPr>
          <w:p w:rsidR="00994C53" w:rsidRDefault="00E67CD1" w:rsidP="002C36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Návrh zákona nemá vplyv na vznik nových pracovných miest.</w:t>
            </w:r>
            <w:r w:rsidR="002C362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  <w:p w:rsidR="00C52FD6" w:rsidRPr="00C52FD6" w:rsidRDefault="00C52FD6" w:rsidP="00C52FD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C52FD6">
              <w:rPr>
                <w:rFonts w:ascii="Times New Roman" w:hAnsi="Times New Roman"/>
                <w:sz w:val="20"/>
                <w:szCs w:val="18"/>
              </w:rPr>
              <w:t xml:space="preserve">Súčasná minimálna sieť ambulantnej zdravotnej starostlivosti nereflektuje požiadavky v regiónoch, čo sa týka štruktúry a </w:t>
            </w:r>
            <w:r w:rsidR="00F17429">
              <w:rPr>
                <w:rFonts w:ascii="Times New Roman" w:hAnsi="Times New Roman"/>
                <w:sz w:val="20"/>
                <w:szCs w:val="18"/>
              </w:rPr>
              <w:t xml:space="preserve">počtu lekárov. Funkčná sieť je jeden </w:t>
            </w:r>
            <w:r w:rsidRPr="00C52FD6">
              <w:rPr>
                <w:rFonts w:ascii="Times New Roman" w:hAnsi="Times New Roman"/>
                <w:sz w:val="20"/>
                <w:szCs w:val="18"/>
              </w:rPr>
              <w:t>z kľúčových faktorov. MZ SR preto pripravuje aktualizovanú minimálnu sieť, ako aj miestnu dostupnosť jednotlivých odborných špecializácií.</w:t>
            </w:r>
          </w:p>
          <w:p w:rsidR="00C52FD6" w:rsidRDefault="00F17429" w:rsidP="00C52FD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P</w:t>
            </w:r>
            <w:r w:rsidR="00C52FD6" w:rsidRPr="00C52FD6">
              <w:rPr>
                <w:rFonts w:ascii="Times New Roman" w:hAnsi="Times New Roman"/>
                <w:sz w:val="20"/>
                <w:szCs w:val="18"/>
              </w:rPr>
              <w:t>ripravuj</w:t>
            </w:r>
            <w:r>
              <w:rPr>
                <w:rFonts w:ascii="Times New Roman" w:hAnsi="Times New Roman"/>
                <w:sz w:val="20"/>
                <w:szCs w:val="18"/>
              </w:rPr>
              <w:t>ú sa</w:t>
            </w:r>
            <w:bookmarkStart w:id="0" w:name="_GoBack"/>
            <w:bookmarkEnd w:id="0"/>
            <w:r w:rsidR="00C52FD6" w:rsidRPr="00C52FD6">
              <w:rPr>
                <w:rFonts w:ascii="Times New Roman" w:hAnsi="Times New Roman"/>
                <w:sz w:val="20"/>
                <w:szCs w:val="18"/>
              </w:rPr>
              <w:t xml:space="preserve"> aj predikcie jednotlivých typov špecialistov (a nelekárskeho personálu) tak, aby sa mohli pripraviť konkrétne opatrenia na podporu štúdia v nedostatkových oblastiach. MZ SR v roku 2018 spustilo viaceré opatrenia na stabilizáciu personálu (napr. navýšenie kapacít na štúdium, zavedenie motivačného štipendia či navýšenie mzdových koeficientov</w:t>
            </w:r>
            <w:r w:rsidR="00C52FD6">
              <w:rPr>
                <w:rFonts w:ascii="Times New Roman" w:hAnsi="Times New Roman"/>
                <w:sz w:val="20"/>
                <w:szCs w:val="18"/>
              </w:rPr>
              <w:t>, rezidentský program</w:t>
            </w:r>
            <w:r w:rsidR="00C52FD6" w:rsidRPr="00C52FD6">
              <w:rPr>
                <w:rFonts w:ascii="Times New Roman" w:hAnsi="Times New Roman"/>
                <w:sz w:val="20"/>
                <w:szCs w:val="18"/>
              </w:rPr>
              <w:t>), ktoré budú v čase vyhodnotené a v prípade potreby sa pristúpi k ďalším úpravám a politikám, ktoré podporia zamestnanosť v sektore.</w:t>
            </w:r>
          </w:p>
          <w:p w:rsidR="00C52FD6" w:rsidRPr="006A2393" w:rsidRDefault="00C52FD6" w:rsidP="00C52FD6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C52FD6">
              <w:rPr>
                <w:rFonts w:ascii="Times New Roman" w:hAnsi="Times New Roman"/>
                <w:sz w:val="20"/>
                <w:szCs w:val="18"/>
              </w:rPr>
              <w:t>Rozšírením siete hospicov, mobilných hospicov, agentúr domácej ošetrovateľskej starostlivosti a domov ošetrovateľskej starostlivosti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a zlepšením podmienok financovania týchto segmentov sa môžu vytvoriť predpoklady vzniku nových pracovných miest, avšak najmenej 5 rokov sa bude rozšírenie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sanovať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z existujúcich kapacít zdravotníckych pracovníkov.</w:t>
            </w:r>
          </w:p>
        </w:tc>
      </w:tr>
      <w:tr w:rsidR="00994C53" w:rsidRPr="006A2393" w:rsidTr="000D226A">
        <w:trPr>
          <w:trHeight w:val="270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6A23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94C53" w:rsidRPr="006A2393" w:rsidTr="000D226A">
        <w:trPr>
          <w:trHeight w:val="454"/>
          <w:jc w:val="center"/>
        </w:trPr>
        <w:tc>
          <w:tcPr>
            <w:tcW w:w="1993" w:type="pct"/>
            <w:shd w:val="clear" w:color="auto" w:fill="FFFFFF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shd w:val="clear" w:color="auto" w:fill="FFFFFF"/>
          </w:tcPr>
          <w:p w:rsidR="00994C53" w:rsidRPr="006A2393" w:rsidRDefault="00E67CD1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Návrh zákona nemá vplyv na zánik pracovných miest.</w:t>
            </w:r>
          </w:p>
        </w:tc>
      </w:tr>
      <w:tr w:rsidR="00994C53" w:rsidRPr="006A2393" w:rsidTr="000D226A">
        <w:trPr>
          <w:trHeight w:val="24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6A23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6A2393" w:rsidTr="000D226A">
        <w:trPr>
          <w:trHeight w:val="209"/>
          <w:jc w:val="center"/>
        </w:trPr>
        <w:tc>
          <w:tcPr>
            <w:tcW w:w="1993" w:type="pct"/>
            <w:shd w:val="clear" w:color="auto" w:fill="FFFFFF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shd w:val="clear" w:color="auto" w:fill="FFFFFF"/>
          </w:tcPr>
          <w:p w:rsidR="00EF177B" w:rsidRPr="006A2393" w:rsidRDefault="0005372C" w:rsidP="00F00651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18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Bez vplyvu.</w:t>
            </w:r>
            <w:r w:rsidR="00F00651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994C53" w:rsidRPr="006A2393" w:rsidTr="000D226A">
        <w:trPr>
          <w:trHeight w:val="20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6A23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6A2393" w:rsidTr="000D226A">
        <w:trPr>
          <w:trHeight w:val="794"/>
          <w:jc w:val="center"/>
        </w:trPr>
        <w:tc>
          <w:tcPr>
            <w:tcW w:w="1993" w:type="pct"/>
            <w:shd w:val="clear" w:color="auto" w:fill="FFFFFF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6A23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239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shd w:val="clear" w:color="auto" w:fill="FFFFFF"/>
          </w:tcPr>
          <w:p w:rsidR="00994C53" w:rsidRPr="006A2393" w:rsidRDefault="0005372C" w:rsidP="00F006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Bez vplyvu.</w:t>
            </w:r>
          </w:p>
          <w:p w:rsidR="00EF177B" w:rsidRPr="006A2393" w:rsidRDefault="00EF177B" w:rsidP="00F006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177B" w:rsidRPr="006A2393" w:rsidRDefault="00EF177B" w:rsidP="00EF177B">
            <w:pPr>
              <w:pStyle w:val="Textkomentra"/>
              <w:rPr>
                <w:szCs w:val="18"/>
              </w:rPr>
            </w:pPr>
          </w:p>
        </w:tc>
      </w:tr>
      <w:tr w:rsidR="00994C53" w:rsidRPr="006A2393" w:rsidTr="000D226A">
        <w:trPr>
          <w:trHeight w:val="324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6A23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94C53" w:rsidRPr="006A2393" w:rsidTr="000D226A">
        <w:trPr>
          <w:trHeight w:val="216"/>
          <w:jc w:val="center"/>
        </w:trPr>
        <w:tc>
          <w:tcPr>
            <w:tcW w:w="1993" w:type="pct"/>
            <w:shd w:val="clear" w:color="auto" w:fill="FFFFFF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shd w:val="clear" w:color="auto" w:fill="FFFFFF"/>
          </w:tcPr>
          <w:p w:rsidR="00994C53" w:rsidRPr="006A2393" w:rsidRDefault="00E67CD1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 zákona nemá </w:t>
            </w:r>
            <w:r w:rsidRPr="006A2393">
              <w:rPr>
                <w:rFonts w:ascii="Times New Roman" w:hAnsi="Times New Roman"/>
                <w:sz w:val="20"/>
                <w:szCs w:val="20"/>
              </w:rPr>
              <w:t>negatívne dôsledky pre žiadne skupiny profesií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 w:rsidR="00994C53" w:rsidRPr="006A2393" w:rsidTr="000D226A">
        <w:trPr>
          <w:trHeight w:val="219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393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994C53" w:rsidRPr="00994C53" w:rsidTr="000D226A">
        <w:trPr>
          <w:trHeight w:val="497"/>
          <w:jc w:val="center"/>
        </w:trPr>
        <w:tc>
          <w:tcPr>
            <w:tcW w:w="1993" w:type="pct"/>
            <w:shd w:val="clear" w:color="auto" w:fill="FFFFFF"/>
          </w:tcPr>
          <w:p w:rsidR="00994C53" w:rsidRPr="006A239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A239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shd w:val="clear" w:color="auto" w:fill="FFFFFF"/>
          </w:tcPr>
          <w:p w:rsidR="00994C53" w:rsidRPr="006538C5" w:rsidRDefault="004B11C3" w:rsidP="0077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 zákona nemá </w:t>
            </w:r>
            <w:r w:rsidR="00A3713C"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vplyv </w:t>
            </w:r>
            <w:r w:rsidRPr="006A2393">
              <w:rPr>
                <w:rFonts w:ascii="Times New Roman" w:hAnsi="Times New Roman"/>
                <w:sz w:val="20"/>
                <w:szCs w:val="20"/>
                <w:lang w:eastAsia="sk-SK"/>
              </w:rPr>
              <w:t>na špecifické vekové skupiny zamestnancov.</w:t>
            </w:r>
          </w:p>
        </w:tc>
      </w:tr>
    </w:tbl>
    <w:p w:rsidR="006F1D2B" w:rsidRDefault="006F1D2B" w:rsidP="00B22CF1">
      <w:pPr>
        <w:spacing w:after="0" w:line="240" w:lineRule="auto"/>
        <w:outlineLvl w:val="0"/>
      </w:pPr>
    </w:p>
    <w:sectPr w:rsidR="006F1D2B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F3" w:rsidRDefault="001B44F3" w:rsidP="001D6749">
      <w:pPr>
        <w:spacing w:after="0" w:line="240" w:lineRule="auto"/>
      </w:pPr>
      <w:r>
        <w:separator/>
      </w:r>
    </w:p>
  </w:endnote>
  <w:endnote w:type="continuationSeparator" w:id="0">
    <w:p w:rsidR="001B44F3" w:rsidRDefault="001B44F3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847" w:rsidRPr="001D6749" w:rsidRDefault="00224847">
    <w:pPr>
      <w:pStyle w:val="Pta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F17429">
      <w:rPr>
        <w:rFonts w:ascii="Times New Roman" w:hAnsi="Times New Roman"/>
        <w:noProof/>
      </w:rPr>
      <w:t>2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749" w:rsidRPr="001D6749" w:rsidRDefault="001D6749">
    <w:pPr>
      <w:pStyle w:val="Pta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F17429">
      <w:rPr>
        <w:rFonts w:ascii="Times New Roman" w:hAnsi="Times New Roman"/>
        <w:noProof/>
      </w:rPr>
      <w:t>5</w:t>
    </w:r>
    <w:r w:rsidRPr="001D674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F3" w:rsidRDefault="001B44F3" w:rsidP="001D6749">
      <w:pPr>
        <w:spacing w:after="0" w:line="240" w:lineRule="auto"/>
      </w:pPr>
      <w:r>
        <w:separator/>
      </w:r>
    </w:p>
  </w:footnote>
  <w:footnote w:type="continuationSeparator" w:id="0">
    <w:p w:rsidR="001B44F3" w:rsidRDefault="001B44F3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847" w:rsidRPr="00CD4982" w:rsidRDefault="00224847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749" w:rsidRPr="00CD4982" w:rsidRDefault="001D6749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53852"/>
    <w:multiLevelType w:val="hybridMultilevel"/>
    <w:tmpl w:val="CFBE24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2799D"/>
    <w:multiLevelType w:val="hybridMultilevel"/>
    <w:tmpl w:val="798213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1"/>
  </w:num>
  <w:num w:numId="5">
    <w:abstractNumId w:val="8"/>
  </w:num>
  <w:num w:numId="6">
    <w:abstractNumId w:val="13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5D"/>
    <w:rsid w:val="000009B5"/>
    <w:rsid w:val="0000784C"/>
    <w:rsid w:val="000163E2"/>
    <w:rsid w:val="000274D0"/>
    <w:rsid w:val="00035027"/>
    <w:rsid w:val="00044662"/>
    <w:rsid w:val="00044B11"/>
    <w:rsid w:val="00046579"/>
    <w:rsid w:val="00047F37"/>
    <w:rsid w:val="0005372C"/>
    <w:rsid w:val="000542D8"/>
    <w:rsid w:val="0006443A"/>
    <w:rsid w:val="000708F2"/>
    <w:rsid w:val="00080E2A"/>
    <w:rsid w:val="000A1CFE"/>
    <w:rsid w:val="000A74D6"/>
    <w:rsid w:val="000B1ACD"/>
    <w:rsid w:val="000B42C7"/>
    <w:rsid w:val="000B46CA"/>
    <w:rsid w:val="000B4E78"/>
    <w:rsid w:val="000B6D8F"/>
    <w:rsid w:val="000B7915"/>
    <w:rsid w:val="000D0480"/>
    <w:rsid w:val="000D10FA"/>
    <w:rsid w:val="000D226A"/>
    <w:rsid w:val="000D5C18"/>
    <w:rsid w:val="000E1D04"/>
    <w:rsid w:val="000E2B98"/>
    <w:rsid w:val="000E4A9C"/>
    <w:rsid w:val="000E7570"/>
    <w:rsid w:val="000F37BF"/>
    <w:rsid w:val="00101293"/>
    <w:rsid w:val="00103223"/>
    <w:rsid w:val="00113D81"/>
    <w:rsid w:val="00114850"/>
    <w:rsid w:val="00125065"/>
    <w:rsid w:val="00140175"/>
    <w:rsid w:val="00145AD6"/>
    <w:rsid w:val="001562B5"/>
    <w:rsid w:val="0015789D"/>
    <w:rsid w:val="001611E5"/>
    <w:rsid w:val="00165321"/>
    <w:rsid w:val="00166EE5"/>
    <w:rsid w:val="00181279"/>
    <w:rsid w:val="001A2B82"/>
    <w:rsid w:val="001B2DDE"/>
    <w:rsid w:val="001B44F3"/>
    <w:rsid w:val="001B637B"/>
    <w:rsid w:val="001C2860"/>
    <w:rsid w:val="001C5790"/>
    <w:rsid w:val="001D6749"/>
    <w:rsid w:val="001E0D76"/>
    <w:rsid w:val="001E4E35"/>
    <w:rsid w:val="001E7F55"/>
    <w:rsid w:val="001F7932"/>
    <w:rsid w:val="00204D10"/>
    <w:rsid w:val="00207825"/>
    <w:rsid w:val="00220B02"/>
    <w:rsid w:val="002239B4"/>
    <w:rsid w:val="00224847"/>
    <w:rsid w:val="00227A26"/>
    <w:rsid w:val="00247D04"/>
    <w:rsid w:val="002566CE"/>
    <w:rsid w:val="002572F6"/>
    <w:rsid w:val="00267732"/>
    <w:rsid w:val="00275F99"/>
    <w:rsid w:val="002775A0"/>
    <w:rsid w:val="002877A4"/>
    <w:rsid w:val="002937CB"/>
    <w:rsid w:val="002A22AE"/>
    <w:rsid w:val="002A35C2"/>
    <w:rsid w:val="002A445B"/>
    <w:rsid w:val="002A5BF7"/>
    <w:rsid w:val="002A6834"/>
    <w:rsid w:val="002B3B86"/>
    <w:rsid w:val="002B4D74"/>
    <w:rsid w:val="002C362C"/>
    <w:rsid w:val="002D63DA"/>
    <w:rsid w:val="002E2FD3"/>
    <w:rsid w:val="002E3560"/>
    <w:rsid w:val="002E474F"/>
    <w:rsid w:val="002F5B96"/>
    <w:rsid w:val="00302AEB"/>
    <w:rsid w:val="00306054"/>
    <w:rsid w:val="003068CA"/>
    <w:rsid w:val="0030760B"/>
    <w:rsid w:val="0031168E"/>
    <w:rsid w:val="00326EFB"/>
    <w:rsid w:val="00336D2F"/>
    <w:rsid w:val="00337B5D"/>
    <w:rsid w:val="00341C29"/>
    <w:rsid w:val="0034293A"/>
    <w:rsid w:val="00344ACF"/>
    <w:rsid w:val="003541E9"/>
    <w:rsid w:val="00354316"/>
    <w:rsid w:val="00357E2A"/>
    <w:rsid w:val="00362CBF"/>
    <w:rsid w:val="00363C36"/>
    <w:rsid w:val="00375AB4"/>
    <w:rsid w:val="00383EA4"/>
    <w:rsid w:val="003849C7"/>
    <w:rsid w:val="00390982"/>
    <w:rsid w:val="003A3E60"/>
    <w:rsid w:val="003A644E"/>
    <w:rsid w:val="003A76D2"/>
    <w:rsid w:val="003B18E7"/>
    <w:rsid w:val="003B7AA3"/>
    <w:rsid w:val="003D1B82"/>
    <w:rsid w:val="003F3C52"/>
    <w:rsid w:val="00403497"/>
    <w:rsid w:val="0040544D"/>
    <w:rsid w:val="004161AB"/>
    <w:rsid w:val="00421BB7"/>
    <w:rsid w:val="00426563"/>
    <w:rsid w:val="00427699"/>
    <w:rsid w:val="00437929"/>
    <w:rsid w:val="00451C6F"/>
    <w:rsid w:val="00451F3D"/>
    <w:rsid w:val="004530B3"/>
    <w:rsid w:val="00461C13"/>
    <w:rsid w:val="0046270A"/>
    <w:rsid w:val="00466488"/>
    <w:rsid w:val="00471B00"/>
    <w:rsid w:val="00477184"/>
    <w:rsid w:val="00496748"/>
    <w:rsid w:val="00496F67"/>
    <w:rsid w:val="004A46EC"/>
    <w:rsid w:val="004B11C3"/>
    <w:rsid w:val="004B41EF"/>
    <w:rsid w:val="004B7887"/>
    <w:rsid w:val="004B7F00"/>
    <w:rsid w:val="004B7FB3"/>
    <w:rsid w:val="004C009A"/>
    <w:rsid w:val="004C2740"/>
    <w:rsid w:val="004C5B28"/>
    <w:rsid w:val="004D240D"/>
    <w:rsid w:val="004D7452"/>
    <w:rsid w:val="004F2664"/>
    <w:rsid w:val="004F2BD5"/>
    <w:rsid w:val="00504EBD"/>
    <w:rsid w:val="0050590C"/>
    <w:rsid w:val="005072BF"/>
    <w:rsid w:val="00512D21"/>
    <w:rsid w:val="00513ADB"/>
    <w:rsid w:val="005150A6"/>
    <w:rsid w:val="0051643C"/>
    <w:rsid w:val="005172AA"/>
    <w:rsid w:val="00520808"/>
    <w:rsid w:val="00540455"/>
    <w:rsid w:val="00546758"/>
    <w:rsid w:val="00546B98"/>
    <w:rsid w:val="00563F39"/>
    <w:rsid w:val="00564FFF"/>
    <w:rsid w:val="0057507E"/>
    <w:rsid w:val="00581B33"/>
    <w:rsid w:val="0058413A"/>
    <w:rsid w:val="00585AD3"/>
    <w:rsid w:val="005937EE"/>
    <w:rsid w:val="005A2F76"/>
    <w:rsid w:val="005A57C8"/>
    <w:rsid w:val="005A66B7"/>
    <w:rsid w:val="005B33DD"/>
    <w:rsid w:val="005B4171"/>
    <w:rsid w:val="005B5883"/>
    <w:rsid w:val="005B7618"/>
    <w:rsid w:val="005C02B3"/>
    <w:rsid w:val="005C7AB2"/>
    <w:rsid w:val="005D5524"/>
    <w:rsid w:val="006139BF"/>
    <w:rsid w:val="006140C6"/>
    <w:rsid w:val="00617208"/>
    <w:rsid w:val="00622000"/>
    <w:rsid w:val="00630B08"/>
    <w:rsid w:val="00636A46"/>
    <w:rsid w:val="00640AAB"/>
    <w:rsid w:val="006415B9"/>
    <w:rsid w:val="0064387E"/>
    <w:rsid w:val="00646B05"/>
    <w:rsid w:val="00647ED0"/>
    <w:rsid w:val="006538C5"/>
    <w:rsid w:val="00662512"/>
    <w:rsid w:val="00662E84"/>
    <w:rsid w:val="006641FF"/>
    <w:rsid w:val="00672E31"/>
    <w:rsid w:val="00673FE7"/>
    <w:rsid w:val="0068245C"/>
    <w:rsid w:val="00697DFF"/>
    <w:rsid w:val="006A2393"/>
    <w:rsid w:val="006A45C8"/>
    <w:rsid w:val="006B34DA"/>
    <w:rsid w:val="006C2352"/>
    <w:rsid w:val="006C66B8"/>
    <w:rsid w:val="006E72F1"/>
    <w:rsid w:val="006F1D2B"/>
    <w:rsid w:val="006F2388"/>
    <w:rsid w:val="00703B07"/>
    <w:rsid w:val="00707457"/>
    <w:rsid w:val="00714681"/>
    <w:rsid w:val="00717E05"/>
    <w:rsid w:val="00723C51"/>
    <w:rsid w:val="0073251A"/>
    <w:rsid w:val="00734A04"/>
    <w:rsid w:val="00734AB5"/>
    <w:rsid w:val="00741569"/>
    <w:rsid w:val="007430E9"/>
    <w:rsid w:val="007452A9"/>
    <w:rsid w:val="00746BD2"/>
    <w:rsid w:val="00775F60"/>
    <w:rsid w:val="00781F44"/>
    <w:rsid w:val="007873C2"/>
    <w:rsid w:val="0079063C"/>
    <w:rsid w:val="007936E7"/>
    <w:rsid w:val="00793BA1"/>
    <w:rsid w:val="00794589"/>
    <w:rsid w:val="007A0FB6"/>
    <w:rsid w:val="007B003C"/>
    <w:rsid w:val="007B05B1"/>
    <w:rsid w:val="007D0820"/>
    <w:rsid w:val="007D7F9F"/>
    <w:rsid w:val="007F2ABA"/>
    <w:rsid w:val="007F3BA3"/>
    <w:rsid w:val="008064EE"/>
    <w:rsid w:val="008201C6"/>
    <w:rsid w:val="00835C92"/>
    <w:rsid w:val="00836395"/>
    <w:rsid w:val="00850045"/>
    <w:rsid w:val="008665BF"/>
    <w:rsid w:val="00866D68"/>
    <w:rsid w:val="008703FC"/>
    <w:rsid w:val="00872C15"/>
    <w:rsid w:val="00873E61"/>
    <w:rsid w:val="0087728A"/>
    <w:rsid w:val="00881728"/>
    <w:rsid w:val="008915D6"/>
    <w:rsid w:val="0089344C"/>
    <w:rsid w:val="008966EA"/>
    <w:rsid w:val="008A1C61"/>
    <w:rsid w:val="008A4F7C"/>
    <w:rsid w:val="008A60E1"/>
    <w:rsid w:val="008A655E"/>
    <w:rsid w:val="008F38B4"/>
    <w:rsid w:val="008F5EF0"/>
    <w:rsid w:val="00903297"/>
    <w:rsid w:val="00921D53"/>
    <w:rsid w:val="009374E0"/>
    <w:rsid w:val="00940A76"/>
    <w:rsid w:val="009428AF"/>
    <w:rsid w:val="00943698"/>
    <w:rsid w:val="00954D60"/>
    <w:rsid w:val="00964AF6"/>
    <w:rsid w:val="00964D2D"/>
    <w:rsid w:val="00966CF8"/>
    <w:rsid w:val="00972E46"/>
    <w:rsid w:val="00973097"/>
    <w:rsid w:val="00974883"/>
    <w:rsid w:val="009821A0"/>
    <w:rsid w:val="009824C5"/>
    <w:rsid w:val="00987C25"/>
    <w:rsid w:val="00991BBA"/>
    <w:rsid w:val="00994C53"/>
    <w:rsid w:val="00997B26"/>
    <w:rsid w:val="009A3FA9"/>
    <w:rsid w:val="009A674A"/>
    <w:rsid w:val="009A6BE5"/>
    <w:rsid w:val="009B1EEA"/>
    <w:rsid w:val="009B755F"/>
    <w:rsid w:val="009B7E46"/>
    <w:rsid w:val="009C0E97"/>
    <w:rsid w:val="009C2D35"/>
    <w:rsid w:val="009E3685"/>
    <w:rsid w:val="009E3B1B"/>
    <w:rsid w:val="009E657C"/>
    <w:rsid w:val="009E7C75"/>
    <w:rsid w:val="009F385D"/>
    <w:rsid w:val="00A05EF5"/>
    <w:rsid w:val="00A1007C"/>
    <w:rsid w:val="00A12820"/>
    <w:rsid w:val="00A2272D"/>
    <w:rsid w:val="00A228B5"/>
    <w:rsid w:val="00A236BC"/>
    <w:rsid w:val="00A30F1C"/>
    <w:rsid w:val="00A3226B"/>
    <w:rsid w:val="00A34829"/>
    <w:rsid w:val="00A3713C"/>
    <w:rsid w:val="00A45DDB"/>
    <w:rsid w:val="00A50903"/>
    <w:rsid w:val="00A52019"/>
    <w:rsid w:val="00A53AFA"/>
    <w:rsid w:val="00A605B0"/>
    <w:rsid w:val="00A63EE1"/>
    <w:rsid w:val="00A6524F"/>
    <w:rsid w:val="00A80022"/>
    <w:rsid w:val="00A81145"/>
    <w:rsid w:val="00A87431"/>
    <w:rsid w:val="00A87D5B"/>
    <w:rsid w:val="00A90E31"/>
    <w:rsid w:val="00A91994"/>
    <w:rsid w:val="00A93CE5"/>
    <w:rsid w:val="00A97467"/>
    <w:rsid w:val="00AA21B6"/>
    <w:rsid w:val="00AB0F47"/>
    <w:rsid w:val="00AB3852"/>
    <w:rsid w:val="00AD2B55"/>
    <w:rsid w:val="00AD4CF6"/>
    <w:rsid w:val="00AD5AF1"/>
    <w:rsid w:val="00AD6709"/>
    <w:rsid w:val="00AE223B"/>
    <w:rsid w:val="00AE466A"/>
    <w:rsid w:val="00AF39B8"/>
    <w:rsid w:val="00AF40FF"/>
    <w:rsid w:val="00AF4A19"/>
    <w:rsid w:val="00B00330"/>
    <w:rsid w:val="00B02C08"/>
    <w:rsid w:val="00B043AE"/>
    <w:rsid w:val="00B10728"/>
    <w:rsid w:val="00B14C06"/>
    <w:rsid w:val="00B2138E"/>
    <w:rsid w:val="00B22BF5"/>
    <w:rsid w:val="00B22CF1"/>
    <w:rsid w:val="00B23FFB"/>
    <w:rsid w:val="00B26591"/>
    <w:rsid w:val="00B378C6"/>
    <w:rsid w:val="00B4080A"/>
    <w:rsid w:val="00B437B3"/>
    <w:rsid w:val="00B447C5"/>
    <w:rsid w:val="00B66899"/>
    <w:rsid w:val="00B7104D"/>
    <w:rsid w:val="00B71475"/>
    <w:rsid w:val="00B77623"/>
    <w:rsid w:val="00B840B9"/>
    <w:rsid w:val="00B851D9"/>
    <w:rsid w:val="00B87029"/>
    <w:rsid w:val="00B878AA"/>
    <w:rsid w:val="00B90A2F"/>
    <w:rsid w:val="00B91A8C"/>
    <w:rsid w:val="00BA49CA"/>
    <w:rsid w:val="00BA4DA3"/>
    <w:rsid w:val="00BB0F9E"/>
    <w:rsid w:val="00BB6C93"/>
    <w:rsid w:val="00BC22E3"/>
    <w:rsid w:val="00BC2B57"/>
    <w:rsid w:val="00BC2D89"/>
    <w:rsid w:val="00BC51D3"/>
    <w:rsid w:val="00BE24B3"/>
    <w:rsid w:val="00BF240D"/>
    <w:rsid w:val="00BF2AE7"/>
    <w:rsid w:val="00C02BB4"/>
    <w:rsid w:val="00C0570D"/>
    <w:rsid w:val="00C06D70"/>
    <w:rsid w:val="00C15168"/>
    <w:rsid w:val="00C21C49"/>
    <w:rsid w:val="00C3048E"/>
    <w:rsid w:val="00C44F04"/>
    <w:rsid w:val="00C465DF"/>
    <w:rsid w:val="00C50572"/>
    <w:rsid w:val="00C52FD6"/>
    <w:rsid w:val="00C63956"/>
    <w:rsid w:val="00C64A6B"/>
    <w:rsid w:val="00C72E56"/>
    <w:rsid w:val="00C7541D"/>
    <w:rsid w:val="00C763A6"/>
    <w:rsid w:val="00C77AA2"/>
    <w:rsid w:val="00C851BB"/>
    <w:rsid w:val="00C85EAD"/>
    <w:rsid w:val="00C8637F"/>
    <w:rsid w:val="00C92207"/>
    <w:rsid w:val="00C923C9"/>
    <w:rsid w:val="00CA023C"/>
    <w:rsid w:val="00CA3E12"/>
    <w:rsid w:val="00CA6BAF"/>
    <w:rsid w:val="00CA7B90"/>
    <w:rsid w:val="00CB3623"/>
    <w:rsid w:val="00CC2CA1"/>
    <w:rsid w:val="00CD0027"/>
    <w:rsid w:val="00CD35E5"/>
    <w:rsid w:val="00CD4982"/>
    <w:rsid w:val="00CE4ABD"/>
    <w:rsid w:val="00CE507A"/>
    <w:rsid w:val="00CE670C"/>
    <w:rsid w:val="00CF6D11"/>
    <w:rsid w:val="00D12FB9"/>
    <w:rsid w:val="00D2105A"/>
    <w:rsid w:val="00D2783E"/>
    <w:rsid w:val="00D27E48"/>
    <w:rsid w:val="00D326D3"/>
    <w:rsid w:val="00D40633"/>
    <w:rsid w:val="00D42E61"/>
    <w:rsid w:val="00D62C2F"/>
    <w:rsid w:val="00D70A39"/>
    <w:rsid w:val="00D829FE"/>
    <w:rsid w:val="00D87C44"/>
    <w:rsid w:val="00D90229"/>
    <w:rsid w:val="00D921AE"/>
    <w:rsid w:val="00D928FB"/>
    <w:rsid w:val="00D94AD1"/>
    <w:rsid w:val="00DA2F1F"/>
    <w:rsid w:val="00DA4453"/>
    <w:rsid w:val="00DA5719"/>
    <w:rsid w:val="00DB1377"/>
    <w:rsid w:val="00DB1B54"/>
    <w:rsid w:val="00DB6DFB"/>
    <w:rsid w:val="00DC1552"/>
    <w:rsid w:val="00DC67FF"/>
    <w:rsid w:val="00DC6A95"/>
    <w:rsid w:val="00DD00DA"/>
    <w:rsid w:val="00DE251B"/>
    <w:rsid w:val="00DE48F2"/>
    <w:rsid w:val="00DF1FBF"/>
    <w:rsid w:val="00DF424A"/>
    <w:rsid w:val="00E03481"/>
    <w:rsid w:val="00E1659F"/>
    <w:rsid w:val="00E22685"/>
    <w:rsid w:val="00E26D37"/>
    <w:rsid w:val="00E326FE"/>
    <w:rsid w:val="00E33417"/>
    <w:rsid w:val="00E35EE3"/>
    <w:rsid w:val="00E40428"/>
    <w:rsid w:val="00E44578"/>
    <w:rsid w:val="00E46451"/>
    <w:rsid w:val="00E538C0"/>
    <w:rsid w:val="00E56208"/>
    <w:rsid w:val="00E60691"/>
    <w:rsid w:val="00E67CD1"/>
    <w:rsid w:val="00E72641"/>
    <w:rsid w:val="00E80405"/>
    <w:rsid w:val="00E86E37"/>
    <w:rsid w:val="00E92667"/>
    <w:rsid w:val="00E93824"/>
    <w:rsid w:val="00EA713A"/>
    <w:rsid w:val="00EB1BF3"/>
    <w:rsid w:val="00EC1319"/>
    <w:rsid w:val="00EC4688"/>
    <w:rsid w:val="00ED31B4"/>
    <w:rsid w:val="00ED4764"/>
    <w:rsid w:val="00ED60F0"/>
    <w:rsid w:val="00EE04DF"/>
    <w:rsid w:val="00EE715F"/>
    <w:rsid w:val="00EF000C"/>
    <w:rsid w:val="00EF0C21"/>
    <w:rsid w:val="00EF177B"/>
    <w:rsid w:val="00EF2071"/>
    <w:rsid w:val="00EF2F91"/>
    <w:rsid w:val="00EF6AD4"/>
    <w:rsid w:val="00F004FE"/>
    <w:rsid w:val="00F00651"/>
    <w:rsid w:val="00F0310B"/>
    <w:rsid w:val="00F05103"/>
    <w:rsid w:val="00F11493"/>
    <w:rsid w:val="00F1504E"/>
    <w:rsid w:val="00F16906"/>
    <w:rsid w:val="00F17429"/>
    <w:rsid w:val="00F23286"/>
    <w:rsid w:val="00F2597D"/>
    <w:rsid w:val="00F30B4E"/>
    <w:rsid w:val="00F31D98"/>
    <w:rsid w:val="00F350C5"/>
    <w:rsid w:val="00F36FB5"/>
    <w:rsid w:val="00F41EB4"/>
    <w:rsid w:val="00F42D09"/>
    <w:rsid w:val="00F51E3C"/>
    <w:rsid w:val="00F5325C"/>
    <w:rsid w:val="00F61DE1"/>
    <w:rsid w:val="00F64F9A"/>
    <w:rsid w:val="00F74B56"/>
    <w:rsid w:val="00F7696B"/>
    <w:rsid w:val="00F76BED"/>
    <w:rsid w:val="00F77D10"/>
    <w:rsid w:val="00F803E4"/>
    <w:rsid w:val="00F938A1"/>
    <w:rsid w:val="00FA11DD"/>
    <w:rsid w:val="00FB7660"/>
    <w:rsid w:val="00FC45DB"/>
    <w:rsid w:val="00FC5101"/>
    <w:rsid w:val="00FD5794"/>
    <w:rsid w:val="00FE64FA"/>
    <w:rsid w:val="00FF334E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207A6"/>
  <w14:defaultImageDpi w14:val="0"/>
  <w15:docId w15:val="{93817357-F965-4A9D-BFF7-7059C655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D6749"/>
    <w:rPr>
      <w:rFonts w:cs="Times New Roman"/>
      <w:sz w:val="20"/>
      <w:szCs w:val="20"/>
    </w:rPr>
  </w:style>
  <w:style w:type="character" w:styleId="Odkaznapoznmkupodiarou">
    <w:name w:val="footnote reference"/>
    <w:aliases w:val="Footnote symbol,Footnote reference number"/>
    <w:basedOn w:val="Predvolenpsmoodseku"/>
    <w:uiPriority w:val="99"/>
    <w:semiHidden/>
    <w:unhideWhenUsed/>
    <w:rsid w:val="001D674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D674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D6749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D4982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D4982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745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07457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table" w:styleId="Mriekatabuky">
    <w:name w:val="Table Grid"/>
    <w:basedOn w:val="Normlnatabuka"/>
    <w:uiPriority w:val="59"/>
    <w:rsid w:val="0070745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D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WKX3UHSAJ2R6-2-927808</_dlc_DocId>
    <_dlc_DocIdUrl xmlns="e60a29af-d413-48d4-bd90-fe9d2a897e4b">
      <Url>https://ovdmasv601/sites/DMS/_layouts/15/DocIdRedir.aspx?ID=WKX3UHSAJ2R6-2-927808</Url>
      <Description>WKX3UHSAJ2R6-2-927808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E0F96-10E5-4B01-8D9C-391B45C10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9BC62-90B1-4AD8-A2D9-6D2BB4AEF4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B80139-F736-4DFB-8656-694F2D674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222208-791B-45D5-82D2-278093EE62CB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5.xml><?xml version="1.0" encoding="utf-8"?>
<ds:datastoreItem xmlns:ds="http://schemas.openxmlformats.org/officeDocument/2006/customXml" ds:itemID="{73405401-7828-4602-96B4-E765BB8F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Földesová Motajová Zuzana</cp:lastModifiedBy>
  <cp:revision>4</cp:revision>
  <cp:lastPrinted>2016-03-03T09:34:00Z</cp:lastPrinted>
  <dcterms:created xsi:type="dcterms:W3CDTF">2019-08-15T03:33:00Z</dcterms:created>
  <dcterms:modified xsi:type="dcterms:W3CDTF">2019-08-22T11:35:00Z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2d75480e-2171-4bef-a6a5-c392eaee86cd</vt:lpwstr>
  </property>
</Properties>
</file>