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99"/>
        <w:gridCol w:w="1511"/>
        <w:gridCol w:w="2990"/>
        <w:gridCol w:w="790"/>
        <w:gridCol w:w="470"/>
        <w:gridCol w:w="1260"/>
        <w:gridCol w:w="610"/>
        <w:gridCol w:w="650"/>
        <w:gridCol w:w="4500"/>
        <w:gridCol w:w="720"/>
        <w:gridCol w:w="1330"/>
        <w:gridCol w:w="475"/>
      </w:tblGrid>
      <w:tr w:rsidR="00B83EF0" w:rsidRPr="006F6E42" w:rsidTr="002809E5">
        <w:trPr>
          <w:jc w:val="center"/>
        </w:trPr>
        <w:tc>
          <w:tcPr>
            <w:tcW w:w="16205" w:type="dxa"/>
            <w:gridSpan w:val="12"/>
          </w:tcPr>
          <w:p w:rsidR="00B83EF0" w:rsidRPr="006F6E42" w:rsidRDefault="00B83EF0" w:rsidP="00EC5CA8">
            <w:pPr>
              <w:pStyle w:val="Normlny0"/>
              <w:jc w:val="center"/>
              <w:rPr>
                <w:sz w:val="22"/>
                <w:szCs w:val="22"/>
              </w:rPr>
            </w:pPr>
            <w:bookmarkStart w:id="0" w:name="_GoBack"/>
            <w:bookmarkEnd w:id="0"/>
            <w:r w:rsidRPr="006F6E42">
              <w:rPr>
                <w:sz w:val="22"/>
                <w:szCs w:val="22"/>
              </w:rPr>
              <w:t>TABUĽKA  ZHODY</w:t>
            </w:r>
          </w:p>
          <w:p w:rsidR="00B83EF0" w:rsidRPr="006F6E42" w:rsidRDefault="00B83EF0" w:rsidP="00EC5CA8">
            <w:pPr>
              <w:pStyle w:val="Normlny0"/>
              <w:jc w:val="center"/>
              <w:rPr>
                <w:b/>
                <w:bCs/>
                <w:sz w:val="22"/>
                <w:szCs w:val="22"/>
              </w:rPr>
            </w:pPr>
            <w:r w:rsidRPr="006F6E42">
              <w:rPr>
                <w:sz w:val="22"/>
                <w:szCs w:val="22"/>
              </w:rPr>
              <w:t>s právom Európskych spoločenstiev a právom Európskej únie</w:t>
            </w:r>
          </w:p>
        </w:tc>
      </w:tr>
      <w:tr w:rsidR="00B83EF0" w:rsidRPr="00487803" w:rsidTr="002809E5">
        <w:trPr>
          <w:trHeight w:val="567"/>
          <w:jc w:val="center"/>
        </w:trPr>
        <w:tc>
          <w:tcPr>
            <w:tcW w:w="6660" w:type="dxa"/>
            <w:gridSpan w:val="5"/>
          </w:tcPr>
          <w:p w:rsidR="002A554C" w:rsidRDefault="00B83EF0" w:rsidP="002A554C">
            <w:pPr>
              <w:pStyle w:val="Normlny0"/>
              <w:rPr>
                <w:rFonts w:cs="EUAlbertina"/>
                <w:color w:val="000000"/>
              </w:rPr>
            </w:pPr>
            <w:r w:rsidRPr="006F6E42">
              <w:rPr>
                <w:sz w:val="22"/>
                <w:szCs w:val="22"/>
              </w:rPr>
              <w:t>Smernica</w:t>
            </w:r>
          </w:p>
          <w:p w:rsidR="002A554C" w:rsidRDefault="002A554C" w:rsidP="002A554C">
            <w:pPr>
              <w:pStyle w:val="CM4"/>
              <w:spacing w:before="60" w:after="60"/>
              <w:rPr>
                <w:rFonts w:cs="EUAlbertina"/>
                <w:color w:val="000000"/>
                <w:sz w:val="19"/>
                <w:szCs w:val="19"/>
              </w:rPr>
            </w:pPr>
            <w:r>
              <w:rPr>
                <w:rFonts w:cs="EUAlbertina"/>
                <w:b/>
                <w:bCs/>
                <w:color w:val="000000"/>
                <w:sz w:val="19"/>
                <w:szCs w:val="19"/>
              </w:rPr>
              <w:t xml:space="preserve">SMERNICA EURÓPSKEHO PARLAMENTU A RADY (EÚ) 2018/850 </w:t>
            </w:r>
          </w:p>
          <w:p w:rsidR="002A554C" w:rsidRDefault="002A554C" w:rsidP="002A554C">
            <w:pPr>
              <w:pStyle w:val="CM4"/>
              <w:spacing w:before="60" w:after="60"/>
              <w:rPr>
                <w:rFonts w:cs="EUAlbertina"/>
                <w:color w:val="000000"/>
                <w:sz w:val="19"/>
                <w:szCs w:val="19"/>
              </w:rPr>
            </w:pPr>
            <w:r>
              <w:rPr>
                <w:rFonts w:cs="EUAlbertina"/>
                <w:b/>
                <w:bCs/>
                <w:color w:val="000000"/>
                <w:sz w:val="19"/>
                <w:szCs w:val="19"/>
              </w:rPr>
              <w:t xml:space="preserve">z 30. mája 2018, </w:t>
            </w:r>
          </w:p>
          <w:p w:rsidR="00B83EF0" w:rsidRPr="006F6E42" w:rsidRDefault="002A554C" w:rsidP="002A554C">
            <w:pPr>
              <w:pStyle w:val="Normlny0"/>
              <w:rPr>
                <w:b/>
                <w:sz w:val="22"/>
                <w:szCs w:val="22"/>
              </w:rPr>
            </w:pPr>
            <w:r>
              <w:rPr>
                <w:rFonts w:cs="EUAlbertina"/>
                <w:b/>
                <w:bCs/>
                <w:color w:val="000000"/>
                <w:sz w:val="19"/>
                <w:szCs w:val="19"/>
              </w:rPr>
              <w:t xml:space="preserve">ktorou sa mení smernica 1999/31/ES o skládkach odpadov </w:t>
            </w:r>
          </w:p>
        </w:tc>
        <w:tc>
          <w:tcPr>
            <w:tcW w:w="9545" w:type="dxa"/>
            <w:gridSpan w:val="7"/>
          </w:tcPr>
          <w:p w:rsidR="00B83EF0" w:rsidRPr="006F6E42" w:rsidRDefault="00B83EF0" w:rsidP="00EC5CA8">
            <w:pPr>
              <w:pStyle w:val="Normlny0"/>
              <w:rPr>
                <w:sz w:val="22"/>
                <w:szCs w:val="22"/>
              </w:rPr>
            </w:pPr>
            <w:r w:rsidRPr="006F6E42">
              <w:rPr>
                <w:sz w:val="22"/>
                <w:szCs w:val="22"/>
              </w:rPr>
              <w:t>Právne predpisy Slovenskej republiky</w:t>
            </w:r>
          </w:p>
          <w:p w:rsidR="00B83EF0" w:rsidRDefault="00B83EF0" w:rsidP="00EC5CA8">
            <w:pPr>
              <w:rPr>
                <w:b/>
                <w:color w:val="FF0000"/>
                <w:sz w:val="20"/>
                <w:szCs w:val="22"/>
              </w:rPr>
            </w:pPr>
            <w:r w:rsidRPr="00773CCE">
              <w:rPr>
                <w:b/>
                <w:color w:val="FF0000"/>
                <w:sz w:val="20"/>
                <w:szCs w:val="22"/>
              </w:rPr>
              <w:t xml:space="preserve">Návrh zákona, ktorým sa mení a dopĺňa zákon č. 79/2015 Z. z. o odpadoch a o zmene a doplnení niektorých zákonov v znení neskorších predpisov </w:t>
            </w:r>
            <w:r w:rsidR="008842C9">
              <w:rPr>
                <w:b/>
                <w:color w:val="FF0000"/>
                <w:sz w:val="20"/>
                <w:szCs w:val="22"/>
              </w:rPr>
              <w:t>a ktorým sa menia a dopĺňajú niektoré zákony</w:t>
            </w:r>
            <w:r w:rsidR="00025F19">
              <w:rPr>
                <w:b/>
                <w:color w:val="FF0000"/>
                <w:sz w:val="20"/>
                <w:szCs w:val="22"/>
              </w:rPr>
              <w:t xml:space="preserve"> </w:t>
            </w:r>
            <w:r w:rsidR="00025F19" w:rsidRPr="00025F19">
              <w:rPr>
                <w:b/>
                <w:color w:val="FF0000"/>
                <w:sz w:val="20"/>
                <w:szCs w:val="22"/>
              </w:rPr>
              <w:t>(ďalej len „NZ“)</w:t>
            </w:r>
          </w:p>
          <w:p w:rsidR="00CB31BD" w:rsidRDefault="00CB31BD" w:rsidP="00EC5CA8">
            <w:pPr>
              <w:rPr>
                <w:b/>
                <w:color w:val="FF0000"/>
                <w:sz w:val="20"/>
                <w:szCs w:val="22"/>
              </w:rPr>
            </w:pPr>
          </w:p>
          <w:p w:rsidR="002D7AB3" w:rsidRDefault="002D7AB3" w:rsidP="00EC5CA8">
            <w:pPr>
              <w:rPr>
                <w:b/>
                <w:color w:val="FF0000"/>
                <w:sz w:val="20"/>
                <w:szCs w:val="22"/>
              </w:rPr>
            </w:pPr>
            <w:r w:rsidRPr="002D7AB3">
              <w:rPr>
                <w:b/>
                <w:color w:val="FF0000"/>
                <w:sz w:val="20"/>
                <w:szCs w:val="22"/>
              </w:rPr>
              <w:t>Novelizačný bod (ďalej len „NB“)</w:t>
            </w:r>
          </w:p>
          <w:p w:rsidR="00CB31BD" w:rsidRDefault="00CB31BD" w:rsidP="00EC5CA8">
            <w:pPr>
              <w:rPr>
                <w:b/>
                <w:color w:val="FF0000"/>
                <w:sz w:val="20"/>
                <w:szCs w:val="22"/>
              </w:rPr>
            </w:pPr>
          </w:p>
          <w:p w:rsidR="00B83EF0" w:rsidRDefault="00B83EF0" w:rsidP="00EC5CA8">
            <w:pPr>
              <w:rPr>
                <w:b/>
                <w:sz w:val="20"/>
                <w:szCs w:val="22"/>
                <w:u w:val="single"/>
              </w:rPr>
            </w:pPr>
            <w:r w:rsidRPr="00773CCE">
              <w:rPr>
                <w:sz w:val="20"/>
                <w:szCs w:val="22"/>
              </w:rPr>
              <w:t>Zákon č. 79/2015 Z. z. o odpadoch a o zmene a doplnení niektorých zákonov v znení neskorších predpisov</w:t>
            </w:r>
            <w:r w:rsidR="00025F19">
              <w:rPr>
                <w:sz w:val="20"/>
                <w:szCs w:val="22"/>
              </w:rPr>
              <w:t xml:space="preserve"> </w:t>
            </w:r>
            <w:r w:rsidR="00025F19" w:rsidRPr="00025F19">
              <w:rPr>
                <w:b/>
                <w:sz w:val="20"/>
                <w:szCs w:val="22"/>
                <w:u w:val="single"/>
              </w:rPr>
              <w:t>(ďalej len „Z“)</w:t>
            </w:r>
          </w:p>
          <w:p w:rsidR="00CB31BD" w:rsidRDefault="00CB31BD" w:rsidP="00EC5CA8">
            <w:pPr>
              <w:rPr>
                <w:b/>
                <w:sz w:val="20"/>
                <w:szCs w:val="22"/>
                <w:u w:val="single"/>
              </w:rPr>
            </w:pPr>
          </w:p>
          <w:p w:rsidR="00CB31BD" w:rsidRDefault="00CB31BD" w:rsidP="00EC5CA8">
            <w:pPr>
              <w:rPr>
                <w:sz w:val="20"/>
                <w:szCs w:val="22"/>
              </w:rPr>
            </w:pPr>
            <w:r w:rsidRPr="00CB31BD">
              <w:rPr>
                <w:sz w:val="20"/>
                <w:szCs w:val="22"/>
              </w:rPr>
              <w:t>Vyhláška Ministerstva životného prostredia Slovenskej republiky ktorou sa vykonávajú niektoré ustanovenia zákona o odpadoch č.371/2015 Z. z.</w:t>
            </w:r>
            <w:r>
              <w:rPr>
                <w:sz w:val="20"/>
                <w:szCs w:val="22"/>
              </w:rPr>
              <w:t xml:space="preserve"> (ďalej len „V )</w:t>
            </w:r>
          </w:p>
          <w:p w:rsidR="00CB31BD" w:rsidRDefault="00CB31BD" w:rsidP="00EC5CA8">
            <w:pPr>
              <w:rPr>
                <w:sz w:val="20"/>
                <w:szCs w:val="22"/>
              </w:rPr>
            </w:pPr>
          </w:p>
          <w:p w:rsidR="00CB31BD" w:rsidRPr="00CB31BD" w:rsidRDefault="00CB31BD" w:rsidP="00EC5CA8">
            <w:pPr>
              <w:rPr>
                <w:sz w:val="20"/>
                <w:szCs w:val="22"/>
              </w:rPr>
            </w:pPr>
            <w:r w:rsidRPr="00BB73EC">
              <w:rPr>
                <w:b/>
                <w:color w:val="FF0000"/>
                <w:sz w:val="20"/>
                <w:szCs w:val="22"/>
              </w:rPr>
              <w:t>Návrh  vyhlášky Ministerstva životného prostredia Slovenskej republiky ktorou sa vykonávajú niektoré ustanovenia zákona o odpadoch č.371/2015 Z. z.</w:t>
            </w:r>
            <w:r>
              <w:rPr>
                <w:b/>
                <w:color w:val="FF0000"/>
                <w:sz w:val="20"/>
                <w:szCs w:val="22"/>
              </w:rPr>
              <w:t xml:space="preserve"> (ďalej len „NV“ )</w:t>
            </w:r>
          </w:p>
          <w:p w:rsidR="00B83EF0" w:rsidRPr="00025F19" w:rsidRDefault="00B83EF0" w:rsidP="00025F19">
            <w:pPr>
              <w:pStyle w:val="Normlny0"/>
              <w:rPr>
                <w:sz w:val="22"/>
                <w:szCs w:val="22"/>
              </w:rPr>
            </w:pPr>
          </w:p>
        </w:tc>
      </w:tr>
      <w:tr w:rsidR="00B83EF0" w:rsidRPr="006F6E42" w:rsidTr="002809E5">
        <w:trPr>
          <w:jc w:val="center"/>
        </w:trPr>
        <w:tc>
          <w:tcPr>
            <w:tcW w:w="899" w:type="dxa"/>
          </w:tcPr>
          <w:p w:rsidR="00B83EF0" w:rsidRPr="006F6E42" w:rsidRDefault="00B83EF0" w:rsidP="00EC5CA8">
            <w:pPr>
              <w:pStyle w:val="Normlny0"/>
              <w:rPr>
                <w:sz w:val="22"/>
                <w:szCs w:val="22"/>
              </w:rPr>
            </w:pPr>
            <w:r w:rsidRPr="006F6E42">
              <w:rPr>
                <w:sz w:val="22"/>
                <w:szCs w:val="22"/>
              </w:rPr>
              <w:t>1</w:t>
            </w:r>
          </w:p>
        </w:tc>
        <w:tc>
          <w:tcPr>
            <w:tcW w:w="4501" w:type="dxa"/>
            <w:gridSpan w:val="2"/>
          </w:tcPr>
          <w:p w:rsidR="00B83EF0" w:rsidRPr="006F6E42" w:rsidRDefault="00B83EF0" w:rsidP="00EC5CA8">
            <w:pPr>
              <w:pStyle w:val="Normlny0"/>
              <w:rPr>
                <w:sz w:val="22"/>
                <w:szCs w:val="22"/>
              </w:rPr>
            </w:pPr>
            <w:r w:rsidRPr="006F6E42">
              <w:rPr>
                <w:sz w:val="22"/>
                <w:szCs w:val="22"/>
              </w:rPr>
              <w:t>2</w:t>
            </w:r>
          </w:p>
        </w:tc>
        <w:tc>
          <w:tcPr>
            <w:tcW w:w="1260" w:type="dxa"/>
            <w:gridSpan w:val="2"/>
          </w:tcPr>
          <w:p w:rsidR="00B83EF0" w:rsidRPr="006F6E42" w:rsidRDefault="00B83EF0" w:rsidP="00EC5CA8">
            <w:pPr>
              <w:pStyle w:val="Normlny0"/>
              <w:rPr>
                <w:sz w:val="22"/>
                <w:szCs w:val="22"/>
              </w:rPr>
            </w:pPr>
            <w:r w:rsidRPr="006F6E42">
              <w:rPr>
                <w:sz w:val="22"/>
                <w:szCs w:val="22"/>
              </w:rPr>
              <w:t>3</w:t>
            </w:r>
          </w:p>
        </w:tc>
        <w:tc>
          <w:tcPr>
            <w:tcW w:w="1260" w:type="dxa"/>
          </w:tcPr>
          <w:p w:rsidR="00B83EF0" w:rsidRPr="006F6E42" w:rsidRDefault="00B83EF0" w:rsidP="00EC5CA8">
            <w:pPr>
              <w:pStyle w:val="Normlny0"/>
              <w:rPr>
                <w:sz w:val="22"/>
                <w:szCs w:val="22"/>
              </w:rPr>
            </w:pPr>
            <w:r w:rsidRPr="006F6E42">
              <w:rPr>
                <w:sz w:val="22"/>
                <w:szCs w:val="22"/>
              </w:rPr>
              <w:t>4</w:t>
            </w:r>
          </w:p>
        </w:tc>
        <w:tc>
          <w:tcPr>
            <w:tcW w:w="1260" w:type="dxa"/>
            <w:gridSpan w:val="2"/>
          </w:tcPr>
          <w:p w:rsidR="00B83EF0" w:rsidRPr="006F6E42" w:rsidRDefault="00B83EF0" w:rsidP="00EC5CA8">
            <w:pPr>
              <w:pStyle w:val="Normlny0"/>
              <w:rPr>
                <w:sz w:val="22"/>
                <w:szCs w:val="22"/>
              </w:rPr>
            </w:pPr>
            <w:r w:rsidRPr="006F6E42">
              <w:rPr>
                <w:sz w:val="22"/>
                <w:szCs w:val="22"/>
              </w:rPr>
              <w:t>5</w:t>
            </w:r>
          </w:p>
        </w:tc>
        <w:tc>
          <w:tcPr>
            <w:tcW w:w="4500" w:type="dxa"/>
          </w:tcPr>
          <w:p w:rsidR="00B83EF0" w:rsidRPr="006F6E42" w:rsidRDefault="00B83EF0" w:rsidP="00EC5CA8">
            <w:pPr>
              <w:pStyle w:val="Normlny0"/>
              <w:rPr>
                <w:sz w:val="22"/>
                <w:szCs w:val="22"/>
              </w:rPr>
            </w:pPr>
            <w:r w:rsidRPr="006F6E42">
              <w:rPr>
                <w:sz w:val="22"/>
                <w:szCs w:val="22"/>
              </w:rPr>
              <w:t>6</w:t>
            </w:r>
          </w:p>
        </w:tc>
        <w:tc>
          <w:tcPr>
            <w:tcW w:w="720" w:type="dxa"/>
          </w:tcPr>
          <w:p w:rsidR="00B83EF0" w:rsidRPr="006F6E42" w:rsidRDefault="00B83EF0" w:rsidP="00EC5CA8">
            <w:pPr>
              <w:pStyle w:val="Normlny0"/>
              <w:rPr>
                <w:sz w:val="22"/>
                <w:szCs w:val="22"/>
              </w:rPr>
            </w:pPr>
            <w:r w:rsidRPr="006F6E42">
              <w:rPr>
                <w:sz w:val="22"/>
                <w:szCs w:val="22"/>
              </w:rPr>
              <w:t>7</w:t>
            </w:r>
          </w:p>
        </w:tc>
        <w:tc>
          <w:tcPr>
            <w:tcW w:w="1805" w:type="dxa"/>
            <w:gridSpan w:val="2"/>
          </w:tcPr>
          <w:p w:rsidR="00B83EF0" w:rsidRPr="006F6E42" w:rsidRDefault="00B83EF0" w:rsidP="00EC5CA8">
            <w:pPr>
              <w:pStyle w:val="Normlny0"/>
              <w:rPr>
                <w:sz w:val="22"/>
                <w:szCs w:val="22"/>
              </w:rPr>
            </w:pPr>
            <w:r w:rsidRPr="006F6E42">
              <w:rPr>
                <w:sz w:val="22"/>
                <w:szCs w:val="22"/>
              </w:rPr>
              <w:t>8</w:t>
            </w:r>
          </w:p>
        </w:tc>
      </w:tr>
      <w:tr w:rsidR="00B83EF0" w:rsidRPr="006F6E42" w:rsidTr="002809E5">
        <w:trPr>
          <w:trHeight w:val="1173"/>
          <w:jc w:val="center"/>
        </w:trPr>
        <w:tc>
          <w:tcPr>
            <w:tcW w:w="899" w:type="dxa"/>
          </w:tcPr>
          <w:p w:rsidR="00B83EF0" w:rsidRPr="006F6E42" w:rsidRDefault="00B83EF0" w:rsidP="00EC5CA8">
            <w:pPr>
              <w:pStyle w:val="Normlny0"/>
              <w:rPr>
                <w:b/>
                <w:sz w:val="22"/>
                <w:szCs w:val="22"/>
              </w:rPr>
            </w:pPr>
            <w:r w:rsidRPr="006F6E42">
              <w:rPr>
                <w:b/>
                <w:sz w:val="22"/>
                <w:szCs w:val="22"/>
              </w:rPr>
              <w:t>Článok</w:t>
            </w:r>
          </w:p>
          <w:p w:rsidR="00B83EF0" w:rsidRPr="006F6E42" w:rsidRDefault="00B83EF0" w:rsidP="00EC5CA8">
            <w:pPr>
              <w:pStyle w:val="Normlny0"/>
              <w:rPr>
                <w:b/>
                <w:sz w:val="22"/>
                <w:szCs w:val="22"/>
              </w:rPr>
            </w:pPr>
            <w:r w:rsidRPr="006F6E42">
              <w:rPr>
                <w:b/>
                <w:sz w:val="22"/>
                <w:szCs w:val="22"/>
              </w:rPr>
              <w:t>(Č, O,</w:t>
            </w:r>
          </w:p>
          <w:p w:rsidR="00B83EF0" w:rsidRPr="006F6E42" w:rsidRDefault="00B83EF0" w:rsidP="00EC5CA8">
            <w:pPr>
              <w:pStyle w:val="Normlny0"/>
              <w:rPr>
                <w:b/>
                <w:sz w:val="22"/>
                <w:szCs w:val="22"/>
              </w:rPr>
            </w:pPr>
            <w:r w:rsidRPr="006F6E42">
              <w:rPr>
                <w:b/>
                <w:sz w:val="22"/>
                <w:szCs w:val="22"/>
              </w:rPr>
              <w:t>V, P)</w:t>
            </w:r>
          </w:p>
        </w:tc>
        <w:tc>
          <w:tcPr>
            <w:tcW w:w="4501" w:type="dxa"/>
            <w:gridSpan w:val="2"/>
          </w:tcPr>
          <w:p w:rsidR="00B83EF0" w:rsidRPr="006F6E42" w:rsidRDefault="00B83EF0" w:rsidP="00EC5CA8">
            <w:pPr>
              <w:pStyle w:val="Normlny0"/>
              <w:rPr>
                <w:b/>
                <w:sz w:val="22"/>
                <w:szCs w:val="22"/>
              </w:rPr>
            </w:pPr>
          </w:p>
        </w:tc>
        <w:tc>
          <w:tcPr>
            <w:tcW w:w="1260" w:type="dxa"/>
            <w:gridSpan w:val="2"/>
          </w:tcPr>
          <w:p w:rsidR="00B83EF0" w:rsidRPr="006F6E42" w:rsidRDefault="00B83EF0" w:rsidP="00EC5CA8">
            <w:pPr>
              <w:pStyle w:val="Normlny0"/>
              <w:rPr>
                <w:sz w:val="22"/>
                <w:szCs w:val="22"/>
              </w:rPr>
            </w:pPr>
            <w:r w:rsidRPr="006F6E42">
              <w:rPr>
                <w:sz w:val="22"/>
                <w:szCs w:val="22"/>
              </w:rPr>
              <w:t xml:space="preserve">Spôsob </w:t>
            </w:r>
            <w:proofErr w:type="spellStart"/>
            <w:r w:rsidRPr="006F6E42">
              <w:rPr>
                <w:sz w:val="22"/>
                <w:szCs w:val="22"/>
              </w:rPr>
              <w:t>transp</w:t>
            </w:r>
            <w:proofErr w:type="spellEnd"/>
            <w:r w:rsidRPr="006F6E42">
              <w:rPr>
                <w:sz w:val="22"/>
                <w:szCs w:val="22"/>
              </w:rPr>
              <w:t>.</w:t>
            </w:r>
          </w:p>
          <w:p w:rsidR="00B83EF0" w:rsidRPr="006F6E42" w:rsidRDefault="00B83EF0" w:rsidP="00EC5CA8">
            <w:pPr>
              <w:pStyle w:val="Normlny0"/>
              <w:rPr>
                <w:sz w:val="22"/>
                <w:szCs w:val="22"/>
              </w:rPr>
            </w:pPr>
            <w:r w:rsidRPr="006F6E42">
              <w:rPr>
                <w:sz w:val="22"/>
                <w:szCs w:val="22"/>
              </w:rPr>
              <w:t xml:space="preserve">(N, O, D, </w:t>
            </w:r>
            <w:proofErr w:type="spellStart"/>
            <w:r w:rsidRPr="006F6E42">
              <w:rPr>
                <w:sz w:val="22"/>
                <w:szCs w:val="22"/>
              </w:rPr>
              <w:t>n.a</w:t>
            </w:r>
            <w:proofErr w:type="spellEnd"/>
            <w:r w:rsidRPr="006F6E42">
              <w:rPr>
                <w:sz w:val="22"/>
                <w:szCs w:val="22"/>
              </w:rPr>
              <w:t>.)</w:t>
            </w:r>
          </w:p>
        </w:tc>
        <w:tc>
          <w:tcPr>
            <w:tcW w:w="1260" w:type="dxa"/>
          </w:tcPr>
          <w:p w:rsidR="00B83EF0" w:rsidRPr="006F6E42" w:rsidRDefault="00B83EF0" w:rsidP="00EC5CA8">
            <w:pPr>
              <w:pStyle w:val="Normlny0"/>
              <w:rPr>
                <w:sz w:val="22"/>
                <w:szCs w:val="22"/>
              </w:rPr>
            </w:pPr>
            <w:r w:rsidRPr="006F6E42">
              <w:rPr>
                <w:sz w:val="22"/>
                <w:szCs w:val="22"/>
              </w:rPr>
              <w:t>Číslo</w:t>
            </w:r>
          </w:p>
          <w:p w:rsidR="00B83EF0" w:rsidRPr="006F6E42" w:rsidRDefault="00B83EF0" w:rsidP="00EC5CA8">
            <w:pPr>
              <w:pStyle w:val="Normlny0"/>
              <w:rPr>
                <w:sz w:val="22"/>
                <w:szCs w:val="22"/>
              </w:rPr>
            </w:pPr>
            <w:r w:rsidRPr="006F6E42">
              <w:rPr>
                <w:sz w:val="22"/>
                <w:szCs w:val="22"/>
              </w:rPr>
              <w:t>predpisu</w:t>
            </w:r>
          </w:p>
        </w:tc>
        <w:tc>
          <w:tcPr>
            <w:tcW w:w="1260" w:type="dxa"/>
            <w:gridSpan w:val="2"/>
          </w:tcPr>
          <w:p w:rsidR="00B83EF0" w:rsidRPr="006F6E42" w:rsidRDefault="00B83EF0" w:rsidP="00EC5CA8">
            <w:pPr>
              <w:pStyle w:val="Normlny0"/>
              <w:rPr>
                <w:sz w:val="22"/>
                <w:szCs w:val="22"/>
              </w:rPr>
            </w:pPr>
            <w:r w:rsidRPr="006F6E42">
              <w:rPr>
                <w:sz w:val="22"/>
                <w:szCs w:val="22"/>
              </w:rPr>
              <w:t>Článok (Č, §, O, V, P)</w:t>
            </w:r>
          </w:p>
        </w:tc>
        <w:tc>
          <w:tcPr>
            <w:tcW w:w="4500" w:type="dxa"/>
          </w:tcPr>
          <w:p w:rsidR="00B83EF0" w:rsidRPr="006F6E42" w:rsidRDefault="00B83EF0" w:rsidP="00EC5CA8">
            <w:pPr>
              <w:pStyle w:val="Normlny0"/>
              <w:rPr>
                <w:sz w:val="22"/>
                <w:szCs w:val="22"/>
              </w:rPr>
            </w:pPr>
          </w:p>
        </w:tc>
        <w:tc>
          <w:tcPr>
            <w:tcW w:w="720" w:type="dxa"/>
          </w:tcPr>
          <w:p w:rsidR="00B83EF0" w:rsidRPr="006F6E42" w:rsidRDefault="00B83EF0" w:rsidP="00EC5CA8">
            <w:pPr>
              <w:pStyle w:val="Normlny0"/>
              <w:rPr>
                <w:sz w:val="22"/>
                <w:szCs w:val="22"/>
              </w:rPr>
            </w:pPr>
            <w:r w:rsidRPr="006F6E42">
              <w:rPr>
                <w:sz w:val="22"/>
                <w:szCs w:val="22"/>
              </w:rPr>
              <w:t>Zhoda</w:t>
            </w:r>
          </w:p>
        </w:tc>
        <w:tc>
          <w:tcPr>
            <w:tcW w:w="1805" w:type="dxa"/>
            <w:gridSpan w:val="2"/>
          </w:tcPr>
          <w:p w:rsidR="00B83EF0" w:rsidRPr="006F6E42" w:rsidRDefault="00B83EF0" w:rsidP="00EC5CA8">
            <w:pPr>
              <w:pStyle w:val="Normlny0"/>
              <w:rPr>
                <w:sz w:val="22"/>
                <w:szCs w:val="22"/>
              </w:rPr>
            </w:pPr>
            <w:r w:rsidRPr="006F6E42">
              <w:rPr>
                <w:sz w:val="22"/>
                <w:szCs w:val="22"/>
              </w:rPr>
              <w:t>Poznámky</w:t>
            </w:r>
          </w:p>
        </w:tc>
      </w:tr>
      <w:tr w:rsidR="00B83EF0" w:rsidRPr="006F6E42" w:rsidTr="002809E5">
        <w:trPr>
          <w:trHeight w:val="1173"/>
          <w:jc w:val="center"/>
        </w:trPr>
        <w:tc>
          <w:tcPr>
            <w:tcW w:w="899" w:type="dxa"/>
          </w:tcPr>
          <w:p w:rsidR="00B83EF0" w:rsidRPr="00607C97" w:rsidRDefault="00B83EF0" w:rsidP="00B83EF0">
            <w:pPr>
              <w:pStyle w:val="Normlny0"/>
              <w:rPr>
                <w:szCs w:val="22"/>
              </w:rPr>
            </w:pPr>
            <w:r w:rsidRPr="00607C97">
              <w:rPr>
                <w:szCs w:val="22"/>
              </w:rPr>
              <w:t>Č.1</w:t>
            </w:r>
            <w:r w:rsidR="00025F19" w:rsidRPr="00607C97">
              <w:rPr>
                <w:szCs w:val="22"/>
              </w:rPr>
              <w:t xml:space="preserve">  O1</w:t>
            </w:r>
          </w:p>
          <w:p w:rsidR="00B83EF0" w:rsidRPr="006F6E42" w:rsidRDefault="00B83EF0" w:rsidP="00EC5CA8">
            <w:pPr>
              <w:pStyle w:val="Normlny0"/>
              <w:rPr>
                <w:b/>
                <w:sz w:val="22"/>
                <w:szCs w:val="22"/>
              </w:rPr>
            </w:pPr>
          </w:p>
        </w:tc>
        <w:tc>
          <w:tcPr>
            <w:tcW w:w="4501"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95"/>
            </w:tblGrid>
            <w:tr w:rsidR="0043110D" w:rsidRPr="0043110D" w:rsidTr="0043110D">
              <w:trPr>
                <w:tblCellSpacing w:w="0" w:type="dxa"/>
              </w:trPr>
              <w:tc>
                <w:tcPr>
                  <w:tcW w:w="15" w:type="dxa"/>
                  <w:hideMark/>
                </w:tcPr>
                <w:p w:rsidR="0043110D" w:rsidRPr="0043110D" w:rsidRDefault="0043110D" w:rsidP="0043110D">
                  <w:pPr>
                    <w:autoSpaceDE/>
                    <w:autoSpaceDN/>
                    <w:rPr>
                      <w:sz w:val="20"/>
                      <w:szCs w:val="20"/>
                    </w:rPr>
                  </w:pPr>
                </w:p>
              </w:tc>
              <w:tc>
                <w:tcPr>
                  <w:tcW w:w="9391" w:type="dxa"/>
                  <w:hideMark/>
                </w:tcPr>
                <w:p w:rsidR="0043110D" w:rsidRPr="0043110D" w:rsidRDefault="0043110D" w:rsidP="0043110D">
                  <w:pPr>
                    <w:autoSpaceDE/>
                    <w:autoSpaceDN/>
                    <w:spacing w:before="100" w:beforeAutospacing="1" w:after="100" w:afterAutospacing="1"/>
                  </w:pPr>
                  <w:r w:rsidRPr="00607C97">
                    <w:rPr>
                      <w:sz w:val="20"/>
                    </w:rPr>
                    <w:t>V článku 1 sa odsek 1 nahrádza takto:</w:t>
                  </w:r>
                </w:p>
              </w:tc>
            </w:tr>
          </w:tbl>
          <w:p w:rsidR="00B83EF0" w:rsidRPr="00607C97" w:rsidRDefault="00B83EF0" w:rsidP="00B83EF0">
            <w:pPr>
              <w:pStyle w:val="Normlny0"/>
              <w:rPr>
                <w:b/>
                <w:szCs w:val="22"/>
              </w:rPr>
            </w:pPr>
            <w:r w:rsidRPr="00607C97">
              <w:rPr>
                <w:color w:val="000000"/>
                <w:szCs w:val="24"/>
              </w:rPr>
              <w:t xml:space="preserve">S cieľom podporiť prechod Únie na obehové hospodárstvo a splniť požiadavky uvedené v smernici Európskeho parlamentu a Rady 2008/98/ES (*), najmä v jej článkoch 4 a 12, je cieľom tejto smernice zabezpečiť postupné znižovanie ukladania odpadu na skládku, najmä pokiaľ ide o odpad, ktorý je vhodný na recykláciu alebo iné zhodnotenie, a prostredníctvom prísnych prevádzkových a technických požiadaviek na odpad a skládky stanoviť opatrenia, postupy a usmernenia na predchádzanie alebo obmedzovanie negatívnych vplyvov na životné prostredie, najmä znečisťovania povrchových vôd, podzemných vôd, pôdy a ovzdušia, a na globálne životné prostredie vrátane skleníkového efektu, ako aj akéhokoľvek </w:t>
            </w:r>
            <w:r w:rsidRPr="00607C97">
              <w:rPr>
                <w:color w:val="000000"/>
                <w:szCs w:val="24"/>
              </w:rPr>
              <w:lastRenderedPageBreak/>
              <w:t>rizika pre zdravie ľudí, ktoré by ukladanie odpadu na skládku mohlo predstavovať počas celého životného cyklu skládky</w:t>
            </w:r>
          </w:p>
        </w:tc>
        <w:tc>
          <w:tcPr>
            <w:tcW w:w="1260" w:type="dxa"/>
            <w:gridSpan w:val="2"/>
          </w:tcPr>
          <w:p w:rsidR="00B83EF0" w:rsidRPr="00607C97" w:rsidRDefault="0043110D" w:rsidP="00EC5CA8">
            <w:pPr>
              <w:pStyle w:val="Normlny0"/>
              <w:rPr>
                <w:szCs w:val="22"/>
              </w:rPr>
            </w:pPr>
            <w:proofErr w:type="spellStart"/>
            <w:r>
              <w:rPr>
                <w:szCs w:val="22"/>
              </w:rPr>
              <w:lastRenderedPageBreak/>
              <w:t>n.a</w:t>
            </w:r>
            <w:proofErr w:type="spellEnd"/>
            <w:r>
              <w:rPr>
                <w:szCs w:val="22"/>
              </w:rPr>
              <w:t>.</w:t>
            </w:r>
          </w:p>
        </w:tc>
        <w:tc>
          <w:tcPr>
            <w:tcW w:w="1260" w:type="dxa"/>
          </w:tcPr>
          <w:p w:rsidR="00B83EF0" w:rsidRPr="00607C97" w:rsidRDefault="00B83EF0" w:rsidP="00EC5CA8">
            <w:pPr>
              <w:pStyle w:val="Normlny0"/>
              <w:rPr>
                <w:b/>
                <w:color w:val="FF0000"/>
                <w:szCs w:val="22"/>
              </w:rPr>
            </w:pPr>
          </w:p>
        </w:tc>
        <w:tc>
          <w:tcPr>
            <w:tcW w:w="1260" w:type="dxa"/>
            <w:gridSpan w:val="2"/>
          </w:tcPr>
          <w:p w:rsidR="00B83EF0" w:rsidRPr="00607C97" w:rsidRDefault="00B83EF0" w:rsidP="00EC5CA8">
            <w:pPr>
              <w:pStyle w:val="Normlny0"/>
              <w:rPr>
                <w:szCs w:val="22"/>
              </w:rPr>
            </w:pPr>
          </w:p>
        </w:tc>
        <w:tc>
          <w:tcPr>
            <w:tcW w:w="4500" w:type="dxa"/>
          </w:tcPr>
          <w:p w:rsidR="00B83EF0" w:rsidRPr="00607C97" w:rsidRDefault="00B83EF0" w:rsidP="00EC5CA8">
            <w:pPr>
              <w:pStyle w:val="Normlny0"/>
              <w:rPr>
                <w:szCs w:val="22"/>
              </w:rPr>
            </w:pPr>
          </w:p>
        </w:tc>
        <w:tc>
          <w:tcPr>
            <w:tcW w:w="720" w:type="dxa"/>
          </w:tcPr>
          <w:p w:rsidR="00B83EF0" w:rsidRPr="00607C97" w:rsidRDefault="00B83EF0" w:rsidP="00EC5CA8">
            <w:pPr>
              <w:pStyle w:val="Normlny0"/>
              <w:rPr>
                <w:szCs w:val="22"/>
              </w:rPr>
            </w:pPr>
          </w:p>
        </w:tc>
        <w:tc>
          <w:tcPr>
            <w:tcW w:w="1805" w:type="dxa"/>
            <w:gridSpan w:val="2"/>
          </w:tcPr>
          <w:p w:rsidR="00B83EF0" w:rsidRPr="00607C97" w:rsidRDefault="00B83EF0" w:rsidP="00B83EF0">
            <w:pPr>
              <w:pStyle w:val="Normlny0"/>
              <w:rPr>
                <w:b/>
                <w:bCs/>
                <w:szCs w:val="22"/>
              </w:rPr>
            </w:pPr>
            <w:r w:rsidRPr="00607C97">
              <w:rPr>
                <w:szCs w:val="22"/>
              </w:rPr>
              <w:t>Cieľom odpadového hospodárstva v oblasti komunálnych odpadov do roku 2035 je znížiť na 10 % alebo menej z celkového množstva vzniknutého komunálneho odpadu (podľa hmotnosti ) ukladaných  na skládku odpadov</w:t>
            </w:r>
          </w:p>
          <w:p w:rsidR="00B83EF0" w:rsidRPr="00607C97" w:rsidRDefault="00B83EF0" w:rsidP="00EC5CA8">
            <w:pPr>
              <w:pStyle w:val="Normlny0"/>
              <w:rPr>
                <w:szCs w:val="22"/>
              </w:rPr>
            </w:pPr>
          </w:p>
        </w:tc>
      </w:tr>
      <w:tr w:rsidR="00B83EF0" w:rsidRPr="006F6E42" w:rsidTr="002809E5">
        <w:trPr>
          <w:trHeight w:val="3153"/>
          <w:jc w:val="center"/>
        </w:trPr>
        <w:tc>
          <w:tcPr>
            <w:tcW w:w="899" w:type="dxa"/>
          </w:tcPr>
          <w:p w:rsidR="00A954E2" w:rsidRPr="00607C97" w:rsidRDefault="000B0EC2" w:rsidP="00A954E2">
            <w:pPr>
              <w:pStyle w:val="Normlny0"/>
              <w:rPr>
                <w:szCs w:val="22"/>
              </w:rPr>
            </w:pPr>
            <w:r w:rsidRPr="00607C97">
              <w:rPr>
                <w:szCs w:val="22"/>
              </w:rPr>
              <w:t>Č1 O2</w:t>
            </w:r>
            <w:r w:rsidR="00EC5CA8" w:rsidRPr="00607C97">
              <w:rPr>
                <w:szCs w:val="22"/>
              </w:rPr>
              <w:t xml:space="preserve"> Pa</w:t>
            </w:r>
          </w:p>
          <w:p w:rsidR="00B83EF0" w:rsidRDefault="00B83EF0" w:rsidP="00B83EF0">
            <w:pPr>
              <w:pStyle w:val="Normlny0"/>
              <w:rPr>
                <w:sz w:val="22"/>
                <w:szCs w:val="22"/>
              </w:rPr>
            </w:pPr>
          </w:p>
        </w:tc>
        <w:tc>
          <w:tcPr>
            <w:tcW w:w="4501"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95"/>
            </w:tblGrid>
            <w:tr w:rsidR="0043110D" w:rsidRPr="0043110D" w:rsidTr="0043110D">
              <w:trPr>
                <w:tblCellSpacing w:w="0" w:type="dxa"/>
              </w:trPr>
              <w:tc>
                <w:tcPr>
                  <w:tcW w:w="18" w:type="dxa"/>
                  <w:hideMark/>
                </w:tcPr>
                <w:p w:rsidR="0043110D" w:rsidRPr="0043110D" w:rsidRDefault="0043110D" w:rsidP="0043110D">
                  <w:pPr>
                    <w:autoSpaceDE/>
                    <w:autoSpaceDN/>
                    <w:rPr>
                      <w:sz w:val="20"/>
                      <w:szCs w:val="20"/>
                    </w:rPr>
                  </w:pPr>
                </w:p>
              </w:tc>
              <w:tc>
                <w:tcPr>
                  <w:tcW w:w="9388" w:type="dxa"/>
                  <w:hideMark/>
                </w:tcPr>
                <w:p w:rsidR="0043110D" w:rsidRPr="00607C97" w:rsidRDefault="0043110D" w:rsidP="0043110D">
                  <w:pPr>
                    <w:autoSpaceDE/>
                    <w:autoSpaceDN/>
                    <w:spacing w:before="100" w:beforeAutospacing="1" w:after="100" w:afterAutospacing="1"/>
                    <w:rPr>
                      <w:sz w:val="20"/>
                      <w:szCs w:val="20"/>
                    </w:rPr>
                  </w:pPr>
                  <w:r w:rsidRPr="00607C97">
                    <w:rPr>
                      <w:sz w:val="20"/>
                      <w:szCs w:val="20"/>
                    </w:rPr>
                    <w:t>Článok 2 sa mení takto:</w:t>
                  </w:r>
                </w:p>
                <w:tbl>
                  <w:tblPr>
                    <w:tblW w:w="5000" w:type="pct"/>
                    <w:tblCellSpacing w:w="0" w:type="dxa"/>
                    <w:tblLayout w:type="fixed"/>
                    <w:tblCellMar>
                      <w:left w:w="0" w:type="dxa"/>
                      <w:right w:w="0" w:type="dxa"/>
                    </w:tblCellMar>
                    <w:tblLook w:val="04A0" w:firstRow="1" w:lastRow="0" w:firstColumn="1" w:lastColumn="0" w:noHBand="0" w:noVBand="1"/>
                  </w:tblPr>
                  <w:tblGrid>
                    <w:gridCol w:w="279"/>
                    <w:gridCol w:w="4116"/>
                  </w:tblGrid>
                  <w:tr w:rsidR="0043110D" w:rsidRPr="0043110D">
                    <w:trPr>
                      <w:tblCellSpacing w:w="0" w:type="dxa"/>
                    </w:trPr>
                    <w:tc>
                      <w:tcPr>
                        <w:tcW w:w="575" w:type="dxa"/>
                        <w:hideMark/>
                      </w:tcPr>
                      <w:p w:rsidR="0043110D" w:rsidRPr="00607C97" w:rsidRDefault="0043110D" w:rsidP="0043110D">
                        <w:pPr>
                          <w:autoSpaceDE/>
                          <w:autoSpaceDN/>
                          <w:spacing w:before="100" w:beforeAutospacing="1" w:after="100" w:afterAutospacing="1"/>
                          <w:rPr>
                            <w:sz w:val="20"/>
                            <w:szCs w:val="20"/>
                          </w:rPr>
                        </w:pPr>
                        <w:r w:rsidRPr="00607C97">
                          <w:rPr>
                            <w:sz w:val="20"/>
                            <w:szCs w:val="20"/>
                          </w:rPr>
                          <w:t>a)</w:t>
                        </w:r>
                      </w:p>
                    </w:tc>
                    <w:tc>
                      <w:tcPr>
                        <w:tcW w:w="8813" w:type="dxa"/>
                        <w:hideMark/>
                      </w:tcPr>
                      <w:p w:rsidR="0043110D" w:rsidRPr="00607C97" w:rsidRDefault="0043110D" w:rsidP="0043110D">
                        <w:pPr>
                          <w:autoSpaceDE/>
                          <w:autoSpaceDN/>
                          <w:spacing w:before="100" w:beforeAutospacing="1" w:after="100" w:afterAutospacing="1"/>
                          <w:rPr>
                            <w:sz w:val="20"/>
                            <w:szCs w:val="20"/>
                          </w:rPr>
                        </w:pPr>
                        <w:r w:rsidRPr="00607C97">
                          <w:rPr>
                            <w:sz w:val="20"/>
                            <w:szCs w:val="20"/>
                          </w:rPr>
                          <w:t>Písmeno a) sa nahrádza takto:</w:t>
                        </w:r>
                      </w:p>
                    </w:tc>
                  </w:tr>
                </w:tbl>
                <w:p w:rsidR="0043110D" w:rsidRPr="0043110D" w:rsidRDefault="0043110D" w:rsidP="0043110D">
                  <w:pPr>
                    <w:autoSpaceDE/>
                    <w:autoSpaceDN/>
                  </w:pPr>
                </w:p>
              </w:tc>
            </w:tr>
          </w:tbl>
          <w:p w:rsidR="00A954E2" w:rsidRPr="00607C97" w:rsidRDefault="00A954E2" w:rsidP="00A954E2">
            <w:pPr>
              <w:pStyle w:val="CM4"/>
              <w:spacing w:before="60" w:after="60"/>
              <w:rPr>
                <w:b/>
                <w:bCs/>
                <w:color w:val="000000"/>
                <w:sz w:val="20"/>
                <w:szCs w:val="20"/>
              </w:rPr>
            </w:pPr>
            <w:r w:rsidRPr="00607C97">
              <w:rPr>
                <w:b/>
                <w:bCs/>
                <w:color w:val="000000"/>
                <w:sz w:val="20"/>
                <w:szCs w:val="20"/>
              </w:rPr>
              <w:t xml:space="preserve"> </w:t>
            </w:r>
          </w:p>
          <w:p w:rsidR="00A954E2" w:rsidRPr="00607C97" w:rsidRDefault="0043110D" w:rsidP="00A954E2">
            <w:pPr>
              <w:rPr>
                <w:sz w:val="20"/>
                <w:szCs w:val="20"/>
              </w:rPr>
            </w:pPr>
            <w:r>
              <w:rPr>
                <w:sz w:val="20"/>
                <w:szCs w:val="20"/>
              </w:rPr>
              <w:t xml:space="preserve">a) </w:t>
            </w:r>
            <w:r w:rsidR="00A954E2" w:rsidRPr="00607C97">
              <w:rPr>
                <w:sz w:val="20"/>
                <w:szCs w:val="20"/>
              </w:rPr>
              <w:t>uplatňujú sa vymedzenia pojmov „odpad“, „nebezpečný odpad“, „odpad, ktorý nie je nebezpečný“, „komunálny odpad“, „pôvodca odpadu“, „držiteľ odpadu“, „nakladanie s odpadom“, „triedený zber“, „zhodnotenie“, „príprava na opätovné použitie“, „recyklácia“ a „zneškodnenie“ uvedené v článku 3 smernice 2008/98/ES;</w:t>
            </w:r>
          </w:p>
          <w:p w:rsidR="00A954E2" w:rsidRPr="00607C97" w:rsidRDefault="00A954E2" w:rsidP="00A954E2">
            <w:pPr>
              <w:rPr>
                <w:sz w:val="20"/>
                <w:szCs w:val="20"/>
              </w:rPr>
            </w:pPr>
          </w:p>
        </w:tc>
        <w:tc>
          <w:tcPr>
            <w:tcW w:w="1260" w:type="dxa"/>
            <w:gridSpan w:val="2"/>
          </w:tcPr>
          <w:p w:rsidR="00B83EF0" w:rsidRPr="00607C97" w:rsidRDefault="00B83EF0" w:rsidP="00EC5CA8">
            <w:pPr>
              <w:pStyle w:val="Normlny0"/>
            </w:pPr>
          </w:p>
          <w:p w:rsidR="00A954E2" w:rsidRPr="00607C97" w:rsidRDefault="002809E5" w:rsidP="00EC5CA8">
            <w:pPr>
              <w:pStyle w:val="Normlny0"/>
            </w:pPr>
            <w:proofErr w:type="spellStart"/>
            <w:r w:rsidRPr="00607C97">
              <w:t>n.a</w:t>
            </w:r>
            <w:proofErr w:type="spellEnd"/>
            <w:r w:rsidRPr="00607C97">
              <w:t>.</w:t>
            </w: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tc>
        <w:tc>
          <w:tcPr>
            <w:tcW w:w="1260" w:type="dxa"/>
          </w:tcPr>
          <w:p w:rsidR="00B83EF0" w:rsidRPr="00607C97" w:rsidRDefault="00B83EF0"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pPr>
          </w:p>
          <w:p w:rsidR="00A954E2" w:rsidRPr="00607C97" w:rsidRDefault="00A954E2" w:rsidP="00EC5CA8">
            <w:pPr>
              <w:pStyle w:val="Normlny0"/>
              <w:rPr>
                <w:color w:val="FF0000"/>
              </w:rPr>
            </w:pPr>
          </w:p>
        </w:tc>
        <w:tc>
          <w:tcPr>
            <w:tcW w:w="1260" w:type="dxa"/>
            <w:gridSpan w:val="2"/>
          </w:tcPr>
          <w:p w:rsidR="00B83EF0" w:rsidRPr="00607C97" w:rsidRDefault="00B83EF0"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A954E2" w:rsidRPr="00607C97" w:rsidRDefault="00A954E2" w:rsidP="00B83EF0">
            <w:pPr>
              <w:pStyle w:val="Normlny0"/>
            </w:pPr>
          </w:p>
          <w:p w:rsidR="000B0EC2" w:rsidRPr="0043110D" w:rsidRDefault="000B0EC2" w:rsidP="00B83EF0">
            <w:pPr>
              <w:pStyle w:val="Normlny0"/>
              <w:rPr>
                <w:kern w:val="3"/>
                <w:lang w:eastAsia="zh-CN"/>
              </w:rPr>
            </w:pPr>
          </w:p>
        </w:tc>
        <w:tc>
          <w:tcPr>
            <w:tcW w:w="4500" w:type="dxa"/>
          </w:tcPr>
          <w:p w:rsidR="00B83EF0" w:rsidRPr="00607C97" w:rsidRDefault="00B83EF0"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B83EF0">
            <w:pPr>
              <w:pStyle w:val="Odsekzoznamu"/>
              <w:autoSpaceDE/>
              <w:autoSpaceDN/>
              <w:ind w:left="0"/>
              <w:contextualSpacing/>
              <w:rPr>
                <w:color w:val="FF0000"/>
                <w:sz w:val="20"/>
                <w:szCs w:val="20"/>
              </w:rPr>
            </w:pPr>
          </w:p>
          <w:p w:rsidR="00780D2A" w:rsidRPr="00607C97" w:rsidRDefault="00780D2A" w:rsidP="00780D2A">
            <w:pPr>
              <w:pStyle w:val="Odsekzoznamu"/>
              <w:autoSpaceDE/>
              <w:autoSpaceDN/>
              <w:ind w:left="0"/>
              <w:contextualSpacing/>
              <w:rPr>
                <w:color w:val="FF0000"/>
                <w:sz w:val="20"/>
                <w:szCs w:val="20"/>
              </w:rPr>
            </w:pPr>
          </w:p>
        </w:tc>
        <w:tc>
          <w:tcPr>
            <w:tcW w:w="720" w:type="dxa"/>
          </w:tcPr>
          <w:p w:rsidR="00B83EF0" w:rsidRPr="00607C97" w:rsidRDefault="002809E5" w:rsidP="00EC5CA8">
            <w:pPr>
              <w:pStyle w:val="Normlny0"/>
            </w:pPr>
            <w:proofErr w:type="spellStart"/>
            <w:r w:rsidRPr="00607C97">
              <w:t>n.a</w:t>
            </w:r>
            <w:proofErr w:type="spellEnd"/>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p w:rsidR="00780D2A" w:rsidRPr="00607C97" w:rsidRDefault="00780D2A" w:rsidP="00EC5CA8">
            <w:pPr>
              <w:pStyle w:val="Normlny0"/>
            </w:pPr>
          </w:p>
        </w:tc>
        <w:tc>
          <w:tcPr>
            <w:tcW w:w="1805" w:type="dxa"/>
            <w:gridSpan w:val="2"/>
          </w:tcPr>
          <w:p w:rsidR="00B83EF0" w:rsidRPr="00607C97" w:rsidRDefault="005C3515" w:rsidP="005C3515">
            <w:pPr>
              <w:rPr>
                <w:sz w:val="20"/>
                <w:szCs w:val="20"/>
              </w:rPr>
            </w:pPr>
            <w:r w:rsidRPr="00607C97">
              <w:rPr>
                <w:sz w:val="20"/>
                <w:szCs w:val="20"/>
              </w:rPr>
              <w:t xml:space="preserve">Ustanovenie </w:t>
            </w:r>
            <w:r w:rsidR="002809E5" w:rsidRPr="00607C97">
              <w:rPr>
                <w:sz w:val="20"/>
                <w:szCs w:val="20"/>
              </w:rPr>
              <w:t>článk</w:t>
            </w:r>
            <w:r w:rsidRPr="00607C97">
              <w:rPr>
                <w:sz w:val="20"/>
                <w:szCs w:val="20"/>
              </w:rPr>
              <w:t>u</w:t>
            </w:r>
            <w:r w:rsidR="002809E5" w:rsidRPr="00607C97">
              <w:rPr>
                <w:sz w:val="20"/>
                <w:szCs w:val="20"/>
              </w:rPr>
              <w:t xml:space="preserve"> 3 smernice 2008/98/ES </w:t>
            </w:r>
            <w:r w:rsidRPr="00607C97">
              <w:rPr>
                <w:sz w:val="20"/>
                <w:szCs w:val="20"/>
              </w:rPr>
              <w:t xml:space="preserve">sa transponuje § 2, § 3, § 4 a § 80 zákona č. 79/2015 Z. z. </w:t>
            </w:r>
          </w:p>
        </w:tc>
      </w:tr>
      <w:tr w:rsidR="00A24B6E" w:rsidRPr="006F6E42" w:rsidTr="002809E5">
        <w:trPr>
          <w:trHeight w:val="3153"/>
          <w:jc w:val="center"/>
        </w:trPr>
        <w:tc>
          <w:tcPr>
            <w:tcW w:w="899" w:type="dxa"/>
          </w:tcPr>
          <w:p w:rsidR="00A24B6E" w:rsidRPr="00776062" w:rsidRDefault="00A24B6E" w:rsidP="00A24B6E">
            <w:pPr>
              <w:pStyle w:val="Normlny0"/>
              <w:rPr>
                <w:szCs w:val="22"/>
              </w:rPr>
            </w:pPr>
            <w:r w:rsidRPr="00776062">
              <w:rPr>
                <w:szCs w:val="22"/>
              </w:rPr>
              <w:t>Č1 O2 Pb</w:t>
            </w:r>
          </w:p>
        </w:tc>
        <w:tc>
          <w:tcPr>
            <w:tcW w:w="4501"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95"/>
            </w:tblGrid>
            <w:tr w:rsidR="00A24B6E" w:rsidRPr="00EB774F" w:rsidTr="00607C97">
              <w:trPr>
                <w:trHeight w:val="256"/>
                <w:tblCellSpacing w:w="0" w:type="dxa"/>
              </w:trPr>
              <w:tc>
                <w:tcPr>
                  <w:tcW w:w="16" w:type="dxa"/>
                  <w:hideMark/>
                </w:tcPr>
                <w:p w:rsidR="00A24B6E" w:rsidRPr="00EB774F" w:rsidRDefault="00A24B6E" w:rsidP="00A24B6E">
                  <w:pPr>
                    <w:autoSpaceDE/>
                    <w:autoSpaceDN/>
                    <w:rPr>
                      <w:sz w:val="20"/>
                      <w:szCs w:val="20"/>
                    </w:rPr>
                  </w:pPr>
                </w:p>
              </w:tc>
              <w:tc>
                <w:tcPr>
                  <w:tcW w:w="9390" w:type="dxa"/>
                  <w:hideMark/>
                </w:tcPr>
                <w:p w:rsidR="00A24B6E" w:rsidRPr="00607C97" w:rsidRDefault="00A24B6E" w:rsidP="00A24B6E">
                  <w:pPr>
                    <w:autoSpaceDE/>
                    <w:autoSpaceDN/>
                    <w:spacing w:before="100" w:beforeAutospacing="1" w:after="100" w:afterAutospacing="1"/>
                    <w:rPr>
                      <w:sz w:val="20"/>
                    </w:rPr>
                  </w:pPr>
                  <w:r w:rsidRPr="00607C97">
                    <w:rPr>
                      <w:sz w:val="20"/>
                    </w:rPr>
                    <w:t>Písmená b), c) a d) a n) sa vypúšťajú;</w:t>
                  </w:r>
                </w:p>
              </w:tc>
            </w:tr>
          </w:tbl>
          <w:p w:rsidR="00A24B6E" w:rsidRPr="00EB774F" w:rsidRDefault="00A24B6E" w:rsidP="0043110D">
            <w:pPr>
              <w:autoSpaceDE/>
              <w:autoSpaceDN/>
              <w:rPr>
                <w:sz w:val="20"/>
                <w:szCs w:val="20"/>
              </w:rPr>
            </w:pPr>
          </w:p>
        </w:tc>
        <w:tc>
          <w:tcPr>
            <w:tcW w:w="1260" w:type="dxa"/>
            <w:gridSpan w:val="2"/>
          </w:tcPr>
          <w:p w:rsidR="00A24B6E" w:rsidRPr="00A24B6E" w:rsidRDefault="00EB774F" w:rsidP="00EC5CA8">
            <w:pPr>
              <w:pStyle w:val="Normlny0"/>
            </w:pPr>
            <w:proofErr w:type="spellStart"/>
            <w:r>
              <w:t>n.a</w:t>
            </w:r>
            <w:proofErr w:type="spellEnd"/>
          </w:p>
        </w:tc>
        <w:tc>
          <w:tcPr>
            <w:tcW w:w="1260" w:type="dxa"/>
          </w:tcPr>
          <w:p w:rsidR="00A24B6E" w:rsidRPr="00A24B6E" w:rsidRDefault="00A24B6E" w:rsidP="00EC5CA8">
            <w:pPr>
              <w:pStyle w:val="Normlny0"/>
            </w:pPr>
          </w:p>
        </w:tc>
        <w:tc>
          <w:tcPr>
            <w:tcW w:w="1260" w:type="dxa"/>
            <w:gridSpan w:val="2"/>
          </w:tcPr>
          <w:p w:rsidR="00A24B6E" w:rsidRPr="00A24B6E" w:rsidRDefault="00A24B6E" w:rsidP="00B83EF0">
            <w:pPr>
              <w:pStyle w:val="Normlny0"/>
            </w:pPr>
          </w:p>
        </w:tc>
        <w:tc>
          <w:tcPr>
            <w:tcW w:w="4500" w:type="dxa"/>
          </w:tcPr>
          <w:p w:rsidR="00A24B6E" w:rsidRPr="009D2354" w:rsidRDefault="00A24B6E" w:rsidP="00B83EF0">
            <w:pPr>
              <w:pStyle w:val="Odsekzoznamu"/>
              <w:autoSpaceDE/>
              <w:autoSpaceDN/>
              <w:ind w:left="0"/>
              <w:contextualSpacing/>
              <w:rPr>
                <w:color w:val="FF0000"/>
                <w:sz w:val="20"/>
                <w:szCs w:val="20"/>
              </w:rPr>
            </w:pPr>
          </w:p>
        </w:tc>
        <w:tc>
          <w:tcPr>
            <w:tcW w:w="720" w:type="dxa"/>
          </w:tcPr>
          <w:p w:rsidR="00A24B6E" w:rsidRPr="009D2354" w:rsidRDefault="00EB774F" w:rsidP="00EC5CA8">
            <w:pPr>
              <w:pStyle w:val="Normlny0"/>
            </w:pPr>
            <w:proofErr w:type="spellStart"/>
            <w:r>
              <w:t>n.a</w:t>
            </w:r>
            <w:proofErr w:type="spellEnd"/>
          </w:p>
        </w:tc>
        <w:tc>
          <w:tcPr>
            <w:tcW w:w="1805" w:type="dxa"/>
            <w:gridSpan w:val="2"/>
          </w:tcPr>
          <w:p w:rsidR="00A24B6E" w:rsidRPr="004517E1" w:rsidRDefault="00A24B6E" w:rsidP="005C3515">
            <w:pPr>
              <w:rPr>
                <w:sz w:val="20"/>
                <w:szCs w:val="20"/>
              </w:rPr>
            </w:pPr>
          </w:p>
        </w:tc>
      </w:tr>
      <w:tr w:rsidR="00780D2A" w:rsidRPr="006F6E42" w:rsidTr="002809E5">
        <w:trPr>
          <w:trHeight w:val="1173"/>
          <w:jc w:val="center"/>
        </w:trPr>
        <w:tc>
          <w:tcPr>
            <w:tcW w:w="899" w:type="dxa"/>
          </w:tcPr>
          <w:p w:rsidR="00EC5CA8" w:rsidRPr="00607C97" w:rsidRDefault="00EC5CA8" w:rsidP="00EC5CA8">
            <w:pPr>
              <w:pStyle w:val="Normlny0"/>
              <w:rPr>
                <w:szCs w:val="22"/>
              </w:rPr>
            </w:pPr>
            <w:r w:rsidRPr="00607C97">
              <w:rPr>
                <w:szCs w:val="22"/>
              </w:rPr>
              <w:t>Č</w:t>
            </w:r>
            <w:r w:rsidR="00EC62DE" w:rsidRPr="00607C97">
              <w:rPr>
                <w:szCs w:val="22"/>
              </w:rPr>
              <w:t xml:space="preserve"> </w:t>
            </w:r>
            <w:r w:rsidRPr="00607C97">
              <w:rPr>
                <w:szCs w:val="22"/>
              </w:rPr>
              <w:t>1 O2 Pc</w:t>
            </w:r>
          </w:p>
          <w:p w:rsidR="00780D2A" w:rsidRPr="00607C97" w:rsidRDefault="00780D2A" w:rsidP="00780D2A">
            <w:pPr>
              <w:pStyle w:val="Normlny0"/>
              <w:rPr>
                <w:szCs w:val="22"/>
              </w:rPr>
            </w:pPr>
          </w:p>
        </w:tc>
        <w:tc>
          <w:tcPr>
            <w:tcW w:w="4501" w:type="dxa"/>
            <w:gridSpan w:val="2"/>
          </w:tcPr>
          <w:p w:rsidR="00A24B6E" w:rsidRDefault="00EC5CA8" w:rsidP="00EC62DE">
            <w:pPr>
              <w:pStyle w:val="Normlny0"/>
              <w:rPr>
                <w:szCs w:val="22"/>
              </w:rPr>
            </w:pPr>
            <w:r w:rsidRPr="00607C97">
              <w:rPr>
                <w:szCs w:val="22"/>
              </w:rPr>
              <w:t xml:space="preserve"> </w:t>
            </w:r>
            <w:r w:rsidR="00A24B6E" w:rsidRPr="00A24B6E">
              <w:rPr>
                <w:szCs w:val="22"/>
              </w:rPr>
              <w:t xml:space="preserve">V písmene r) dopĺňa tento </w:t>
            </w:r>
            <w:proofErr w:type="spellStart"/>
            <w:r w:rsidR="00A24B6E" w:rsidRPr="00A24B6E">
              <w:rPr>
                <w:szCs w:val="22"/>
              </w:rPr>
              <w:t>pododsek</w:t>
            </w:r>
            <w:proofErr w:type="spellEnd"/>
            <w:r w:rsidR="00A24B6E" w:rsidRPr="00A24B6E">
              <w:rPr>
                <w:szCs w:val="22"/>
              </w:rPr>
              <w:t>:</w:t>
            </w:r>
          </w:p>
          <w:p w:rsidR="00987764" w:rsidRPr="00607C97" w:rsidRDefault="00EC62DE" w:rsidP="00EC62DE">
            <w:pPr>
              <w:pStyle w:val="Normlny0"/>
              <w:rPr>
                <w:rFonts w:eastAsiaTheme="minorHAnsi"/>
                <w:color w:val="000000"/>
                <w:szCs w:val="22"/>
              </w:rPr>
            </w:pPr>
            <w:r w:rsidRPr="00607C97">
              <w:rPr>
                <w:szCs w:val="22"/>
              </w:rPr>
              <w:t>V</w:t>
            </w:r>
            <w:r w:rsidR="00987764" w:rsidRPr="00607C97">
              <w:rPr>
                <w:rFonts w:eastAsiaTheme="minorHAnsi"/>
                <w:color w:val="000000"/>
                <w:szCs w:val="22"/>
              </w:rPr>
              <w:t xml:space="preserve"> najvzdialenejších regiónoch v zmysle článku 349 zmluvy sa môžu členské štáty rozhodnúť uplatňovať toto vymedzenie pojmu: </w:t>
            </w:r>
          </w:p>
          <w:p w:rsidR="00987764" w:rsidRPr="00607C97" w:rsidRDefault="00987764" w:rsidP="0098776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„izolovaná osada“ znamená osadu: </w:t>
            </w:r>
          </w:p>
          <w:p w:rsidR="00987764" w:rsidRPr="00607C97" w:rsidRDefault="00987764" w:rsidP="0098776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lastRenderedPageBreak/>
              <w:t xml:space="preserve">— s maximálne 2 000 obyvateľmi v osade a maximálne piatimi obyvateľmi na kilometer štvorcový, alebo s viac ako 2 000 obyvateľmi, ale menej ako 5 000 obyvateľmi v osade a najviac piatimi obyvateľmi na kilometer štvorcový, ktorých produkcia odpadu nepresahuje 3 000 ton za rok, a </w:t>
            </w:r>
          </w:p>
          <w:p w:rsidR="00987764" w:rsidRPr="00607C97" w:rsidRDefault="00987764" w:rsidP="00987764">
            <w:pPr>
              <w:pStyle w:val="Normlny0"/>
              <w:rPr>
                <w:rFonts w:eastAsiaTheme="minorHAnsi"/>
                <w:color w:val="000000"/>
                <w:szCs w:val="19"/>
              </w:rPr>
            </w:pPr>
            <w:r w:rsidRPr="00607C97">
              <w:rPr>
                <w:rFonts w:eastAsiaTheme="minorHAnsi"/>
                <w:color w:val="000000"/>
                <w:szCs w:val="22"/>
              </w:rPr>
              <w:t>— kde vzdialenosť k najbližšej mestskej aglomerácii s minimálne 250 obyvateľmi na kilometer štvorcový je minimálne 100 km a ktorá je bez cestného spojenia</w:t>
            </w:r>
            <w:r w:rsidRPr="00607C97">
              <w:rPr>
                <w:rFonts w:eastAsiaTheme="minorHAnsi"/>
                <w:color w:val="000000"/>
                <w:szCs w:val="19"/>
              </w:rPr>
              <w:t>.</w:t>
            </w:r>
          </w:p>
          <w:p w:rsidR="00780D2A" w:rsidRPr="00607C97" w:rsidRDefault="00780D2A" w:rsidP="00780D2A">
            <w:pPr>
              <w:rPr>
                <w:sz w:val="20"/>
              </w:rPr>
            </w:pPr>
          </w:p>
        </w:tc>
        <w:tc>
          <w:tcPr>
            <w:tcW w:w="1260" w:type="dxa"/>
            <w:gridSpan w:val="2"/>
          </w:tcPr>
          <w:p w:rsidR="00780D2A" w:rsidRPr="00607C97" w:rsidRDefault="0043110D" w:rsidP="00EC5CA8">
            <w:pPr>
              <w:pStyle w:val="Normlny0"/>
              <w:rPr>
                <w:szCs w:val="22"/>
              </w:rPr>
            </w:pPr>
            <w:r>
              <w:rPr>
                <w:szCs w:val="22"/>
              </w:rPr>
              <w:lastRenderedPageBreak/>
              <w:t>D</w:t>
            </w:r>
          </w:p>
        </w:tc>
        <w:tc>
          <w:tcPr>
            <w:tcW w:w="1260" w:type="dxa"/>
          </w:tcPr>
          <w:p w:rsidR="00780D2A" w:rsidRPr="00607C97" w:rsidRDefault="00780D2A" w:rsidP="00EC5CA8">
            <w:pPr>
              <w:pStyle w:val="Normlny0"/>
              <w:rPr>
                <w:color w:val="FF0000"/>
                <w:szCs w:val="22"/>
              </w:rPr>
            </w:pPr>
          </w:p>
        </w:tc>
        <w:tc>
          <w:tcPr>
            <w:tcW w:w="1260" w:type="dxa"/>
            <w:gridSpan w:val="2"/>
          </w:tcPr>
          <w:p w:rsidR="00780D2A" w:rsidRPr="00607C97" w:rsidRDefault="00780D2A" w:rsidP="00780D2A">
            <w:pPr>
              <w:pStyle w:val="Normlny0"/>
              <w:rPr>
                <w:szCs w:val="22"/>
              </w:rPr>
            </w:pPr>
          </w:p>
        </w:tc>
        <w:tc>
          <w:tcPr>
            <w:tcW w:w="4500" w:type="dxa"/>
          </w:tcPr>
          <w:p w:rsidR="00780D2A" w:rsidRPr="00607C97" w:rsidRDefault="00780D2A" w:rsidP="00780D2A">
            <w:pPr>
              <w:pStyle w:val="Normlny0"/>
              <w:jc w:val="both"/>
              <w:rPr>
                <w:color w:val="FF0000"/>
                <w:kern w:val="3"/>
                <w:szCs w:val="22"/>
                <w:lang w:eastAsia="zh-CN"/>
              </w:rPr>
            </w:pPr>
          </w:p>
        </w:tc>
        <w:tc>
          <w:tcPr>
            <w:tcW w:w="720" w:type="dxa"/>
          </w:tcPr>
          <w:p w:rsidR="00780D2A" w:rsidRPr="00607C97" w:rsidRDefault="002809E5" w:rsidP="00EC5CA8">
            <w:pPr>
              <w:pStyle w:val="Normlny0"/>
              <w:rPr>
                <w:szCs w:val="22"/>
              </w:rPr>
            </w:pPr>
            <w:proofErr w:type="spellStart"/>
            <w:r w:rsidRPr="00607C97">
              <w:rPr>
                <w:szCs w:val="22"/>
              </w:rPr>
              <w:t>n.a</w:t>
            </w:r>
            <w:proofErr w:type="spellEnd"/>
          </w:p>
        </w:tc>
        <w:tc>
          <w:tcPr>
            <w:tcW w:w="1805" w:type="dxa"/>
            <w:gridSpan w:val="2"/>
          </w:tcPr>
          <w:p w:rsidR="00780D2A" w:rsidRPr="00607C97" w:rsidRDefault="00780D2A" w:rsidP="00B83EF0">
            <w:pPr>
              <w:pStyle w:val="Normlny0"/>
              <w:rPr>
                <w:szCs w:val="22"/>
              </w:rPr>
            </w:pPr>
          </w:p>
        </w:tc>
      </w:tr>
      <w:tr w:rsidR="00A24B6E" w:rsidRPr="006F6E42" w:rsidTr="002809E5">
        <w:trPr>
          <w:trHeight w:val="1173"/>
          <w:jc w:val="center"/>
        </w:trPr>
        <w:tc>
          <w:tcPr>
            <w:tcW w:w="899" w:type="dxa"/>
          </w:tcPr>
          <w:p w:rsidR="00A24B6E" w:rsidRPr="00A24B6E" w:rsidRDefault="00A24B6E" w:rsidP="00EC5CA8">
            <w:pPr>
              <w:pStyle w:val="Normlny0"/>
              <w:rPr>
                <w:szCs w:val="22"/>
              </w:rPr>
            </w:pPr>
            <w:r>
              <w:rPr>
                <w:szCs w:val="22"/>
              </w:rPr>
              <w:t>Č1 O3 Pa</w:t>
            </w:r>
          </w:p>
        </w:tc>
        <w:tc>
          <w:tcPr>
            <w:tcW w:w="4501" w:type="dxa"/>
            <w:gridSpan w:val="2"/>
          </w:tcPr>
          <w:p w:rsidR="00A24B6E" w:rsidRPr="00776062" w:rsidRDefault="00A24B6E" w:rsidP="00A24B6E">
            <w:pPr>
              <w:pStyle w:val="Normlny0"/>
              <w:rPr>
                <w:szCs w:val="22"/>
              </w:rPr>
            </w:pPr>
            <w:r w:rsidRPr="00776062">
              <w:rPr>
                <w:szCs w:val="22"/>
              </w:rPr>
              <w:t>Článok 3 sa mení takto:</w:t>
            </w:r>
          </w:p>
          <w:p w:rsidR="00A24B6E" w:rsidRPr="00EB774F" w:rsidRDefault="00A24B6E" w:rsidP="00A24B6E">
            <w:pPr>
              <w:pStyle w:val="Normlny0"/>
              <w:rPr>
                <w:szCs w:val="22"/>
              </w:rPr>
            </w:pPr>
          </w:p>
          <w:p w:rsidR="00A24B6E" w:rsidRPr="00EB774F" w:rsidRDefault="00A24B6E" w:rsidP="00A24B6E">
            <w:pPr>
              <w:pStyle w:val="Normlny0"/>
              <w:rPr>
                <w:szCs w:val="22"/>
              </w:rPr>
            </w:pPr>
            <w:r w:rsidRPr="00EB774F">
              <w:rPr>
                <w:szCs w:val="22"/>
              </w:rPr>
              <w:t>a)V odseku 2 sa posledná zarážka vypúšťa;</w:t>
            </w:r>
          </w:p>
        </w:tc>
        <w:tc>
          <w:tcPr>
            <w:tcW w:w="1260" w:type="dxa"/>
            <w:gridSpan w:val="2"/>
          </w:tcPr>
          <w:p w:rsidR="00A24B6E" w:rsidRPr="009D2354" w:rsidDel="0043110D" w:rsidRDefault="00EB774F" w:rsidP="00EC5CA8">
            <w:pPr>
              <w:pStyle w:val="Normlny0"/>
              <w:rPr>
                <w:szCs w:val="22"/>
              </w:rPr>
            </w:pPr>
            <w:r w:rsidRPr="00F931E8">
              <w:rPr>
                <w:szCs w:val="22"/>
              </w:rPr>
              <w:t>n. a</w:t>
            </w:r>
          </w:p>
        </w:tc>
        <w:tc>
          <w:tcPr>
            <w:tcW w:w="1260" w:type="dxa"/>
          </w:tcPr>
          <w:p w:rsidR="00A24B6E" w:rsidRPr="009D2354" w:rsidRDefault="00A24B6E" w:rsidP="00EC5CA8">
            <w:pPr>
              <w:pStyle w:val="Normlny0"/>
              <w:rPr>
                <w:color w:val="FF0000"/>
                <w:szCs w:val="22"/>
              </w:rPr>
            </w:pPr>
          </w:p>
        </w:tc>
        <w:tc>
          <w:tcPr>
            <w:tcW w:w="1260" w:type="dxa"/>
            <w:gridSpan w:val="2"/>
          </w:tcPr>
          <w:p w:rsidR="00A24B6E" w:rsidRPr="004517E1" w:rsidRDefault="00A24B6E" w:rsidP="00780D2A">
            <w:pPr>
              <w:pStyle w:val="Normlny0"/>
              <w:rPr>
                <w:szCs w:val="22"/>
              </w:rPr>
            </w:pPr>
          </w:p>
        </w:tc>
        <w:tc>
          <w:tcPr>
            <w:tcW w:w="4500" w:type="dxa"/>
          </w:tcPr>
          <w:p w:rsidR="00A24B6E" w:rsidRPr="007E43DE" w:rsidRDefault="00A24B6E" w:rsidP="00780D2A">
            <w:pPr>
              <w:pStyle w:val="Normlny0"/>
              <w:jc w:val="both"/>
              <w:rPr>
                <w:color w:val="FF0000"/>
                <w:kern w:val="3"/>
                <w:szCs w:val="22"/>
                <w:lang w:eastAsia="zh-CN"/>
              </w:rPr>
            </w:pPr>
          </w:p>
        </w:tc>
        <w:tc>
          <w:tcPr>
            <w:tcW w:w="720" w:type="dxa"/>
          </w:tcPr>
          <w:p w:rsidR="00A24B6E" w:rsidRPr="0043110D" w:rsidRDefault="00EB774F" w:rsidP="00EC5CA8">
            <w:pPr>
              <w:pStyle w:val="Normlny0"/>
              <w:rPr>
                <w:szCs w:val="22"/>
              </w:rPr>
            </w:pPr>
            <w:r w:rsidRPr="00F931E8">
              <w:rPr>
                <w:szCs w:val="22"/>
              </w:rPr>
              <w:t>n. a</w:t>
            </w:r>
          </w:p>
        </w:tc>
        <w:tc>
          <w:tcPr>
            <w:tcW w:w="1805" w:type="dxa"/>
            <w:gridSpan w:val="2"/>
          </w:tcPr>
          <w:p w:rsidR="00A24B6E" w:rsidRPr="0043110D" w:rsidRDefault="00A24B6E" w:rsidP="00B83EF0">
            <w:pPr>
              <w:pStyle w:val="Normlny0"/>
              <w:rPr>
                <w:szCs w:val="22"/>
              </w:rPr>
            </w:pPr>
          </w:p>
        </w:tc>
      </w:tr>
      <w:tr w:rsidR="00987764" w:rsidRPr="006F6E42" w:rsidTr="002809E5">
        <w:trPr>
          <w:trHeight w:val="1173"/>
          <w:jc w:val="center"/>
        </w:trPr>
        <w:tc>
          <w:tcPr>
            <w:tcW w:w="899" w:type="dxa"/>
          </w:tcPr>
          <w:p w:rsidR="00987764" w:rsidRPr="00607C97" w:rsidRDefault="00987764" w:rsidP="00987764">
            <w:pPr>
              <w:pStyle w:val="Normlny0"/>
              <w:rPr>
                <w:szCs w:val="22"/>
              </w:rPr>
            </w:pPr>
            <w:r w:rsidRPr="00607C97">
              <w:rPr>
                <w:szCs w:val="22"/>
              </w:rPr>
              <w:t>Č</w:t>
            </w:r>
            <w:r w:rsidR="00EC62DE" w:rsidRPr="00607C97">
              <w:rPr>
                <w:szCs w:val="22"/>
              </w:rPr>
              <w:t xml:space="preserve"> </w:t>
            </w:r>
            <w:r w:rsidRPr="00607C97">
              <w:rPr>
                <w:szCs w:val="22"/>
              </w:rPr>
              <w:t xml:space="preserve">l. </w:t>
            </w:r>
            <w:r w:rsidR="00EC62DE" w:rsidRPr="00607C97">
              <w:rPr>
                <w:szCs w:val="22"/>
              </w:rPr>
              <w:t>O3 Pb</w:t>
            </w:r>
          </w:p>
          <w:p w:rsidR="00987764" w:rsidRPr="00607C97" w:rsidRDefault="00987764" w:rsidP="00987764">
            <w:pPr>
              <w:pStyle w:val="Normlny0"/>
              <w:rPr>
                <w:szCs w:val="22"/>
              </w:rPr>
            </w:pPr>
          </w:p>
        </w:tc>
        <w:tc>
          <w:tcPr>
            <w:tcW w:w="4501" w:type="dxa"/>
            <w:gridSpan w:val="2"/>
          </w:tcPr>
          <w:p w:rsidR="00987764" w:rsidRPr="00607C97" w:rsidRDefault="00987764" w:rsidP="00987764">
            <w:pPr>
              <w:pStyle w:val="Normlny0"/>
              <w:rPr>
                <w:b/>
                <w:szCs w:val="22"/>
              </w:rPr>
            </w:pPr>
            <w:r w:rsidRPr="00607C97">
              <w:rPr>
                <w:szCs w:val="22"/>
              </w:rPr>
              <w:t xml:space="preserve">Nakladanie s odpadom z ťažobného priemyslu na pevnine, t. j. odpadom z prieskumu, ťažby vrátane etapy </w:t>
            </w:r>
            <w:proofErr w:type="spellStart"/>
            <w:r w:rsidRPr="00607C97">
              <w:rPr>
                <w:szCs w:val="22"/>
              </w:rPr>
              <w:t>predprodukčného</w:t>
            </w:r>
            <w:proofErr w:type="spellEnd"/>
            <w:r w:rsidRPr="00607C97">
              <w:rPr>
                <w:szCs w:val="22"/>
              </w:rPr>
              <w:t xml:space="preserve"> vývoja, spracovania a skladovania nerastných surovín a z prevádzky lomov, je vylúčené z rozsahu pôsobnosti tejto smernice, ak patrí do rozsahu pôsobnosti iných právnych predpisov Únie.“</w:t>
            </w:r>
          </w:p>
          <w:p w:rsidR="00987764" w:rsidRPr="00607C97" w:rsidRDefault="00987764" w:rsidP="00987764">
            <w:pPr>
              <w:pStyle w:val="Normlny0"/>
              <w:rPr>
                <w:szCs w:val="22"/>
              </w:rPr>
            </w:pPr>
          </w:p>
        </w:tc>
        <w:tc>
          <w:tcPr>
            <w:tcW w:w="1260" w:type="dxa"/>
            <w:gridSpan w:val="2"/>
          </w:tcPr>
          <w:p w:rsidR="00987764" w:rsidRPr="00607C97" w:rsidRDefault="00987764" w:rsidP="00EC5CA8">
            <w:pPr>
              <w:pStyle w:val="Normlny0"/>
              <w:rPr>
                <w:szCs w:val="22"/>
              </w:rPr>
            </w:pPr>
            <w:r w:rsidRPr="00607C97">
              <w:rPr>
                <w:szCs w:val="22"/>
              </w:rPr>
              <w:t>n.</w:t>
            </w:r>
            <w:r w:rsidR="002809E5" w:rsidRPr="00607C97">
              <w:rPr>
                <w:szCs w:val="22"/>
              </w:rPr>
              <w:t xml:space="preserve"> </w:t>
            </w:r>
            <w:r w:rsidRPr="00607C97">
              <w:rPr>
                <w:szCs w:val="22"/>
              </w:rPr>
              <w:t>a</w:t>
            </w:r>
          </w:p>
        </w:tc>
        <w:tc>
          <w:tcPr>
            <w:tcW w:w="1260" w:type="dxa"/>
          </w:tcPr>
          <w:p w:rsidR="00987764" w:rsidRDefault="00987764" w:rsidP="00EC5CA8">
            <w:pPr>
              <w:pStyle w:val="Normlny0"/>
              <w:rPr>
                <w:color w:val="FF0000"/>
                <w:sz w:val="22"/>
                <w:szCs w:val="22"/>
              </w:rPr>
            </w:pPr>
          </w:p>
        </w:tc>
        <w:tc>
          <w:tcPr>
            <w:tcW w:w="1260" w:type="dxa"/>
            <w:gridSpan w:val="2"/>
          </w:tcPr>
          <w:p w:rsidR="00987764" w:rsidRDefault="00987764" w:rsidP="00780D2A">
            <w:pPr>
              <w:pStyle w:val="Normlny0"/>
              <w:rPr>
                <w:sz w:val="22"/>
                <w:szCs w:val="22"/>
              </w:rPr>
            </w:pPr>
          </w:p>
        </w:tc>
        <w:tc>
          <w:tcPr>
            <w:tcW w:w="4500" w:type="dxa"/>
          </w:tcPr>
          <w:p w:rsidR="00987764" w:rsidRPr="00A126AC" w:rsidRDefault="00987764" w:rsidP="00780D2A">
            <w:pPr>
              <w:pStyle w:val="Normlny0"/>
              <w:jc w:val="both"/>
              <w:rPr>
                <w:color w:val="FF0000"/>
                <w:kern w:val="3"/>
                <w:sz w:val="22"/>
                <w:szCs w:val="22"/>
                <w:lang w:eastAsia="zh-CN"/>
              </w:rPr>
            </w:pPr>
          </w:p>
        </w:tc>
        <w:tc>
          <w:tcPr>
            <w:tcW w:w="720" w:type="dxa"/>
          </w:tcPr>
          <w:p w:rsidR="00987764" w:rsidRPr="00607C97" w:rsidRDefault="002809E5" w:rsidP="00EC5CA8">
            <w:pPr>
              <w:pStyle w:val="Normlny0"/>
              <w:rPr>
                <w:szCs w:val="22"/>
              </w:rPr>
            </w:pPr>
            <w:r w:rsidRPr="00607C97">
              <w:rPr>
                <w:szCs w:val="22"/>
              </w:rPr>
              <w:t>n. a</w:t>
            </w:r>
          </w:p>
        </w:tc>
        <w:tc>
          <w:tcPr>
            <w:tcW w:w="1805" w:type="dxa"/>
            <w:gridSpan w:val="2"/>
          </w:tcPr>
          <w:p w:rsidR="00987764" w:rsidRPr="00607C97" w:rsidRDefault="00987764" w:rsidP="00987764">
            <w:pPr>
              <w:pStyle w:val="Normlny0"/>
              <w:rPr>
                <w:bCs/>
                <w:szCs w:val="22"/>
              </w:rPr>
            </w:pPr>
            <w:r w:rsidRPr="00607C97">
              <w:rPr>
                <w:bCs/>
                <w:szCs w:val="22"/>
              </w:rPr>
              <w:t>Problematika je upravená samostatným  zákonom o nakladaní odpadov  vznikajúcich pri ťažobnom priemysle (Zákon č. 514/2008 Z. z. o nakladaní s odpadom z ťažobného priemyslu a o zmene a doplnení niektorých zákonov v znení zákona č. 255/2011 Z. z. ,zákona č. 180/2013 Z. z. a zákona č. 177/2018 Z. z.)</w:t>
            </w:r>
          </w:p>
          <w:p w:rsidR="00987764" w:rsidRPr="00607C97" w:rsidRDefault="00987764" w:rsidP="00B83EF0">
            <w:pPr>
              <w:pStyle w:val="Normlny0"/>
              <w:rPr>
                <w:szCs w:val="22"/>
              </w:rPr>
            </w:pPr>
          </w:p>
        </w:tc>
      </w:tr>
      <w:tr w:rsidR="00A24B6E" w:rsidRPr="006F6E42" w:rsidTr="002809E5">
        <w:trPr>
          <w:trHeight w:val="1173"/>
          <w:jc w:val="center"/>
        </w:trPr>
        <w:tc>
          <w:tcPr>
            <w:tcW w:w="899" w:type="dxa"/>
          </w:tcPr>
          <w:p w:rsidR="00A24B6E" w:rsidRPr="00A24B6E" w:rsidRDefault="00A24B6E" w:rsidP="00987764">
            <w:pPr>
              <w:pStyle w:val="Normlny0"/>
              <w:rPr>
                <w:szCs w:val="22"/>
              </w:rPr>
            </w:pPr>
            <w:r>
              <w:rPr>
                <w:szCs w:val="22"/>
              </w:rPr>
              <w:lastRenderedPageBreak/>
              <w:t>Č1 O4 Pa</w:t>
            </w:r>
          </w:p>
        </w:tc>
        <w:tc>
          <w:tcPr>
            <w:tcW w:w="4501" w:type="dxa"/>
            <w:gridSpan w:val="2"/>
          </w:tcPr>
          <w:p w:rsidR="00A24B6E" w:rsidRPr="00A24B6E" w:rsidRDefault="00A24B6E" w:rsidP="00A24B6E">
            <w:pPr>
              <w:pStyle w:val="Normlny0"/>
              <w:rPr>
                <w:szCs w:val="22"/>
              </w:rPr>
            </w:pPr>
            <w:r w:rsidRPr="00A24B6E">
              <w:rPr>
                <w:szCs w:val="22"/>
              </w:rPr>
              <w:t>Článok 5 sa mení takto:</w:t>
            </w:r>
          </w:p>
          <w:p w:rsidR="00A24B6E" w:rsidRPr="00A24B6E" w:rsidRDefault="00A24B6E" w:rsidP="00A24B6E">
            <w:pPr>
              <w:pStyle w:val="Normlny0"/>
              <w:rPr>
                <w:szCs w:val="22"/>
              </w:rPr>
            </w:pPr>
          </w:p>
          <w:p w:rsidR="00A24B6E" w:rsidRPr="00A24B6E" w:rsidRDefault="00A24B6E" w:rsidP="00A24B6E">
            <w:pPr>
              <w:pStyle w:val="Normlny0"/>
              <w:rPr>
                <w:szCs w:val="22"/>
              </w:rPr>
            </w:pPr>
            <w:r>
              <w:rPr>
                <w:szCs w:val="22"/>
              </w:rPr>
              <w:t>a)</w:t>
            </w:r>
            <w:r w:rsidRPr="00A24B6E">
              <w:rPr>
                <w:szCs w:val="22"/>
              </w:rPr>
              <w:t xml:space="preserve">V odseku 2 sa vypúšťa tento </w:t>
            </w:r>
            <w:proofErr w:type="spellStart"/>
            <w:r w:rsidRPr="00A24B6E">
              <w:rPr>
                <w:szCs w:val="22"/>
              </w:rPr>
              <w:t>pododsek</w:t>
            </w:r>
            <w:proofErr w:type="spellEnd"/>
            <w:r w:rsidRPr="00A24B6E">
              <w:rPr>
                <w:szCs w:val="22"/>
              </w:rPr>
              <w:t>:</w:t>
            </w:r>
          </w:p>
          <w:p w:rsidR="00A24B6E" w:rsidRPr="00A24B6E" w:rsidRDefault="00A24B6E" w:rsidP="00A24B6E">
            <w:pPr>
              <w:pStyle w:val="Normlny0"/>
              <w:rPr>
                <w:szCs w:val="22"/>
              </w:rPr>
            </w:pPr>
          </w:p>
          <w:p w:rsidR="00A24B6E" w:rsidRPr="00A24B6E" w:rsidRDefault="00A24B6E" w:rsidP="00A24B6E">
            <w:pPr>
              <w:pStyle w:val="Normlny0"/>
              <w:rPr>
                <w:szCs w:val="22"/>
              </w:rPr>
            </w:pPr>
            <w:r w:rsidRPr="00A24B6E">
              <w:rPr>
                <w:szCs w:val="22"/>
              </w:rPr>
              <w:t>„Dva roky pred dátumom uvedeným v písm. c) Rada opätovne prehodnotí vyššie uvedený cieľ na základe správy od Komisie o praktických skúsenostiach získaných členskými štátmi pri dosahovaní cieľov ustanovených v písmenách a) a b), ktorá bude v prípade potreby doplnená návrhom na potvrdenie alebo zmenu tohto cieľa s cieľom zabezpečiť vyššiu úroveň ochrany životného prostredia.“;</w:t>
            </w:r>
          </w:p>
        </w:tc>
        <w:tc>
          <w:tcPr>
            <w:tcW w:w="1260" w:type="dxa"/>
            <w:gridSpan w:val="2"/>
          </w:tcPr>
          <w:p w:rsidR="00A24B6E" w:rsidRPr="009D2354" w:rsidRDefault="00A24B6E" w:rsidP="00EC5CA8">
            <w:pPr>
              <w:pStyle w:val="Normlny0"/>
              <w:rPr>
                <w:szCs w:val="22"/>
              </w:rPr>
            </w:pPr>
            <w:proofErr w:type="spellStart"/>
            <w:r>
              <w:rPr>
                <w:szCs w:val="22"/>
              </w:rPr>
              <w:t>n.a</w:t>
            </w:r>
            <w:proofErr w:type="spellEnd"/>
            <w:r>
              <w:rPr>
                <w:szCs w:val="22"/>
              </w:rPr>
              <w:t>.</w:t>
            </w:r>
          </w:p>
        </w:tc>
        <w:tc>
          <w:tcPr>
            <w:tcW w:w="1260" w:type="dxa"/>
          </w:tcPr>
          <w:p w:rsidR="00A24B6E" w:rsidRDefault="00A24B6E" w:rsidP="00EC5CA8">
            <w:pPr>
              <w:pStyle w:val="Normlny0"/>
              <w:rPr>
                <w:color w:val="FF0000"/>
                <w:sz w:val="22"/>
                <w:szCs w:val="22"/>
              </w:rPr>
            </w:pPr>
          </w:p>
        </w:tc>
        <w:tc>
          <w:tcPr>
            <w:tcW w:w="1260" w:type="dxa"/>
            <w:gridSpan w:val="2"/>
          </w:tcPr>
          <w:p w:rsidR="00A24B6E" w:rsidRDefault="00A24B6E" w:rsidP="00780D2A">
            <w:pPr>
              <w:pStyle w:val="Normlny0"/>
              <w:rPr>
                <w:sz w:val="22"/>
                <w:szCs w:val="22"/>
              </w:rPr>
            </w:pPr>
          </w:p>
        </w:tc>
        <w:tc>
          <w:tcPr>
            <w:tcW w:w="4500" w:type="dxa"/>
          </w:tcPr>
          <w:p w:rsidR="00A24B6E" w:rsidRPr="00A126AC" w:rsidRDefault="00A24B6E" w:rsidP="00780D2A">
            <w:pPr>
              <w:pStyle w:val="Normlny0"/>
              <w:jc w:val="both"/>
              <w:rPr>
                <w:color w:val="FF0000"/>
                <w:kern w:val="3"/>
                <w:sz w:val="22"/>
                <w:szCs w:val="22"/>
                <w:lang w:eastAsia="zh-CN"/>
              </w:rPr>
            </w:pPr>
          </w:p>
        </w:tc>
        <w:tc>
          <w:tcPr>
            <w:tcW w:w="720" w:type="dxa"/>
          </w:tcPr>
          <w:p w:rsidR="00A24B6E" w:rsidRPr="00A24B6E" w:rsidRDefault="00A24B6E" w:rsidP="00EC5CA8">
            <w:pPr>
              <w:pStyle w:val="Normlny0"/>
              <w:rPr>
                <w:szCs w:val="22"/>
              </w:rPr>
            </w:pPr>
            <w:proofErr w:type="spellStart"/>
            <w:r>
              <w:rPr>
                <w:szCs w:val="22"/>
              </w:rPr>
              <w:t>n.a</w:t>
            </w:r>
            <w:proofErr w:type="spellEnd"/>
            <w:r>
              <w:rPr>
                <w:szCs w:val="22"/>
              </w:rPr>
              <w:t>.</w:t>
            </w:r>
          </w:p>
        </w:tc>
        <w:tc>
          <w:tcPr>
            <w:tcW w:w="1805" w:type="dxa"/>
            <w:gridSpan w:val="2"/>
          </w:tcPr>
          <w:p w:rsidR="00A24B6E" w:rsidRPr="00A24B6E" w:rsidRDefault="00A24B6E" w:rsidP="00987764">
            <w:pPr>
              <w:pStyle w:val="Normlny0"/>
              <w:rPr>
                <w:bCs/>
                <w:szCs w:val="22"/>
              </w:rPr>
            </w:pPr>
          </w:p>
        </w:tc>
      </w:tr>
      <w:tr w:rsidR="00987764" w:rsidRPr="006F6E42" w:rsidTr="002809E5">
        <w:trPr>
          <w:trHeight w:val="1173"/>
          <w:jc w:val="center"/>
        </w:trPr>
        <w:tc>
          <w:tcPr>
            <w:tcW w:w="899" w:type="dxa"/>
          </w:tcPr>
          <w:p w:rsidR="00987764" w:rsidRPr="00607C97" w:rsidRDefault="00987764" w:rsidP="00E01761">
            <w:pPr>
              <w:pStyle w:val="Normlny0"/>
              <w:rPr>
                <w:szCs w:val="22"/>
              </w:rPr>
            </w:pPr>
            <w:r w:rsidRPr="00607C97">
              <w:rPr>
                <w:szCs w:val="22"/>
              </w:rPr>
              <w:t>Č</w:t>
            </w:r>
            <w:r w:rsidR="00E01761" w:rsidRPr="00607C97">
              <w:rPr>
                <w:szCs w:val="22"/>
              </w:rPr>
              <w:t xml:space="preserve"> </w:t>
            </w:r>
            <w:r w:rsidRPr="00607C97">
              <w:rPr>
                <w:szCs w:val="22"/>
              </w:rPr>
              <w:t>l</w:t>
            </w:r>
            <w:r w:rsidR="00E01761" w:rsidRPr="00607C97">
              <w:rPr>
                <w:szCs w:val="22"/>
              </w:rPr>
              <w:t xml:space="preserve"> O4 Pb</w:t>
            </w:r>
          </w:p>
        </w:tc>
        <w:tc>
          <w:tcPr>
            <w:tcW w:w="4501" w:type="dxa"/>
            <w:gridSpan w:val="2"/>
          </w:tcPr>
          <w:p w:rsidR="00A24B6E" w:rsidRDefault="00A24B6E" w:rsidP="00987764">
            <w:pPr>
              <w:pStyle w:val="Normlny0"/>
              <w:rPr>
                <w:szCs w:val="22"/>
              </w:rPr>
            </w:pPr>
            <w:r>
              <w:t>V odseku 3 sa dopĺňa toto písmeno:</w:t>
            </w:r>
          </w:p>
          <w:p w:rsidR="00987764" w:rsidRPr="00607C97" w:rsidRDefault="00A24B6E" w:rsidP="00987764">
            <w:pPr>
              <w:pStyle w:val="Normlny0"/>
              <w:rPr>
                <w:szCs w:val="22"/>
              </w:rPr>
            </w:pPr>
            <w:r>
              <w:rPr>
                <w:szCs w:val="22"/>
              </w:rPr>
              <w:t xml:space="preserve">f) </w:t>
            </w:r>
            <w:r w:rsidR="00987764" w:rsidRPr="00607C97">
              <w:rPr>
                <w:szCs w:val="22"/>
              </w:rPr>
              <w:t>odpad, ktorý bol oddelene vyzbieraný na prípravu na opätovné použitie a recykláciu podľa článku 11 ods. 1 smernice 2008/98/ES a článku 22 uvedenej smernice, s výnimkou odpadu pochádzajúceho z následných činností spracovania oddelene vyzbieraného odpadu, pri ktorom ukladanie na skládku poskytuje najlepší environmentálny výsledok v súlade s článkom 4 uvedenej smernice.“;</w:t>
            </w:r>
          </w:p>
          <w:p w:rsidR="00987764" w:rsidRPr="00607C97" w:rsidRDefault="00987764" w:rsidP="00987764">
            <w:pPr>
              <w:pStyle w:val="Normlny0"/>
              <w:rPr>
                <w:b/>
                <w:szCs w:val="22"/>
              </w:rPr>
            </w:pPr>
          </w:p>
        </w:tc>
        <w:tc>
          <w:tcPr>
            <w:tcW w:w="1260" w:type="dxa"/>
            <w:gridSpan w:val="2"/>
          </w:tcPr>
          <w:p w:rsidR="00987764" w:rsidRPr="00607C97" w:rsidRDefault="00987764" w:rsidP="00EC5CA8">
            <w:pPr>
              <w:pStyle w:val="Normlny0"/>
              <w:rPr>
                <w:szCs w:val="22"/>
              </w:rPr>
            </w:pPr>
            <w:r w:rsidRPr="00607C97">
              <w:rPr>
                <w:szCs w:val="22"/>
              </w:rPr>
              <w:t>N</w:t>
            </w:r>
          </w:p>
        </w:tc>
        <w:tc>
          <w:tcPr>
            <w:tcW w:w="1260" w:type="dxa"/>
          </w:tcPr>
          <w:p w:rsidR="00987764" w:rsidRPr="00607C97" w:rsidRDefault="00E01761" w:rsidP="00EC5CA8">
            <w:pPr>
              <w:pStyle w:val="Normlny0"/>
              <w:rPr>
                <w:color w:val="FF0000"/>
                <w:szCs w:val="22"/>
              </w:rPr>
            </w:pPr>
            <w:r w:rsidRPr="00607C97">
              <w:rPr>
                <w:szCs w:val="22"/>
              </w:rPr>
              <w:t>Z</w:t>
            </w:r>
            <w:r w:rsidRPr="00607C97">
              <w:rPr>
                <w:color w:val="FF0000"/>
                <w:szCs w:val="22"/>
              </w:rPr>
              <w:t>,NZ</w:t>
            </w:r>
          </w:p>
        </w:tc>
        <w:tc>
          <w:tcPr>
            <w:tcW w:w="1260" w:type="dxa"/>
            <w:gridSpan w:val="2"/>
          </w:tcPr>
          <w:p w:rsidR="00987764" w:rsidRPr="00607C97" w:rsidRDefault="00987764" w:rsidP="00987764">
            <w:pPr>
              <w:pStyle w:val="Normlny0"/>
              <w:rPr>
                <w:szCs w:val="22"/>
              </w:rPr>
            </w:pPr>
            <w:r w:rsidRPr="00607C97">
              <w:rPr>
                <w:szCs w:val="22"/>
              </w:rPr>
              <w:t xml:space="preserve">§13 </w:t>
            </w:r>
            <w:proofErr w:type="spellStart"/>
            <w:r w:rsidRPr="00607C97">
              <w:rPr>
                <w:szCs w:val="22"/>
              </w:rPr>
              <w:t>Pe</w:t>
            </w:r>
            <w:proofErr w:type="spellEnd"/>
            <w:r w:rsidRPr="00607C97">
              <w:rPr>
                <w:szCs w:val="22"/>
              </w:rPr>
              <w:t xml:space="preserve"> O9</w:t>
            </w:r>
          </w:p>
          <w:p w:rsidR="00E01761" w:rsidRPr="00607C97" w:rsidRDefault="00E01761" w:rsidP="00987764">
            <w:pPr>
              <w:pStyle w:val="Normlny0"/>
              <w:rPr>
                <w:color w:val="FF0000"/>
                <w:szCs w:val="22"/>
              </w:rPr>
            </w:pPr>
            <w:r w:rsidRPr="00607C97">
              <w:rPr>
                <w:color w:val="FF0000"/>
                <w:szCs w:val="22"/>
              </w:rPr>
              <w:t>NB 24</w:t>
            </w:r>
          </w:p>
          <w:p w:rsidR="00987764" w:rsidRPr="00607C97" w:rsidRDefault="00987764" w:rsidP="00780D2A">
            <w:pPr>
              <w:pStyle w:val="Normlny0"/>
              <w:rPr>
                <w:szCs w:val="22"/>
              </w:rPr>
            </w:pPr>
          </w:p>
        </w:tc>
        <w:tc>
          <w:tcPr>
            <w:tcW w:w="4500" w:type="dxa"/>
          </w:tcPr>
          <w:p w:rsidR="00987764" w:rsidRPr="00607C97" w:rsidRDefault="00987764" w:rsidP="00987764">
            <w:pPr>
              <w:pStyle w:val="Odsekzoznamu"/>
              <w:autoSpaceDE/>
              <w:autoSpaceDN/>
              <w:ind w:left="0"/>
              <w:contextualSpacing/>
              <w:rPr>
                <w:sz w:val="20"/>
                <w:szCs w:val="22"/>
              </w:rPr>
            </w:pPr>
            <w:r w:rsidRPr="00607C97">
              <w:rPr>
                <w:sz w:val="20"/>
                <w:szCs w:val="22"/>
              </w:rPr>
              <w:t xml:space="preserve">  Zakazuje sa </w:t>
            </w:r>
          </w:p>
          <w:p w:rsidR="00987764" w:rsidRPr="00607C97" w:rsidRDefault="00987764" w:rsidP="00987764">
            <w:pPr>
              <w:pStyle w:val="Odsekzoznamu"/>
              <w:autoSpaceDE/>
              <w:autoSpaceDN/>
              <w:ind w:left="0"/>
              <w:contextualSpacing/>
              <w:rPr>
                <w:sz w:val="20"/>
                <w:szCs w:val="22"/>
              </w:rPr>
            </w:pPr>
            <w:r w:rsidRPr="00607C97">
              <w:rPr>
                <w:sz w:val="20"/>
                <w:szCs w:val="22"/>
              </w:rPr>
              <w:t>e)</w:t>
            </w:r>
            <w:r w:rsidRPr="00607C97">
              <w:rPr>
                <w:sz w:val="20"/>
                <w:szCs w:val="22"/>
              </w:rPr>
              <w:tab/>
              <w:t>zneškodňovať skládkovaním</w:t>
            </w:r>
          </w:p>
          <w:p w:rsidR="00987764" w:rsidRPr="00607C97" w:rsidRDefault="00987764" w:rsidP="00987764">
            <w:pPr>
              <w:pStyle w:val="Odsekzoznamu"/>
              <w:autoSpaceDE/>
              <w:autoSpaceDN/>
              <w:ind w:left="0"/>
              <w:contextualSpacing/>
              <w:rPr>
                <w:color w:val="FF0000"/>
                <w:sz w:val="20"/>
                <w:szCs w:val="22"/>
              </w:rPr>
            </w:pPr>
          </w:p>
          <w:p w:rsidR="00987764" w:rsidRPr="00607C97" w:rsidRDefault="00987764" w:rsidP="00987764">
            <w:pPr>
              <w:pStyle w:val="Odsekzoznamu"/>
              <w:autoSpaceDE/>
              <w:autoSpaceDN/>
              <w:contextualSpacing/>
              <w:rPr>
                <w:color w:val="FF0000"/>
                <w:sz w:val="20"/>
                <w:szCs w:val="22"/>
              </w:rPr>
            </w:pPr>
            <w:r w:rsidRPr="00607C97">
              <w:rPr>
                <w:color w:val="FF0000"/>
                <w:sz w:val="20"/>
                <w:szCs w:val="22"/>
              </w:rPr>
              <w:t>odpad, ktorý neprešiel úpravou, okrem</w:t>
            </w:r>
          </w:p>
          <w:p w:rsidR="00987764" w:rsidRPr="00607C97" w:rsidRDefault="00987764" w:rsidP="00987764">
            <w:pPr>
              <w:pStyle w:val="Odsekzoznamu"/>
              <w:numPr>
                <w:ilvl w:val="0"/>
                <w:numId w:val="1"/>
              </w:numPr>
              <w:autoSpaceDE/>
              <w:autoSpaceDN/>
              <w:contextualSpacing/>
              <w:rPr>
                <w:color w:val="FF0000"/>
                <w:sz w:val="20"/>
                <w:szCs w:val="22"/>
              </w:rPr>
            </w:pPr>
            <w:r w:rsidRPr="00607C97">
              <w:rPr>
                <w:color w:val="FF0000"/>
                <w:sz w:val="20"/>
                <w:szCs w:val="22"/>
              </w:rPr>
              <w:t>inertného odpadu, ktorého úprava s cieľom zníženia množstva odpadu alebo jeho nebezpečenstva pre zdravie ľudí alebo pre životné prostredie nie je technicky možná</w:t>
            </w:r>
          </w:p>
          <w:p w:rsidR="00987764" w:rsidRPr="00607C97" w:rsidRDefault="00987764" w:rsidP="00987764">
            <w:pPr>
              <w:pStyle w:val="Odsekzoznamu"/>
              <w:numPr>
                <w:ilvl w:val="0"/>
                <w:numId w:val="1"/>
              </w:numPr>
              <w:autoSpaceDE/>
              <w:autoSpaceDN/>
              <w:contextualSpacing/>
              <w:rPr>
                <w:color w:val="FF0000"/>
                <w:sz w:val="20"/>
                <w:szCs w:val="22"/>
              </w:rPr>
            </w:pPr>
            <w:r w:rsidRPr="00607C97">
              <w:rPr>
                <w:color w:val="FF0000"/>
                <w:sz w:val="20"/>
                <w:szCs w:val="22"/>
              </w:rPr>
              <w:t xml:space="preserve"> a odpadov, u ktorých by takáto úprava neprospela k zníženiu množstva odpadu ani nezabránila ohrozeniu zdravia ľudí alebo ohrozeniu životného prostredia.“   </w:t>
            </w:r>
          </w:p>
          <w:p w:rsidR="00987764" w:rsidRPr="00607C97" w:rsidRDefault="00987764" w:rsidP="00780D2A">
            <w:pPr>
              <w:pStyle w:val="Normlny0"/>
              <w:jc w:val="both"/>
              <w:rPr>
                <w:color w:val="FF0000"/>
                <w:kern w:val="3"/>
                <w:szCs w:val="22"/>
                <w:lang w:eastAsia="zh-CN"/>
              </w:rPr>
            </w:pPr>
          </w:p>
        </w:tc>
        <w:tc>
          <w:tcPr>
            <w:tcW w:w="720" w:type="dxa"/>
          </w:tcPr>
          <w:p w:rsidR="00987764" w:rsidRDefault="00987764" w:rsidP="00EC5CA8">
            <w:pPr>
              <w:pStyle w:val="Normlny0"/>
              <w:rPr>
                <w:sz w:val="22"/>
                <w:szCs w:val="22"/>
              </w:rPr>
            </w:pPr>
            <w:r>
              <w:rPr>
                <w:sz w:val="22"/>
                <w:szCs w:val="22"/>
              </w:rPr>
              <w:t>Ú</w:t>
            </w:r>
          </w:p>
        </w:tc>
        <w:tc>
          <w:tcPr>
            <w:tcW w:w="1805" w:type="dxa"/>
            <w:gridSpan w:val="2"/>
          </w:tcPr>
          <w:p w:rsidR="00987764" w:rsidRPr="00093FD3" w:rsidRDefault="00987764" w:rsidP="00987764">
            <w:pPr>
              <w:pStyle w:val="Normlny0"/>
              <w:rPr>
                <w:bCs/>
                <w:sz w:val="22"/>
                <w:szCs w:val="22"/>
              </w:rPr>
            </w:pPr>
          </w:p>
        </w:tc>
      </w:tr>
      <w:tr w:rsidR="00AC3F7C" w:rsidRPr="006F6E42" w:rsidTr="002809E5">
        <w:trPr>
          <w:trHeight w:val="1173"/>
          <w:jc w:val="center"/>
        </w:trPr>
        <w:tc>
          <w:tcPr>
            <w:tcW w:w="899" w:type="dxa"/>
          </w:tcPr>
          <w:p w:rsidR="00AC3F7C" w:rsidRPr="00607C97" w:rsidRDefault="00AC3F7C" w:rsidP="00E01761">
            <w:pPr>
              <w:pStyle w:val="Normlny0"/>
              <w:rPr>
                <w:szCs w:val="22"/>
              </w:rPr>
            </w:pPr>
            <w:r w:rsidRPr="00607C97">
              <w:rPr>
                <w:szCs w:val="22"/>
              </w:rPr>
              <w:t>Č</w:t>
            </w:r>
            <w:r w:rsidR="00E01761" w:rsidRPr="00607C97">
              <w:rPr>
                <w:szCs w:val="22"/>
              </w:rPr>
              <w:t xml:space="preserve"> </w:t>
            </w:r>
            <w:r w:rsidRPr="00607C97">
              <w:rPr>
                <w:szCs w:val="22"/>
              </w:rPr>
              <w:t xml:space="preserve">l. </w:t>
            </w:r>
            <w:r w:rsidR="00E01761" w:rsidRPr="00607C97">
              <w:rPr>
                <w:szCs w:val="22"/>
              </w:rPr>
              <w:t>O4</w:t>
            </w:r>
            <w:r w:rsidRPr="00607C97">
              <w:rPr>
                <w:szCs w:val="22"/>
              </w:rPr>
              <w:t xml:space="preserve"> </w:t>
            </w:r>
            <w:r w:rsidR="00E01761" w:rsidRPr="00607C97">
              <w:rPr>
                <w:szCs w:val="22"/>
              </w:rPr>
              <w:t>Pc</w:t>
            </w:r>
          </w:p>
        </w:tc>
        <w:tc>
          <w:tcPr>
            <w:tcW w:w="4501" w:type="dxa"/>
            <w:gridSpan w:val="2"/>
          </w:tcPr>
          <w:p w:rsidR="00A24B6E" w:rsidRPr="002E7ABE" w:rsidRDefault="00A24B6E" w:rsidP="00AC3F7C">
            <w:pPr>
              <w:pStyle w:val="Normlny0"/>
              <w:rPr>
                <w:szCs w:val="22"/>
              </w:rPr>
            </w:pPr>
            <w:r w:rsidRPr="00776062">
              <w:t>Vkladá sa tento odsek:</w:t>
            </w:r>
          </w:p>
          <w:p w:rsidR="00A24B6E" w:rsidRPr="00776062" w:rsidRDefault="00A24B6E" w:rsidP="00AC3F7C">
            <w:pPr>
              <w:pStyle w:val="Normlny0"/>
              <w:rPr>
                <w:szCs w:val="22"/>
              </w:rPr>
            </w:pPr>
            <w:r w:rsidRPr="002E7ABE">
              <w:rPr>
                <w:szCs w:val="22"/>
              </w:rPr>
              <w:t>3a.</w:t>
            </w:r>
            <w:r w:rsidR="00AC3F7C" w:rsidRPr="00607C97">
              <w:rPr>
                <w:szCs w:val="22"/>
              </w:rPr>
              <w:t>Členské štáty sa usilujú zabezpečiť, aby od roku 2030 nebol odpad vhodný na recykláciu alebo iné zhodnocovanie, najmä v komunálnom odpade, prijímaný na skládku s výnimkou odpadu, pri ktorom ukladanie na skládku poskytuje najlepší environmentálny výsledok v súlade s článkom 4 smernice 2008/98/ES.</w:t>
            </w:r>
            <w:r w:rsidRPr="00607C97">
              <w:rPr>
                <w:szCs w:val="22"/>
              </w:rPr>
              <w:t xml:space="preserve"> </w:t>
            </w:r>
          </w:p>
          <w:p w:rsidR="00AC3F7C" w:rsidRPr="00607C97" w:rsidRDefault="00A24B6E" w:rsidP="00AC3F7C">
            <w:pPr>
              <w:pStyle w:val="Normlny0"/>
              <w:rPr>
                <w:szCs w:val="22"/>
              </w:rPr>
            </w:pPr>
            <w:r w:rsidRPr="002E7ABE">
              <w:t xml:space="preserve">Členské štáty uvedú informácie o opatreniach prijatých podľa tohto odseku v programoch odpadového hospodárstva uvedených v článku 28 smernice 2008/98/ES alebo v iných strategických </w:t>
            </w:r>
            <w:r w:rsidRPr="002E7ABE">
              <w:lastRenderedPageBreak/>
              <w:t>dokumentoch vzťahujúcich sa na celé územie dotknutého členského štátu.“;</w:t>
            </w:r>
          </w:p>
          <w:p w:rsidR="00AC3F7C" w:rsidRPr="00607C97" w:rsidRDefault="00AC3F7C" w:rsidP="00987764">
            <w:pPr>
              <w:pStyle w:val="Normlny0"/>
              <w:rPr>
                <w:b/>
                <w:szCs w:val="22"/>
              </w:rPr>
            </w:pPr>
          </w:p>
        </w:tc>
        <w:tc>
          <w:tcPr>
            <w:tcW w:w="1260" w:type="dxa"/>
            <w:gridSpan w:val="2"/>
          </w:tcPr>
          <w:p w:rsidR="00AC3F7C" w:rsidRPr="00607C97" w:rsidRDefault="00AC3F7C" w:rsidP="00EC5CA8">
            <w:pPr>
              <w:pStyle w:val="Normlny0"/>
              <w:rPr>
                <w:szCs w:val="22"/>
              </w:rPr>
            </w:pPr>
            <w:r w:rsidRPr="00607C97">
              <w:rPr>
                <w:szCs w:val="22"/>
              </w:rPr>
              <w:lastRenderedPageBreak/>
              <w:t>N</w:t>
            </w:r>
          </w:p>
        </w:tc>
        <w:tc>
          <w:tcPr>
            <w:tcW w:w="1260" w:type="dxa"/>
          </w:tcPr>
          <w:p w:rsidR="00AC3F7C" w:rsidRPr="00607C97" w:rsidRDefault="00E01761" w:rsidP="00EC5CA8">
            <w:pPr>
              <w:pStyle w:val="Normlny0"/>
              <w:rPr>
                <w:color w:val="FF0000"/>
                <w:szCs w:val="22"/>
              </w:rPr>
            </w:pPr>
            <w:r w:rsidRPr="00607C97">
              <w:rPr>
                <w:szCs w:val="22"/>
              </w:rPr>
              <w:t>Z</w:t>
            </w:r>
            <w:r w:rsidRPr="00607C97">
              <w:rPr>
                <w:color w:val="FF0000"/>
                <w:szCs w:val="22"/>
              </w:rPr>
              <w:t xml:space="preserve">,NZ </w:t>
            </w: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AC3F7C" w:rsidRPr="00607C97" w:rsidRDefault="00AC3F7C"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0956D1" w:rsidRPr="00607C97" w:rsidRDefault="000956D1" w:rsidP="00EC5CA8">
            <w:pPr>
              <w:pStyle w:val="Normlny0"/>
              <w:rPr>
                <w:color w:val="FF0000"/>
                <w:szCs w:val="22"/>
              </w:rPr>
            </w:pPr>
          </w:p>
          <w:p w:rsidR="00AC3F7C" w:rsidRPr="00607C97" w:rsidRDefault="00AC3F7C" w:rsidP="00EC5CA8">
            <w:pPr>
              <w:pStyle w:val="Normlny0"/>
              <w:rPr>
                <w:color w:val="FF0000"/>
                <w:szCs w:val="22"/>
              </w:rPr>
            </w:pPr>
          </w:p>
          <w:p w:rsidR="002E7ABE" w:rsidRDefault="002E7ABE" w:rsidP="000956D1">
            <w:pPr>
              <w:pStyle w:val="Normlny0"/>
              <w:rPr>
                <w:szCs w:val="22"/>
              </w:rPr>
            </w:pPr>
          </w:p>
          <w:p w:rsidR="002E7ABE" w:rsidRDefault="002E7ABE" w:rsidP="000956D1">
            <w:pPr>
              <w:pStyle w:val="Normlny0"/>
              <w:rPr>
                <w:szCs w:val="22"/>
              </w:rPr>
            </w:pPr>
          </w:p>
          <w:p w:rsidR="002E7ABE" w:rsidRDefault="002E7ABE" w:rsidP="000956D1">
            <w:pPr>
              <w:pStyle w:val="Normlny0"/>
              <w:rPr>
                <w:szCs w:val="22"/>
              </w:rPr>
            </w:pPr>
          </w:p>
          <w:p w:rsidR="002E7ABE" w:rsidRDefault="002E7ABE" w:rsidP="000956D1">
            <w:pPr>
              <w:pStyle w:val="Normlny0"/>
              <w:rPr>
                <w:szCs w:val="22"/>
              </w:rPr>
            </w:pPr>
          </w:p>
          <w:p w:rsidR="002E7ABE" w:rsidRDefault="002E7ABE" w:rsidP="000956D1">
            <w:pPr>
              <w:pStyle w:val="Normlny0"/>
              <w:rPr>
                <w:szCs w:val="22"/>
              </w:rPr>
            </w:pPr>
          </w:p>
          <w:p w:rsidR="002E7ABE" w:rsidRDefault="002E7ABE" w:rsidP="000956D1">
            <w:pPr>
              <w:pStyle w:val="Normlny0"/>
              <w:rPr>
                <w:szCs w:val="22"/>
              </w:rPr>
            </w:pPr>
          </w:p>
          <w:p w:rsidR="002E7ABE" w:rsidRDefault="002E7ABE" w:rsidP="000956D1">
            <w:pPr>
              <w:pStyle w:val="Normlny0"/>
              <w:rPr>
                <w:szCs w:val="22"/>
              </w:rPr>
            </w:pPr>
          </w:p>
          <w:p w:rsidR="002E7ABE" w:rsidRDefault="002E7ABE" w:rsidP="000956D1">
            <w:pPr>
              <w:pStyle w:val="Normlny0"/>
              <w:rPr>
                <w:szCs w:val="22"/>
              </w:rPr>
            </w:pPr>
          </w:p>
          <w:p w:rsidR="000956D1" w:rsidRPr="00607C97" w:rsidRDefault="000956D1" w:rsidP="000956D1">
            <w:pPr>
              <w:pStyle w:val="Normlny0"/>
              <w:rPr>
                <w:color w:val="FF0000"/>
                <w:szCs w:val="22"/>
              </w:rPr>
            </w:pPr>
          </w:p>
          <w:p w:rsidR="009F6118" w:rsidRPr="00607C97" w:rsidRDefault="009F6118" w:rsidP="00EC5CA8">
            <w:pPr>
              <w:pStyle w:val="Normlny0"/>
              <w:rPr>
                <w:szCs w:val="22"/>
              </w:rPr>
            </w:pPr>
          </w:p>
          <w:p w:rsidR="009F6118" w:rsidRPr="00607C97" w:rsidRDefault="009F6118" w:rsidP="00EC5CA8">
            <w:pPr>
              <w:pStyle w:val="Normlny0"/>
              <w:rPr>
                <w:szCs w:val="22"/>
              </w:rPr>
            </w:pPr>
          </w:p>
          <w:p w:rsidR="009F6118" w:rsidRPr="00607C97" w:rsidRDefault="009F6118" w:rsidP="00EC5CA8">
            <w:pPr>
              <w:pStyle w:val="Normlny0"/>
              <w:rPr>
                <w:szCs w:val="22"/>
              </w:rPr>
            </w:pPr>
          </w:p>
          <w:p w:rsidR="00440B2E" w:rsidRPr="00607C97" w:rsidRDefault="00440B2E" w:rsidP="00EC5CA8">
            <w:pPr>
              <w:pStyle w:val="Normlny0"/>
              <w:rPr>
                <w:color w:val="FF0000"/>
                <w:szCs w:val="22"/>
              </w:rPr>
            </w:pPr>
          </w:p>
        </w:tc>
        <w:tc>
          <w:tcPr>
            <w:tcW w:w="1260" w:type="dxa"/>
            <w:gridSpan w:val="2"/>
          </w:tcPr>
          <w:p w:rsidR="000956D1" w:rsidRPr="00607C97" w:rsidRDefault="00AC3F7C" w:rsidP="00987764">
            <w:pPr>
              <w:pStyle w:val="Normlny0"/>
              <w:rPr>
                <w:szCs w:val="22"/>
              </w:rPr>
            </w:pPr>
            <w:r w:rsidRPr="00607C97">
              <w:rPr>
                <w:szCs w:val="22"/>
              </w:rPr>
              <w:lastRenderedPageBreak/>
              <w:t>§</w:t>
            </w:r>
            <w:r w:rsidR="00EB774F">
              <w:rPr>
                <w:szCs w:val="22"/>
              </w:rPr>
              <w:t xml:space="preserve"> 13</w:t>
            </w: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E01761" w:rsidRPr="00607C97" w:rsidRDefault="00AC3F7C" w:rsidP="00987764">
            <w:pPr>
              <w:pStyle w:val="Normlny0"/>
              <w:rPr>
                <w:color w:val="FF0000"/>
                <w:szCs w:val="22"/>
              </w:rPr>
            </w:pPr>
            <w:r w:rsidRPr="00607C97">
              <w:rPr>
                <w:szCs w:val="22"/>
              </w:rPr>
              <w:t xml:space="preserve"> </w:t>
            </w: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0956D1" w:rsidRPr="00607C97" w:rsidRDefault="000956D1"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AC3F7C" w:rsidRPr="00607C97" w:rsidRDefault="00AC3F7C" w:rsidP="00987764">
            <w:pPr>
              <w:pStyle w:val="Normlny0"/>
              <w:rPr>
                <w:szCs w:val="22"/>
              </w:rPr>
            </w:pPr>
          </w:p>
          <w:p w:rsidR="002E7ABE" w:rsidRDefault="002E7ABE" w:rsidP="00AC3F7C">
            <w:pPr>
              <w:pStyle w:val="Normlny0"/>
              <w:rPr>
                <w:szCs w:val="22"/>
              </w:rPr>
            </w:pPr>
          </w:p>
          <w:p w:rsidR="002E7ABE" w:rsidRDefault="002E7ABE" w:rsidP="00AC3F7C">
            <w:pPr>
              <w:pStyle w:val="Normlny0"/>
              <w:rPr>
                <w:szCs w:val="22"/>
              </w:rPr>
            </w:pPr>
          </w:p>
          <w:p w:rsidR="002E7ABE" w:rsidRDefault="002E7ABE" w:rsidP="00AC3F7C">
            <w:pPr>
              <w:pStyle w:val="Normlny0"/>
              <w:rPr>
                <w:szCs w:val="22"/>
              </w:rPr>
            </w:pPr>
          </w:p>
          <w:p w:rsidR="002E7ABE" w:rsidRDefault="002E7ABE" w:rsidP="00AC3F7C">
            <w:pPr>
              <w:pStyle w:val="Normlny0"/>
              <w:rPr>
                <w:szCs w:val="22"/>
              </w:rPr>
            </w:pPr>
          </w:p>
          <w:p w:rsidR="002E7ABE" w:rsidRDefault="002E7ABE" w:rsidP="00AC3F7C">
            <w:pPr>
              <w:pStyle w:val="Normlny0"/>
              <w:rPr>
                <w:szCs w:val="22"/>
              </w:rPr>
            </w:pPr>
          </w:p>
          <w:p w:rsidR="002E7ABE" w:rsidRDefault="002E7ABE" w:rsidP="00AC3F7C">
            <w:pPr>
              <w:pStyle w:val="Normlny0"/>
              <w:rPr>
                <w:szCs w:val="22"/>
              </w:rPr>
            </w:pPr>
          </w:p>
          <w:p w:rsidR="002E7ABE" w:rsidRDefault="002E7ABE" w:rsidP="00AC3F7C">
            <w:pPr>
              <w:pStyle w:val="Normlny0"/>
              <w:rPr>
                <w:szCs w:val="22"/>
              </w:rPr>
            </w:pPr>
          </w:p>
          <w:p w:rsidR="002E7ABE" w:rsidRDefault="002E7ABE" w:rsidP="00AC3F7C">
            <w:pPr>
              <w:pStyle w:val="Normlny0"/>
              <w:rPr>
                <w:szCs w:val="22"/>
              </w:rPr>
            </w:pPr>
          </w:p>
          <w:p w:rsidR="002E7ABE" w:rsidRDefault="002E7ABE" w:rsidP="00AC3F7C">
            <w:pPr>
              <w:pStyle w:val="Normlny0"/>
              <w:rPr>
                <w:szCs w:val="22"/>
              </w:rPr>
            </w:pPr>
          </w:p>
          <w:p w:rsidR="00AC3F7C" w:rsidRPr="00607C97" w:rsidRDefault="00AC3F7C"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9F6118" w:rsidRPr="00607C97" w:rsidRDefault="009F6118" w:rsidP="00AC3F7C">
            <w:pPr>
              <w:pStyle w:val="Normlny0"/>
              <w:rPr>
                <w:szCs w:val="22"/>
              </w:rPr>
            </w:pPr>
          </w:p>
          <w:p w:rsidR="00440B2E" w:rsidRPr="00607C97" w:rsidRDefault="00440B2E">
            <w:pPr>
              <w:pStyle w:val="Normlny0"/>
              <w:rPr>
                <w:szCs w:val="22"/>
              </w:rPr>
            </w:pPr>
          </w:p>
        </w:tc>
        <w:tc>
          <w:tcPr>
            <w:tcW w:w="4500" w:type="dxa"/>
          </w:tcPr>
          <w:p w:rsidR="002E7ABE" w:rsidRPr="00122D28" w:rsidRDefault="002E7ABE" w:rsidP="002E7ABE">
            <w:pPr>
              <w:jc w:val="both"/>
              <w:rPr>
                <w:sz w:val="20"/>
                <w:szCs w:val="20"/>
              </w:rPr>
            </w:pPr>
            <w:r w:rsidRPr="00122D28">
              <w:rPr>
                <w:sz w:val="20"/>
                <w:szCs w:val="20"/>
              </w:rPr>
              <w:lastRenderedPageBreak/>
              <w:t>Zakazuje sa</w:t>
            </w:r>
          </w:p>
          <w:p w:rsidR="002E7ABE" w:rsidRPr="00122D28" w:rsidRDefault="002E7ABE" w:rsidP="002E7ABE">
            <w:pPr>
              <w:ind w:left="284"/>
              <w:jc w:val="both"/>
              <w:rPr>
                <w:sz w:val="20"/>
                <w:szCs w:val="20"/>
              </w:rPr>
            </w:pPr>
            <w:r w:rsidRPr="00122D28">
              <w:rPr>
                <w:sz w:val="20"/>
                <w:szCs w:val="20"/>
              </w:rPr>
              <w:t>a) uložiť alebo ponechať odpad na inom mieste ako na mieste na to určenom v súlade s týmto zákonom,</w:t>
            </w:r>
          </w:p>
          <w:p w:rsidR="002E7ABE" w:rsidRPr="00122D28" w:rsidRDefault="002E7ABE" w:rsidP="002E7ABE">
            <w:pPr>
              <w:ind w:left="284"/>
              <w:jc w:val="both"/>
              <w:rPr>
                <w:sz w:val="20"/>
                <w:szCs w:val="20"/>
              </w:rPr>
            </w:pPr>
            <w:r w:rsidRPr="00122D28">
              <w:rPr>
                <w:sz w:val="20"/>
                <w:szCs w:val="20"/>
              </w:rPr>
              <w:t>b) zneškodniť odpad alebo zhodnotiť odpad inak ako v súlade s týmto zákonom,</w:t>
            </w:r>
          </w:p>
          <w:p w:rsidR="002E7ABE" w:rsidRPr="00122D28" w:rsidRDefault="002E7ABE" w:rsidP="002E7ABE">
            <w:pPr>
              <w:ind w:left="284"/>
              <w:jc w:val="both"/>
              <w:rPr>
                <w:sz w:val="20"/>
                <w:szCs w:val="20"/>
              </w:rPr>
            </w:pPr>
            <w:r w:rsidRPr="00122D28">
              <w:rPr>
                <w:sz w:val="20"/>
                <w:szCs w:val="20"/>
              </w:rPr>
              <w:t>c) zneškodniť odpad činnosťami D4, D6 a D7 uvedenými v </w:t>
            </w:r>
            <w:hyperlink r:id="rId8" w:anchor="prilohy.priloha-priloha_c_2_k_zakonu_c_79_2015_z_z.oznacenie" w:tooltip="Odkaz na predpis alebo ustanovenie" w:history="1">
              <w:r w:rsidRPr="00122D28">
                <w:rPr>
                  <w:i/>
                  <w:iCs/>
                  <w:sz w:val="20"/>
                  <w:szCs w:val="20"/>
                </w:rPr>
                <w:t>prílohe č. 2</w:t>
              </w:r>
            </w:hyperlink>
            <w:r w:rsidRPr="00122D28">
              <w:rPr>
                <w:sz w:val="20"/>
                <w:szCs w:val="20"/>
              </w:rPr>
              <w:t>,</w:t>
            </w:r>
          </w:p>
          <w:p w:rsidR="002E7ABE" w:rsidRPr="00122D28" w:rsidRDefault="002E7ABE" w:rsidP="002E7ABE">
            <w:pPr>
              <w:ind w:left="284"/>
              <w:jc w:val="both"/>
              <w:rPr>
                <w:sz w:val="20"/>
                <w:szCs w:val="20"/>
              </w:rPr>
            </w:pPr>
            <w:r w:rsidRPr="00122D28">
              <w:rPr>
                <w:sz w:val="20"/>
                <w:szCs w:val="20"/>
              </w:rPr>
              <w:t>d) vykonávať bez súhlasu podľa </w:t>
            </w:r>
            <w:hyperlink r:id="rId9" w:anchor="paragraf-97.odsek-1" w:tooltip="Odkaz na predpis alebo ustanovenie" w:history="1">
              <w:r>
                <w:rPr>
                  <w:i/>
                  <w:iCs/>
                  <w:sz w:val="20"/>
                  <w:szCs w:val="20"/>
                </w:rPr>
                <w:t xml:space="preserve"> §</w:t>
              </w:r>
              <w:r w:rsidRPr="00122D28">
                <w:rPr>
                  <w:i/>
                  <w:iCs/>
                  <w:sz w:val="20"/>
                  <w:szCs w:val="20"/>
                </w:rPr>
                <w:t xml:space="preserve"> 97 ods. 1</w:t>
              </w:r>
            </w:hyperlink>
            <w:r w:rsidRPr="00122D28">
              <w:rPr>
                <w:sz w:val="20"/>
                <w:szCs w:val="20"/>
              </w:rPr>
              <w:t> alebo v rozpore s ním činnosť, na ktorú sa súhlas vyžaduje,</w:t>
            </w:r>
          </w:p>
          <w:p w:rsidR="002E7ABE" w:rsidRPr="00122D28" w:rsidRDefault="002E7ABE" w:rsidP="002E7ABE">
            <w:pPr>
              <w:ind w:left="284"/>
              <w:jc w:val="both"/>
              <w:rPr>
                <w:sz w:val="20"/>
                <w:szCs w:val="20"/>
              </w:rPr>
            </w:pPr>
            <w:r w:rsidRPr="00122D28">
              <w:rPr>
                <w:sz w:val="20"/>
                <w:szCs w:val="20"/>
              </w:rPr>
              <w:t>e) zneškodňovať skládkovaním</w:t>
            </w:r>
          </w:p>
          <w:p w:rsidR="002E7ABE" w:rsidRPr="00122D28" w:rsidRDefault="002E7ABE" w:rsidP="002E7ABE">
            <w:pPr>
              <w:tabs>
                <w:tab w:val="left" w:pos="454"/>
              </w:tabs>
              <w:ind w:left="454"/>
              <w:jc w:val="both"/>
              <w:rPr>
                <w:sz w:val="20"/>
                <w:szCs w:val="20"/>
              </w:rPr>
            </w:pPr>
            <w:r w:rsidRPr="00122D28">
              <w:rPr>
                <w:sz w:val="20"/>
                <w:szCs w:val="20"/>
              </w:rPr>
              <w:t>1</w:t>
            </w:r>
            <w:r>
              <w:rPr>
                <w:sz w:val="20"/>
                <w:szCs w:val="20"/>
              </w:rPr>
              <w:t xml:space="preserve">. </w:t>
            </w:r>
            <w:r w:rsidRPr="00122D28">
              <w:rPr>
                <w:sz w:val="20"/>
                <w:szCs w:val="20"/>
              </w:rPr>
              <w:t>kvapalné odpady,</w:t>
            </w:r>
          </w:p>
          <w:p w:rsidR="002E7ABE" w:rsidRPr="00122D28" w:rsidRDefault="002E7ABE" w:rsidP="002E7ABE">
            <w:pPr>
              <w:tabs>
                <w:tab w:val="left" w:pos="454"/>
              </w:tabs>
              <w:ind w:left="454"/>
              <w:jc w:val="both"/>
              <w:rPr>
                <w:sz w:val="20"/>
                <w:szCs w:val="20"/>
              </w:rPr>
            </w:pPr>
            <w:r w:rsidRPr="00122D28">
              <w:rPr>
                <w:sz w:val="20"/>
                <w:szCs w:val="20"/>
              </w:rPr>
              <w:lastRenderedPageBreak/>
              <w:t>2</w:t>
            </w:r>
            <w:r>
              <w:rPr>
                <w:sz w:val="20"/>
                <w:szCs w:val="20"/>
              </w:rPr>
              <w:t xml:space="preserve">. </w:t>
            </w:r>
            <w:r w:rsidRPr="00122D28">
              <w:rPr>
                <w:sz w:val="20"/>
                <w:szCs w:val="20"/>
              </w:rPr>
              <w:t>odpady, ktoré sú v podmienkach skládky výbušné, korozívne, okysličujúce, vysoko horľavé alebo horľavé,</w:t>
            </w:r>
          </w:p>
          <w:p w:rsidR="002E7ABE" w:rsidRPr="00122D28" w:rsidRDefault="002E7ABE" w:rsidP="002E7ABE">
            <w:pPr>
              <w:tabs>
                <w:tab w:val="left" w:pos="454"/>
              </w:tabs>
              <w:ind w:left="454"/>
              <w:jc w:val="both"/>
              <w:rPr>
                <w:sz w:val="20"/>
                <w:szCs w:val="20"/>
              </w:rPr>
            </w:pPr>
            <w:r w:rsidRPr="00122D28">
              <w:rPr>
                <w:sz w:val="20"/>
                <w:szCs w:val="20"/>
              </w:rPr>
              <w:t>3</w:t>
            </w:r>
            <w:r>
              <w:rPr>
                <w:sz w:val="20"/>
                <w:szCs w:val="20"/>
              </w:rPr>
              <w:t xml:space="preserve">. </w:t>
            </w:r>
            <w:r w:rsidRPr="00122D28">
              <w:rPr>
                <w:sz w:val="20"/>
                <w:szCs w:val="20"/>
              </w:rPr>
              <w:t>odpad zo zdravotnej starostlivosti a veterinárnej starostlivosti, ktorého katalógové číslo pred jeho spracovaním je uvedené v </w:t>
            </w:r>
            <w:hyperlink r:id="rId10" w:anchor="prilohy.priloha-priloha_c_8_k_zakonu_c_79_2015_z_z.oznacenie" w:tooltip="Odkaz na predpis alebo ustanovenie" w:history="1">
              <w:r w:rsidRPr="00122D28">
                <w:rPr>
                  <w:i/>
                  <w:iCs/>
                  <w:sz w:val="20"/>
                  <w:szCs w:val="20"/>
                </w:rPr>
                <w:t>prílohe č. 8</w:t>
              </w:r>
            </w:hyperlink>
            <w:r w:rsidRPr="00122D28">
              <w:rPr>
                <w:sz w:val="20"/>
                <w:szCs w:val="20"/>
              </w:rPr>
              <w:t>; spracovanie takéhoto odpadu a každá následná zmena jeho katalógového čísla nemá vplyv na zákaz jeho skládkovania,</w:t>
            </w:r>
          </w:p>
          <w:p w:rsidR="002E7ABE" w:rsidRPr="00122D28" w:rsidRDefault="002E7ABE" w:rsidP="002E7ABE">
            <w:pPr>
              <w:jc w:val="both"/>
              <w:rPr>
                <w:sz w:val="20"/>
                <w:szCs w:val="20"/>
              </w:rPr>
            </w:pPr>
            <w:r>
              <w:rPr>
                <w:sz w:val="20"/>
                <w:szCs w:val="20"/>
              </w:rPr>
              <w:t xml:space="preserve">     </w:t>
            </w:r>
            <w:r w:rsidRPr="00122D28">
              <w:rPr>
                <w:sz w:val="20"/>
                <w:szCs w:val="20"/>
              </w:rPr>
              <w:t>4</w:t>
            </w:r>
            <w:r>
              <w:rPr>
                <w:sz w:val="20"/>
                <w:szCs w:val="20"/>
              </w:rPr>
              <w:t xml:space="preserve">. </w:t>
            </w:r>
            <w:r w:rsidRPr="00122D28">
              <w:rPr>
                <w:sz w:val="20"/>
                <w:szCs w:val="20"/>
              </w:rPr>
              <w:t>odpadové pneumatiky okrem pneumatík, ktoré sú použité ako konštrukčný materiál pri budovaní skládky, pneumatík z bicyklov a pneumatík s väčším vonkajším priemerom ako 1400 mm,</w:t>
            </w:r>
          </w:p>
          <w:p w:rsidR="002E7ABE" w:rsidRPr="00122D28" w:rsidRDefault="002E7ABE" w:rsidP="002E7ABE">
            <w:pPr>
              <w:jc w:val="both"/>
              <w:rPr>
                <w:sz w:val="20"/>
                <w:szCs w:val="20"/>
              </w:rPr>
            </w:pPr>
            <w:r>
              <w:rPr>
                <w:sz w:val="20"/>
                <w:szCs w:val="20"/>
              </w:rPr>
              <w:t xml:space="preserve">     </w:t>
            </w:r>
            <w:r w:rsidRPr="00122D28">
              <w:rPr>
                <w:sz w:val="20"/>
                <w:szCs w:val="20"/>
              </w:rPr>
              <w:t>5</w:t>
            </w:r>
            <w:r>
              <w:rPr>
                <w:sz w:val="20"/>
                <w:szCs w:val="20"/>
              </w:rPr>
              <w:t xml:space="preserve">. </w:t>
            </w:r>
            <w:r w:rsidRPr="00122D28">
              <w:rPr>
                <w:sz w:val="20"/>
                <w:szCs w:val="20"/>
              </w:rPr>
              <w:t xml:space="preserve">odpady, ktorých obsah </w:t>
            </w:r>
            <w:r w:rsidRPr="00245EDD">
              <w:rPr>
                <w:strike/>
                <w:sz w:val="20"/>
                <w:szCs w:val="20"/>
              </w:rPr>
              <w:t>škodlivých látok</w:t>
            </w:r>
            <w:r w:rsidRPr="00122D28">
              <w:rPr>
                <w:sz w:val="20"/>
                <w:szCs w:val="20"/>
              </w:rPr>
              <w:t xml:space="preserve"> </w:t>
            </w:r>
            <w:r>
              <w:rPr>
                <w:color w:val="FF0000"/>
                <w:sz w:val="20"/>
                <w:szCs w:val="20"/>
              </w:rPr>
              <w:t xml:space="preserve">nebezpečných látok </w:t>
            </w:r>
            <w:r w:rsidRPr="00122D28">
              <w:rPr>
                <w:sz w:val="20"/>
                <w:szCs w:val="20"/>
              </w:rPr>
              <w:t xml:space="preserve">presahuje hraničné hodnoty koncentrácie </w:t>
            </w:r>
            <w:r w:rsidRPr="00245EDD">
              <w:rPr>
                <w:strike/>
                <w:sz w:val="20"/>
                <w:szCs w:val="20"/>
              </w:rPr>
              <w:t>škodlivých látok</w:t>
            </w:r>
            <w:r w:rsidRPr="00245EDD">
              <w:rPr>
                <w:color w:val="FF0000"/>
                <w:sz w:val="20"/>
                <w:szCs w:val="20"/>
              </w:rPr>
              <w:t xml:space="preserve"> </w:t>
            </w:r>
            <w:r>
              <w:rPr>
                <w:color w:val="FF0000"/>
                <w:sz w:val="20"/>
                <w:szCs w:val="20"/>
              </w:rPr>
              <w:t>nebezpečných látok</w:t>
            </w:r>
            <w:r w:rsidRPr="00122D28">
              <w:rPr>
                <w:sz w:val="20"/>
                <w:szCs w:val="20"/>
              </w:rPr>
              <w:t xml:space="preserve"> podľa </w:t>
            </w:r>
            <w:hyperlink r:id="rId11" w:anchor="prilohy.priloha-priloha_c_5_k_zakonu_c_79_2015_z_z.oznacenie" w:tooltip="Odkaz na predpis alebo ustanovenie" w:history="1">
              <w:r w:rsidRPr="00122D28">
                <w:rPr>
                  <w:i/>
                  <w:iCs/>
                  <w:sz w:val="20"/>
                  <w:szCs w:val="20"/>
                </w:rPr>
                <w:t>prílohy č. 5</w:t>
              </w:r>
            </w:hyperlink>
            <w:r w:rsidRPr="00122D28">
              <w:rPr>
                <w:sz w:val="20"/>
                <w:szCs w:val="20"/>
              </w:rPr>
              <w:t>,</w:t>
            </w:r>
          </w:p>
          <w:p w:rsidR="002E7ABE" w:rsidRPr="00122D28" w:rsidRDefault="002E7ABE" w:rsidP="002E7ABE">
            <w:pPr>
              <w:jc w:val="both"/>
              <w:rPr>
                <w:sz w:val="20"/>
                <w:szCs w:val="20"/>
              </w:rPr>
            </w:pPr>
            <w:r>
              <w:rPr>
                <w:sz w:val="20"/>
                <w:szCs w:val="20"/>
              </w:rPr>
              <w:t xml:space="preserve">    </w:t>
            </w:r>
            <w:r w:rsidRPr="00122D28">
              <w:rPr>
                <w:sz w:val="20"/>
                <w:szCs w:val="20"/>
              </w:rPr>
              <w:t>6</w:t>
            </w:r>
            <w:r>
              <w:rPr>
                <w:sz w:val="20"/>
                <w:szCs w:val="20"/>
              </w:rPr>
              <w:t xml:space="preserve">. </w:t>
            </w:r>
            <w:r w:rsidRPr="00122D28">
              <w:rPr>
                <w:sz w:val="20"/>
                <w:szCs w:val="20"/>
              </w:rPr>
              <w:t>vytriedený biologicky rozložiteľný kuchynský a reštauračný odpad,</w:t>
            </w:r>
          </w:p>
          <w:p w:rsidR="002E7ABE" w:rsidRPr="00122D28" w:rsidRDefault="002E7ABE" w:rsidP="002E7ABE">
            <w:pPr>
              <w:jc w:val="both"/>
              <w:rPr>
                <w:sz w:val="20"/>
                <w:szCs w:val="20"/>
              </w:rPr>
            </w:pPr>
            <w:r>
              <w:rPr>
                <w:sz w:val="20"/>
                <w:szCs w:val="20"/>
              </w:rPr>
              <w:t xml:space="preserve">    </w:t>
            </w:r>
            <w:r w:rsidRPr="00122D28">
              <w:rPr>
                <w:sz w:val="20"/>
                <w:szCs w:val="20"/>
              </w:rPr>
              <w:t>7</w:t>
            </w:r>
            <w:r>
              <w:rPr>
                <w:sz w:val="20"/>
                <w:szCs w:val="20"/>
              </w:rPr>
              <w:t xml:space="preserve">. </w:t>
            </w:r>
            <w:r w:rsidRPr="00122D28">
              <w:rPr>
                <w:sz w:val="20"/>
                <w:szCs w:val="20"/>
              </w:rPr>
              <w:t xml:space="preserve">vytriedené zložky komunálneho odpadu, na ktoré sa vzťahuje rozšírená zodpovednosť výrobcov, okrem nezhodnotiteľných odpadov po </w:t>
            </w:r>
            <w:proofErr w:type="spellStart"/>
            <w:r w:rsidRPr="00122D28">
              <w:rPr>
                <w:sz w:val="20"/>
                <w:szCs w:val="20"/>
              </w:rPr>
              <w:t>dotriedení</w:t>
            </w:r>
            <w:proofErr w:type="spellEnd"/>
            <w:r w:rsidRPr="00122D28">
              <w:rPr>
                <w:sz w:val="20"/>
                <w:szCs w:val="20"/>
              </w:rPr>
              <w:t>,</w:t>
            </w:r>
          </w:p>
          <w:p w:rsidR="002E7ABE" w:rsidRDefault="002E7ABE" w:rsidP="002E7ABE">
            <w:pPr>
              <w:jc w:val="both"/>
              <w:rPr>
                <w:sz w:val="20"/>
                <w:szCs w:val="20"/>
              </w:rPr>
            </w:pPr>
            <w:r>
              <w:rPr>
                <w:sz w:val="20"/>
                <w:szCs w:val="20"/>
              </w:rPr>
              <w:t xml:space="preserve">   </w:t>
            </w:r>
            <w:r w:rsidRPr="00122D28">
              <w:rPr>
                <w:sz w:val="20"/>
                <w:szCs w:val="20"/>
              </w:rPr>
              <w:t>8</w:t>
            </w:r>
            <w:r>
              <w:rPr>
                <w:sz w:val="20"/>
                <w:szCs w:val="20"/>
              </w:rPr>
              <w:t xml:space="preserve">. </w:t>
            </w:r>
            <w:r w:rsidRPr="00122D28">
              <w:rPr>
                <w:sz w:val="20"/>
                <w:szCs w:val="20"/>
              </w:rPr>
              <w:t xml:space="preserve">biologicky rozložiteľný odpad zo záhrad a parkov, vrátane biologicky rozložiteľného odpadu z cintorínov, okrem nezhodnotiteľných odpadov po </w:t>
            </w:r>
            <w:proofErr w:type="spellStart"/>
            <w:r w:rsidRPr="00122D28">
              <w:rPr>
                <w:sz w:val="20"/>
                <w:szCs w:val="20"/>
              </w:rPr>
              <w:t>dotriedení</w:t>
            </w:r>
            <w:proofErr w:type="spellEnd"/>
            <w:r w:rsidRPr="00122D28">
              <w:rPr>
                <w:sz w:val="20"/>
                <w:szCs w:val="20"/>
              </w:rPr>
              <w:t>,</w:t>
            </w:r>
          </w:p>
          <w:p w:rsidR="002E7ABE" w:rsidRPr="0028128E" w:rsidRDefault="002E7ABE" w:rsidP="002E7ABE">
            <w:pPr>
              <w:jc w:val="both"/>
              <w:rPr>
                <w:color w:val="FF0000"/>
                <w:sz w:val="20"/>
                <w:szCs w:val="20"/>
              </w:rPr>
            </w:pPr>
            <w:r>
              <w:rPr>
                <w:color w:val="FF0000"/>
                <w:sz w:val="20"/>
                <w:szCs w:val="20"/>
              </w:rPr>
              <w:t xml:space="preserve">  </w:t>
            </w:r>
            <w:r w:rsidRPr="0028128E">
              <w:rPr>
                <w:color w:val="FF0000"/>
                <w:sz w:val="20"/>
                <w:szCs w:val="20"/>
              </w:rPr>
              <w:t>9. odpad, ktorý neprešiel úpravou, okrem</w:t>
            </w:r>
          </w:p>
          <w:p w:rsidR="002E7ABE" w:rsidRPr="0028128E" w:rsidRDefault="002E7ABE" w:rsidP="002E7ABE">
            <w:pPr>
              <w:tabs>
                <w:tab w:val="left" w:pos="284"/>
              </w:tabs>
              <w:ind w:left="284" w:hanging="284"/>
              <w:jc w:val="both"/>
              <w:rPr>
                <w:color w:val="FF0000"/>
                <w:sz w:val="20"/>
                <w:szCs w:val="20"/>
              </w:rPr>
            </w:pPr>
            <w:r>
              <w:rPr>
                <w:color w:val="FF0000"/>
                <w:sz w:val="20"/>
                <w:szCs w:val="20"/>
              </w:rPr>
              <w:tab/>
              <w:t xml:space="preserve">9.1 </w:t>
            </w:r>
            <w:r w:rsidRPr="0028128E">
              <w:rPr>
                <w:color w:val="FF0000"/>
                <w:sz w:val="20"/>
                <w:szCs w:val="20"/>
              </w:rPr>
              <w:t xml:space="preserve">inertného odpadu, ktorého úprava s cieľom zníženia množstva odpadu alebo jeho nebezpečenstva pre zdravie </w:t>
            </w:r>
            <w:r>
              <w:rPr>
                <w:color w:val="FF0000"/>
                <w:sz w:val="20"/>
                <w:szCs w:val="20"/>
              </w:rPr>
              <w:t xml:space="preserve">   </w:t>
            </w:r>
            <w:r w:rsidRPr="0028128E">
              <w:rPr>
                <w:color w:val="FF0000"/>
                <w:sz w:val="20"/>
                <w:szCs w:val="20"/>
              </w:rPr>
              <w:t>ľudí alebo pre životné prostredie nie je technicky možná,</w:t>
            </w:r>
          </w:p>
          <w:p w:rsidR="002E7ABE" w:rsidRPr="0028128E" w:rsidRDefault="002E7ABE" w:rsidP="002E7ABE">
            <w:pPr>
              <w:tabs>
                <w:tab w:val="left" w:pos="284"/>
              </w:tabs>
              <w:ind w:left="284" w:hanging="284"/>
              <w:jc w:val="both"/>
              <w:rPr>
                <w:color w:val="FF0000"/>
                <w:sz w:val="20"/>
                <w:szCs w:val="20"/>
              </w:rPr>
            </w:pPr>
            <w:r>
              <w:rPr>
                <w:color w:val="FF0000"/>
                <w:sz w:val="20"/>
                <w:szCs w:val="20"/>
              </w:rPr>
              <w:tab/>
              <w:t xml:space="preserve">9.2 </w:t>
            </w:r>
            <w:r w:rsidRPr="0028128E">
              <w:rPr>
                <w:color w:val="FF0000"/>
                <w:sz w:val="20"/>
                <w:szCs w:val="20"/>
              </w:rPr>
              <w:t xml:space="preserve">odpadu, u ktorého by úprava </w:t>
            </w:r>
            <w:r w:rsidRPr="00CD624B">
              <w:rPr>
                <w:strike/>
                <w:color w:val="FF0000"/>
                <w:sz w:val="20"/>
                <w:szCs w:val="20"/>
              </w:rPr>
              <w:t>neprospela</w:t>
            </w:r>
            <w:r w:rsidRPr="0028128E">
              <w:rPr>
                <w:color w:val="FF0000"/>
                <w:sz w:val="20"/>
                <w:szCs w:val="20"/>
              </w:rPr>
              <w:t xml:space="preserve"> </w:t>
            </w:r>
            <w:r>
              <w:rPr>
                <w:color w:val="FF0000"/>
                <w:sz w:val="20"/>
                <w:szCs w:val="20"/>
              </w:rPr>
              <w:t xml:space="preserve">neviedla </w:t>
            </w:r>
            <w:r w:rsidRPr="0028128E">
              <w:rPr>
                <w:color w:val="FF0000"/>
                <w:sz w:val="20"/>
                <w:szCs w:val="20"/>
              </w:rPr>
              <w:t>k zníženiu množstva odpadu ani nezabránila ohrozeniu zdravia ľudí alebo ohrozeniu životného prostredia,</w:t>
            </w:r>
          </w:p>
          <w:p w:rsidR="00AC3F7C" w:rsidRPr="00607C97" w:rsidRDefault="002E7ABE" w:rsidP="00607C97">
            <w:pPr>
              <w:tabs>
                <w:tab w:val="left" w:pos="284"/>
              </w:tabs>
              <w:ind w:left="284"/>
              <w:jc w:val="both"/>
              <w:rPr>
                <w:color w:val="FF0000"/>
                <w:sz w:val="20"/>
                <w:szCs w:val="22"/>
              </w:rPr>
            </w:pPr>
            <w:r w:rsidRPr="00776062" w:rsidDel="002E7ABE">
              <w:rPr>
                <w:sz w:val="20"/>
                <w:szCs w:val="22"/>
              </w:rPr>
              <w:t xml:space="preserve"> </w:t>
            </w:r>
          </w:p>
        </w:tc>
        <w:tc>
          <w:tcPr>
            <w:tcW w:w="720" w:type="dxa"/>
          </w:tcPr>
          <w:p w:rsidR="00AC3F7C" w:rsidRDefault="002A554C" w:rsidP="00EC5CA8">
            <w:pPr>
              <w:pStyle w:val="Normlny0"/>
              <w:rPr>
                <w:sz w:val="22"/>
                <w:szCs w:val="22"/>
              </w:rPr>
            </w:pPr>
            <w:r>
              <w:rPr>
                <w:sz w:val="22"/>
                <w:szCs w:val="22"/>
              </w:rPr>
              <w:lastRenderedPageBreak/>
              <w:t>Ú</w:t>
            </w:r>
          </w:p>
        </w:tc>
        <w:tc>
          <w:tcPr>
            <w:tcW w:w="1805" w:type="dxa"/>
            <w:gridSpan w:val="2"/>
          </w:tcPr>
          <w:p w:rsidR="00AC3F7C" w:rsidRPr="00093FD3" w:rsidRDefault="00AC3F7C" w:rsidP="00987764">
            <w:pPr>
              <w:pStyle w:val="Normlny0"/>
              <w:rPr>
                <w:bCs/>
                <w:sz w:val="22"/>
                <w:szCs w:val="22"/>
              </w:rPr>
            </w:pPr>
          </w:p>
        </w:tc>
      </w:tr>
      <w:tr w:rsidR="00CF6196" w:rsidRPr="006F6E42" w:rsidTr="002809E5">
        <w:trPr>
          <w:trHeight w:val="1173"/>
          <w:jc w:val="center"/>
        </w:trPr>
        <w:tc>
          <w:tcPr>
            <w:tcW w:w="899" w:type="dxa"/>
          </w:tcPr>
          <w:p w:rsidR="00CF6196" w:rsidRPr="00607C97" w:rsidRDefault="00CF6196" w:rsidP="00CF6196">
            <w:pPr>
              <w:pStyle w:val="Normlny0"/>
              <w:rPr>
                <w:szCs w:val="22"/>
              </w:rPr>
            </w:pPr>
            <w:r w:rsidRPr="00607C97">
              <w:rPr>
                <w:szCs w:val="22"/>
              </w:rPr>
              <w:lastRenderedPageBreak/>
              <w:t xml:space="preserve">Č l. O4 </w:t>
            </w:r>
            <w:proofErr w:type="spellStart"/>
            <w:r w:rsidRPr="00607C97">
              <w:rPr>
                <w:szCs w:val="22"/>
              </w:rPr>
              <w:t>Pd</w:t>
            </w:r>
            <w:proofErr w:type="spellEnd"/>
          </w:p>
        </w:tc>
        <w:tc>
          <w:tcPr>
            <w:tcW w:w="4501" w:type="dxa"/>
            <w:gridSpan w:val="2"/>
          </w:tcPr>
          <w:p w:rsidR="00CF6196" w:rsidRPr="00607C97" w:rsidRDefault="00CF6196" w:rsidP="00CF6196">
            <w:pPr>
              <w:pStyle w:val="Normlny0"/>
              <w:rPr>
                <w:szCs w:val="22"/>
              </w:rPr>
            </w:pPr>
            <w:r w:rsidRPr="00607C97">
              <w:rPr>
                <w:szCs w:val="22"/>
              </w:rPr>
              <w:t xml:space="preserve">5. Členské štáty prijmú potrebné opatrenia, aby zabezpečili, že do roku 2035 sa množstvo komunálneho odpadu ukladaného na skládky zníži na 10 % alebo menej z celkového množstva vzniknutého komunálneho odpadu (podľa hmotnosti).   </w:t>
            </w:r>
          </w:p>
          <w:p w:rsidR="00CF6196" w:rsidRPr="00607C97" w:rsidRDefault="00CF6196" w:rsidP="00CF6196">
            <w:pPr>
              <w:pStyle w:val="Normlny0"/>
              <w:rPr>
                <w:szCs w:val="22"/>
              </w:rPr>
            </w:pPr>
          </w:p>
        </w:tc>
        <w:tc>
          <w:tcPr>
            <w:tcW w:w="1260" w:type="dxa"/>
            <w:gridSpan w:val="2"/>
          </w:tcPr>
          <w:p w:rsidR="00CF6196" w:rsidRPr="00607C97" w:rsidRDefault="00CF6196" w:rsidP="00CF6196">
            <w:pPr>
              <w:pStyle w:val="Normlny0"/>
              <w:rPr>
                <w:szCs w:val="22"/>
              </w:rPr>
            </w:pPr>
            <w:r w:rsidRPr="00607C97">
              <w:rPr>
                <w:szCs w:val="22"/>
              </w:rPr>
              <w:t>N</w:t>
            </w:r>
          </w:p>
        </w:tc>
        <w:tc>
          <w:tcPr>
            <w:tcW w:w="1260" w:type="dxa"/>
          </w:tcPr>
          <w:p w:rsidR="00CF6196" w:rsidRPr="00607C97" w:rsidRDefault="00CF6196" w:rsidP="00CF6196">
            <w:pPr>
              <w:pStyle w:val="Normlny0"/>
              <w:rPr>
                <w:color w:val="FF0000"/>
                <w:szCs w:val="22"/>
              </w:rPr>
            </w:pPr>
            <w:r w:rsidRPr="00607C97">
              <w:rPr>
                <w:szCs w:val="22"/>
              </w:rPr>
              <w:t>Z,</w:t>
            </w:r>
            <w:r w:rsidRPr="00607C97">
              <w:rPr>
                <w:color w:val="FF0000"/>
                <w:szCs w:val="22"/>
              </w:rPr>
              <w:t>NZ</w:t>
            </w:r>
          </w:p>
        </w:tc>
        <w:tc>
          <w:tcPr>
            <w:tcW w:w="1260" w:type="dxa"/>
            <w:gridSpan w:val="2"/>
          </w:tcPr>
          <w:p w:rsidR="00CF6196" w:rsidRPr="00607C97" w:rsidRDefault="00CF6196" w:rsidP="00CF6196">
            <w:pPr>
              <w:rPr>
                <w:sz w:val="20"/>
                <w:szCs w:val="22"/>
              </w:rPr>
            </w:pPr>
            <w:r w:rsidRPr="00607C97">
              <w:rPr>
                <w:sz w:val="20"/>
                <w:szCs w:val="22"/>
              </w:rPr>
              <w:t>Príloha č.3</w:t>
            </w:r>
          </w:p>
          <w:p w:rsidR="00CF55A3" w:rsidRPr="00607C97" w:rsidRDefault="00CF55A3" w:rsidP="00CF6196">
            <w:pPr>
              <w:rPr>
                <w:sz w:val="20"/>
                <w:szCs w:val="22"/>
              </w:rPr>
            </w:pPr>
            <w:r w:rsidRPr="00607C97">
              <w:rPr>
                <w:color w:val="FF0000"/>
                <w:sz w:val="20"/>
                <w:szCs w:val="22"/>
              </w:rPr>
              <w:t>NB 155</w:t>
            </w:r>
          </w:p>
        </w:tc>
        <w:tc>
          <w:tcPr>
            <w:tcW w:w="4500" w:type="dxa"/>
          </w:tcPr>
          <w:p w:rsidR="00CF55A3" w:rsidRPr="00607C97" w:rsidRDefault="00CF55A3" w:rsidP="00CF55A3">
            <w:pPr>
              <w:rPr>
                <w:b/>
                <w:sz w:val="20"/>
              </w:rPr>
            </w:pPr>
            <w:r w:rsidRPr="00607C97">
              <w:rPr>
                <w:b/>
                <w:sz w:val="20"/>
              </w:rPr>
              <w:t>V. Cieľ odpadového hospodárstva v oblasti komunálnych odpadov</w:t>
            </w:r>
          </w:p>
          <w:p w:rsidR="00CF55A3" w:rsidRPr="00607C97" w:rsidRDefault="00CF55A3" w:rsidP="00CF55A3">
            <w:pPr>
              <w:rPr>
                <w:color w:val="FF0000"/>
                <w:sz w:val="20"/>
              </w:rPr>
            </w:pPr>
            <w:r w:rsidRPr="00607C97">
              <w:rPr>
                <w:sz w:val="20"/>
              </w:rPr>
              <w:t xml:space="preserve">Cieľom odpadového hospodárstva v oblasti komunálnych odpadov je do roku 2020 zvýšiť prípravu na opätovné použitie a recykláciu odpadu z domácností ako papier, kov, plasty a sklo a podľa možnosti z iných zdrojov, pokiaľ tieto zdroje obsahujú podobný odpad ako odpad z domácností, najmenej na 50 % podľa hmotnosti takéhoto odpadu vzniknutého v predchádzajúcom kalendárnom roku. </w:t>
            </w:r>
            <w:r w:rsidRPr="00607C97">
              <w:rPr>
                <w:color w:val="FF0000"/>
                <w:sz w:val="20"/>
              </w:rPr>
              <w:t xml:space="preserve">Cieľom odpadového hospodárstva v oblasti komunálnych odpadov je zvýšiť prípravu na opätovné použitie a recykláciu komunálneho odpadu do roku 2025 najmenej na 55%, do roku 2030 najmenej na 60% a do roku 2035 najmenej na 65% podľa hmotnosti komunálneho odpadu vzniknutého v predchádzajúcom kalendárnom roku. </w:t>
            </w:r>
          </w:p>
          <w:p w:rsidR="00CF6196" w:rsidRPr="00607C97" w:rsidRDefault="00CF55A3" w:rsidP="00CF55A3">
            <w:pPr>
              <w:rPr>
                <w:sz w:val="20"/>
              </w:rPr>
            </w:pPr>
            <w:r w:rsidRPr="00607C97">
              <w:rPr>
                <w:color w:val="FF0000"/>
                <w:sz w:val="20"/>
              </w:rPr>
              <w:t>Cieľom odpadového hospodárstva v oblasti komunálnych odpadov je do roku 2035 znížiť množstvo komunálneho odpadu zneškodneného skládkovaním najmenej na 10 % z celkového množstva vzniknutého komunálneho odpadu.</w:t>
            </w:r>
          </w:p>
        </w:tc>
        <w:tc>
          <w:tcPr>
            <w:tcW w:w="720" w:type="dxa"/>
          </w:tcPr>
          <w:p w:rsidR="00CF6196" w:rsidRDefault="00CF6196" w:rsidP="00CF6196">
            <w:pPr>
              <w:pStyle w:val="Normlny0"/>
              <w:rPr>
                <w:sz w:val="22"/>
                <w:szCs w:val="22"/>
              </w:rPr>
            </w:pPr>
            <w:r>
              <w:rPr>
                <w:sz w:val="22"/>
                <w:szCs w:val="22"/>
              </w:rPr>
              <w:t>Ú</w:t>
            </w:r>
          </w:p>
        </w:tc>
        <w:tc>
          <w:tcPr>
            <w:tcW w:w="1805" w:type="dxa"/>
            <w:gridSpan w:val="2"/>
          </w:tcPr>
          <w:p w:rsidR="00CF6196" w:rsidRPr="00093FD3" w:rsidRDefault="00CF6196" w:rsidP="00CF6196">
            <w:pPr>
              <w:pStyle w:val="Normlny0"/>
              <w:rPr>
                <w:bCs/>
                <w:sz w:val="22"/>
                <w:szCs w:val="22"/>
              </w:rPr>
            </w:pPr>
          </w:p>
        </w:tc>
      </w:tr>
      <w:tr w:rsidR="00CF6196" w:rsidRPr="006F6E42" w:rsidTr="002809E5">
        <w:trPr>
          <w:trHeight w:val="1173"/>
          <w:jc w:val="center"/>
        </w:trPr>
        <w:tc>
          <w:tcPr>
            <w:tcW w:w="899" w:type="dxa"/>
          </w:tcPr>
          <w:p w:rsidR="00CF6196" w:rsidRPr="00607C97" w:rsidRDefault="00CF6196" w:rsidP="00CF6196">
            <w:pPr>
              <w:pStyle w:val="Normlny0"/>
              <w:rPr>
                <w:szCs w:val="22"/>
              </w:rPr>
            </w:pPr>
            <w:r w:rsidRPr="00607C97">
              <w:rPr>
                <w:szCs w:val="22"/>
              </w:rPr>
              <w:t xml:space="preserve">Č l. O4 </w:t>
            </w:r>
            <w:proofErr w:type="spellStart"/>
            <w:r w:rsidRPr="00607C97">
              <w:rPr>
                <w:szCs w:val="22"/>
              </w:rPr>
              <w:t>Pd</w:t>
            </w:r>
            <w:proofErr w:type="spellEnd"/>
            <w:r w:rsidRPr="00607C97">
              <w:rPr>
                <w:szCs w:val="22"/>
              </w:rPr>
              <w:t xml:space="preserve"> </w:t>
            </w: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p w:rsidR="00CF6196" w:rsidRPr="00607C97" w:rsidRDefault="00CF6196" w:rsidP="00CF6196">
            <w:pPr>
              <w:pStyle w:val="Normlny0"/>
              <w:rPr>
                <w:szCs w:val="22"/>
              </w:rPr>
            </w:pPr>
          </w:p>
        </w:tc>
        <w:tc>
          <w:tcPr>
            <w:tcW w:w="4501" w:type="dxa"/>
            <w:gridSpan w:val="2"/>
          </w:tcPr>
          <w:p w:rsidR="00CF6196" w:rsidRPr="00607C97" w:rsidRDefault="00CF6196" w:rsidP="00CF6196">
            <w:pPr>
              <w:pStyle w:val="Normlny0"/>
              <w:rPr>
                <w:szCs w:val="22"/>
              </w:rPr>
            </w:pPr>
            <w:r w:rsidRPr="00607C97">
              <w:rPr>
                <w:szCs w:val="22"/>
              </w:rPr>
              <w:lastRenderedPageBreak/>
              <w:t>6.Členský štát môže odložiť lehotu na dosiahnutie cieľa uvedeného v odseku 5 až o päť rokov, ak tento členský štát:</w:t>
            </w:r>
          </w:p>
          <w:p w:rsidR="00CF6196" w:rsidRPr="00607C97" w:rsidRDefault="00CF6196" w:rsidP="00CF6196">
            <w:pPr>
              <w:pStyle w:val="Normlny0"/>
              <w:numPr>
                <w:ilvl w:val="0"/>
                <w:numId w:val="2"/>
              </w:numPr>
              <w:rPr>
                <w:szCs w:val="22"/>
              </w:rPr>
            </w:pPr>
            <w:r w:rsidRPr="00607C97">
              <w:rPr>
                <w:szCs w:val="22"/>
              </w:rPr>
              <w:t xml:space="preserve">ukladal na skládky viac ako 60 % svojho komunálneho odpadu, ktorý vznikol v roku 2013, ako vyplýva zo spoločného dotazníka OECD a </w:t>
            </w:r>
            <w:proofErr w:type="spellStart"/>
            <w:r w:rsidRPr="00607C97">
              <w:rPr>
                <w:szCs w:val="22"/>
              </w:rPr>
              <w:t>Eurostatu</w:t>
            </w:r>
            <w:proofErr w:type="spellEnd"/>
            <w:r w:rsidRPr="00607C97">
              <w:rPr>
                <w:szCs w:val="22"/>
              </w:rPr>
              <w:t xml:space="preserve">, a </w:t>
            </w:r>
          </w:p>
          <w:p w:rsidR="00CF6196" w:rsidRPr="00607C97" w:rsidRDefault="00CF6196" w:rsidP="00CF6196">
            <w:pPr>
              <w:pStyle w:val="Normlny0"/>
              <w:numPr>
                <w:ilvl w:val="0"/>
                <w:numId w:val="2"/>
              </w:numPr>
              <w:rPr>
                <w:szCs w:val="22"/>
              </w:rPr>
            </w:pPr>
            <w:r w:rsidRPr="00607C97">
              <w:rPr>
                <w:szCs w:val="22"/>
              </w:rPr>
              <w:lastRenderedPageBreak/>
              <w:t xml:space="preserve"> najneskôr 24 mesiacov pred lehotou stanovenou v odseku 5 tohto článku oznámi Komisii svoj zámer odložiť lehotu a predloží vykonávací plán v súlade s prílohou IV k tejto smernici. Uvedený plán možno skombinovať s vykonávacím plánom predloženým podľa článku 11 ods. 3 písm. b) smernice 2008/98/ES.</w:t>
            </w:r>
          </w:p>
          <w:p w:rsidR="00CF6196" w:rsidRPr="00607C97" w:rsidRDefault="00CF6196" w:rsidP="00CF6196">
            <w:pPr>
              <w:pStyle w:val="Normlny0"/>
              <w:rPr>
                <w:szCs w:val="22"/>
              </w:rPr>
            </w:pPr>
          </w:p>
          <w:p w:rsidR="00CF6196" w:rsidRPr="00607C97" w:rsidRDefault="00CF6196" w:rsidP="00CF6196">
            <w:pPr>
              <w:pStyle w:val="Normlny0"/>
              <w:rPr>
                <w:szCs w:val="22"/>
              </w:rPr>
            </w:pPr>
            <w:r w:rsidRPr="00607C97">
              <w:rPr>
                <w:szCs w:val="22"/>
              </w:rPr>
              <w:t>7.Do troch mesiacov od prijatia vykonávacieho plánu predloženého podľa odseku 6 písm. b) môže Komisia požiadať členský štát o revíziu uvedeného plánu, ak sa domnieva, že plán nie je v súlade s požiadavkami uvedenými v prílohe IV. Dotknutý členský štát predloží revidovaný plán do troch mesiacov od prijatia žiadosti Komisie</w:t>
            </w:r>
          </w:p>
          <w:p w:rsidR="00CF6196" w:rsidRPr="00607C97" w:rsidRDefault="00CF6196" w:rsidP="00CF6196">
            <w:pPr>
              <w:pStyle w:val="Normlny0"/>
              <w:rPr>
                <w:szCs w:val="22"/>
              </w:rPr>
            </w:pPr>
          </w:p>
          <w:p w:rsidR="00CF6196" w:rsidRPr="00607C97" w:rsidRDefault="00CF6196" w:rsidP="00CF6196">
            <w:pPr>
              <w:pStyle w:val="Normlny0"/>
              <w:rPr>
                <w:szCs w:val="22"/>
              </w:rPr>
            </w:pPr>
            <w:r w:rsidRPr="00607C97">
              <w:rPr>
                <w:szCs w:val="22"/>
              </w:rPr>
              <w:t>8.V prípade odkladu lehoty v súlade s odsekom 6 prijme členský štát potrebné opatrenia s cieľom znížiť do roku 2035 množstvo komunálneho odpadu ukladaného na skládky na 25 % alebo menej z celkového množstva vzniknutého komunálneho odpadu (podľa hmotnosti).</w:t>
            </w:r>
          </w:p>
          <w:p w:rsidR="00CF6196" w:rsidRPr="00607C97" w:rsidRDefault="00CF6196" w:rsidP="00CF6196">
            <w:pPr>
              <w:pStyle w:val="Normlny0"/>
              <w:rPr>
                <w:szCs w:val="22"/>
              </w:rPr>
            </w:pPr>
          </w:p>
          <w:p w:rsidR="00CF6196" w:rsidRPr="00607C97" w:rsidRDefault="00CF6196" w:rsidP="00CF6196">
            <w:pPr>
              <w:pStyle w:val="Normlny0"/>
              <w:rPr>
                <w:szCs w:val="22"/>
              </w:rPr>
            </w:pPr>
            <w:r w:rsidRPr="00607C97">
              <w:rPr>
                <w:szCs w:val="22"/>
              </w:rPr>
              <w:t xml:space="preserve">9.Komisia do 31. decembra 2024 preskúma cieľ     stanovený v odseku 5 s cieľom jeho zachovania alebo, ak je to vhodné, jeho zníženia, zváženia kvantitatívneho cieľa pre skládkovanie na obyvateľa a zavedenia obmedzení skládkovania odpadu, ktorý nie je nebezpečný a nie je komunálnym odpadom. Na tento účel Komisia predloží Európskemu parlamentu a Rade správu, ku ktorej v prípade potreby pripojí legislatívny návrh. </w:t>
            </w:r>
          </w:p>
        </w:tc>
        <w:tc>
          <w:tcPr>
            <w:tcW w:w="1260" w:type="dxa"/>
            <w:gridSpan w:val="2"/>
          </w:tcPr>
          <w:p w:rsidR="00CF6196" w:rsidRPr="00607C97" w:rsidRDefault="002809E5" w:rsidP="00CF6196">
            <w:pPr>
              <w:pStyle w:val="Normlny0"/>
              <w:rPr>
                <w:szCs w:val="22"/>
              </w:rPr>
            </w:pPr>
            <w:r w:rsidRPr="00607C97">
              <w:rPr>
                <w:szCs w:val="22"/>
              </w:rPr>
              <w:lastRenderedPageBreak/>
              <w:t xml:space="preserve">n </w:t>
            </w:r>
            <w:r w:rsidR="00CF6196" w:rsidRPr="00607C97">
              <w:rPr>
                <w:szCs w:val="22"/>
              </w:rPr>
              <w:t>.a.</w:t>
            </w:r>
          </w:p>
        </w:tc>
        <w:tc>
          <w:tcPr>
            <w:tcW w:w="1260" w:type="dxa"/>
          </w:tcPr>
          <w:p w:rsidR="00CF6196" w:rsidRPr="00607C97" w:rsidRDefault="00CF6196" w:rsidP="00CF6196">
            <w:pPr>
              <w:pStyle w:val="Normlny0"/>
              <w:rPr>
                <w:color w:val="FF0000"/>
                <w:szCs w:val="22"/>
              </w:rPr>
            </w:pPr>
          </w:p>
        </w:tc>
        <w:tc>
          <w:tcPr>
            <w:tcW w:w="1260" w:type="dxa"/>
            <w:gridSpan w:val="2"/>
          </w:tcPr>
          <w:p w:rsidR="00CF6196" w:rsidRPr="00607C97" w:rsidRDefault="00CF6196" w:rsidP="00CF6196">
            <w:pPr>
              <w:rPr>
                <w:sz w:val="20"/>
                <w:szCs w:val="22"/>
              </w:rPr>
            </w:pPr>
          </w:p>
        </w:tc>
        <w:tc>
          <w:tcPr>
            <w:tcW w:w="4500" w:type="dxa"/>
          </w:tcPr>
          <w:p w:rsidR="00CF6196" w:rsidRPr="00607C97" w:rsidRDefault="00CF6196" w:rsidP="00CF6196">
            <w:pPr>
              <w:rPr>
                <w:sz w:val="20"/>
              </w:rPr>
            </w:pPr>
          </w:p>
        </w:tc>
        <w:tc>
          <w:tcPr>
            <w:tcW w:w="720" w:type="dxa"/>
          </w:tcPr>
          <w:p w:rsidR="00CF6196" w:rsidRPr="00607C97" w:rsidRDefault="002809E5" w:rsidP="00CF6196">
            <w:pPr>
              <w:pStyle w:val="Normlny0"/>
              <w:rPr>
                <w:szCs w:val="22"/>
              </w:rPr>
            </w:pPr>
            <w:r w:rsidRPr="00607C97">
              <w:rPr>
                <w:szCs w:val="22"/>
              </w:rPr>
              <w:t>n. a</w:t>
            </w:r>
          </w:p>
        </w:tc>
        <w:tc>
          <w:tcPr>
            <w:tcW w:w="1805" w:type="dxa"/>
            <w:gridSpan w:val="2"/>
          </w:tcPr>
          <w:p w:rsidR="00CF6196" w:rsidRPr="00607C97" w:rsidRDefault="00CF6196" w:rsidP="00CF6196">
            <w:pPr>
              <w:pStyle w:val="Normlny0"/>
              <w:rPr>
                <w:bCs/>
                <w:szCs w:val="22"/>
              </w:rPr>
            </w:pPr>
          </w:p>
          <w:p w:rsidR="00CF6196" w:rsidRPr="00607C97" w:rsidRDefault="00CF6196" w:rsidP="00CF6196">
            <w:pPr>
              <w:pStyle w:val="Normlny0"/>
              <w:rPr>
                <w:bCs/>
                <w:szCs w:val="22"/>
              </w:rPr>
            </w:pPr>
          </w:p>
        </w:tc>
      </w:tr>
      <w:tr w:rsidR="003D0007" w:rsidRPr="006F6E42" w:rsidTr="002809E5">
        <w:trPr>
          <w:trHeight w:val="1173"/>
          <w:jc w:val="center"/>
        </w:trPr>
        <w:tc>
          <w:tcPr>
            <w:tcW w:w="899" w:type="dxa"/>
          </w:tcPr>
          <w:p w:rsidR="003D0007" w:rsidRPr="00607C97" w:rsidRDefault="00FD6C9D" w:rsidP="002F5AFD">
            <w:pPr>
              <w:pStyle w:val="Normlny0"/>
              <w:rPr>
                <w:szCs w:val="22"/>
              </w:rPr>
            </w:pPr>
            <w:r w:rsidRPr="00607C97">
              <w:rPr>
                <w:szCs w:val="22"/>
              </w:rPr>
              <w:t xml:space="preserve">Č l. O5 </w:t>
            </w:r>
            <w:r w:rsidR="002F5AFD" w:rsidRPr="00607C97">
              <w:rPr>
                <w:szCs w:val="22"/>
              </w:rPr>
              <w:t>P 5a</w:t>
            </w:r>
          </w:p>
        </w:tc>
        <w:tc>
          <w:tcPr>
            <w:tcW w:w="4501" w:type="dxa"/>
            <w:gridSpan w:val="2"/>
          </w:tcPr>
          <w:p w:rsidR="009D2354" w:rsidRPr="009D2354" w:rsidRDefault="009D2354" w:rsidP="009D2354">
            <w:pPr>
              <w:pStyle w:val="Normlny0"/>
              <w:rPr>
                <w:b/>
                <w:szCs w:val="22"/>
              </w:rPr>
            </w:pPr>
            <w:r w:rsidRPr="009D2354">
              <w:rPr>
                <w:b/>
                <w:szCs w:val="22"/>
              </w:rPr>
              <w:t>Vkladajú sa tieto články:</w:t>
            </w:r>
          </w:p>
          <w:p w:rsidR="009D2354" w:rsidRPr="009D2354" w:rsidRDefault="009D2354" w:rsidP="009D2354">
            <w:pPr>
              <w:pStyle w:val="Normlny0"/>
              <w:rPr>
                <w:b/>
                <w:szCs w:val="22"/>
              </w:rPr>
            </w:pPr>
          </w:p>
          <w:p w:rsidR="009D2354" w:rsidRDefault="009D2354" w:rsidP="009D2354">
            <w:pPr>
              <w:pStyle w:val="Normlny0"/>
              <w:rPr>
                <w:b/>
                <w:szCs w:val="22"/>
              </w:rPr>
            </w:pPr>
            <w:r w:rsidRPr="009D2354">
              <w:rPr>
                <w:b/>
                <w:szCs w:val="22"/>
              </w:rPr>
              <w:t>Článok 5a</w:t>
            </w:r>
          </w:p>
          <w:p w:rsidR="009D2354" w:rsidRDefault="009D2354" w:rsidP="003D0007">
            <w:pPr>
              <w:pStyle w:val="Normlny0"/>
              <w:rPr>
                <w:b/>
                <w:szCs w:val="22"/>
              </w:rPr>
            </w:pPr>
          </w:p>
          <w:p w:rsidR="003D0007" w:rsidRPr="00607C97" w:rsidRDefault="00D43FF4" w:rsidP="003D0007">
            <w:pPr>
              <w:pStyle w:val="Normlny0"/>
              <w:rPr>
                <w:b/>
                <w:szCs w:val="22"/>
              </w:rPr>
            </w:pPr>
            <w:r w:rsidRPr="00607C97">
              <w:rPr>
                <w:b/>
                <w:szCs w:val="22"/>
              </w:rPr>
              <w:t>Pravidlá výpočtu dosahovania cieľov</w:t>
            </w:r>
          </w:p>
          <w:p w:rsidR="00D43FF4" w:rsidRPr="00607C97" w:rsidRDefault="002F5AFD"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lastRenderedPageBreak/>
              <w:t>1.</w:t>
            </w:r>
            <w:r w:rsidR="00D43FF4" w:rsidRPr="00607C97">
              <w:rPr>
                <w:rFonts w:eastAsiaTheme="minorHAnsi"/>
                <w:color w:val="000000"/>
                <w:sz w:val="20"/>
                <w:szCs w:val="22"/>
                <w:lang w:eastAsia="en-US"/>
              </w:rPr>
              <w:t xml:space="preserve">Na účely výpočtu, či sa dosiahli ciele stanovené v článku 5 ods. 5 a 6 sa: </w:t>
            </w: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a) hmotnosť komunálneho odpadu vzniknutého a ukladaného na skládku vypočíta v danom kalendárnom roku; </w:t>
            </w: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b) hmotnosť odpadu pochádzajúceho zo spracovateľských činností pred recykláciou alebo iným zhodnotením komunálneho odpadu, ako je triedenie alebo mechanické biologické spracovanie, ktorý sa následne ukladá na skládku, zahrnie do hmotnosti komunálneho odpadu, ktorý sa vykazuje ako odpad ukladaný na skládku; </w:t>
            </w: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c) hmotnosť komunálneho odpadu, ktorý vstupuje do spaľovacích zariadení na zneškodňovanie, a hmotnosť odpadu vyprodukovaného činnosťami stabilizácie biologicky rozložiteľného podielu komunálneho odpadu s cieľom následného ukladania na skládku sa vykazuje ako odpad ukladaný na skládku; </w:t>
            </w: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d) hmotnosť odpadu vyprodukovaného počas recyklácie alebo iných činností zhodnocovania komunálneho odpadu, ktorý sa následne ukladá na skládku, sa nezahŕňa do hmotnosti komunálneho odpadu, ktorý sa vykazuje ako odpad ukladaný na skládku. </w:t>
            </w:r>
          </w:p>
          <w:p w:rsidR="00D43FF4" w:rsidRPr="00607C97" w:rsidRDefault="00D43FF4" w:rsidP="00D43FF4">
            <w:pPr>
              <w:adjustRightInd w:val="0"/>
              <w:spacing w:before="60" w:after="60"/>
              <w:rPr>
                <w:rFonts w:eastAsiaTheme="minorHAnsi"/>
                <w:color w:val="000000"/>
                <w:sz w:val="20"/>
                <w:szCs w:val="22"/>
                <w:lang w:eastAsia="en-US"/>
              </w:rPr>
            </w:pP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2. Členské štáty zavedú účinný systém kontroly kvality a </w:t>
            </w:r>
            <w:proofErr w:type="spellStart"/>
            <w:r w:rsidRPr="00607C97">
              <w:rPr>
                <w:rFonts w:eastAsiaTheme="minorHAnsi"/>
                <w:color w:val="000000"/>
                <w:sz w:val="20"/>
                <w:szCs w:val="22"/>
                <w:lang w:eastAsia="en-US"/>
              </w:rPr>
              <w:t>vysledovateľnosti</w:t>
            </w:r>
            <w:proofErr w:type="spellEnd"/>
            <w:r w:rsidRPr="00607C97">
              <w:rPr>
                <w:rFonts w:eastAsiaTheme="minorHAnsi"/>
                <w:color w:val="000000"/>
                <w:sz w:val="20"/>
                <w:szCs w:val="22"/>
                <w:lang w:eastAsia="en-US"/>
              </w:rPr>
              <w:t xml:space="preserve"> komunálneho odpadu ukladaného na skládku v záujme zabezpečenia splnenia podmienok stanovených v odseku 1 tohto článku. Na tento účel môžu použiť systém stanovený v súlade s článkom 11a ods. 3 smernice 2008/98/ES. </w:t>
            </w:r>
          </w:p>
          <w:p w:rsidR="00D43FF4" w:rsidRPr="00607C97" w:rsidRDefault="00D43FF4" w:rsidP="00D43FF4">
            <w:pPr>
              <w:adjustRightInd w:val="0"/>
              <w:spacing w:before="60" w:after="60"/>
              <w:rPr>
                <w:rFonts w:eastAsiaTheme="minorHAnsi"/>
                <w:color w:val="000000"/>
                <w:sz w:val="20"/>
                <w:szCs w:val="22"/>
                <w:lang w:eastAsia="en-US"/>
              </w:rPr>
            </w:pP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3. Ak sa komunálny odpad zasiela do iného členského štátu alebo sa vyváža z Únie na účely ukladania na skládku v súlade s nariadením Európskeho parlamentu a Rady (ES) č. 1013/2006 ( 1 ), započíta tento odpad </w:t>
            </w:r>
            <w:r w:rsidRPr="00607C97">
              <w:rPr>
                <w:rFonts w:eastAsiaTheme="minorHAnsi"/>
                <w:color w:val="000000"/>
                <w:sz w:val="20"/>
                <w:szCs w:val="22"/>
                <w:lang w:eastAsia="en-US"/>
              </w:rPr>
              <w:lastRenderedPageBreak/>
              <w:t xml:space="preserve">do množstva odpadu ukladaného na skládku v súlade s odsekom 1 členský štát, v ktorom sa vyzbieral. </w:t>
            </w:r>
          </w:p>
          <w:p w:rsidR="00D43FF4" w:rsidRPr="00607C97" w:rsidRDefault="00D43FF4" w:rsidP="00D43FF4">
            <w:pPr>
              <w:adjustRightInd w:val="0"/>
              <w:spacing w:before="60" w:after="60"/>
              <w:rPr>
                <w:rFonts w:eastAsiaTheme="minorHAnsi"/>
                <w:color w:val="000000"/>
                <w:sz w:val="20"/>
                <w:szCs w:val="22"/>
                <w:lang w:eastAsia="en-US"/>
              </w:rPr>
            </w:pPr>
          </w:p>
          <w:p w:rsidR="00D43FF4" w:rsidRPr="00607C97" w:rsidRDefault="00D43FF4" w:rsidP="00D43FF4">
            <w:pPr>
              <w:adjustRightInd w:val="0"/>
              <w:spacing w:before="60" w:after="60"/>
              <w:rPr>
                <w:rFonts w:eastAsiaTheme="minorHAnsi"/>
                <w:color w:val="000000"/>
                <w:sz w:val="20"/>
                <w:szCs w:val="22"/>
                <w:lang w:eastAsia="en-US"/>
              </w:rPr>
            </w:pP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4. S cieľom zabezpečiť jednotné podmienky uplatňovania tohto článku Komisia prijme do 31. marca 2019 vykonávacie akty, ktorými sa stanovia pravidlá pre výpočet, overovanie a nahlasovanie údajov. Uvedené vykonávacie akty sa prijmú v súlade s postupom preskúmania uvedeným v článku 17 ods. 2 </w:t>
            </w:r>
          </w:p>
          <w:p w:rsidR="00D43FF4" w:rsidRPr="00607C97" w:rsidRDefault="00D43FF4" w:rsidP="003D0007">
            <w:pPr>
              <w:pStyle w:val="Normlny0"/>
              <w:rPr>
                <w:b/>
                <w:szCs w:val="22"/>
              </w:rPr>
            </w:pPr>
          </w:p>
        </w:tc>
        <w:tc>
          <w:tcPr>
            <w:tcW w:w="1260" w:type="dxa"/>
            <w:gridSpan w:val="2"/>
          </w:tcPr>
          <w:p w:rsidR="003D0007" w:rsidRDefault="003D0007"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Pr="009D2354" w:rsidRDefault="009D2354" w:rsidP="00EC5CA8">
            <w:pPr>
              <w:pStyle w:val="Normlny0"/>
              <w:rPr>
                <w:szCs w:val="22"/>
              </w:rPr>
            </w:pPr>
          </w:p>
          <w:p w:rsidR="00D43FF4" w:rsidRPr="009D2354" w:rsidRDefault="009D2354" w:rsidP="00EC5CA8">
            <w:pPr>
              <w:pStyle w:val="Normlny0"/>
              <w:rPr>
                <w:szCs w:val="22"/>
              </w:rPr>
            </w:pPr>
            <w:proofErr w:type="spellStart"/>
            <w:r w:rsidRPr="009D2354">
              <w:rPr>
                <w:szCs w:val="22"/>
              </w:rPr>
              <w:t>n.a</w:t>
            </w:r>
            <w:proofErr w:type="spellEnd"/>
            <w:r w:rsidRPr="009D2354">
              <w:rPr>
                <w:szCs w:val="22"/>
              </w:rPr>
              <w:t>.</w:t>
            </w:r>
          </w:p>
          <w:p w:rsidR="00D43FF4" w:rsidRPr="009D2354" w:rsidRDefault="00D43FF4" w:rsidP="00EC5CA8">
            <w:pPr>
              <w:pStyle w:val="Normlny0"/>
              <w:rPr>
                <w:szCs w:val="22"/>
              </w:rPr>
            </w:pPr>
          </w:p>
          <w:p w:rsidR="00D43FF4" w:rsidRPr="009D2354" w:rsidRDefault="00D43FF4" w:rsidP="00EC5CA8">
            <w:pPr>
              <w:pStyle w:val="Normlny0"/>
              <w:rPr>
                <w:szCs w:val="22"/>
              </w:rPr>
            </w:pPr>
          </w:p>
          <w:p w:rsidR="00D43FF4" w:rsidRPr="009D2354" w:rsidRDefault="00D43FF4" w:rsidP="00EC5CA8">
            <w:pPr>
              <w:pStyle w:val="Normlny0"/>
              <w:rPr>
                <w:szCs w:val="22"/>
              </w:rPr>
            </w:pPr>
          </w:p>
          <w:p w:rsidR="00D43FF4" w:rsidRDefault="00D43FF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Pr="009D2354" w:rsidRDefault="009D2354" w:rsidP="00EC5CA8">
            <w:pPr>
              <w:pStyle w:val="Normlny0"/>
              <w:rPr>
                <w:szCs w:val="22"/>
              </w:rPr>
            </w:pPr>
          </w:p>
          <w:p w:rsidR="00D43FF4" w:rsidRDefault="00D43FF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Pr="009D2354" w:rsidRDefault="009D2354" w:rsidP="00EC5CA8">
            <w:pPr>
              <w:pStyle w:val="Normlny0"/>
              <w:rPr>
                <w:szCs w:val="22"/>
              </w:rPr>
            </w:pPr>
          </w:p>
          <w:p w:rsidR="009D2354" w:rsidRDefault="009D2354" w:rsidP="00EC5CA8">
            <w:pPr>
              <w:pStyle w:val="Normlny0"/>
              <w:rPr>
                <w:szCs w:val="22"/>
              </w:rPr>
            </w:pPr>
            <w:proofErr w:type="spellStart"/>
            <w:r>
              <w:rPr>
                <w:szCs w:val="22"/>
              </w:rPr>
              <w:t>n.a</w:t>
            </w:r>
            <w:proofErr w:type="spellEnd"/>
            <w:r>
              <w:rPr>
                <w:szCs w:val="22"/>
              </w:rPr>
              <w:t>.</w:t>
            </w: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roofErr w:type="spellStart"/>
            <w:r>
              <w:rPr>
                <w:szCs w:val="22"/>
              </w:rPr>
              <w:t>n.a</w:t>
            </w:r>
            <w:proofErr w:type="spellEnd"/>
            <w:r>
              <w:rPr>
                <w:szCs w:val="22"/>
              </w:rPr>
              <w:t>.</w:t>
            </w: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Pr="009D2354" w:rsidRDefault="009D2354" w:rsidP="00EC5CA8">
            <w:pPr>
              <w:pStyle w:val="Normlny0"/>
              <w:rPr>
                <w:szCs w:val="22"/>
              </w:rPr>
            </w:pPr>
            <w:proofErr w:type="spellStart"/>
            <w:r>
              <w:rPr>
                <w:szCs w:val="22"/>
              </w:rPr>
              <w:t>n.a</w:t>
            </w:r>
            <w:proofErr w:type="spellEnd"/>
            <w:r>
              <w:rPr>
                <w:szCs w:val="22"/>
              </w:rPr>
              <w:t>.</w:t>
            </w:r>
          </w:p>
          <w:p w:rsidR="00D43FF4" w:rsidRPr="00607C97" w:rsidRDefault="00D43FF4" w:rsidP="00EC5CA8">
            <w:pPr>
              <w:pStyle w:val="Normlny0"/>
              <w:rPr>
                <w:szCs w:val="22"/>
              </w:rPr>
            </w:pPr>
          </w:p>
        </w:tc>
        <w:tc>
          <w:tcPr>
            <w:tcW w:w="1260" w:type="dxa"/>
          </w:tcPr>
          <w:p w:rsidR="003D0007" w:rsidRPr="00607C97" w:rsidRDefault="003D0007" w:rsidP="00EC5CA8">
            <w:pPr>
              <w:pStyle w:val="Normlny0"/>
              <w:rPr>
                <w:color w:val="FF0000"/>
                <w:szCs w:val="22"/>
              </w:rPr>
            </w:pPr>
          </w:p>
        </w:tc>
        <w:tc>
          <w:tcPr>
            <w:tcW w:w="1260" w:type="dxa"/>
            <w:gridSpan w:val="2"/>
          </w:tcPr>
          <w:p w:rsidR="003D0007" w:rsidRPr="00607C97" w:rsidRDefault="003D0007" w:rsidP="002A554C">
            <w:pPr>
              <w:rPr>
                <w:sz w:val="20"/>
                <w:szCs w:val="22"/>
              </w:rPr>
            </w:pPr>
          </w:p>
        </w:tc>
        <w:tc>
          <w:tcPr>
            <w:tcW w:w="4500" w:type="dxa"/>
          </w:tcPr>
          <w:p w:rsidR="003D0007" w:rsidRPr="00607C97" w:rsidRDefault="003D0007" w:rsidP="002A554C">
            <w:pPr>
              <w:pStyle w:val="Odsekzoznamu"/>
              <w:autoSpaceDE/>
              <w:autoSpaceDN/>
              <w:ind w:left="-14"/>
              <w:contextualSpacing/>
              <w:rPr>
                <w:sz w:val="20"/>
                <w:szCs w:val="22"/>
              </w:rPr>
            </w:pPr>
          </w:p>
        </w:tc>
        <w:tc>
          <w:tcPr>
            <w:tcW w:w="720" w:type="dxa"/>
          </w:tcPr>
          <w:p w:rsidR="003D0007" w:rsidRDefault="003D0007"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Default="009D2354" w:rsidP="00EC5CA8">
            <w:pPr>
              <w:pStyle w:val="Normlny0"/>
              <w:rPr>
                <w:szCs w:val="22"/>
              </w:rPr>
            </w:pPr>
          </w:p>
          <w:p w:rsidR="009D2354" w:rsidRPr="00607C97" w:rsidRDefault="009D2354" w:rsidP="00EC5CA8">
            <w:pPr>
              <w:pStyle w:val="Normlny0"/>
              <w:rPr>
                <w:szCs w:val="22"/>
              </w:rPr>
            </w:pPr>
          </w:p>
          <w:p w:rsidR="002809E5" w:rsidRPr="00607C97" w:rsidRDefault="009D2354" w:rsidP="00EC5CA8">
            <w:pPr>
              <w:pStyle w:val="Normlny0"/>
              <w:rPr>
                <w:szCs w:val="22"/>
              </w:rPr>
            </w:pPr>
            <w:proofErr w:type="spellStart"/>
            <w:r w:rsidRPr="00607C97">
              <w:rPr>
                <w:szCs w:val="22"/>
              </w:rPr>
              <w:t>n.a</w:t>
            </w:r>
            <w:proofErr w:type="spellEnd"/>
            <w:r w:rsidRPr="00607C97">
              <w:rPr>
                <w:szCs w:val="22"/>
              </w:rPr>
              <w:t>.</w:t>
            </w: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r w:rsidRPr="00607C97">
              <w:rPr>
                <w:szCs w:val="22"/>
              </w:rPr>
              <w:t>n. a</w:t>
            </w: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r w:rsidRPr="00607C97">
              <w:rPr>
                <w:szCs w:val="22"/>
              </w:rPr>
              <w:t>n. a</w:t>
            </w: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2809E5" w:rsidP="00EC5CA8">
            <w:pPr>
              <w:pStyle w:val="Normlny0"/>
              <w:rPr>
                <w:szCs w:val="22"/>
              </w:rPr>
            </w:pPr>
          </w:p>
          <w:p w:rsidR="002809E5" w:rsidRPr="00607C97" w:rsidRDefault="009D2354" w:rsidP="00EC5CA8">
            <w:pPr>
              <w:pStyle w:val="Normlny0"/>
              <w:rPr>
                <w:szCs w:val="22"/>
              </w:rPr>
            </w:pPr>
            <w:r>
              <w:rPr>
                <w:szCs w:val="22"/>
              </w:rPr>
              <w:t>n-a-</w:t>
            </w:r>
          </w:p>
          <w:p w:rsidR="002809E5" w:rsidRPr="00607C97" w:rsidRDefault="002809E5" w:rsidP="00EC5CA8">
            <w:pPr>
              <w:pStyle w:val="Normlny0"/>
              <w:rPr>
                <w:szCs w:val="22"/>
              </w:rPr>
            </w:pPr>
          </w:p>
        </w:tc>
        <w:tc>
          <w:tcPr>
            <w:tcW w:w="1805" w:type="dxa"/>
            <w:gridSpan w:val="2"/>
          </w:tcPr>
          <w:p w:rsidR="009D2354" w:rsidRDefault="009D2354" w:rsidP="00D43FF4">
            <w:pPr>
              <w:pStyle w:val="Normlny0"/>
              <w:rPr>
                <w:bCs/>
                <w:szCs w:val="22"/>
              </w:rPr>
            </w:pPr>
          </w:p>
          <w:p w:rsidR="009D2354" w:rsidRDefault="009D2354" w:rsidP="00D43FF4">
            <w:pPr>
              <w:pStyle w:val="Normlny0"/>
              <w:rPr>
                <w:bCs/>
                <w:szCs w:val="22"/>
              </w:rPr>
            </w:pPr>
          </w:p>
          <w:p w:rsidR="009D2354" w:rsidRDefault="009D2354" w:rsidP="00D43FF4">
            <w:pPr>
              <w:pStyle w:val="Normlny0"/>
              <w:rPr>
                <w:bCs/>
                <w:szCs w:val="22"/>
              </w:rPr>
            </w:pPr>
          </w:p>
          <w:p w:rsidR="009D2354" w:rsidRDefault="009D2354" w:rsidP="00D43FF4">
            <w:pPr>
              <w:pStyle w:val="Normlny0"/>
              <w:rPr>
                <w:bCs/>
                <w:szCs w:val="22"/>
              </w:rPr>
            </w:pPr>
          </w:p>
          <w:p w:rsidR="009D2354" w:rsidRDefault="009D2354" w:rsidP="00D43FF4">
            <w:pPr>
              <w:pStyle w:val="Normlny0"/>
              <w:rPr>
                <w:bCs/>
                <w:szCs w:val="22"/>
              </w:rPr>
            </w:pPr>
          </w:p>
          <w:p w:rsidR="00D43FF4" w:rsidRPr="00607C97" w:rsidRDefault="00D43FF4" w:rsidP="00D43FF4">
            <w:pPr>
              <w:pStyle w:val="Normlny0"/>
              <w:rPr>
                <w:bCs/>
                <w:szCs w:val="22"/>
              </w:rPr>
            </w:pPr>
            <w:r w:rsidRPr="00607C97">
              <w:rPr>
                <w:bCs/>
                <w:szCs w:val="22"/>
              </w:rPr>
              <w:lastRenderedPageBreak/>
              <w:t>V dôvodovej správe  je  zdôvodnený spôsob výpočtu</w:t>
            </w: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r w:rsidRPr="00607C97">
              <w:rPr>
                <w:bCs/>
                <w:szCs w:val="22"/>
              </w:rPr>
              <w:t>Ešte nie je dostupná metodika EÚ</w:t>
            </w: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D43FF4" w:rsidRPr="00607C97" w:rsidRDefault="00D43FF4" w:rsidP="00D43FF4">
            <w:pPr>
              <w:pStyle w:val="Normlny0"/>
              <w:rPr>
                <w:bCs/>
                <w:szCs w:val="22"/>
              </w:rPr>
            </w:pPr>
          </w:p>
          <w:p w:rsidR="003D0007" w:rsidRPr="00607C97" w:rsidRDefault="003D0007" w:rsidP="00987764">
            <w:pPr>
              <w:pStyle w:val="Normlny0"/>
              <w:rPr>
                <w:bCs/>
                <w:szCs w:val="22"/>
              </w:rPr>
            </w:pPr>
          </w:p>
        </w:tc>
      </w:tr>
      <w:tr w:rsidR="00D43FF4" w:rsidRPr="006F6E42" w:rsidTr="002809E5">
        <w:trPr>
          <w:trHeight w:val="1173"/>
          <w:jc w:val="center"/>
        </w:trPr>
        <w:tc>
          <w:tcPr>
            <w:tcW w:w="899" w:type="dxa"/>
          </w:tcPr>
          <w:p w:rsidR="00D43FF4" w:rsidRPr="00607C97" w:rsidRDefault="002F5AFD" w:rsidP="002F5AFD">
            <w:pPr>
              <w:pStyle w:val="Normlny0"/>
              <w:rPr>
                <w:szCs w:val="22"/>
              </w:rPr>
            </w:pPr>
            <w:r w:rsidRPr="00607C97">
              <w:rPr>
                <w:szCs w:val="22"/>
              </w:rPr>
              <w:lastRenderedPageBreak/>
              <w:t>Č l. O5 P 5b</w:t>
            </w:r>
          </w:p>
        </w:tc>
        <w:tc>
          <w:tcPr>
            <w:tcW w:w="4501" w:type="dxa"/>
            <w:gridSpan w:val="2"/>
          </w:tcPr>
          <w:p w:rsidR="00D43FF4" w:rsidRPr="00607C97" w:rsidRDefault="00D43FF4" w:rsidP="003D0007">
            <w:pPr>
              <w:pStyle w:val="Normlny0"/>
              <w:rPr>
                <w:b/>
                <w:szCs w:val="22"/>
              </w:rPr>
            </w:pPr>
            <w:r w:rsidRPr="00607C97">
              <w:rPr>
                <w:b/>
                <w:szCs w:val="22"/>
              </w:rPr>
              <w:t>Správa včasného varovania</w:t>
            </w: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1. Komisia v spolupráci s Európskou environmentálnou agentúrou vypracuje správu o pokroku pri dosahovaní cieľov stanovených v článku 5 ods. 5 a 6, a to najneskôr tri roky pred uplynutím každej lehoty v nich stanovenej. </w:t>
            </w: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2. Správy uvedené v odseku 1 musia obsahovať: </w:t>
            </w: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a) odhad stavu dosahovania cieľov za každý členský štát; </w:t>
            </w: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b) zoznam členských štátov, v prípade ktorých hrozí, že ciele nedosiahnu v príslušných lehotách, ku ktorému sú pripojené vhodné odporúčania pre dané členské štáty; </w:t>
            </w:r>
          </w:p>
          <w:p w:rsidR="00D43FF4" w:rsidRPr="00607C97" w:rsidRDefault="00D43FF4" w:rsidP="00D43FF4">
            <w:pPr>
              <w:adjustRightInd w:val="0"/>
              <w:spacing w:before="60" w:after="60"/>
              <w:rPr>
                <w:rFonts w:eastAsiaTheme="minorHAnsi"/>
                <w:color w:val="000000"/>
                <w:sz w:val="20"/>
                <w:szCs w:val="22"/>
                <w:lang w:eastAsia="en-US"/>
              </w:rPr>
            </w:pPr>
            <w:r w:rsidRPr="00607C97">
              <w:rPr>
                <w:rFonts w:eastAsiaTheme="minorHAnsi"/>
                <w:color w:val="000000"/>
                <w:sz w:val="20"/>
                <w:szCs w:val="22"/>
                <w:lang w:eastAsia="en-US"/>
              </w:rPr>
              <w:t xml:space="preserve">c) príklady najlepších postupov, ktoré sa používajú v celej Únii a ktoré by mohli slúžiť ako usmernenie na zlepšenie dosahovania cieľov. </w:t>
            </w:r>
          </w:p>
          <w:p w:rsidR="00D43FF4" w:rsidRPr="00607C97" w:rsidRDefault="00D43FF4" w:rsidP="003D0007">
            <w:pPr>
              <w:pStyle w:val="Normlny0"/>
              <w:rPr>
                <w:b/>
                <w:szCs w:val="22"/>
              </w:rPr>
            </w:pPr>
          </w:p>
        </w:tc>
        <w:tc>
          <w:tcPr>
            <w:tcW w:w="1260" w:type="dxa"/>
            <w:gridSpan w:val="2"/>
          </w:tcPr>
          <w:p w:rsidR="00D43FF4" w:rsidRPr="00607C97" w:rsidRDefault="00D43FF4" w:rsidP="00EC5CA8">
            <w:pPr>
              <w:pStyle w:val="Normlny0"/>
              <w:rPr>
                <w:szCs w:val="22"/>
              </w:rPr>
            </w:pPr>
            <w:r w:rsidRPr="00607C97">
              <w:rPr>
                <w:szCs w:val="22"/>
              </w:rPr>
              <w:t>n. a</w:t>
            </w:r>
          </w:p>
        </w:tc>
        <w:tc>
          <w:tcPr>
            <w:tcW w:w="1260" w:type="dxa"/>
          </w:tcPr>
          <w:p w:rsidR="00D43FF4" w:rsidRPr="00607C97" w:rsidRDefault="00D43FF4" w:rsidP="00EC5CA8">
            <w:pPr>
              <w:pStyle w:val="Normlny0"/>
              <w:rPr>
                <w:color w:val="FF0000"/>
                <w:szCs w:val="22"/>
              </w:rPr>
            </w:pPr>
          </w:p>
        </w:tc>
        <w:tc>
          <w:tcPr>
            <w:tcW w:w="1260" w:type="dxa"/>
            <w:gridSpan w:val="2"/>
          </w:tcPr>
          <w:p w:rsidR="00D43FF4" w:rsidRPr="00607C97" w:rsidRDefault="00D43FF4" w:rsidP="002A554C">
            <w:pPr>
              <w:rPr>
                <w:sz w:val="20"/>
                <w:szCs w:val="22"/>
              </w:rPr>
            </w:pPr>
          </w:p>
        </w:tc>
        <w:tc>
          <w:tcPr>
            <w:tcW w:w="4500" w:type="dxa"/>
          </w:tcPr>
          <w:p w:rsidR="00D43FF4" w:rsidRPr="00607C97" w:rsidRDefault="00D43FF4" w:rsidP="002A554C">
            <w:pPr>
              <w:pStyle w:val="Odsekzoznamu"/>
              <w:autoSpaceDE/>
              <w:autoSpaceDN/>
              <w:ind w:left="-14"/>
              <w:contextualSpacing/>
              <w:rPr>
                <w:sz w:val="20"/>
                <w:szCs w:val="22"/>
              </w:rPr>
            </w:pPr>
          </w:p>
        </w:tc>
        <w:tc>
          <w:tcPr>
            <w:tcW w:w="720" w:type="dxa"/>
          </w:tcPr>
          <w:p w:rsidR="00D43FF4" w:rsidRPr="00607C97" w:rsidRDefault="002809E5" w:rsidP="00EC5CA8">
            <w:pPr>
              <w:pStyle w:val="Normlny0"/>
              <w:rPr>
                <w:szCs w:val="22"/>
              </w:rPr>
            </w:pPr>
            <w:r w:rsidRPr="00607C97">
              <w:rPr>
                <w:szCs w:val="22"/>
              </w:rPr>
              <w:t>n. a</w:t>
            </w:r>
          </w:p>
        </w:tc>
        <w:tc>
          <w:tcPr>
            <w:tcW w:w="1805" w:type="dxa"/>
            <w:gridSpan w:val="2"/>
          </w:tcPr>
          <w:p w:rsidR="00D43FF4" w:rsidRPr="00284CDC" w:rsidRDefault="00D43FF4" w:rsidP="00D43FF4">
            <w:pPr>
              <w:pStyle w:val="Normlny0"/>
              <w:rPr>
                <w:bCs/>
                <w:sz w:val="22"/>
                <w:szCs w:val="22"/>
              </w:rPr>
            </w:pPr>
          </w:p>
        </w:tc>
      </w:tr>
      <w:tr w:rsidR="00D43FF4" w:rsidRPr="006F6E42" w:rsidTr="002809E5">
        <w:trPr>
          <w:trHeight w:val="1173"/>
          <w:jc w:val="center"/>
        </w:trPr>
        <w:tc>
          <w:tcPr>
            <w:tcW w:w="899" w:type="dxa"/>
          </w:tcPr>
          <w:p w:rsidR="00D43FF4" w:rsidRPr="00607C97" w:rsidRDefault="002F5AFD" w:rsidP="002F5AFD">
            <w:pPr>
              <w:pStyle w:val="Normlny0"/>
              <w:rPr>
                <w:szCs w:val="22"/>
              </w:rPr>
            </w:pPr>
            <w:r w:rsidRPr="00607C97">
              <w:rPr>
                <w:szCs w:val="22"/>
              </w:rPr>
              <w:t>Č l. O5 P 5c</w:t>
            </w:r>
          </w:p>
        </w:tc>
        <w:tc>
          <w:tcPr>
            <w:tcW w:w="4501" w:type="dxa"/>
            <w:gridSpan w:val="2"/>
          </w:tcPr>
          <w:p w:rsidR="00D43FF4" w:rsidRPr="00607C97" w:rsidRDefault="00D43FF4" w:rsidP="00D43FF4">
            <w:pPr>
              <w:pStyle w:val="Normlny0"/>
              <w:rPr>
                <w:rFonts w:eastAsiaTheme="minorHAnsi"/>
                <w:b/>
                <w:bCs/>
                <w:color w:val="000000"/>
                <w:szCs w:val="22"/>
              </w:rPr>
            </w:pPr>
            <w:r w:rsidRPr="00607C97">
              <w:rPr>
                <w:rFonts w:eastAsiaTheme="minorHAnsi"/>
                <w:b/>
                <w:bCs/>
                <w:color w:val="000000"/>
                <w:szCs w:val="22"/>
              </w:rPr>
              <w:t>Výmena informácií a najlepších postupov</w:t>
            </w:r>
          </w:p>
          <w:p w:rsidR="00D43FF4" w:rsidRPr="00607C97" w:rsidRDefault="00D43FF4" w:rsidP="00D43FF4">
            <w:pPr>
              <w:pStyle w:val="Normlny0"/>
              <w:rPr>
                <w:rFonts w:eastAsiaTheme="minorHAnsi"/>
                <w:b/>
                <w:bCs/>
                <w:color w:val="000000"/>
                <w:szCs w:val="22"/>
              </w:rPr>
            </w:pPr>
            <w:r w:rsidRPr="00607C97">
              <w:rPr>
                <w:szCs w:val="22"/>
              </w:rPr>
              <w:t>Komisia organizuje pravidelnú výmenu informácií a najlepších postupov medzi členskými štátmi prípadne aj s regionálnymi a miestnymi orgánmi o praktickom vykonávaní požiadaviek uvedených v tejto smernici</w:t>
            </w:r>
          </w:p>
          <w:p w:rsidR="00D43FF4" w:rsidRPr="00607C97" w:rsidRDefault="00D43FF4" w:rsidP="003D0007">
            <w:pPr>
              <w:pStyle w:val="Normlny0"/>
              <w:rPr>
                <w:b/>
                <w:szCs w:val="22"/>
              </w:rPr>
            </w:pPr>
          </w:p>
        </w:tc>
        <w:tc>
          <w:tcPr>
            <w:tcW w:w="1260" w:type="dxa"/>
            <w:gridSpan w:val="2"/>
          </w:tcPr>
          <w:p w:rsidR="00D43FF4" w:rsidRPr="00607C97" w:rsidRDefault="00D43FF4" w:rsidP="00EC5CA8">
            <w:pPr>
              <w:pStyle w:val="Normlny0"/>
              <w:rPr>
                <w:szCs w:val="22"/>
              </w:rPr>
            </w:pPr>
            <w:r w:rsidRPr="00607C97">
              <w:rPr>
                <w:szCs w:val="22"/>
              </w:rPr>
              <w:t>n. a</w:t>
            </w:r>
          </w:p>
        </w:tc>
        <w:tc>
          <w:tcPr>
            <w:tcW w:w="1260" w:type="dxa"/>
          </w:tcPr>
          <w:p w:rsidR="00D43FF4" w:rsidRPr="00607C97" w:rsidRDefault="00D43FF4" w:rsidP="00EC5CA8">
            <w:pPr>
              <w:pStyle w:val="Normlny0"/>
              <w:rPr>
                <w:color w:val="FF0000"/>
                <w:szCs w:val="22"/>
              </w:rPr>
            </w:pPr>
          </w:p>
        </w:tc>
        <w:tc>
          <w:tcPr>
            <w:tcW w:w="1260" w:type="dxa"/>
            <w:gridSpan w:val="2"/>
          </w:tcPr>
          <w:p w:rsidR="00D43FF4" w:rsidRPr="00607C97" w:rsidRDefault="00D43FF4" w:rsidP="002A554C">
            <w:pPr>
              <w:rPr>
                <w:sz w:val="20"/>
                <w:szCs w:val="22"/>
              </w:rPr>
            </w:pPr>
          </w:p>
        </w:tc>
        <w:tc>
          <w:tcPr>
            <w:tcW w:w="4500" w:type="dxa"/>
          </w:tcPr>
          <w:p w:rsidR="00D43FF4" w:rsidRPr="00607C97" w:rsidRDefault="00D43FF4" w:rsidP="002A554C">
            <w:pPr>
              <w:pStyle w:val="Odsekzoznamu"/>
              <w:autoSpaceDE/>
              <w:autoSpaceDN/>
              <w:ind w:left="-14"/>
              <w:contextualSpacing/>
              <w:rPr>
                <w:sz w:val="20"/>
                <w:szCs w:val="22"/>
              </w:rPr>
            </w:pPr>
          </w:p>
        </w:tc>
        <w:tc>
          <w:tcPr>
            <w:tcW w:w="720" w:type="dxa"/>
          </w:tcPr>
          <w:p w:rsidR="00D43FF4" w:rsidRPr="00607C97" w:rsidRDefault="002809E5" w:rsidP="00EC5CA8">
            <w:pPr>
              <w:pStyle w:val="Normlny0"/>
              <w:rPr>
                <w:szCs w:val="22"/>
              </w:rPr>
            </w:pPr>
            <w:r w:rsidRPr="00607C97">
              <w:rPr>
                <w:szCs w:val="22"/>
              </w:rPr>
              <w:t>n. a</w:t>
            </w:r>
          </w:p>
        </w:tc>
        <w:tc>
          <w:tcPr>
            <w:tcW w:w="1805" w:type="dxa"/>
            <w:gridSpan w:val="2"/>
          </w:tcPr>
          <w:p w:rsidR="00D43FF4" w:rsidRPr="00284CDC" w:rsidRDefault="00D43FF4" w:rsidP="00D43FF4">
            <w:pPr>
              <w:pStyle w:val="Normlny0"/>
              <w:rPr>
                <w:bCs/>
                <w:sz w:val="22"/>
                <w:szCs w:val="22"/>
              </w:rPr>
            </w:pPr>
          </w:p>
        </w:tc>
      </w:tr>
      <w:tr w:rsidR="00D43FF4" w:rsidRPr="006F6E42" w:rsidTr="002809E5">
        <w:trPr>
          <w:trHeight w:val="1173"/>
          <w:jc w:val="center"/>
        </w:trPr>
        <w:tc>
          <w:tcPr>
            <w:tcW w:w="899" w:type="dxa"/>
          </w:tcPr>
          <w:p w:rsidR="00D43FF4" w:rsidRPr="00607C97" w:rsidRDefault="002F5AFD" w:rsidP="002F5AFD">
            <w:pPr>
              <w:pStyle w:val="Normlny0"/>
              <w:rPr>
                <w:szCs w:val="22"/>
              </w:rPr>
            </w:pPr>
            <w:r w:rsidRPr="00607C97">
              <w:rPr>
                <w:szCs w:val="22"/>
              </w:rPr>
              <w:lastRenderedPageBreak/>
              <w:t>Č l. O6</w:t>
            </w:r>
          </w:p>
        </w:tc>
        <w:tc>
          <w:tcPr>
            <w:tcW w:w="4501" w:type="dxa"/>
            <w:gridSpan w:val="2"/>
          </w:tcPr>
          <w:p w:rsidR="002E7ABE" w:rsidRPr="00607C97" w:rsidRDefault="002E7ABE" w:rsidP="00D43FF4">
            <w:pPr>
              <w:pStyle w:val="Normlny0"/>
              <w:rPr>
                <w:szCs w:val="22"/>
              </w:rPr>
            </w:pPr>
            <w:r w:rsidRPr="00776062">
              <w:t>V článku 6 sa v písmene a) dopĺňa táto veta</w:t>
            </w:r>
          </w:p>
          <w:p w:rsidR="00D43FF4" w:rsidRPr="00607C97" w:rsidRDefault="002F5AFD" w:rsidP="00D43FF4">
            <w:pPr>
              <w:pStyle w:val="Normlny0"/>
              <w:rPr>
                <w:szCs w:val="22"/>
              </w:rPr>
            </w:pPr>
            <w:r w:rsidRPr="00607C97">
              <w:rPr>
                <w:szCs w:val="22"/>
              </w:rPr>
              <w:t>6.</w:t>
            </w:r>
            <w:r w:rsidR="00D43FF4" w:rsidRPr="00607C97">
              <w:rPr>
                <w:szCs w:val="22"/>
              </w:rPr>
              <w:t>Členské štáty zabezpečia, aby opatrenia prijaté v súlade s týmto písmenom neohrozili dosahovanie cieľov smernice 2008/98/ES, najmä pokiaľ ide o hierarchiu odpadového hospodárstva a zvýšenie prípravy na opätovné použitie a recyklácie v zmysle článku 11 uvedenej smernice;</w:t>
            </w:r>
          </w:p>
          <w:p w:rsidR="00D43FF4" w:rsidRPr="00607C97" w:rsidRDefault="00D43FF4" w:rsidP="00D43FF4">
            <w:pPr>
              <w:pStyle w:val="Normlny0"/>
              <w:rPr>
                <w:rFonts w:eastAsiaTheme="minorHAnsi"/>
                <w:b/>
                <w:bCs/>
                <w:color w:val="000000"/>
                <w:szCs w:val="22"/>
              </w:rPr>
            </w:pPr>
          </w:p>
        </w:tc>
        <w:tc>
          <w:tcPr>
            <w:tcW w:w="1260" w:type="dxa"/>
            <w:gridSpan w:val="2"/>
          </w:tcPr>
          <w:p w:rsidR="00D43FF4" w:rsidRPr="00607C97" w:rsidRDefault="00D43FF4" w:rsidP="00EC5CA8">
            <w:pPr>
              <w:pStyle w:val="Normlny0"/>
              <w:rPr>
                <w:szCs w:val="22"/>
              </w:rPr>
            </w:pPr>
            <w:r w:rsidRPr="00607C97">
              <w:rPr>
                <w:szCs w:val="22"/>
              </w:rPr>
              <w:t>N</w:t>
            </w:r>
          </w:p>
        </w:tc>
        <w:tc>
          <w:tcPr>
            <w:tcW w:w="1260" w:type="dxa"/>
          </w:tcPr>
          <w:p w:rsidR="00D43FF4" w:rsidRPr="00607C97" w:rsidRDefault="00CF55A3" w:rsidP="00EC5CA8">
            <w:pPr>
              <w:pStyle w:val="Normlny0"/>
              <w:rPr>
                <w:color w:val="FF0000"/>
                <w:szCs w:val="22"/>
              </w:rPr>
            </w:pPr>
            <w:r w:rsidRPr="00607C97">
              <w:rPr>
                <w:szCs w:val="22"/>
              </w:rPr>
              <w:t>Z,</w:t>
            </w:r>
            <w:r w:rsidRPr="00607C97">
              <w:rPr>
                <w:color w:val="FF0000"/>
                <w:szCs w:val="22"/>
              </w:rPr>
              <w:t>NZ</w:t>
            </w:r>
          </w:p>
        </w:tc>
        <w:tc>
          <w:tcPr>
            <w:tcW w:w="1260" w:type="dxa"/>
            <w:gridSpan w:val="2"/>
          </w:tcPr>
          <w:p w:rsidR="00D43FF4" w:rsidRPr="00607C97" w:rsidRDefault="00D43FF4" w:rsidP="002A554C">
            <w:pPr>
              <w:rPr>
                <w:sz w:val="20"/>
                <w:szCs w:val="22"/>
              </w:rPr>
            </w:pPr>
            <w:r w:rsidRPr="00607C97">
              <w:rPr>
                <w:sz w:val="20"/>
                <w:szCs w:val="22"/>
              </w:rPr>
              <w:t>§</w:t>
            </w:r>
            <w:r w:rsidR="002E7ABE">
              <w:rPr>
                <w:sz w:val="20"/>
                <w:szCs w:val="22"/>
              </w:rPr>
              <w:t xml:space="preserve"> 13 </w:t>
            </w:r>
            <w:proofErr w:type="spellStart"/>
            <w:r w:rsidR="002E7ABE">
              <w:rPr>
                <w:sz w:val="20"/>
                <w:szCs w:val="22"/>
              </w:rPr>
              <w:t>Pe</w:t>
            </w:r>
            <w:proofErr w:type="spellEnd"/>
            <w:r w:rsidR="002E7ABE">
              <w:rPr>
                <w:sz w:val="20"/>
                <w:szCs w:val="22"/>
              </w:rPr>
              <w:t>)</w:t>
            </w: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color w:val="FF0000"/>
                <w:sz w:val="20"/>
                <w:szCs w:val="22"/>
              </w:rPr>
            </w:pPr>
          </w:p>
          <w:p w:rsidR="00A71700" w:rsidRPr="00607C97" w:rsidRDefault="00A71700" w:rsidP="002A554C">
            <w:pPr>
              <w:rPr>
                <w:sz w:val="20"/>
                <w:szCs w:val="22"/>
              </w:rPr>
            </w:pPr>
          </w:p>
        </w:tc>
        <w:tc>
          <w:tcPr>
            <w:tcW w:w="4500" w:type="dxa"/>
          </w:tcPr>
          <w:p w:rsidR="002E7ABE" w:rsidRPr="00122D28" w:rsidRDefault="002E7ABE" w:rsidP="002E7ABE">
            <w:pPr>
              <w:jc w:val="both"/>
              <w:rPr>
                <w:sz w:val="20"/>
                <w:szCs w:val="20"/>
              </w:rPr>
            </w:pPr>
            <w:r w:rsidRPr="00776062" w:rsidDel="002E7ABE">
              <w:rPr>
                <w:sz w:val="20"/>
                <w:szCs w:val="22"/>
              </w:rPr>
              <w:lastRenderedPageBreak/>
              <w:t xml:space="preserve"> </w:t>
            </w:r>
            <w:r w:rsidRPr="00122D28">
              <w:rPr>
                <w:sz w:val="20"/>
                <w:szCs w:val="20"/>
              </w:rPr>
              <w:t>Zakazuje sa</w:t>
            </w:r>
          </w:p>
          <w:p w:rsidR="002E7ABE" w:rsidRPr="00122D28" w:rsidRDefault="002E7ABE" w:rsidP="00607C97">
            <w:pPr>
              <w:jc w:val="both"/>
              <w:rPr>
                <w:sz w:val="20"/>
                <w:szCs w:val="20"/>
              </w:rPr>
            </w:pPr>
            <w:r w:rsidRPr="00122D28">
              <w:rPr>
                <w:sz w:val="20"/>
                <w:szCs w:val="20"/>
              </w:rPr>
              <w:t>e) zneškodňovať skládkovaním</w:t>
            </w:r>
          </w:p>
          <w:p w:rsidR="002E7ABE" w:rsidRPr="00122D28" w:rsidRDefault="002E7ABE" w:rsidP="00607C97">
            <w:pPr>
              <w:tabs>
                <w:tab w:val="left" w:pos="454"/>
              </w:tabs>
              <w:jc w:val="both"/>
              <w:rPr>
                <w:sz w:val="20"/>
                <w:szCs w:val="20"/>
              </w:rPr>
            </w:pPr>
            <w:r w:rsidRPr="00122D28">
              <w:rPr>
                <w:sz w:val="20"/>
                <w:szCs w:val="20"/>
              </w:rPr>
              <w:t>1</w:t>
            </w:r>
            <w:r>
              <w:rPr>
                <w:sz w:val="20"/>
                <w:szCs w:val="20"/>
              </w:rPr>
              <w:t xml:space="preserve">. </w:t>
            </w:r>
            <w:r w:rsidRPr="00122D28">
              <w:rPr>
                <w:sz w:val="20"/>
                <w:szCs w:val="20"/>
              </w:rPr>
              <w:t>kvapalné odpady,</w:t>
            </w:r>
          </w:p>
          <w:p w:rsidR="002E7ABE" w:rsidRPr="00122D28" w:rsidRDefault="002E7ABE" w:rsidP="00607C97">
            <w:pPr>
              <w:tabs>
                <w:tab w:val="left" w:pos="454"/>
              </w:tabs>
              <w:jc w:val="both"/>
              <w:rPr>
                <w:sz w:val="20"/>
                <w:szCs w:val="20"/>
              </w:rPr>
            </w:pPr>
            <w:r w:rsidRPr="00122D28">
              <w:rPr>
                <w:sz w:val="20"/>
                <w:szCs w:val="20"/>
              </w:rPr>
              <w:t>2</w:t>
            </w:r>
            <w:r>
              <w:rPr>
                <w:sz w:val="20"/>
                <w:szCs w:val="20"/>
              </w:rPr>
              <w:t xml:space="preserve">. </w:t>
            </w:r>
            <w:r w:rsidRPr="00122D28">
              <w:rPr>
                <w:sz w:val="20"/>
                <w:szCs w:val="20"/>
              </w:rPr>
              <w:t>odpady, ktoré sú v podmienkach skládky výbušné, korozívne, okysličujúce, vysoko horľavé alebo horľavé,</w:t>
            </w:r>
          </w:p>
          <w:p w:rsidR="002E7ABE" w:rsidRPr="00122D28" w:rsidRDefault="002E7ABE" w:rsidP="00607C97">
            <w:pPr>
              <w:tabs>
                <w:tab w:val="left" w:pos="454"/>
              </w:tabs>
              <w:jc w:val="both"/>
              <w:rPr>
                <w:sz w:val="20"/>
                <w:szCs w:val="20"/>
              </w:rPr>
            </w:pPr>
            <w:r w:rsidRPr="00122D28">
              <w:rPr>
                <w:sz w:val="20"/>
                <w:szCs w:val="20"/>
              </w:rPr>
              <w:t>3</w:t>
            </w:r>
            <w:r>
              <w:rPr>
                <w:sz w:val="20"/>
                <w:szCs w:val="20"/>
              </w:rPr>
              <w:t xml:space="preserve">. </w:t>
            </w:r>
            <w:r w:rsidRPr="00122D28">
              <w:rPr>
                <w:sz w:val="20"/>
                <w:szCs w:val="20"/>
              </w:rPr>
              <w:t>odpad zo zdravotnej starostlivosti a veterinárnej starostlivosti, ktorého katalógové číslo pred jeho spracovaním je uvedené v </w:t>
            </w:r>
            <w:hyperlink r:id="rId12" w:anchor="prilohy.priloha-priloha_c_8_k_zakonu_c_79_2015_z_z.oznacenie" w:tooltip="Odkaz na predpis alebo ustanovenie" w:history="1">
              <w:r w:rsidRPr="00122D28">
                <w:rPr>
                  <w:i/>
                  <w:iCs/>
                  <w:sz w:val="20"/>
                  <w:szCs w:val="20"/>
                </w:rPr>
                <w:t>prílohe č. 8</w:t>
              </w:r>
            </w:hyperlink>
            <w:r w:rsidRPr="00122D28">
              <w:rPr>
                <w:sz w:val="20"/>
                <w:szCs w:val="20"/>
              </w:rPr>
              <w:t>; spracovanie takéhoto odpadu a každá následná zmena jeho katalógového čísla nemá vplyv na zákaz jeho skládkovania,</w:t>
            </w:r>
          </w:p>
          <w:p w:rsidR="002E7ABE" w:rsidRPr="00122D28" w:rsidRDefault="002E7ABE" w:rsidP="002E7ABE">
            <w:pPr>
              <w:jc w:val="both"/>
              <w:rPr>
                <w:sz w:val="20"/>
                <w:szCs w:val="20"/>
              </w:rPr>
            </w:pPr>
            <w:r w:rsidRPr="00122D28">
              <w:rPr>
                <w:sz w:val="20"/>
                <w:szCs w:val="20"/>
              </w:rPr>
              <w:t>4</w:t>
            </w:r>
            <w:r>
              <w:rPr>
                <w:sz w:val="20"/>
                <w:szCs w:val="20"/>
              </w:rPr>
              <w:t xml:space="preserve">. </w:t>
            </w:r>
            <w:r w:rsidRPr="00122D28">
              <w:rPr>
                <w:sz w:val="20"/>
                <w:szCs w:val="20"/>
              </w:rPr>
              <w:t>odpadové pneumatiky okrem pneumatík, ktoré sú použité ako konštrukčný materiál pri budovaní skládky, pneumatík z bicyklov a pneumatík s väčším vonkajším priemerom ako 1400 mm,</w:t>
            </w:r>
          </w:p>
          <w:p w:rsidR="002E7ABE" w:rsidRPr="00122D28" w:rsidRDefault="002E7ABE" w:rsidP="002E7ABE">
            <w:pPr>
              <w:jc w:val="both"/>
              <w:rPr>
                <w:sz w:val="20"/>
                <w:szCs w:val="20"/>
              </w:rPr>
            </w:pPr>
            <w:r w:rsidRPr="00122D28">
              <w:rPr>
                <w:sz w:val="20"/>
                <w:szCs w:val="20"/>
              </w:rPr>
              <w:t>5</w:t>
            </w:r>
            <w:r>
              <w:rPr>
                <w:sz w:val="20"/>
                <w:szCs w:val="20"/>
              </w:rPr>
              <w:t xml:space="preserve">. </w:t>
            </w:r>
            <w:r w:rsidRPr="00122D28">
              <w:rPr>
                <w:sz w:val="20"/>
                <w:szCs w:val="20"/>
              </w:rPr>
              <w:t xml:space="preserve">odpady, ktorých obsah </w:t>
            </w:r>
            <w:r w:rsidRPr="00245EDD">
              <w:rPr>
                <w:strike/>
                <w:sz w:val="20"/>
                <w:szCs w:val="20"/>
              </w:rPr>
              <w:t>škodlivých látok</w:t>
            </w:r>
            <w:r w:rsidRPr="00122D28">
              <w:rPr>
                <w:sz w:val="20"/>
                <w:szCs w:val="20"/>
              </w:rPr>
              <w:t xml:space="preserve"> </w:t>
            </w:r>
            <w:r>
              <w:rPr>
                <w:color w:val="FF0000"/>
                <w:sz w:val="20"/>
                <w:szCs w:val="20"/>
              </w:rPr>
              <w:t xml:space="preserve">nebezpečných látok </w:t>
            </w:r>
            <w:r w:rsidRPr="00122D28">
              <w:rPr>
                <w:sz w:val="20"/>
                <w:szCs w:val="20"/>
              </w:rPr>
              <w:t xml:space="preserve">presahuje hraničné hodnoty koncentrácie </w:t>
            </w:r>
            <w:r w:rsidRPr="00245EDD">
              <w:rPr>
                <w:strike/>
                <w:sz w:val="20"/>
                <w:szCs w:val="20"/>
              </w:rPr>
              <w:t>škodlivých látok</w:t>
            </w:r>
            <w:r w:rsidRPr="00245EDD">
              <w:rPr>
                <w:color w:val="FF0000"/>
                <w:sz w:val="20"/>
                <w:szCs w:val="20"/>
              </w:rPr>
              <w:t xml:space="preserve"> </w:t>
            </w:r>
            <w:r>
              <w:rPr>
                <w:color w:val="FF0000"/>
                <w:sz w:val="20"/>
                <w:szCs w:val="20"/>
              </w:rPr>
              <w:t>nebezpečných látok</w:t>
            </w:r>
            <w:r w:rsidRPr="00122D28">
              <w:rPr>
                <w:sz w:val="20"/>
                <w:szCs w:val="20"/>
              </w:rPr>
              <w:t xml:space="preserve"> podľa </w:t>
            </w:r>
            <w:hyperlink r:id="rId13" w:anchor="prilohy.priloha-priloha_c_5_k_zakonu_c_79_2015_z_z.oznacenie" w:tooltip="Odkaz na predpis alebo ustanovenie" w:history="1">
              <w:r w:rsidRPr="00122D28">
                <w:rPr>
                  <w:i/>
                  <w:iCs/>
                  <w:sz w:val="20"/>
                  <w:szCs w:val="20"/>
                </w:rPr>
                <w:t>prílohy č. 5</w:t>
              </w:r>
            </w:hyperlink>
            <w:r w:rsidRPr="00122D28">
              <w:rPr>
                <w:sz w:val="20"/>
                <w:szCs w:val="20"/>
              </w:rPr>
              <w:t>,</w:t>
            </w:r>
          </w:p>
          <w:p w:rsidR="002E7ABE" w:rsidRPr="00122D28" w:rsidRDefault="002E7ABE" w:rsidP="002E7ABE">
            <w:pPr>
              <w:jc w:val="both"/>
              <w:rPr>
                <w:sz w:val="20"/>
                <w:szCs w:val="20"/>
              </w:rPr>
            </w:pPr>
            <w:r w:rsidRPr="00122D28">
              <w:rPr>
                <w:sz w:val="20"/>
                <w:szCs w:val="20"/>
              </w:rPr>
              <w:t>6</w:t>
            </w:r>
            <w:r>
              <w:rPr>
                <w:sz w:val="20"/>
                <w:szCs w:val="20"/>
              </w:rPr>
              <w:t xml:space="preserve">. </w:t>
            </w:r>
            <w:r w:rsidRPr="00122D28">
              <w:rPr>
                <w:sz w:val="20"/>
                <w:szCs w:val="20"/>
              </w:rPr>
              <w:t>vytriedený biologicky rozložiteľný kuchynský a reštauračný odpad,</w:t>
            </w:r>
          </w:p>
          <w:p w:rsidR="002E7ABE" w:rsidRPr="00122D28" w:rsidRDefault="002E7ABE" w:rsidP="002E7ABE">
            <w:pPr>
              <w:jc w:val="both"/>
              <w:rPr>
                <w:sz w:val="20"/>
                <w:szCs w:val="20"/>
              </w:rPr>
            </w:pPr>
            <w:r w:rsidRPr="00122D28">
              <w:rPr>
                <w:sz w:val="20"/>
                <w:szCs w:val="20"/>
              </w:rPr>
              <w:t>7</w:t>
            </w:r>
            <w:r>
              <w:rPr>
                <w:sz w:val="20"/>
                <w:szCs w:val="20"/>
              </w:rPr>
              <w:t xml:space="preserve">. </w:t>
            </w:r>
            <w:r w:rsidRPr="00122D28">
              <w:rPr>
                <w:sz w:val="20"/>
                <w:szCs w:val="20"/>
              </w:rPr>
              <w:t xml:space="preserve">vytriedené zložky komunálneho odpadu, na ktoré sa vzťahuje rozšírená zodpovednosť výrobcov, okrem nezhodnotiteľných odpadov po </w:t>
            </w:r>
            <w:proofErr w:type="spellStart"/>
            <w:r w:rsidRPr="00122D28">
              <w:rPr>
                <w:sz w:val="20"/>
                <w:szCs w:val="20"/>
              </w:rPr>
              <w:t>dotriedení</w:t>
            </w:r>
            <w:proofErr w:type="spellEnd"/>
            <w:r w:rsidRPr="00122D28">
              <w:rPr>
                <w:sz w:val="20"/>
                <w:szCs w:val="20"/>
              </w:rPr>
              <w:t>,</w:t>
            </w:r>
          </w:p>
          <w:p w:rsidR="002E7ABE" w:rsidRDefault="002E7ABE" w:rsidP="002E7ABE">
            <w:pPr>
              <w:jc w:val="both"/>
              <w:rPr>
                <w:sz w:val="20"/>
                <w:szCs w:val="20"/>
              </w:rPr>
            </w:pPr>
            <w:r w:rsidRPr="00122D28">
              <w:rPr>
                <w:sz w:val="20"/>
                <w:szCs w:val="20"/>
              </w:rPr>
              <w:t>8</w:t>
            </w:r>
            <w:r>
              <w:rPr>
                <w:sz w:val="20"/>
                <w:szCs w:val="20"/>
              </w:rPr>
              <w:t xml:space="preserve">. </w:t>
            </w:r>
            <w:r w:rsidRPr="00122D28">
              <w:rPr>
                <w:sz w:val="20"/>
                <w:szCs w:val="20"/>
              </w:rPr>
              <w:t xml:space="preserve">biologicky rozložiteľný odpad zo záhrad a parkov, vrátane biologicky rozložiteľného odpadu z cintorínov, okrem nezhodnotiteľných odpadov po </w:t>
            </w:r>
            <w:proofErr w:type="spellStart"/>
            <w:r w:rsidRPr="00122D28">
              <w:rPr>
                <w:sz w:val="20"/>
                <w:szCs w:val="20"/>
              </w:rPr>
              <w:t>dotriedení</w:t>
            </w:r>
            <w:proofErr w:type="spellEnd"/>
            <w:r w:rsidRPr="00122D28">
              <w:rPr>
                <w:sz w:val="20"/>
                <w:szCs w:val="20"/>
              </w:rPr>
              <w:t>,</w:t>
            </w:r>
          </w:p>
          <w:p w:rsidR="002E7ABE" w:rsidRPr="0028128E" w:rsidRDefault="002E7ABE" w:rsidP="002E7ABE">
            <w:pPr>
              <w:jc w:val="both"/>
              <w:rPr>
                <w:color w:val="FF0000"/>
                <w:sz w:val="20"/>
                <w:szCs w:val="20"/>
              </w:rPr>
            </w:pPr>
            <w:r w:rsidRPr="0028128E">
              <w:rPr>
                <w:color w:val="FF0000"/>
                <w:sz w:val="20"/>
                <w:szCs w:val="20"/>
              </w:rPr>
              <w:t>9. odpad, ktorý neprešiel úpravou, okrem</w:t>
            </w:r>
          </w:p>
          <w:p w:rsidR="002E7ABE" w:rsidRPr="0028128E" w:rsidRDefault="002E7ABE" w:rsidP="002E7ABE">
            <w:pPr>
              <w:tabs>
                <w:tab w:val="left" w:pos="284"/>
              </w:tabs>
              <w:ind w:left="284" w:hanging="284"/>
              <w:jc w:val="both"/>
              <w:rPr>
                <w:color w:val="FF0000"/>
                <w:sz w:val="20"/>
                <w:szCs w:val="20"/>
              </w:rPr>
            </w:pPr>
            <w:r>
              <w:rPr>
                <w:color w:val="FF0000"/>
                <w:sz w:val="20"/>
                <w:szCs w:val="20"/>
              </w:rPr>
              <w:tab/>
              <w:t xml:space="preserve">9.1 </w:t>
            </w:r>
            <w:r w:rsidRPr="0028128E">
              <w:rPr>
                <w:color w:val="FF0000"/>
                <w:sz w:val="20"/>
                <w:szCs w:val="20"/>
              </w:rPr>
              <w:t xml:space="preserve">inertného odpadu, ktorého úprava s cieľom zníženia množstva odpadu alebo jeho nebezpečenstva pre zdravie </w:t>
            </w:r>
            <w:r>
              <w:rPr>
                <w:color w:val="FF0000"/>
                <w:sz w:val="20"/>
                <w:szCs w:val="20"/>
              </w:rPr>
              <w:t xml:space="preserve">   </w:t>
            </w:r>
            <w:r w:rsidRPr="0028128E">
              <w:rPr>
                <w:color w:val="FF0000"/>
                <w:sz w:val="20"/>
                <w:szCs w:val="20"/>
              </w:rPr>
              <w:t>ľudí alebo pre životné prostredie nie je technicky možná,</w:t>
            </w:r>
          </w:p>
          <w:p w:rsidR="002E7ABE" w:rsidRPr="0028128E" w:rsidRDefault="002E7ABE" w:rsidP="002E7ABE">
            <w:pPr>
              <w:tabs>
                <w:tab w:val="left" w:pos="284"/>
              </w:tabs>
              <w:ind w:left="284" w:hanging="284"/>
              <w:jc w:val="both"/>
              <w:rPr>
                <w:color w:val="FF0000"/>
                <w:sz w:val="20"/>
                <w:szCs w:val="20"/>
              </w:rPr>
            </w:pPr>
            <w:r>
              <w:rPr>
                <w:color w:val="FF0000"/>
                <w:sz w:val="20"/>
                <w:szCs w:val="20"/>
              </w:rPr>
              <w:tab/>
              <w:t xml:space="preserve">9.2 </w:t>
            </w:r>
            <w:r w:rsidRPr="0028128E">
              <w:rPr>
                <w:color w:val="FF0000"/>
                <w:sz w:val="20"/>
                <w:szCs w:val="20"/>
              </w:rPr>
              <w:t xml:space="preserve">odpadu, u ktorého by úprava </w:t>
            </w:r>
            <w:r w:rsidRPr="00CD624B">
              <w:rPr>
                <w:strike/>
                <w:color w:val="FF0000"/>
                <w:sz w:val="20"/>
                <w:szCs w:val="20"/>
              </w:rPr>
              <w:t>neprospela</w:t>
            </w:r>
            <w:r w:rsidRPr="0028128E">
              <w:rPr>
                <w:color w:val="FF0000"/>
                <w:sz w:val="20"/>
                <w:szCs w:val="20"/>
              </w:rPr>
              <w:t xml:space="preserve"> </w:t>
            </w:r>
            <w:r>
              <w:rPr>
                <w:color w:val="FF0000"/>
                <w:sz w:val="20"/>
                <w:szCs w:val="20"/>
              </w:rPr>
              <w:t xml:space="preserve">neviedla </w:t>
            </w:r>
            <w:r w:rsidRPr="0028128E">
              <w:rPr>
                <w:color w:val="FF0000"/>
                <w:sz w:val="20"/>
                <w:szCs w:val="20"/>
              </w:rPr>
              <w:t>k zníženiu množstva odpadu ani nezabránila ohrozeniu zdravia ľudí alebo ohrozeniu životného prostredia,</w:t>
            </w:r>
          </w:p>
          <w:p w:rsidR="00F20889" w:rsidRPr="00607C97" w:rsidRDefault="00F20889" w:rsidP="00607C97">
            <w:pPr>
              <w:autoSpaceDE/>
              <w:autoSpaceDN/>
              <w:contextualSpacing/>
              <w:rPr>
                <w:color w:val="FF0000"/>
                <w:sz w:val="20"/>
                <w:szCs w:val="22"/>
              </w:rPr>
            </w:pPr>
          </w:p>
          <w:p w:rsidR="00F20889" w:rsidRPr="00607C97" w:rsidRDefault="00F20889" w:rsidP="00F20889">
            <w:pPr>
              <w:autoSpaceDE/>
              <w:autoSpaceDN/>
              <w:contextualSpacing/>
              <w:rPr>
                <w:sz w:val="20"/>
                <w:szCs w:val="22"/>
              </w:rPr>
            </w:pPr>
          </w:p>
        </w:tc>
        <w:tc>
          <w:tcPr>
            <w:tcW w:w="720" w:type="dxa"/>
          </w:tcPr>
          <w:p w:rsidR="00D43FF4" w:rsidRPr="00607C97" w:rsidRDefault="00D43FF4" w:rsidP="00EC5CA8">
            <w:pPr>
              <w:pStyle w:val="Normlny0"/>
              <w:rPr>
                <w:szCs w:val="22"/>
              </w:rPr>
            </w:pPr>
            <w:r w:rsidRPr="00607C97">
              <w:rPr>
                <w:szCs w:val="22"/>
              </w:rPr>
              <w:t>Ú</w:t>
            </w:r>
          </w:p>
        </w:tc>
        <w:tc>
          <w:tcPr>
            <w:tcW w:w="1805" w:type="dxa"/>
            <w:gridSpan w:val="2"/>
          </w:tcPr>
          <w:p w:rsidR="00D43FF4" w:rsidRPr="00284CDC" w:rsidRDefault="00D43FF4" w:rsidP="00D43FF4">
            <w:pPr>
              <w:pStyle w:val="Normlny0"/>
              <w:rPr>
                <w:bCs/>
                <w:sz w:val="22"/>
                <w:szCs w:val="22"/>
              </w:rPr>
            </w:pPr>
          </w:p>
        </w:tc>
      </w:tr>
      <w:tr w:rsidR="004517E1" w:rsidRPr="006F6E42" w:rsidTr="002809E5">
        <w:trPr>
          <w:trHeight w:val="1173"/>
          <w:jc w:val="center"/>
        </w:trPr>
        <w:tc>
          <w:tcPr>
            <w:tcW w:w="899" w:type="dxa"/>
          </w:tcPr>
          <w:p w:rsidR="004517E1" w:rsidRPr="004517E1" w:rsidRDefault="004517E1" w:rsidP="002F5AFD">
            <w:pPr>
              <w:pStyle w:val="Normlny0"/>
              <w:rPr>
                <w:szCs w:val="22"/>
              </w:rPr>
            </w:pPr>
            <w:r>
              <w:rPr>
                <w:szCs w:val="22"/>
              </w:rPr>
              <w:t>Č1 O7</w:t>
            </w:r>
          </w:p>
        </w:tc>
        <w:tc>
          <w:tcPr>
            <w:tcW w:w="4501"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95"/>
            </w:tblGrid>
            <w:tr w:rsidR="004517E1" w:rsidRPr="004517E1" w:rsidTr="00607C97">
              <w:trPr>
                <w:trHeight w:val="137"/>
                <w:tblCellSpacing w:w="0" w:type="dxa"/>
              </w:trPr>
              <w:tc>
                <w:tcPr>
                  <w:tcW w:w="12" w:type="dxa"/>
                  <w:hideMark/>
                </w:tcPr>
                <w:p w:rsidR="004517E1" w:rsidRPr="00607C97" w:rsidRDefault="004517E1" w:rsidP="004517E1">
                  <w:pPr>
                    <w:autoSpaceDE/>
                    <w:autoSpaceDN/>
                    <w:rPr>
                      <w:sz w:val="20"/>
                      <w:szCs w:val="20"/>
                      <w:highlight w:val="yellow"/>
                    </w:rPr>
                  </w:pPr>
                </w:p>
              </w:tc>
              <w:tc>
                <w:tcPr>
                  <w:tcW w:w="9394" w:type="dxa"/>
                  <w:hideMark/>
                </w:tcPr>
                <w:p w:rsidR="004517E1" w:rsidRPr="00607C97" w:rsidRDefault="004517E1" w:rsidP="004517E1">
                  <w:pPr>
                    <w:autoSpaceDE/>
                    <w:autoSpaceDN/>
                    <w:spacing w:before="100" w:beforeAutospacing="1" w:after="100" w:afterAutospacing="1"/>
                    <w:rPr>
                      <w:sz w:val="20"/>
                      <w:szCs w:val="20"/>
                      <w:highlight w:val="yellow"/>
                    </w:rPr>
                  </w:pPr>
                  <w:r w:rsidRPr="00607C97">
                    <w:rPr>
                      <w:sz w:val="20"/>
                      <w:szCs w:val="20"/>
                    </w:rPr>
                    <w:t xml:space="preserve">V článku 11 ods. 2 sa vypúšťa druhý </w:t>
                  </w:r>
                  <w:proofErr w:type="spellStart"/>
                  <w:r w:rsidRPr="00607C97">
                    <w:rPr>
                      <w:sz w:val="20"/>
                      <w:szCs w:val="20"/>
                    </w:rPr>
                    <w:t>pododsek</w:t>
                  </w:r>
                  <w:proofErr w:type="spellEnd"/>
                  <w:r w:rsidRPr="00607C97">
                    <w:rPr>
                      <w:sz w:val="20"/>
                      <w:szCs w:val="20"/>
                    </w:rPr>
                    <w:t>.</w:t>
                  </w:r>
                </w:p>
              </w:tc>
            </w:tr>
          </w:tbl>
          <w:p w:rsidR="004517E1" w:rsidRPr="004517E1" w:rsidRDefault="004517E1" w:rsidP="00D43FF4">
            <w:pPr>
              <w:pStyle w:val="Normlny0"/>
              <w:rPr>
                <w:szCs w:val="22"/>
                <w:highlight w:val="yellow"/>
              </w:rPr>
            </w:pPr>
          </w:p>
        </w:tc>
        <w:tc>
          <w:tcPr>
            <w:tcW w:w="1260" w:type="dxa"/>
            <w:gridSpan w:val="2"/>
          </w:tcPr>
          <w:p w:rsidR="004517E1" w:rsidRPr="004517E1" w:rsidRDefault="002E7ABE" w:rsidP="00EC5CA8">
            <w:pPr>
              <w:pStyle w:val="Normlny0"/>
              <w:rPr>
                <w:szCs w:val="22"/>
              </w:rPr>
            </w:pPr>
            <w:proofErr w:type="spellStart"/>
            <w:r>
              <w:rPr>
                <w:szCs w:val="22"/>
              </w:rPr>
              <w:t>n.a</w:t>
            </w:r>
            <w:proofErr w:type="spellEnd"/>
          </w:p>
        </w:tc>
        <w:tc>
          <w:tcPr>
            <w:tcW w:w="1260" w:type="dxa"/>
          </w:tcPr>
          <w:p w:rsidR="004517E1" w:rsidRPr="007E43DE" w:rsidRDefault="004517E1" w:rsidP="00EC5CA8">
            <w:pPr>
              <w:pStyle w:val="Normlny0"/>
              <w:rPr>
                <w:szCs w:val="22"/>
              </w:rPr>
            </w:pPr>
          </w:p>
        </w:tc>
        <w:tc>
          <w:tcPr>
            <w:tcW w:w="1260" w:type="dxa"/>
            <w:gridSpan w:val="2"/>
          </w:tcPr>
          <w:p w:rsidR="004517E1" w:rsidRPr="009D2354" w:rsidRDefault="004517E1" w:rsidP="002A554C">
            <w:pPr>
              <w:rPr>
                <w:sz w:val="20"/>
                <w:szCs w:val="22"/>
              </w:rPr>
            </w:pPr>
          </w:p>
        </w:tc>
        <w:tc>
          <w:tcPr>
            <w:tcW w:w="4500" w:type="dxa"/>
          </w:tcPr>
          <w:p w:rsidR="004517E1" w:rsidRPr="009D2354" w:rsidRDefault="004517E1" w:rsidP="00CF55A3">
            <w:pPr>
              <w:autoSpaceDE/>
              <w:autoSpaceDN/>
              <w:contextualSpacing/>
              <w:rPr>
                <w:sz w:val="20"/>
                <w:szCs w:val="22"/>
              </w:rPr>
            </w:pPr>
          </w:p>
        </w:tc>
        <w:tc>
          <w:tcPr>
            <w:tcW w:w="720" w:type="dxa"/>
          </w:tcPr>
          <w:p w:rsidR="004517E1" w:rsidRPr="009D2354" w:rsidRDefault="002E7ABE" w:rsidP="00EC5CA8">
            <w:pPr>
              <w:pStyle w:val="Normlny0"/>
              <w:rPr>
                <w:szCs w:val="22"/>
              </w:rPr>
            </w:pPr>
            <w:proofErr w:type="spellStart"/>
            <w:r>
              <w:rPr>
                <w:szCs w:val="22"/>
              </w:rPr>
              <w:t>n.a</w:t>
            </w:r>
            <w:proofErr w:type="spellEnd"/>
          </w:p>
        </w:tc>
        <w:tc>
          <w:tcPr>
            <w:tcW w:w="1805" w:type="dxa"/>
            <w:gridSpan w:val="2"/>
          </w:tcPr>
          <w:p w:rsidR="004517E1" w:rsidRPr="00284CDC" w:rsidRDefault="004517E1" w:rsidP="00D43FF4">
            <w:pPr>
              <w:pStyle w:val="Normlny0"/>
              <w:rPr>
                <w:bCs/>
                <w:sz w:val="22"/>
                <w:szCs w:val="22"/>
              </w:rPr>
            </w:pPr>
          </w:p>
        </w:tc>
      </w:tr>
      <w:tr w:rsidR="00DC28C9" w:rsidRPr="006F6E42" w:rsidTr="002809E5">
        <w:trPr>
          <w:trHeight w:val="1173"/>
          <w:jc w:val="center"/>
        </w:trPr>
        <w:tc>
          <w:tcPr>
            <w:tcW w:w="899" w:type="dxa"/>
          </w:tcPr>
          <w:p w:rsidR="00DC28C9" w:rsidRDefault="002F5AFD" w:rsidP="004517E1">
            <w:pPr>
              <w:pStyle w:val="Normlny0"/>
              <w:rPr>
                <w:sz w:val="22"/>
                <w:szCs w:val="22"/>
              </w:rPr>
            </w:pPr>
            <w:r>
              <w:rPr>
                <w:sz w:val="22"/>
                <w:szCs w:val="22"/>
              </w:rPr>
              <w:t>Č l.</w:t>
            </w:r>
            <w:r w:rsidRPr="006F6E42">
              <w:rPr>
                <w:sz w:val="22"/>
                <w:szCs w:val="22"/>
              </w:rPr>
              <w:t xml:space="preserve"> </w:t>
            </w:r>
            <w:r>
              <w:rPr>
                <w:sz w:val="22"/>
                <w:szCs w:val="22"/>
              </w:rPr>
              <w:t xml:space="preserve">O8 </w:t>
            </w:r>
          </w:p>
        </w:tc>
        <w:tc>
          <w:tcPr>
            <w:tcW w:w="4501" w:type="dxa"/>
            <w:gridSpan w:val="2"/>
          </w:tcPr>
          <w:p w:rsidR="004517E1" w:rsidRPr="00607C97" w:rsidRDefault="004517E1" w:rsidP="004517E1">
            <w:pPr>
              <w:pStyle w:val="Normlny0"/>
              <w:rPr>
                <w:sz w:val="22"/>
                <w:szCs w:val="22"/>
              </w:rPr>
            </w:pPr>
            <w:r w:rsidRPr="00607C97">
              <w:rPr>
                <w:sz w:val="22"/>
                <w:szCs w:val="22"/>
              </w:rPr>
              <w:t>Článok 15</w:t>
            </w:r>
          </w:p>
          <w:p w:rsidR="004517E1" w:rsidRPr="00607C97" w:rsidRDefault="004517E1" w:rsidP="004517E1">
            <w:pPr>
              <w:pStyle w:val="Normlny0"/>
              <w:rPr>
                <w:sz w:val="22"/>
                <w:szCs w:val="22"/>
              </w:rPr>
            </w:pPr>
          </w:p>
          <w:p w:rsidR="004517E1" w:rsidRPr="00607C97" w:rsidRDefault="004517E1" w:rsidP="004517E1">
            <w:pPr>
              <w:pStyle w:val="Normlny0"/>
              <w:rPr>
                <w:sz w:val="22"/>
                <w:szCs w:val="22"/>
              </w:rPr>
            </w:pPr>
            <w:r w:rsidRPr="00607C97">
              <w:rPr>
                <w:sz w:val="22"/>
                <w:szCs w:val="22"/>
              </w:rPr>
              <w:t>Nahlasovanie</w:t>
            </w:r>
          </w:p>
          <w:p w:rsidR="004517E1" w:rsidRPr="00607C97" w:rsidRDefault="004517E1" w:rsidP="004517E1">
            <w:pPr>
              <w:pStyle w:val="Normlny0"/>
              <w:rPr>
                <w:sz w:val="22"/>
                <w:szCs w:val="22"/>
              </w:rPr>
            </w:pPr>
          </w:p>
          <w:p w:rsidR="004517E1" w:rsidRPr="00607C97" w:rsidRDefault="004517E1" w:rsidP="004517E1">
            <w:pPr>
              <w:pStyle w:val="Normlny0"/>
              <w:rPr>
                <w:sz w:val="22"/>
                <w:szCs w:val="22"/>
              </w:rPr>
            </w:pPr>
            <w:r w:rsidRPr="00607C97">
              <w:rPr>
                <w:sz w:val="22"/>
                <w:szCs w:val="22"/>
              </w:rPr>
              <w:t>1.   Členské štáty nahlasujú Komisii údaje o vykonávaní článku 5 ods. 2, 5 a 6 za každý kalendárny rok.</w:t>
            </w:r>
          </w:p>
          <w:p w:rsidR="004517E1" w:rsidRPr="00607C97" w:rsidRDefault="004517E1" w:rsidP="004517E1">
            <w:pPr>
              <w:pStyle w:val="Normlny0"/>
              <w:rPr>
                <w:sz w:val="22"/>
                <w:szCs w:val="22"/>
              </w:rPr>
            </w:pPr>
          </w:p>
          <w:p w:rsidR="004517E1" w:rsidRPr="00607C97" w:rsidRDefault="004517E1" w:rsidP="004517E1">
            <w:pPr>
              <w:pStyle w:val="Normlny0"/>
              <w:rPr>
                <w:sz w:val="22"/>
                <w:szCs w:val="22"/>
              </w:rPr>
            </w:pPr>
            <w:r w:rsidRPr="00607C97">
              <w:rPr>
                <w:sz w:val="22"/>
                <w:szCs w:val="22"/>
              </w:rPr>
              <w:t>Údaje nahlasujú elektronicky do 18 mesiacov od konca sledovaného roka, za ktorý sa údaje zbierajú. Údaje sa nahlasujú vo formáte stanovenom Komisiou v súlade s odsekom 5 tohto článku.</w:t>
            </w:r>
          </w:p>
          <w:p w:rsidR="004517E1" w:rsidRPr="00607C97" w:rsidRDefault="004517E1" w:rsidP="004517E1">
            <w:pPr>
              <w:pStyle w:val="Normlny0"/>
              <w:rPr>
                <w:sz w:val="22"/>
                <w:szCs w:val="22"/>
              </w:rPr>
            </w:pPr>
          </w:p>
          <w:p w:rsidR="004517E1" w:rsidRPr="00607C97" w:rsidRDefault="004517E1" w:rsidP="004517E1">
            <w:pPr>
              <w:pStyle w:val="Normlny0"/>
              <w:rPr>
                <w:sz w:val="22"/>
                <w:szCs w:val="22"/>
              </w:rPr>
            </w:pPr>
            <w:r w:rsidRPr="00607C97">
              <w:rPr>
                <w:sz w:val="22"/>
                <w:szCs w:val="22"/>
              </w:rPr>
              <w:t>Prvé sledované obdobie o vykonávaní článku 5 ods. 5 a 6 sa začína v prvom celom kalendárnom roku po prijatí vykonávacieho aktu, v ktorom sa stanovuje formát nahlasovania údajov v súlade s odsekom 5 tohto článku, a uvádzajú sa v ňom údaje za uvedené sledované obdobie.</w:t>
            </w:r>
          </w:p>
          <w:p w:rsidR="004517E1" w:rsidRPr="00607C97" w:rsidRDefault="004517E1" w:rsidP="004517E1">
            <w:pPr>
              <w:pStyle w:val="Normlny0"/>
              <w:rPr>
                <w:sz w:val="22"/>
                <w:szCs w:val="22"/>
              </w:rPr>
            </w:pPr>
          </w:p>
          <w:p w:rsidR="004517E1" w:rsidRPr="00607C97" w:rsidRDefault="004517E1" w:rsidP="004517E1">
            <w:pPr>
              <w:pStyle w:val="Normlny0"/>
              <w:rPr>
                <w:sz w:val="22"/>
                <w:szCs w:val="22"/>
              </w:rPr>
            </w:pPr>
            <w:r w:rsidRPr="00607C97">
              <w:rPr>
                <w:sz w:val="22"/>
                <w:szCs w:val="22"/>
              </w:rPr>
              <w:t>2.   Členské štáty nahlasujú údaje o vykonávaní článku 5 ods. 2 do 1. januára 2025.</w:t>
            </w:r>
          </w:p>
          <w:p w:rsidR="004517E1" w:rsidRPr="00607C97" w:rsidRDefault="004517E1" w:rsidP="004517E1">
            <w:pPr>
              <w:pStyle w:val="Normlny0"/>
              <w:rPr>
                <w:sz w:val="22"/>
                <w:szCs w:val="22"/>
              </w:rPr>
            </w:pPr>
          </w:p>
          <w:p w:rsidR="004517E1" w:rsidRPr="00607C97" w:rsidRDefault="004517E1" w:rsidP="004517E1">
            <w:pPr>
              <w:pStyle w:val="Normlny0"/>
              <w:rPr>
                <w:sz w:val="22"/>
                <w:szCs w:val="22"/>
              </w:rPr>
            </w:pPr>
            <w:r w:rsidRPr="00607C97">
              <w:rPr>
                <w:sz w:val="22"/>
                <w:szCs w:val="22"/>
              </w:rPr>
              <w:lastRenderedPageBreak/>
              <w:t>3.   K údajom, ktoré členské štáty nahlasujú v súlade s týmto článkom, sa pripojí správa o kontrole kvality.</w:t>
            </w:r>
          </w:p>
          <w:p w:rsidR="004517E1" w:rsidRPr="00607C97" w:rsidRDefault="004517E1" w:rsidP="004517E1">
            <w:pPr>
              <w:pStyle w:val="Normlny0"/>
              <w:rPr>
                <w:sz w:val="22"/>
                <w:szCs w:val="22"/>
              </w:rPr>
            </w:pPr>
          </w:p>
          <w:p w:rsidR="004517E1" w:rsidRPr="00607C97" w:rsidRDefault="004517E1" w:rsidP="004517E1">
            <w:pPr>
              <w:pStyle w:val="Normlny0"/>
              <w:rPr>
                <w:sz w:val="22"/>
                <w:szCs w:val="22"/>
              </w:rPr>
            </w:pPr>
            <w:r w:rsidRPr="00607C97">
              <w:rPr>
                <w:sz w:val="22"/>
                <w:szCs w:val="22"/>
              </w:rPr>
              <w:t>4.   Komisia preskúma údaje nahlásené v súlade s týmto článkom a uverejní správu o výsledkoch svojho preskúmania. V správe sa posúdi systém zberu údajov, zdroje údajov a metodika použitá v členských štátoch, ako aj úplnosť, spoľahlivosť, včasnosť a konzistentnosť údajov. Posúdenie môže obsahovať aj konkrétne odporúčania na zlepšenie. Správa sa vypracúva po prvom nahlasovaní údajov členskými štátmi a následne každé štyri roky.</w:t>
            </w:r>
          </w:p>
          <w:p w:rsidR="004517E1" w:rsidRPr="00607C97" w:rsidRDefault="004517E1" w:rsidP="004517E1">
            <w:pPr>
              <w:pStyle w:val="Normlny0"/>
              <w:rPr>
                <w:sz w:val="22"/>
                <w:szCs w:val="22"/>
              </w:rPr>
            </w:pPr>
          </w:p>
          <w:p w:rsidR="00237C20" w:rsidRPr="00F169F4" w:rsidRDefault="004517E1" w:rsidP="00237C20">
            <w:pPr>
              <w:pStyle w:val="Normlny0"/>
              <w:rPr>
                <w:b/>
                <w:sz w:val="22"/>
                <w:szCs w:val="22"/>
              </w:rPr>
            </w:pPr>
            <w:r w:rsidRPr="00607C97">
              <w:rPr>
                <w:sz w:val="22"/>
                <w:szCs w:val="22"/>
              </w:rPr>
              <w:t>5.   Komisia prijme do 31. marca 2019 vykonávacie akty, ktorými sa stanoví formát nahlasovania údajov uvedený v odseku 1 tohto článku. Uvedené vykonávacie akty sa prijmú v súlade s postupom preskúmania uvedeným v článku 17 ods. 2“</w:t>
            </w:r>
          </w:p>
        </w:tc>
        <w:tc>
          <w:tcPr>
            <w:tcW w:w="1260" w:type="dxa"/>
            <w:gridSpan w:val="2"/>
          </w:tcPr>
          <w:p w:rsidR="00DC28C9" w:rsidRDefault="00DC28C9" w:rsidP="00DC28C9">
            <w:pPr>
              <w:pStyle w:val="Normlny0"/>
              <w:rPr>
                <w:sz w:val="22"/>
                <w:szCs w:val="22"/>
              </w:rPr>
            </w:pPr>
            <w:r>
              <w:rPr>
                <w:sz w:val="22"/>
                <w:szCs w:val="22"/>
              </w:rPr>
              <w:lastRenderedPageBreak/>
              <w:t>N</w:t>
            </w: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r>
              <w:rPr>
                <w:sz w:val="22"/>
                <w:szCs w:val="22"/>
              </w:rPr>
              <w:t>N</w:t>
            </w: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p w:rsidR="009D1FF1" w:rsidRDefault="009D1FF1" w:rsidP="00DC28C9">
            <w:pPr>
              <w:pStyle w:val="Normlny0"/>
              <w:rPr>
                <w:sz w:val="22"/>
                <w:szCs w:val="22"/>
              </w:rPr>
            </w:pPr>
          </w:p>
        </w:tc>
        <w:tc>
          <w:tcPr>
            <w:tcW w:w="1260" w:type="dxa"/>
          </w:tcPr>
          <w:p w:rsidR="00DC28C9" w:rsidRDefault="00F20889" w:rsidP="00DC28C9">
            <w:pPr>
              <w:pStyle w:val="Normlny0"/>
              <w:rPr>
                <w:sz w:val="22"/>
                <w:szCs w:val="22"/>
              </w:rPr>
            </w:pPr>
            <w:r>
              <w:rPr>
                <w:sz w:val="22"/>
                <w:szCs w:val="22"/>
              </w:rPr>
              <w:t>Z</w:t>
            </w: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DC28C9" w:rsidRDefault="00DC28C9" w:rsidP="00DC28C9">
            <w:pPr>
              <w:pStyle w:val="Normlny0"/>
              <w:rPr>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A20CE3" w:rsidRDefault="00A20CE3" w:rsidP="00DC28C9">
            <w:pPr>
              <w:pStyle w:val="Normlny0"/>
              <w:rPr>
                <w:b/>
                <w:color w:val="FF0000"/>
                <w:sz w:val="22"/>
                <w:szCs w:val="22"/>
              </w:rPr>
            </w:pPr>
          </w:p>
          <w:p w:rsidR="00A20CE3" w:rsidRDefault="00A20CE3"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751361" w:rsidRDefault="00751361"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2B18D3" w:rsidRDefault="002B18D3" w:rsidP="00DC28C9">
            <w:pPr>
              <w:pStyle w:val="Normlny0"/>
              <w:rPr>
                <w:b/>
                <w:color w:val="FF0000"/>
                <w:sz w:val="22"/>
                <w:szCs w:val="22"/>
              </w:rPr>
            </w:pPr>
          </w:p>
          <w:p w:rsidR="009D1FF1" w:rsidRPr="009D1FF1" w:rsidRDefault="009D1FF1" w:rsidP="00DC28C9">
            <w:pPr>
              <w:pStyle w:val="Normlny0"/>
              <w:rPr>
                <w:color w:val="FF0000"/>
                <w:sz w:val="22"/>
                <w:szCs w:val="22"/>
              </w:rPr>
            </w:pPr>
          </w:p>
        </w:tc>
        <w:tc>
          <w:tcPr>
            <w:tcW w:w="1260" w:type="dxa"/>
            <w:gridSpan w:val="2"/>
          </w:tcPr>
          <w:p w:rsidR="00DC28C9" w:rsidRDefault="00DC28C9" w:rsidP="00DC28C9">
            <w:pPr>
              <w:rPr>
                <w:sz w:val="22"/>
                <w:szCs w:val="22"/>
              </w:rPr>
            </w:pPr>
            <w:r>
              <w:rPr>
                <w:sz w:val="22"/>
                <w:szCs w:val="22"/>
              </w:rPr>
              <w:t>§105 O4Pb</w:t>
            </w:r>
          </w:p>
          <w:p w:rsidR="00DC28C9" w:rsidRDefault="00DC28C9" w:rsidP="00DC28C9">
            <w:pPr>
              <w:rPr>
                <w:sz w:val="22"/>
                <w:szCs w:val="22"/>
              </w:rPr>
            </w:pPr>
          </w:p>
          <w:p w:rsidR="00DC28C9" w:rsidRDefault="00DC28C9" w:rsidP="00DC28C9">
            <w:pPr>
              <w:rPr>
                <w:sz w:val="22"/>
                <w:szCs w:val="22"/>
              </w:rPr>
            </w:pPr>
          </w:p>
          <w:p w:rsidR="00DC28C9" w:rsidRDefault="00DC28C9" w:rsidP="00DC28C9">
            <w:pPr>
              <w:rPr>
                <w:sz w:val="22"/>
                <w:szCs w:val="22"/>
              </w:rPr>
            </w:pPr>
          </w:p>
          <w:p w:rsidR="00DC28C9" w:rsidRDefault="00DC28C9" w:rsidP="00DC28C9">
            <w:pPr>
              <w:rPr>
                <w:sz w:val="22"/>
                <w:szCs w:val="22"/>
              </w:rPr>
            </w:pPr>
          </w:p>
          <w:p w:rsidR="00DC28C9" w:rsidRDefault="00DC28C9" w:rsidP="00DC28C9">
            <w:pPr>
              <w:rPr>
                <w:sz w:val="22"/>
                <w:szCs w:val="22"/>
              </w:rPr>
            </w:pPr>
          </w:p>
          <w:p w:rsidR="00DC28C9" w:rsidRDefault="00DC28C9" w:rsidP="00DC28C9">
            <w:pPr>
              <w:rPr>
                <w:sz w:val="22"/>
                <w:szCs w:val="22"/>
              </w:rPr>
            </w:pPr>
          </w:p>
          <w:p w:rsidR="00DC28C9" w:rsidRDefault="00DC28C9" w:rsidP="00DC28C9">
            <w:pPr>
              <w:rPr>
                <w:sz w:val="22"/>
                <w:szCs w:val="22"/>
              </w:rPr>
            </w:pPr>
          </w:p>
          <w:p w:rsidR="00A20CE3" w:rsidRDefault="00A20CE3" w:rsidP="00DC28C9">
            <w:pPr>
              <w:rPr>
                <w:color w:val="FF0000"/>
                <w:sz w:val="22"/>
                <w:szCs w:val="22"/>
              </w:rPr>
            </w:pPr>
          </w:p>
          <w:p w:rsidR="00A20CE3" w:rsidRDefault="00A20CE3" w:rsidP="00DC28C9">
            <w:pPr>
              <w:rPr>
                <w:color w:val="FF0000"/>
                <w:sz w:val="22"/>
                <w:szCs w:val="22"/>
              </w:rPr>
            </w:pPr>
          </w:p>
          <w:p w:rsidR="002B18D3" w:rsidRDefault="002B18D3" w:rsidP="00DC28C9">
            <w:pPr>
              <w:rPr>
                <w:color w:val="FF0000"/>
                <w:sz w:val="22"/>
                <w:szCs w:val="22"/>
              </w:rPr>
            </w:pPr>
          </w:p>
          <w:p w:rsidR="00E7332D" w:rsidRDefault="00E7332D" w:rsidP="00DC28C9">
            <w:pPr>
              <w:rPr>
                <w:color w:val="FF0000"/>
                <w:sz w:val="22"/>
                <w:szCs w:val="22"/>
              </w:rPr>
            </w:pPr>
          </w:p>
          <w:p w:rsidR="00A20CE3" w:rsidRDefault="00A20CE3" w:rsidP="00DC28C9">
            <w:pPr>
              <w:rPr>
                <w:color w:val="FF0000"/>
                <w:sz w:val="22"/>
                <w:szCs w:val="22"/>
              </w:rPr>
            </w:pPr>
          </w:p>
          <w:p w:rsidR="002B18D3" w:rsidRDefault="002B18D3" w:rsidP="00DC28C9">
            <w:pPr>
              <w:rPr>
                <w:color w:val="FF0000"/>
                <w:sz w:val="22"/>
                <w:szCs w:val="22"/>
              </w:rPr>
            </w:pPr>
          </w:p>
          <w:p w:rsidR="002B18D3" w:rsidRDefault="002B18D3" w:rsidP="00DC28C9">
            <w:pPr>
              <w:rPr>
                <w:color w:val="FF0000"/>
                <w:sz w:val="22"/>
                <w:szCs w:val="22"/>
              </w:rPr>
            </w:pPr>
          </w:p>
          <w:p w:rsidR="002B18D3" w:rsidRDefault="002B18D3" w:rsidP="00DC28C9">
            <w:pPr>
              <w:rPr>
                <w:color w:val="FF0000"/>
                <w:sz w:val="22"/>
                <w:szCs w:val="22"/>
              </w:rPr>
            </w:pPr>
          </w:p>
          <w:p w:rsidR="002B18D3" w:rsidRDefault="002B18D3" w:rsidP="00DC28C9">
            <w:pPr>
              <w:rPr>
                <w:color w:val="FF0000"/>
                <w:sz w:val="22"/>
                <w:szCs w:val="22"/>
              </w:rPr>
            </w:pPr>
          </w:p>
          <w:p w:rsidR="002B18D3" w:rsidRDefault="002B18D3" w:rsidP="00DC28C9">
            <w:pPr>
              <w:rPr>
                <w:color w:val="FF0000"/>
                <w:sz w:val="22"/>
                <w:szCs w:val="22"/>
              </w:rPr>
            </w:pPr>
          </w:p>
          <w:p w:rsidR="00E7332D" w:rsidRDefault="00E7332D" w:rsidP="00DC28C9">
            <w:pPr>
              <w:rPr>
                <w:color w:val="FF0000"/>
                <w:sz w:val="22"/>
                <w:szCs w:val="22"/>
              </w:rPr>
            </w:pPr>
          </w:p>
          <w:p w:rsidR="00E7332D" w:rsidRDefault="00E7332D" w:rsidP="00DC28C9">
            <w:pPr>
              <w:rPr>
                <w:color w:val="FF0000"/>
                <w:sz w:val="22"/>
                <w:szCs w:val="22"/>
              </w:rPr>
            </w:pPr>
          </w:p>
          <w:p w:rsidR="00E7332D" w:rsidRDefault="00E7332D" w:rsidP="00DC28C9">
            <w:pPr>
              <w:rPr>
                <w:color w:val="FF0000"/>
                <w:sz w:val="22"/>
                <w:szCs w:val="22"/>
              </w:rPr>
            </w:pPr>
          </w:p>
          <w:p w:rsidR="00E7332D" w:rsidRDefault="00E7332D" w:rsidP="00DC28C9">
            <w:pPr>
              <w:rPr>
                <w:color w:val="FF0000"/>
                <w:sz w:val="22"/>
                <w:szCs w:val="22"/>
              </w:rPr>
            </w:pPr>
          </w:p>
          <w:p w:rsidR="00E7332D" w:rsidRDefault="00E7332D" w:rsidP="00DC28C9">
            <w:pPr>
              <w:rPr>
                <w:color w:val="FF0000"/>
                <w:sz w:val="22"/>
                <w:szCs w:val="22"/>
              </w:rPr>
            </w:pPr>
          </w:p>
          <w:p w:rsidR="00E7332D" w:rsidRDefault="00E7332D" w:rsidP="00E7332D">
            <w:pPr>
              <w:rPr>
                <w:sz w:val="22"/>
                <w:szCs w:val="22"/>
              </w:rPr>
            </w:pPr>
          </w:p>
        </w:tc>
        <w:tc>
          <w:tcPr>
            <w:tcW w:w="4500" w:type="dxa"/>
          </w:tcPr>
          <w:p w:rsidR="00DC28C9" w:rsidRPr="009D1FF1" w:rsidRDefault="00DC28C9" w:rsidP="00DC28C9">
            <w:pPr>
              <w:rPr>
                <w:sz w:val="22"/>
                <w:szCs w:val="22"/>
              </w:rPr>
            </w:pPr>
            <w:r w:rsidRPr="009D1FF1">
              <w:rPr>
                <w:sz w:val="22"/>
                <w:szCs w:val="22"/>
              </w:rPr>
              <w:t xml:space="preserve">(4) </w:t>
            </w:r>
            <w:r w:rsidR="00A20CE3">
              <w:rPr>
                <w:sz w:val="22"/>
                <w:szCs w:val="22"/>
              </w:rPr>
              <w:t xml:space="preserve"> </w:t>
            </w:r>
            <w:r w:rsidRPr="009D1FF1">
              <w:rPr>
                <w:sz w:val="22"/>
                <w:szCs w:val="22"/>
              </w:rPr>
              <w:t>Ministerstvo vo vzťahu k Európskej únii je notifikačným orgánom vo veciach nakladania s odpadmi a oznamuje Európskej komisii najmä</w:t>
            </w:r>
          </w:p>
          <w:p w:rsidR="00DC28C9" w:rsidRPr="009D1FF1" w:rsidRDefault="00DC28C9" w:rsidP="00DC28C9">
            <w:pPr>
              <w:rPr>
                <w:sz w:val="22"/>
                <w:szCs w:val="22"/>
              </w:rPr>
            </w:pPr>
          </w:p>
          <w:p w:rsidR="00DC28C9" w:rsidRPr="009D1FF1" w:rsidRDefault="00DC28C9" w:rsidP="00DC28C9">
            <w:pPr>
              <w:autoSpaceDE/>
              <w:autoSpaceDN/>
              <w:contextualSpacing/>
              <w:rPr>
                <w:sz w:val="22"/>
                <w:szCs w:val="22"/>
              </w:rPr>
            </w:pPr>
            <w:r w:rsidRPr="009D1FF1">
              <w:rPr>
                <w:sz w:val="22"/>
                <w:szCs w:val="22"/>
              </w:rPr>
              <w:t>b ) údaje a správy podľa dotazníka, návodu alebo osnovy Európskej komisie,</w:t>
            </w:r>
          </w:p>
          <w:p w:rsidR="009D1FF1" w:rsidRPr="009D1FF1" w:rsidRDefault="009D1FF1" w:rsidP="00DC28C9">
            <w:pPr>
              <w:autoSpaceDE/>
              <w:autoSpaceDN/>
              <w:contextualSpacing/>
              <w:rPr>
                <w:sz w:val="22"/>
                <w:szCs w:val="22"/>
              </w:rPr>
            </w:pPr>
          </w:p>
          <w:p w:rsidR="002B18D3" w:rsidRDefault="002B18D3" w:rsidP="00DC28C9">
            <w:pPr>
              <w:autoSpaceDE/>
              <w:autoSpaceDN/>
              <w:contextualSpacing/>
              <w:rPr>
                <w:color w:val="FF0000"/>
                <w:sz w:val="22"/>
                <w:szCs w:val="22"/>
              </w:rPr>
            </w:pPr>
          </w:p>
          <w:p w:rsidR="00E7332D" w:rsidRDefault="00E7332D" w:rsidP="00DC28C9">
            <w:pPr>
              <w:autoSpaceDE/>
              <w:autoSpaceDN/>
              <w:contextualSpacing/>
              <w:rPr>
                <w:sz w:val="22"/>
                <w:szCs w:val="22"/>
              </w:rPr>
            </w:pPr>
          </w:p>
          <w:p w:rsidR="00E7332D" w:rsidRDefault="00E7332D" w:rsidP="00DC28C9">
            <w:pPr>
              <w:autoSpaceDE/>
              <w:autoSpaceDN/>
              <w:contextualSpacing/>
              <w:rPr>
                <w:sz w:val="22"/>
                <w:szCs w:val="22"/>
              </w:rPr>
            </w:pPr>
          </w:p>
          <w:p w:rsidR="00E7332D" w:rsidRDefault="00E7332D" w:rsidP="00DC28C9">
            <w:pPr>
              <w:autoSpaceDE/>
              <w:autoSpaceDN/>
              <w:contextualSpacing/>
              <w:rPr>
                <w:sz w:val="22"/>
                <w:szCs w:val="22"/>
              </w:rPr>
            </w:pPr>
          </w:p>
          <w:p w:rsidR="00E7332D" w:rsidRPr="00E9178D" w:rsidRDefault="00E7332D" w:rsidP="00E7332D">
            <w:pPr>
              <w:autoSpaceDE/>
              <w:autoSpaceDN/>
              <w:contextualSpacing/>
              <w:rPr>
                <w:sz w:val="22"/>
                <w:szCs w:val="22"/>
              </w:rPr>
            </w:pPr>
          </w:p>
        </w:tc>
        <w:tc>
          <w:tcPr>
            <w:tcW w:w="720" w:type="dxa"/>
          </w:tcPr>
          <w:p w:rsidR="00DC28C9" w:rsidRPr="002809E5" w:rsidRDefault="002809E5" w:rsidP="00DC28C9">
            <w:pPr>
              <w:pStyle w:val="Normlny0"/>
              <w:rPr>
                <w:sz w:val="22"/>
                <w:szCs w:val="22"/>
              </w:rPr>
            </w:pPr>
            <w:r>
              <w:rPr>
                <w:sz w:val="22"/>
                <w:szCs w:val="22"/>
              </w:rPr>
              <w:t>Ú</w:t>
            </w:r>
          </w:p>
        </w:tc>
        <w:tc>
          <w:tcPr>
            <w:tcW w:w="1805" w:type="dxa"/>
            <w:gridSpan w:val="2"/>
          </w:tcPr>
          <w:p w:rsidR="00F20889" w:rsidRPr="00484699" w:rsidRDefault="00F20889" w:rsidP="00F20889">
            <w:pPr>
              <w:pStyle w:val="Normlny0"/>
              <w:rPr>
                <w:bCs/>
                <w:sz w:val="22"/>
                <w:szCs w:val="22"/>
              </w:rPr>
            </w:pPr>
            <w:r>
              <w:rPr>
                <w:bCs/>
                <w:sz w:val="22"/>
                <w:szCs w:val="22"/>
              </w:rPr>
              <w:t xml:space="preserve">MŽP SR má uzatvorenú zmluvu  o </w:t>
            </w:r>
            <w:r w:rsidRPr="00484699">
              <w:rPr>
                <w:bCs/>
                <w:sz w:val="22"/>
                <w:szCs w:val="22"/>
              </w:rPr>
              <w:t>vz</w:t>
            </w:r>
            <w:r>
              <w:rPr>
                <w:bCs/>
                <w:sz w:val="22"/>
                <w:szCs w:val="22"/>
              </w:rPr>
              <w:t>á</w:t>
            </w:r>
            <w:r w:rsidRPr="00484699">
              <w:rPr>
                <w:bCs/>
                <w:sz w:val="22"/>
                <w:szCs w:val="22"/>
              </w:rPr>
              <w:t>jomnej spolupr</w:t>
            </w:r>
            <w:r>
              <w:rPr>
                <w:bCs/>
                <w:sz w:val="22"/>
                <w:szCs w:val="22"/>
              </w:rPr>
              <w:t>á</w:t>
            </w:r>
            <w:r w:rsidRPr="00484699">
              <w:rPr>
                <w:bCs/>
                <w:sz w:val="22"/>
                <w:szCs w:val="22"/>
              </w:rPr>
              <w:t xml:space="preserve">ci v oblasti </w:t>
            </w:r>
            <w:r>
              <w:rPr>
                <w:bCs/>
                <w:sz w:val="22"/>
                <w:szCs w:val="22"/>
              </w:rPr>
              <w:t>š</w:t>
            </w:r>
            <w:r w:rsidRPr="00484699">
              <w:rPr>
                <w:bCs/>
                <w:sz w:val="22"/>
                <w:szCs w:val="22"/>
              </w:rPr>
              <w:t>tatistiky v s</w:t>
            </w:r>
            <w:r>
              <w:rPr>
                <w:bCs/>
                <w:sz w:val="22"/>
                <w:szCs w:val="22"/>
              </w:rPr>
              <w:t>úla</w:t>
            </w:r>
            <w:r w:rsidRPr="00484699">
              <w:rPr>
                <w:bCs/>
                <w:sz w:val="22"/>
                <w:szCs w:val="22"/>
              </w:rPr>
              <w:t>de so z</w:t>
            </w:r>
            <w:r>
              <w:rPr>
                <w:bCs/>
                <w:sz w:val="22"/>
                <w:szCs w:val="22"/>
              </w:rPr>
              <w:t>á</w:t>
            </w:r>
            <w:r w:rsidRPr="00484699">
              <w:rPr>
                <w:bCs/>
                <w:sz w:val="22"/>
                <w:szCs w:val="22"/>
              </w:rPr>
              <w:t>konom</w:t>
            </w:r>
          </w:p>
          <w:p w:rsidR="00A20CE3" w:rsidRDefault="00F20889" w:rsidP="00DC28C9">
            <w:pPr>
              <w:pStyle w:val="Normlny0"/>
              <w:rPr>
                <w:bCs/>
                <w:sz w:val="22"/>
                <w:szCs w:val="22"/>
              </w:rPr>
            </w:pPr>
            <w:r w:rsidRPr="00484699">
              <w:rPr>
                <w:bCs/>
                <w:sz w:val="22"/>
                <w:szCs w:val="22"/>
              </w:rPr>
              <w:t xml:space="preserve">c. 540/2001 Z. z. o </w:t>
            </w:r>
            <w:r>
              <w:rPr>
                <w:bCs/>
                <w:sz w:val="22"/>
                <w:szCs w:val="22"/>
              </w:rPr>
              <w:t>š</w:t>
            </w:r>
            <w:r w:rsidRPr="00484699">
              <w:rPr>
                <w:bCs/>
                <w:sz w:val="22"/>
                <w:szCs w:val="22"/>
              </w:rPr>
              <w:t>t</w:t>
            </w:r>
            <w:r>
              <w:rPr>
                <w:bCs/>
                <w:sz w:val="22"/>
                <w:szCs w:val="22"/>
              </w:rPr>
              <w:t>á</w:t>
            </w:r>
            <w:r w:rsidRPr="00484699">
              <w:rPr>
                <w:bCs/>
                <w:sz w:val="22"/>
                <w:szCs w:val="22"/>
              </w:rPr>
              <w:t xml:space="preserve">tnej </w:t>
            </w:r>
            <w:r>
              <w:rPr>
                <w:bCs/>
                <w:sz w:val="22"/>
                <w:szCs w:val="22"/>
              </w:rPr>
              <w:t>š</w:t>
            </w:r>
            <w:r w:rsidRPr="00484699">
              <w:rPr>
                <w:bCs/>
                <w:sz w:val="22"/>
                <w:szCs w:val="22"/>
              </w:rPr>
              <w:t>tatistike v znen</w:t>
            </w:r>
            <w:r>
              <w:rPr>
                <w:bCs/>
                <w:sz w:val="22"/>
                <w:szCs w:val="22"/>
              </w:rPr>
              <w:t>í</w:t>
            </w:r>
            <w:r w:rsidRPr="00484699">
              <w:rPr>
                <w:bCs/>
                <w:sz w:val="22"/>
                <w:szCs w:val="22"/>
              </w:rPr>
              <w:t xml:space="preserve"> neskor</w:t>
            </w:r>
            <w:r>
              <w:rPr>
                <w:bCs/>
                <w:sz w:val="22"/>
                <w:szCs w:val="22"/>
              </w:rPr>
              <w:t>ší</w:t>
            </w:r>
            <w:r w:rsidRPr="00484699">
              <w:rPr>
                <w:bCs/>
                <w:sz w:val="22"/>
                <w:szCs w:val="22"/>
              </w:rPr>
              <w:t>ch predpisov a nariaden</w:t>
            </w:r>
            <w:r>
              <w:rPr>
                <w:bCs/>
                <w:sz w:val="22"/>
                <w:szCs w:val="22"/>
              </w:rPr>
              <w:t>í</w:t>
            </w:r>
            <w:r w:rsidRPr="00484699">
              <w:rPr>
                <w:bCs/>
                <w:sz w:val="22"/>
                <w:szCs w:val="22"/>
              </w:rPr>
              <w:t>m Eur</w:t>
            </w:r>
            <w:r>
              <w:rPr>
                <w:bCs/>
                <w:sz w:val="22"/>
                <w:szCs w:val="22"/>
              </w:rPr>
              <w:t>ó</w:t>
            </w:r>
            <w:r w:rsidRPr="00484699">
              <w:rPr>
                <w:bCs/>
                <w:sz w:val="22"/>
                <w:szCs w:val="22"/>
              </w:rPr>
              <w:t>psk</w:t>
            </w:r>
            <w:r>
              <w:rPr>
                <w:bCs/>
                <w:sz w:val="22"/>
                <w:szCs w:val="22"/>
              </w:rPr>
              <w:t>e</w:t>
            </w:r>
            <w:r w:rsidRPr="00484699">
              <w:rPr>
                <w:bCs/>
                <w:sz w:val="22"/>
                <w:szCs w:val="22"/>
              </w:rPr>
              <w:t>ho parlamentu a rady (ES) 0. 223/2009 z 11. marca 2009 o eur</w:t>
            </w:r>
            <w:r>
              <w:rPr>
                <w:bCs/>
                <w:sz w:val="22"/>
                <w:szCs w:val="22"/>
              </w:rPr>
              <w:t>ó</w:t>
            </w:r>
            <w:r w:rsidRPr="00484699">
              <w:rPr>
                <w:bCs/>
                <w:sz w:val="22"/>
                <w:szCs w:val="22"/>
              </w:rPr>
              <w:t xml:space="preserve">pskej </w:t>
            </w:r>
            <w:r>
              <w:rPr>
                <w:bCs/>
                <w:sz w:val="22"/>
                <w:szCs w:val="22"/>
              </w:rPr>
              <w:t>š</w:t>
            </w:r>
            <w:r w:rsidRPr="00484699">
              <w:rPr>
                <w:bCs/>
                <w:sz w:val="22"/>
                <w:szCs w:val="22"/>
              </w:rPr>
              <w:t xml:space="preserve">tatistike a o </w:t>
            </w:r>
            <w:r>
              <w:rPr>
                <w:bCs/>
                <w:sz w:val="22"/>
                <w:szCs w:val="22"/>
              </w:rPr>
              <w:t>zrušení</w:t>
            </w:r>
            <w:r w:rsidRPr="00484699">
              <w:rPr>
                <w:bCs/>
                <w:sz w:val="22"/>
                <w:szCs w:val="22"/>
              </w:rPr>
              <w:t xml:space="preserve"> nariadenia (ES, </w:t>
            </w:r>
            <w:proofErr w:type="spellStart"/>
            <w:r w:rsidRPr="00484699">
              <w:rPr>
                <w:bCs/>
                <w:sz w:val="22"/>
                <w:szCs w:val="22"/>
              </w:rPr>
              <w:t>Eur</w:t>
            </w:r>
            <w:r>
              <w:rPr>
                <w:bCs/>
                <w:sz w:val="22"/>
                <w:szCs w:val="22"/>
              </w:rPr>
              <w:t>ost</w:t>
            </w:r>
            <w:r w:rsidRPr="00484699">
              <w:rPr>
                <w:bCs/>
                <w:sz w:val="22"/>
                <w:szCs w:val="22"/>
              </w:rPr>
              <w:t>atom</w:t>
            </w:r>
            <w:proofErr w:type="spellEnd"/>
            <w:r w:rsidRPr="00484699">
              <w:rPr>
                <w:bCs/>
                <w:sz w:val="22"/>
                <w:szCs w:val="22"/>
              </w:rPr>
              <w:t>) 0. 1101/2008 o prenose d</w:t>
            </w:r>
            <w:r>
              <w:rPr>
                <w:bCs/>
                <w:sz w:val="22"/>
                <w:szCs w:val="22"/>
              </w:rPr>
              <w:t>ô</w:t>
            </w:r>
            <w:r w:rsidRPr="00484699">
              <w:rPr>
                <w:bCs/>
                <w:sz w:val="22"/>
                <w:szCs w:val="22"/>
              </w:rPr>
              <w:t>vern</w:t>
            </w:r>
            <w:r>
              <w:rPr>
                <w:bCs/>
                <w:sz w:val="22"/>
                <w:szCs w:val="22"/>
              </w:rPr>
              <w:t>ý</w:t>
            </w:r>
            <w:r w:rsidRPr="00484699">
              <w:rPr>
                <w:bCs/>
                <w:sz w:val="22"/>
                <w:szCs w:val="22"/>
              </w:rPr>
              <w:t xml:space="preserve">ch </w:t>
            </w:r>
            <w:r>
              <w:rPr>
                <w:bCs/>
                <w:sz w:val="22"/>
                <w:szCs w:val="22"/>
              </w:rPr>
              <w:t>št</w:t>
            </w:r>
            <w:r w:rsidRPr="00484699">
              <w:rPr>
                <w:bCs/>
                <w:sz w:val="22"/>
                <w:szCs w:val="22"/>
              </w:rPr>
              <w:t>atistic</w:t>
            </w:r>
            <w:r>
              <w:rPr>
                <w:bCs/>
                <w:sz w:val="22"/>
                <w:szCs w:val="22"/>
              </w:rPr>
              <w:t>ký</w:t>
            </w:r>
            <w:r w:rsidRPr="00484699">
              <w:rPr>
                <w:bCs/>
                <w:sz w:val="22"/>
                <w:szCs w:val="22"/>
              </w:rPr>
              <w:t xml:space="preserve">ch </w:t>
            </w:r>
            <w:r>
              <w:rPr>
                <w:bCs/>
                <w:sz w:val="22"/>
                <w:szCs w:val="22"/>
              </w:rPr>
              <w:t>ú</w:t>
            </w:r>
            <w:r w:rsidRPr="00484699">
              <w:rPr>
                <w:bCs/>
                <w:sz w:val="22"/>
                <w:szCs w:val="22"/>
              </w:rPr>
              <w:t xml:space="preserve">dajov </w:t>
            </w:r>
            <w:r>
              <w:rPr>
                <w:bCs/>
                <w:sz w:val="22"/>
                <w:szCs w:val="22"/>
              </w:rPr>
              <w:t>Š</w:t>
            </w:r>
            <w:r w:rsidRPr="00484699">
              <w:rPr>
                <w:bCs/>
                <w:sz w:val="22"/>
                <w:szCs w:val="22"/>
              </w:rPr>
              <w:t xml:space="preserve">tatistickému </w:t>
            </w:r>
            <w:r>
              <w:rPr>
                <w:bCs/>
                <w:sz w:val="22"/>
                <w:szCs w:val="22"/>
              </w:rPr>
              <w:t>ú</w:t>
            </w:r>
            <w:r w:rsidRPr="00484699">
              <w:rPr>
                <w:bCs/>
                <w:sz w:val="22"/>
                <w:szCs w:val="22"/>
              </w:rPr>
              <w:t>radu Eur</w:t>
            </w:r>
            <w:r>
              <w:rPr>
                <w:bCs/>
                <w:sz w:val="22"/>
                <w:szCs w:val="22"/>
              </w:rPr>
              <w:t>ó</w:t>
            </w:r>
            <w:r w:rsidRPr="00484699">
              <w:rPr>
                <w:bCs/>
                <w:sz w:val="22"/>
                <w:szCs w:val="22"/>
              </w:rPr>
              <w:t>pskych spolo</w:t>
            </w:r>
            <w:r>
              <w:rPr>
                <w:bCs/>
                <w:sz w:val="22"/>
                <w:szCs w:val="22"/>
              </w:rPr>
              <w:t>č</w:t>
            </w:r>
            <w:r w:rsidRPr="00484699">
              <w:rPr>
                <w:bCs/>
                <w:sz w:val="22"/>
                <w:szCs w:val="22"/>
              </w:rPr>
              <w:t xml:space="preserve">enstiev, </w:t>
            </w:r>
            <w:r w:rsidRPr="00484699">
              <w:rPr>
                <w:bCs/>
                <w:sz w:val="22"/>
                <w:szCs w:val="22"/>
              </w:rPr>
              <w:lastRenderedPageBreak/>
              <w:t xml:space="preserve">nariadenie Rady (ES) 5. 322/97 o </w:t>
            </w:r>
            <w:r>
              <w:rPr>
                <w:bCs/>
                <w:sz w:val="22"/>
                <w:szCs w:val="22"/>
              </w:rPr>
              <w:t>š</w:t>
            </w:r>
            <w:r w:rsidRPr="00484699">
              <w:rPr>
                <w:bCs/>
                <w:sz w:val="22"/>
                <w:szCs w:val="22"/>
              </w:rPr>
              <w:t>tatistike Spolo</w:t>
            </w:r>
            <w:r>
              <w:rPr>
                <w:bCs/>
                <w:sz w:val="22"/>
                <w:szCs w:val="22"/>
              </w:rPr>
              <w:t>č</w:t>
            </w:r>
            <w:r w:rsidRPr="00484699">
              <w:rPr>
                <w:bCs/>
                <w:sz w:val="22"/>
                <w:szCs w:val="22"/>
              </w:rPr>
              <w:t>ens</w:t>
            </w:r>
            <w:r>
              <w:rPr>
                <w:bCs/>
                <w:sz w:val="22"/>
                <w:szCs w:val="22"/>
              </w:rPr>
              <w:t>tv</w:t>
            </w:r>
            <w:r w:rsidRPr="00484699">
              <w:rPr>
                <w:bCs/>
                <w:sz w:val="22"/>
                <w:szCs w:val="22"/>
              </w:rPr>
              <w:t xml:space="preserve">a a rozhodnutia Rady 89/382/EHS, </w:t>
            </w:r>
            <w:proofErr w:type="spellStart"/>
            <w:r w:rsidRPr="00484699">
              <w:rPr>
                <w:bCs/>
                <w:sz w:val="22"/>
                <w:szCs w:val="22"/>
              </w:rPr>
              <w:t>Eur</w:t>
            </w:r>
            <w:r>
              <w:rPr>
                <w:bCs/>
                <w:sz w:val="22"/>
                <w:szCs w:val="22"/>
              </w:rPr>
              <w:t>os</w:t>
            </w:r>
            <w:r w:rsidRPr="00484699">
              <w:rPr>
                <w:bCs/>
                <w:sz w:val="22"/>
                <w:szCs w:val="22"/>
              </w:rPr>
              <w:t>atom</w:t>
            </w:r>
            <w:proofErr w:type="spellEnd"/>
            <w:r w:rsidRPr="00484699">
              <w:rPr>
                <w:bCs/>
                <w:sz w:val="22"/>
                <w:szCs w:val="22"/>
              </w:rPr>
              <w:t xml:space="preserve"> o zalo</w:t>
            </w:r>
            <w:r>
              <w:rPr>
                <w:bCs/>
                <w:sz w:val="22"/>
                <w:szCs w:val="22"/>
              </w:rPr>
              <w:t>ž</w:t>
            </w:r>
            <w:r w:rsidRPr="00484699">
              <w:rPr>
                <w:bCs/>
                <w:sz w:val="22"/>
                <w:szCs w:val="22"/>
              </w:rPr>
              <w:t>en</w:t>
            </w:r>
            <w:r>
              <w:rPr>
                <w:bCs/>
                <w:sz w:val="22"/>
                <w:szCs w:val="22"/>
              </w:rPr>
              <w:t>í</w:t>
            </w:r>
            <w:r w:rsidRPr="00484699">
              <w:rPr>
                <w:bCs/>
                <w:sz w:val="22"/>
                <w:szCs w:val="22"/>
              </w:rPr>
              <w:t xml:space="preserve"> V</w:t>
            </w:r>
            <w:r>
              <w:rPr>
                <w:bCs/>
                <w:sz w:val="22"/>
                <w:szCs w:val="22"/>
              </w:rPr>
              <w:t>ý</w:t>
            </w:r>
            <w:r w:rsidRPr="00484699">
              <w:rPr>
                <w:bCs/>
                <w:sz w:val="22"/>
                <w:szCs w:val="22"/>
              </w:rPr>
              <w:t>boru pre ”</w:t>
            </w:r>
            <w:r>
              <w:rPr>
                <w:bCs/>
                <w:sz w:val="22"/>
                <w:szCs w:val="22"/>
              </w:rPr>
              <w:t>š</w:t>
            </w:r>
            <w:r w:rsidRPr="00484699">
              <w:rPr>
                <w:bCs/>
                <w:sz w:val="22"/>
                <w:szCs w:val="22"/>
              </w:rPr>
              <w:t>tatistické programy Eur</w:t>
            </w:r>
            <w:r>
              <w:rPr>
                <w:bCs/>
                <w:sz w:val="22"/>
                <w:szCs w:val="22"/>
              </w:rPr>
              <w:t>ó</w:t>
            </w:r>
            <w:r w:rsidRPr="00484699">
              <w:rPr>
                <w:bCs/>
                <w:sz w:val="22"/>
                <w:szCs w:val="22"/>
              </w:rPr>
              <w:t>pskych spolo</w:t>
            </w:r>
            <w:r>
              <w:rPr>
                <w:bCs/>
                <w:sz w:val="22"/>
                <w:szCs w:val="22"/>
              </w:rPr>
              <w:t>č</w:t>
            </w:r>
            <w:r w:rsidRPr="00484699">
              <w:rPr>
                <w:bCs/>
                <w:sz w:val="22"/>
                <w:szCs w:val="22"/>
              </w:rPr>
              <w:t>enstiev</w:t>
            </w:r>
          </w:p>
          <w:p w:rsidR="00A20CE3" w:rsidRDefault="00A20CE3" w:rsidP="00DC28C9">
            <w:pPr>
              <w:pStyle w:val="Normlny0"/>
              <w:rPr>
                <w:bCs/>
                <w:sz w:val="22"/>
                <w:szCs w:val="22"/>
              </w:rPr>
            </w:pPr>
          </w:p>
          <w:p w:rsidR="008842C9" w:rsidRDefault="008842C9" w:rsidP="00DC28C9">
            <w:pPr>
              <w:pStyle w:val="Normlny0"/>
              <w:rPr>
                <w:bCs/>
                <w:sz w:val="22"/>
                <w:szCs w:val="22"/>
              </w:rPr>
            </w:pPr>
          </w:p>
          <w:p w:rsidR="008842C9" w:rsidRDefault="008842C9" w:rsidP="00DC28C9">
            <w:pPr>
              <w:pStyle w:val="Normlny0"/>
              <w:rPr>
                <w:bCs/>
                <w:sz w:val="22"/>
                <w:szCs w:val="22"/>
              </w:rPr>
            </w:pPr>
          </w:p>
          <w:p w:rsidR="008842C9" w:rsidRDefault="008842C9" w:rsidP="00DC28C9">
            <w:pPr>
              <w:pStyle w:val="Normlny0"/>
              <w:rPr>
                <w:bCs/>
                <w:sz w:val="22"/>
                <w:szCs w:val="22"/>
              </w:rPr>
            </w:pPr>
          </w:p>
          <w:p w:rsidR="008842C9" w:rsidRDefault="008842C9" w:rsidP="00DC28C9">
            <w:pPr>
              <w:pStyle w:val="Normlny0"/>
              <w:rPr>
                <w:bCs/>
                <w:sz w:val="22"/>
                <w:szCs w:val="22"/>
              </w:rPr>
            </w:pPr>
          </w:p>
          <w:p w:rsidR="00A20CE3" w:rsidRDefault="008842C9" w:rsidP="00237C20">
            <w:pPr>
              <w:pStyle w:val="Normlny0"/>
              <w:rPr>
                <w:sz w:val="22"/>
                <w:szCs w:val="22"/>
              </w:rPr>
            </w:pPr>
            <w:r>
              <w:rPr>
                <w:sz w:val="22"/>
                <w:szCs w:val="22"/>
              </w:rPr>
              <w:t xml:space="preserve">Po prijatí vykonávacie aktu komisiou budú stanovené  formáty Komisiou </w:t>
            </w:r>
            <w:r w:rsidRPr="00D45692">
              <w:rPr>
                <w:sz w:val="22"/>
                <w:szCs w:val="22"/>
              </w:rPr>
              <w:t>v súlade s odsekom 5 článku</w:t>
            </w:r>
            <w:r>
              <w:rPr>
                <w:sz w:val="22"/>
                <w:szCs w:val="22"/>
              </w:rPr>
              <w:t xml:space="preserve"> smernice EU 2018/850</w:t>
            </w:r>
          </w:p>
          <w:p w:rsidR="007E43DE" w:rsidRPr="00284CDC" w:rsidRDefault="007E43DE" w:rsidP="00237C20">
            <w:pPr>
              <w:pStyle w:val="Normlny0"/>
              <w:rPr>
                <w:bCs/>
                <w:sz w:val="22"/>
                <w:szCs w:val="22"/>
              </w:rPr>
            </w:pPr>
          </w:p>
        </w:tc>
      </w:tr>
      <w:tr w:rsidR="00F169F4" w:rsidRPr="006F6E42" w:rsidTr="002809E5">
        <w:trPr>
          <w:trHeight w:val="1173"/>
          <w:jc w:val="center"/>
        </w:trPr>
        <w:tc>
          <w:tcPr>
            <w:tcW w:w="899" w:type="dxa"/>
          </w:tcPr>
          <w:p w:rsidR="00F169F4" w:rsidRPr="00607C97" w:rsidRDefault="002F5AFD" w:rsidP="002F5AFD">
            <w:pPr>
              <w:pStyle w:val="Normlny0"/>
              <w:rPr>
                <w:szCs w:val="22"/>
              </w:rPr>
            </w:pPr>
            <w:r w:rsidRPr="00607C97">
              <w:rPr>
                <w:szCs w:val="22"/>
              </w:rPr>
              <w:lastRenderedPageBreak/>
              <w:t xml:space="preserve">Č l. O9 </w:t>
            </w:r>
          </w:p>
        </w:tc>
        <w:tc>
          <w:tcPr>
            <w:tcW w:w="4501" w:type="dxa"/>
            <w:gridSpan w:val="2"/>
          </w:tcPr>
          <w:p w:rsidR="007E43DE" w:rsidRPr="00607C97" w:rsidRDefault="007E43DE" w:rsidP="007E43DE">
            <w:pPr>
              <w:pStyle w:val="Normlny1"/>
              <w:rPr>
                <w:sz w:val="20"/>
              </w:rPr>
            </w:pPr>
            <w:r w:rsidRPr="00607C97">
              <w:rPr>
                <w:sz w:val="20"/>
              </w:rPr>
              <w:t>Vkladajú sa tieto články:</w:t>
            </w:r>
          </w:p>
          <w:p w:rsidR="007E43DE" w:rsidRPr="00607C97" w:rsidRDefault="007E43DE" w:rsidP="00607C97">
            <w:pPr>
              <w:pStyle w:val="ti-art"/>
            </w:pPr>
            <w:r w:rsidRPr="00607C97">
              <w:rPr>
                <w:sz w:val="20"/>
              </w:rPr>
              <w:t>Článok 15a</w:t>
            </w:r>
          </w:p>
          <w:p w:rsidR="00F169F4" w:rsidRPr="00607C97" w:rsidRDefault="00F169F4" w:rsidP="00F169F4">
            <w:pPr>
              <w:pStyle w:val="Normlny0"/>
              <w:rPr>
                <w:b/>
                <w:szCs w:val="22"/>
              </w:rPr>
            </w:pPr>
            <w:r w:rsidRPr="00607C97">
              <w:rPr>
                <w:b/>
                <w:szCs w:val="22"/>
              </w:rPr>
              <w:t>Nástroje na podporu prechodu k prehĺbenejšiemu obehovému hospodárstvu</w:t>
            </w:r>
          </w:p>
          <w:p w:rsidR="00F169F4" w:rsidRPr="00607C97" w:rsidRDefault="00F169F4" w:rsidP="00F169F4">
            <w:pPr>
              <w:pStyle w:val="Normlny0"/>
              <w:rPr>
                <w:b/>
                <w:szCs w:val="22"/>
              </w:rPr>
            </w:pPr>
          </w:p>
          <w:p w:rsidR="00F169F4" w:rsidRDefault="00F169F4" w:rsidP="00F169F4">
            <w:pPr>
              <w:pStyle w:val="Normlny0"/>
              <w:rPr>
                <w:b/>
                <w:szCs w:val="22"/>
              </w:rPr>
            </w:pPr>
            <w:r w:rsidRPr="00607C97">
              <w:rPr>
                <w:szCs w:val="22"/>
              </w:rPr>
              <w:t xml:space="preserve">S cieľom prispieť k dosiahnutiu cieľov stanovených v tejto smernici členské štáty využijú hospodárske nástroje a ďalšie opatrenia na stimulovanie </w:t>
            </w:r>
            <w:r w:rsidRPr="00607C97">
              <w:rPr>
                <w:szCs w:val="22"/>
              </w:rPr>
              <w:lastRenderedPageBreak/>
              <w:t xml:space="preserve">uplatňovania hierarchie odpadového hospodárstva. Takéto nástroje a opatrenia môžu zahŕňať nástroje a opatrenia uvedené v prílohe </w:t>
            </w:r>
            <w:proofErr w:type="spellStart"/>
            <w:r w:rsidRPr="00607C97">
              <w:rPr>
                <w:szCs w:val="22"/>
              </w:rPr>
              <w:t>IVa</w:t>
            </w:r>
            <w:proofErr w:type="spellEnd"/>
            <w:r w:rsidRPr="00607C97">
              <w:rPr>
                <w:szCs w:val="22"/>
              </w:rPr>
              <w:t xml:space="preserve"> k smernici 2008/98/ES alebo iné vhodné nástroje a opatrenia</w:t>
            </w:r>
            <w:r w:rsidRPr="00607C97">
              <w:rPr>
                <w:b/>
                <w:szCs w:val="22"/>
              </w:rPr>
              <w:t>.</w:t>
            </w:r>
          </w:p>
          <w:p w:rsidR="007E43DE" w:rsidRDefault="007E43DE"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835D52" w:rsidRDefault="00835D52" w:rsidP="00F169F4">
            <w:pPr>
              <w:pStyle w:val="Normlny0"/>
              <w:rPr>
                <w:b/>
                <w:szCs w:val="22"/>
              </w:rPr>
            </w:pPr>
          </w:p>
          <w:p w:rsidR="007E43DE" w:rsidRPr="00607C97" w:rsidRDefault="007E43DE" w:rsidP="00F169F4">
            <w:pPr>
              <w:pStyle w:val="Normlny0"/>
              <w:rPr>
                <w:szCs w:val="22"/>
              </w:rPr>
            </w:pPr>
            <w:r w:rsidRPr="00607C97">
              <w:rPr>
                <w:szCs w:val="22"/>
              </w:rPr>
              <w:t>Článok 15b</w:t>
            </w:r>
          </w:p>
          <w:p w:rsidR="007E43DE" w:rsidRPr="00F84982" w:rsidRDefault="007E43DE" w:rsidP="007E43DE">
            <w:pPr>
              <w:pStyle w:val="Normlny0"/>
              <w:rPr>
                <w:b/>
                <w:szCs w:val="22"/>
              </w:rPr>
            </w:pPr>
            <w:r w:rsidRPr="00F84982">
              <w:rPr>
                <w:b/>
                <w:szCs w:val="22"/>
              </w:rPr>
              <w:t>Určovanie koeficientu priepustnosti skládok</w:t>
            </w:r>
          </w:p>
          <w:p w:rsidR="007E43DE" w:rsidRDefault="007E43DE" w:rsidP="007E43DE">
            <w:pPr>
              <w:pStyle w:val="Normlny0"/>
              <w:rPr>
                <w:szCs w:val="22"/>
              </w:rPr>
            </w:pPr>
            <w:r w:rsidRPr="00F84982">
              <w:rPr>
                <w:szCs w:val="22"/>
              </w:rPr>
              <w:t>Komisia prijme vykonávacie akty s cieľom stanoviť metódu, ktorá sa má použiť na určovanie koeficientu priepustnosti skládok pre terén a pre celú skládku. Uvedené vykonávacie akty sa prijmú v súlade s postupom preskúmania uvedeným v článku 17 ods. 2.</w:t>
            </w:r>
          </w:p>
          <w:p w:rsidR="006A5AB4" w:rsidRDefault="006A5AB4" w:rsidP="007E43DE">
            <w:pPr>
              <w:pStyle w:val="Normlny0"/>
              <w:rPr>
                <w:szCs w:val="22"/>
              </w:rPr>
            </w:pPr>
          </w:p>
          <w:p w:rsidR="006A5AB4" w:rsidRDefault="006A5AB4" w:rsidP="007E43DE">
            <w:pPr>
              <w:pStyle w:val="Normlny0"/>
              <w:rPr>
                <w:szCs w:val="22"/>
              </w:rPr>
            </w:pPr>
            <w:r>
              <w:rPr>
                <w:szCs w:val="22"/>
              </w:rPr>
              <w:t>Článok 15c</w:t>
            </w:r>
          </w:p>
          <w:p w:rsidR="006A5AB4" w:rsidRPr="00F84982" w:rsidRDefault="006A5AB4" w:rsidP="006A5AB4">
            <w:pPr>
              <w:pStyle w:val="Normlny0"/>
              <w:rPr>
                <w:b/>
                <w:szCs w:val="22"/>
              </w:rPr>
            </w:pPr>
            <w:r w:rsidRPr="00F84982">
              <w:rPr>
                <w:b/>
                <w:szCs w:val="22"/>
              </w:rPr>
              <w:t>Norma Únie pre odber vzoriek odpadu</w:t>
            </w:r>
          </w:p>
          <w:p w:rsidR="006A5AB4" w:rsidRPr="00F84982" w:rsidRDefault="006A5AB4" w:rsidP="006A5AB4">
            <w:pPr>
              <w:pStyle w:val="Normlny0"/>
              <w:rPr>
                <w:szCs w:val="22"/>
              </w:rPr>
            </w:pPr>
            <w:r w:rsidRPr="00F84982">
              <w:rPr>
                <w:szCs w:val="22"/>
              </w:rPr>
              <w:t>Komisia prijme vykonávacie akty s cieľom stanoviť normu pre odber vzoriek odpadu. Uvedené vykonávacie akty sa prijmú v súlade s postupom preskúmania uvedeným v článku 17 ods. 2 Kým nebudú prijaté uvedené vykonávacie akty, členské štáty môžu používať vnútroštátne normy a postupy.</w:t>
            </w:r>
          </w:p>
          <w:p w:rsidR="006A5AB4" w:rsidRDefault="006A5AB4" w:rsidP="007E43DE">
            <w:pPr>
              <w:pStyle w:val="Normlny0"/>
              <w:rPr>
                <w:szCs w:val="22"/>
              </w:rPr>
            </w:pPr>
          </w:p>
          <w:p w:rsidR="007E43DE" w:rsidRDefault="007E43DE" w:rsidP="007E43DE">
            <w:pPr>
              <w:pStyle w:val="Normlny0"/>
              <w:rPr>
                <w:szCs w:val="22"/>
              </w:rPr>
            </w:pPr>
          </w:p>
          <w:p w:rsidR="007E43DE" w:rsidRDefault="007E43DE" w:rsidP="007E43DE">
            <w:pPr>
              <w:pStyle w:val="Normlny0"/>
              <w:rPr>
                <w:b/>
                <w:szCs w:val="22"/>
              </w:rPr>
            </w:pPr>
          </w:p>
          <w:p w:rsidR="007E43DE" w:rsidRDefault="007E43DE" w:rsidP="00F169F4">
            <w:pPr>
              <w:pStyle w:val="Normlny0"/>
              <w:rPr>
                <w:b/>
                <w:szCs w:val="22"/>
              </w:rPr>
            </w:pPr>
          </w:p>
          <w:p w:rsidR="007E43DE" w:rsidRDefault="007E43DE" w:rsidP="00F169F4">
            <w:pPr>
              <w:pStyle w:val="Normlny0"/>
              <w:rPr>
                <w:b/>
                <w:szCs w:val="22"/>
              </w:rPr>
            </w:pPr>
          </w:p>
          <w:p w:rsidR="007E43DE" w:rsidRPr="00607C97" w:rsidRDefault="007E43DE" w:rsidP="00F169F4">
            <w:pPr>
              <w:pStyle w:val="Normlny0"/>
              <w:rPr>
                <w:b/>
                <w:szCs w:val="22"/>
              </w:rPr>
            </w:pPr>
          </w:p>
          <w:p w:rsidR="00F169F4" w:rsidRPr="00607C97" w:rsidRDefault="00F169F4" w:rsidP="00D43FF4">
            <w:pPr>
              <w:pStyle w:val="Normlny0"/>
              <w:rPr>
                <w:b/>
                <w:szCs w:val="22"/>
              </w:rPr>
            </w:pPr>
          </w:p>
        </w:tc>
        <w:tc>
          <w:tcPr>
            <w:tcW w:w="1260" w:type="dxa"/>
            <w:gridSpan w:val="2"/>
          </w:tcPr>
          <w:p w:rsidR="00F169F4" w:rsidRDefault="00F169F4" w:rsidP="00EC5CA8">
            <w:pPr>
              <w:pStyle w:val="Normlny0"/>
              <w:rPr>
                <w:szCs w:val="22"/>
              </w:rPr>
            </w:pPr>
            <w:r w:rsidRPr="00607C97">
              <w:rPr>
                <w:szCs w:val="22"/>
              </w:rPr>
              <w:lastRenderedPageBreak/>
              <w:t>N</w:t>
            </w: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roofErr w:type="spellStart"/>
            <w:r>
              <w:rPr>
                <w:szCs w:val="22"/>
              </w:rPr>
              <w:t>n.a</w:t>
            </w:r>
            <w:proofErr w:type="spellEnd"/>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Pr="00607C97" w:rsidRDefault="00776062" w:rsidP="00EC5CA8">
            <w:pPr>
              <w:pStyle w:val="Normlny0"/>
              <w:rPr>
                <w:szCs w:val="22"/>
              </w:rPr>
            </w:pPr>
            <w:proofErr w:type="spellStart"/>
            <w:r>
              <w:rPr>
                <w:szCs w:val="22"/>
              </w:rPr>
              <w:t>n.a</w:t>
            </w:r>
            <w:proofErr w:type="spellEnd"/>
          </w:p>
        </w:tc>
        <w:tc>
          <w:tcPr>
            <w:tcW w:w="1260" w:type="dxa"/>
          </w:tcPr>
          <w:p w:rsidR="00483F80" w:rsidRPr="00607C97" w:rsidRDefault="00483F80" w:rsidP="00EC5CA8">
            <w:pPr>
              <w:pStyle w:val="Normlny0"/>
              <w:rPr>
                <w:szCs w:val="22"/>
              </w:rPr>
            </w:pPr>
          </w:p>
        </w:tc>
        <w:tc>
          <w:tcPr>
            <w:tcW w:w="1260" w:type="dxa"/>
            <w:gridSpan w:val="2"/>
          </w:tcPr>
          <w:p w:rsidR="004F018B" w:rsidRPr="00607C97" w:rsidRDefault="004F018B" w:rsidP="002A554C">
            <w:pPr>
              <w:rPr>
                <w:color w:val="FF0000"/>
                <w:sz w:val="20"/>
                <w:szCs w:val="22"/>
              </w:rPr>
            </w:pPr>
            <w:r w:rsidRPr="00607C97">
              <w:rPr>
                <w:color w:val="FF0000"/>
                <w:sz w:val="20"/>
                <w:szCs w:val="22"/>
              </w:rPr>
              <w:t>Príloha č. 4a k zákonu č. 79/2015 Z. z</w:t>
            </w:r>
          </w:p>
          <w:p w:rsidR="004F018B" w:rsidRPr="00607C97" w:rsidRDefault="004F018B" w:rsidP="002A554C">
            <w:pPr>
              <w:rPr>
                <w:color w:val="FF0000"/>
                <w:sz w:val="20"/>
                <w:szCs w:val="22"/>
              </w:rPr>
            </w:pPr>
          </w:p>
          <w:p w:rsidR="00F169F4" w:rsidRPr="00607C97" w:rsidRDefault="004F018B" w:rsidP="002A554C">
            <w:pPr>
              <w:rPr>
                <w:sz w:val="20"/>
                <w:szCs w:val="22"/>
              </w:rPr>
            </w:pPr>
            <w:r w:rsidRPr="00607C97">
              <w:rPr>
                <w:color w:val="FF0000"/>
                <w:sz w:val="20"/>
                <w:szCs w:val="22"/>
              </w:rPr>
              <w:t>NB 157</w:t>
            </w:r>
            <w:r w:rsidRPr="00607C97">
              <w:rPr>
                <w:sz w:val="20"/>
                <w:szCs w:val="22"/>
              </w:rPr>
              <w:t xml:space="preserve"> </w:t>
            </w:r>
          </w:p>
          <w:p w:rsidR="00395A26" w:rsidRPr="00607C97" w:rsidRDefault="00395A26" w:rsidP="009E5B50">
            <w:pPr>
              <w:rPr>
                <w:sz w:val="20"/>
                <w:szCs w:val="22"/>
              </w:rPr>
            </w:pPr>
          </w:p>
        </w:tc>
        <w:tc>
          <w:tcPr>
            <w:tcW w:w="4500" w:type="dxa"/>
          </w:tcPr>
          <w:p w:rsidR="004F018B" w:rsidRPr="00607C97" w:rsidRDefault="004F018B" w:rsidP="004F018B">
            <w:pPr>
              <w:autoSpaceDE/>
              <w:autoSpaceDN/>
              <w:contextualSpacing/>
              <w:rPr>
                <w:color w:val="FF0000"/>
                <w:sz w:val="20"/>
                <w:szCs w:val="22"/>
              </w:rPr>
            </w:pPr>
            <w:r w:rsidRPr="00607C97">
              <w:rPr>
                <w:color w:val="FF0000"/>
                <w:sz w:val="20"/>
                <w:szCs w:val="22"/>
              </w:rPr>
              <w:t>PRÍKLADY HOSPODÁRSKYCH NÁSTROJOV A ĎALŠÍCH OPATRENÍ NA POSKYTOVANIE STIMULOV PRE UPLATŇOVANIE HIERARCHIE ODPADOVÉHO HOSPODÁRSTVA</w:t>
            </w:r>
          </w:p>
          <w:p w:rsidR="004F018B" w:rsidRPr="00607C97" w:rsidRDefault="004F018B" w:rsidP="004F018B">
            <w:pPr>
              <w:autoSpaceDE/>
              <w:autoSpaceDN/>
              <w:contextualSpacing/>
              <w:rPr>
                <w:color w:val="FF0000"/>
                <w:sz w:val="20"/>
                <w:szCs w:val="22"/>
              </w:rPr>
            </w:pPr>
            <w:r w:rsidRPr="00607C97">
              <w:rPr>
                <w:color w:val="FF0000"/>
                <w:sz w:val="20"/>
                <w:szCs w:val="22"/>
              </w:rPr>
              <w:t>1. Poplatky a obmedzenia súvisiace s ukladaním odpadu na skládku a jeho spaľovaním, ktoré podnecujú predchádzanie vzniku odpadu a recykláciu, pričom skládkovanie sa považuje za najmenej vhodný spôsob nakladania s odpadom;</w:t>
            </w:r>
          </w:p>
          <w:p w:rsidR="004F018B" w:rsidRPr="00607C97" w:rsidRDefault="004F018B" w:rsidP="004F018B">
            <w:pPr>
              <w:autoSpaceDE/>
              <w:autoSpaceDN/>
              <w:contextualSpacing/>
              <w:rPr>
                <w:color w:val="FF0000"/>
                <w:sz w:val="20"/>
                <w:szCs w:val="22"/>
              </w:rPr>
            </w:pPr>
            <w:r w:rsidRPr="00607C97">
              <w:rPr>
                <w:color w:val="FF0000"/>
                <w:sz w:val="20"/>
                <w:szCs w:val="22"/>
              </w:rPr>
              <w:lastRenderedPageBreak/>
              <w:t>2. schémy platby podľa množstva odpadu (zásada „plať za to, čo vyhodíš“), pri ktorých pôvodcovia odpadu platia na základe skutočného množstva vzniknutého odpadu a ktoré poskytujú stimuly na triedenie recyklovateľného odpadu pri zdroji a na znižovanie zmesového odpadu;</w:t>
            </w:r>
          </w:p>
          <w:p w:rsidR="004F018B" w:rsidRPr="00607C97" w:rsidRDefault="004F018B" w:rsidP="004F018B">
            <w:pPr>
              <w:autoSpaceDE/>
              <w:autoSpaceDN/>
              <w:contextualSpacing/>
              <w:rPr>
                <w:color w:val="FF0000"/>
                <w:sz w:val="20"/>
                <w:szCs w:val="22"/>
              </w:rPr>
            </w:pPr>
            <w:r w:rsidRPr="00607C97">
              <w:rPr>
                <w:color w:val="FF0000"/>
                <w:sz w:val="20"/>
                <w:szCs w:val="22"/>
              </w:rPr>
              <w:t>3. finančné stimuly na darovanie výrobkov, najmä potravín;</w:t>
            </w:r>
          </w:p>
          <w:p w:rsidR="004F018B" w:rsidRPr="00607C97" w:rsidRDefault="004F018B" w:rsidP="004F018B">
            <w:pPr>
              <w:autoSpaceDE/>
              <w:autoSpaceDN/>
              <w:contextualSpacing/>
              <w:rPr>
                <w:color w:val="FF0000"/>
                <w:sz w:val="20"/>
                <w:szCs w:val="22"/>
              </w:rPr>
            </w:pPr>
            <w:r w:rsidRPr="00607C97">
              <w:rPr>
                <w:color w:val="FF0000"/>
                <w:sz w:val="20"/>
                <w:szCs w:val="22"/>
              </w:rPr>
              <w:t>4. systémy rozšírenej zodpovednosti výrobcov pre rôzne druhy odpadu a opatrenia na zvýšenie ich účinnosti, efektívnosti nákladov a riadenia;</w:t>
            </w:r>
          </w:p>
          <w:p w:rsidR="004F018B" w:rsidRPr="00607C97" w:rsidRDefault="004F018B" w:rsidP="004F018B">
            <w:pPr>
              <w:autoSpaceDE/>
              <w:autoSpaceDN/>
              <w:contextualSpacing/>
              <w:rPr>
                <w:color w:val="FF0000"/>
                <w:sz w:val="20"/>
                <w:szCs w:val="22"/>
              </w:rPr>
            </w:pPr>
            <w:r w:rsidRPr="00607C97">
              <w:rPr>
                <w:color w:val="FF0000"/>
                <w:sz w:val="20"/>
                <w:szCs w:val="22"/>
              </w:rPr>
              <w:t>5. systémy vratných záloh a ďalšie opatrenia na podporu účinného zberu použitých výrobkov a materiálov;</w:t>
            </w:r>
          </w:p>
          <w:p w:rsidR="004F018B" w:rsidRPr="00607C97" w:rsidRDefault="004F018B" w:rsidP="004F018B">
            <w:pPr>
              <w:autoSpaceDE/>
              <w:autoSpaceDN/>
              <w:contextualSpacing/>
              <w:rPr>
                <w:color w:val="FF0000"/>
                <w:sz w:val="20"/>
                <w:szCs w:val="22"/>
              </w:rPr>
            </w:pPr>
            <w:r w:rsidRPr="00607C97">
              <w:rPr>
                <w:color w:val="FF0000"/>
                <w:sz w:val="20"/>
                <w:szCs w:val="22"/>
              </w:rPr>
              <w:t>6. riadne plánovanie investícií v oblasti infraštruktúry odpadového hospodárstva, a to aj prostredníctvom fondov Únie;</w:t>
            </w:r>
          </w:p>
          <w:p w:rsidR="004F018B" w:rsidRPr="00607C97" w:rsidRDefault="004F018B" w:rsidP="004F018B">
            <w:pPr>
              <w:autoSpaceDE/>
              <w:autoSpaceDN/>
              <w:contextualSpacing/>
              <w:rPr>
                <w:color w:val="FF0000"/>
                <w:sz w:val="20"/>
                <w:szCs w:val="22"/>
              </w:rPr>
            </w:pPr>
            <w:r w:rsidRPr="00607C97">
              <w:rPr>
                <w:color w:val="FF0000"/>
                <w:sz w:val="20"/>
                <w:szCs w:val="22"/>
              </w:rPr>
              <w:t>7. udržateľné verejné obstarávanie na podporu lepšieho nakladania s odpadom a používanie recyklovaných výrobkov a materiálov;</w:t>
            </w:r>
          </w:p>
          <w:p w:rsidR="004F018B" w:rsidRPr="00607C97" w:rsidRDefault="004F018B" w:rsidP="004F018B">
            <w:pPr>
              <w:autoSpaceDE/>
              <w:autoSpaceDN/>
              <w:contextualSpacing/>
              <w:rPr>
                <w:color w:val="FF0000"/>
                <w:sz w:val="20"/>
                <w:szCs w:val="22"/>
              </w:rPr>
            </w:pPr>
            <w:r w:rsidRPr="00607C97">
              <w:rPr>
                <w:color w:val="FF0000"/>
                <w:sz w:val="20"/>
                <w:szCs w:val="22"/>
              </w:rPr>
              <w:t>8. postupné rušenie dotácií, ktoré nie sú v súlade s hierarchiou odpadového hospodárstva;</w:t>
            </w:r>
          </w:p>
          <w:p w:rsidR="004F018B" w:rsidRPr="00607C97" w:rsidRDefault="004F018B" w:rsidP="004F018B">
            <w:pPr>
              <w:autoSpaceDE/>
              <w:autoSpaceDN/>
              <w:contextualSpacing/>
              <w:rPr>
                <w:color w:val="FF0000"/>
                <w:sz w:val="20"/>
                <w:szCs w:val="22"/>
              </w:rPr>
            </w:pPr>
            <w:r w:rsidRPr="00607C97">
              <w:rPr>
                <w:color w:val="FF0000"/>
                <w:sz w:val="20"/>
                <w:szCs w:val="22"/>
              </w:rPr>
              <w:t>9. používanie fiškálnych opatrení alebo iných prostriedkov na podporu zavádzania výrobkov a materiálov, ktoré sa pripravujú na opätovné použitie alebo sa recyklujú;</w:t>
            </w:r>
          </w:p>
          <w:p w:rsidR="004F018B" w:rsidRPr="00607C97" w:rsidRDefault="004F018B" w:rsidP="004F018B">
            <w:pPr>
              <w:autoSpaceDE/>
              <w:autoSpaceDN/>
              <w:contextualSpacing/>
              <w:rPr>
                <w:color w:val="FF0000"/>
                <w:sz w:val="20"/>
                <w:szCs w:val="22"/>
              </w:rPr>
            </w:pPr>
            <w:r w:rsidRPr="00607C97">
              <w:rPr>
                <w:color w:val="FF0000"/>
                <w:sz w:val="20"/>
                <w:szCs w:val="22"/>
              </w:rPr>
              <w:t>10. podpora výskumu a inovácií v oblasti vyspelých technológií recyklácie a repasovania;</w:t>
            </w:r>
          </w:p>
          <w:p w:rsidR="004F018B" w:rsidRPr="00607C97" w:rsidRDefault="004F018B" w:rsidP="004F018B">
            <w:pPr>
              <w:autoSpaceDE/>
              <w:autoSpaceDN/>
              <w:contextualSpacing/>
              <w:rPr>
                <w:color w:val="FF0000"/>
                <w:sz w:val="20"/>
                <w:szCs w:val="22"/>
              </w:rPr>
            </w:pPr>
            <w:r w:rsidRPr="00607C97">
              <w:rPr>
                <w:color w:val="FF0000"/>
                <w:sz w:val="20"/>
                <w:szCs w:val="22"/>
              </w:rPr>
              <w:t>11. používanie najlepších dostupných techník na spracovanie odpadu;</w:t>
            </w:r>
          </w:p>
          <w:p w:rsidR="004F018B" w:rsidRPr="00607C97" w:rsidRDefault="004F018B" w:rsidP="004F018B">
            <w:pPr>
              <w:autoSpaceDE/>
              <w:autoSpaceDN/>
              <w:contextualSpacing/>
              <w:rPr>
                <w:color w:val="FF0000"/>
                <w:sz w:val="20"/>
                <w:szCs w:val="22"/>
              </w:rPr>
            </w:pPr>
            <w:r w:rsidRPr="00607C97">
              <w:rPr>
                <w:color w:val="FF0000"/>
                <w:sz w:val="20"/>
                <w:szCs w:val="22"/>
              </w:rPr>
              <w:t>12. hospodárske stimuly pre regionálne a miestne orgány, najmä na podporu predchádzania vzniku odpadu a na posilnenie systémov triedeného zberu, ktoré sa zároveň vyhýbajú podpore skládkovania a spaľovania;</w:t>
            </w:r>
          </w:p>
          <w:p w:rsidR="004F018B" w:rsidRPr="00607C97" w:rsidRDefault="004F018B" w:rsidP="004F018B">
            <w:pPr>
              <w:autoSpaceDE/>
              <w:autoSpaceDN/>
              <w:contextualSpacing/>
              <w:rPr>
                <w:color w:val="FF0000"/>
                <w:sz w:val="20"/>
                <w:szCs w:val="22"/>
              </w:rPr>
            </w:pPr>
            <w:r w:rsidRPr="00607C97">
              <w:rPr>
                <w:color w:val="FF0000"/>
                <w:sz w:val="20"/>
                <w:szCs w:val="22"/>
              </w:rPr>
              <w:t>13. informačné kampane pre verejnosť, najmä pokiaľ ide o triedený zber, predchádzanie vzniku odpadu a znižovanie znečisťovania odpadom a začlenenie týchto otázok do vzdelávania a odbornej prípravy;</w:t>
            </w:r>
          </w:p>
          <w:p w:rsidR="004F018B" w:rsidRPr="00607C97" w:rsidRDefault="004F018B" w:rsidP="004F018B">
            <w:pPr>
              <w:autoSpaceDE/>
              <w:autoSpaceDN/>
              <w:contextualSpacing/>
              <w:rPr>
                <w:color w:val="FF0000"/>
                <w:sz w:val="20"/>
                <w:szCs w:val="22"/>
              </w:rPr>
            </w:pPr>
            <w:r w:rsidRPr="00607C97">
              <w:rPr>
                <w:color w:val="FF0000"/>
                <w:sz w:val="20"/>
                <w:szCs w:val="22"/>
              </w:rPr>
              <w:lastRenderedPageBreak/>
              <w:t>14. systémy koordinácie, a to aj digitálnymi prostriedkami, medzi všetkými príslušnými verejnými orgánmi zapojenými do odpadového hospodárstva;</w:t>
            </w:r>
          </w:p>
          <w:p w:rsidR="009E5B50" w:rsidRPr="00607C97" w:rsidRDefault="004F018B" w:rsidP="00483F80">
            <w:pPr>
              <w:autoSpaceDE/>
              <w:autoSpaceDN/>
              <w:contextualSpacing/>
              <w:rPr>
                <w:sz w:val="20"/>
                <w:szCs w:val="22"/>
              </w:rPr>
            </w:pPr>
            <w:r w:rsidRPr="00607C97">
              <w:rPr>
                <w:color w:val="FF0000"/>
                <w:sz w:val="20"/>
                <w:szCs w:val="22"/>
              </w:rPr>
              <w:t>15. podpora nepretržitého dialógu a spolupráce medzi všetkými zainteresovanými stranami v oblasti odpadového hospodárstva a podpora dobrovoľných dohôd a podávania správ podnikov o odpadoch</w:t>
            </w:r>
          </w:p>
        </w:tc>
        <w:tc>
          <w:tcPr>
            <w:tcW w:w="720" w:type="dxa"/>
          </w:tcPr>
          <w:p w:rsidR="00F169F4" w:rsidRDefault="00F169F4" w:rsidP="00EC5CA8">
            <w:pPr>
              <w:pStyle w:val="Normlny0"/>
              <w:rPr>
                <w:szCs w:val="22"/>
              </w:rPr>
            </w:pPr>
            <w:r w:rsidRPr="00607C97">
              <w:rPr>
                <w:szCs w:val="22"/>
              </w:rPr>
              <w:lastRenderedPageBreak/>
              <w:t>Ú</w:t>
            </w: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835D52" w:rsidRDefault="00835D5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roofErr w:type="spellStart"/>
            <w:r>
              <w:rPr>
                <w:szCs w:val="22"/>
              </w:rPr>
              <w:t>n.a</w:t>
            </w:r>
            <w:proofErr w:type="spellEnd"/>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Default="00776062" w:rsidP="00EC5CA8">
            <w:pPr>
              <w:pStyle w:val="Normlny0"/>
              <w:rPr>
                <w:szCs w:val="22"/>
              </w:rPr>
            </w:pPr>
          </w:p>
          <w:p w:rsidR="00776062" w:rsidRPr="00607C97" w:rsidRDefault="00776062" w:rsidP="00EC5CA8">
            <w:pPr>
              <w:pStyle w:val="Normlny0"/>
              <w:rPr>
                <w:szCs w:val="22"/>
              </w:rPr>
            </w:pPr>
            <w:proofErr w:type="spellStart"/>
            <w:r>
              <w:rPr>
                <w:szCs w:val="22"/>
              </w:rPr>
              <w:t>n.a</w:t>
            </w:r>
            <w:proofErr w:type="spellEnd"/>
          </w:p>
        </w:tc>
        <w:tc>
          <w:tcPr>
            <w:tcW w:w="1805" w:type="dxa"/>
            <w:gridSpan w:val="2"/>
          </w:tcPr>
          <w:p w:rsidR="00F169F4" w:rsidRPr="00607C97" w:rsidRDefault="00F169F4" w:rsidP="00F169F4">
            <w:pPr>
              <w:pStyle w:val="Normlny0"/>
              <w:rPr>
                <w:bCs/>
                <w:szCs w:val="22"/>
              </w:rPr>
            </w:pPr>
          </w:p>
        </w:tc>
      </w:tr>
      <w:tr w:rsidR="009E5B50" w:rsidRPr="006F6E42" w:rsidTr="002809E5">
        <w:trPr>
          <w:trHeight w:val="1173"/>
          <w:jc w:val="center"/>
        </w:trPr>
        <w:tc>
          <w:tcPr>
            <w:tcW w:w="899" w:type="dxa"/>
          </w:tcPr>
          <w:p w:rsidR="009E5B50" w:rsidRPr="00607C97" w:rsidRDefault="001D3497" w:rsidP="001D3497">
            <w:pPr>
              <w:pStyle w:val="Normlny0"/>
              <w:rPr>
                <w:szCs w:val="22"/>
              </w:rPr>
            </w:pPr>
            <w:r w:rsidRPr="00607C97">
              <w:rPr>
                <w:szCs w:val="22"/>
              </w:rPr>
              <w:lastRenderedPageBreak/>
              <w:t>Č l. O10</w:t>
            </w:r>
          </w:p>
        </w:tc>
        <w:tc>
          <w:tcPr>
            <w:tcW w:w="4501" w:type="dxa"/>
            <w:gridSpan w:val="2"/>
          </w:tcPr>
          <w:p w:rsidR="006A5AB4" w:rsidRPr="00607C97" w:rsidRDefault="006A5AB4" w:rsidP="006A5AB4">
            <w:pPr>
              <w:pStyle w:val="Normlny0"/>
              <w:rPr>
                <w:szCs w:val="22"/>
              </w:rPr>
            </w:pPr>
            <w:r w:rsidRPr="00607C97">
              <w:rPr>
                <w:szCs w:val="22"/>
              </w:rPr>
              <w:t>Článok 16 sa nahrádza takto:</w:t>
            </w:r>
          </w:p>
          <w:p w:rsidR="006A5AB4" w:rsidRDefault="006A5AB4" w:rsidP="006A5AB4">
            <w:pPr>
              <w:pStyle w:val="Normlny0"/>
              <w:rPr>
                <w:b/>
                <w:szCs w:val="22"/>
              </w:rPr>
            </w:pPr>
          </w:p>
          <w:p w:rsidR="006A5AB4" w:rsidRPr="00607C97" w:rsidRDefault="006A5AB4" w:rsidP="006A5AB4">
            <w:pPr>
              <w:pStyle w:val="Normlny0"/>
              <w:rPr>
                <w:szCs w:val="22"/>
              </w:rPr>
            </w:pPr>
            <w:r w:rsidRPr="00607C97">
              <w:rPr>
                <w:szCs w:val="22"/>
              </w:rPr>
              <w:t>Článok 16</w:t>
            </w:r>
          </w:p>
          <w:p w:rsidR="006A5AB4" w:rsidRDefault="006A5AB4" w:rsidP="009E5B50">
            <w:pPr>
              <w:pStyle w:val="Normlny0"/>
              <w:rPr>
                <w:b/>
                <w:szCs w:val="22"/>
              </w:rPr>
            </w:pPr>
          </w:p>
          <w:p w:rsidR="009E5B50" w:rsidRPr="00607C97" w:rsidRDefault="009E5B50" w:rsidP="009E5B50">
            <w:pPr>
              <w:pStyle w:val="Normlny0"/>
              <w:rPr>
                <w:b/>
                <w:szCs w:val="22"/>
              </w:rPr>
            </w:pPr>
            <w:r w:rsidRPr="00607C97">
              <w:rPr>
                <w:b/>
                <w:szCs w:val="22"/>
              </w:rPr>
              <w:t>Preskúmanie príloh</w:t>
            </w:r>
          </w:p>
          <w:p w:rsidR="009E5B50" w:rsidRPr="00607C97" w:rsidRDefault="009E5B50" w:rsidP="009E5B50">
            <w:pPr>
              <w:pStyle w:val="Normlny0"/>
              <w:rPr>
                <w:b/>
                <w:szCs w:val="22"/>
              </w:rPr>
            </w:pPr>
            <w:r w:rsidRPr="00607C97">
              <w:rPr>
                <w:szCs w:val="22"/>
              </w:rPr>
              <w:t>Komisia preskúma prílohy a v prípade potreby predloží vhodné legislatívne návrhy</w:t>
            </w:r>
            <w:r w:rsidRPr="00607C97">
              <w:rPr>
                <w:b/>
                <w:szCs w:val="22"/>
              </w:rPr>
              <w:t xml:space="preserve"> </w:t>
            </w:r>
          </w:p>
        </w:tc>
        <w:tc>
          <w:tcPr>
            <w:tcW w:w="1260" w:type="dxa"/>
            <w:gridSpan w:val="2"/>
          </w:tcPr>
          <w:p w:rsidR="009E5B50" w:rsidRPr="00607C97" w:rsidRDefault="009E5B50" w:rsidP="00EC5CA8">
            <w:pPr>
              <w:pStyle w:val="Normlny0"/>
              <w:rPr>
                <w:szCs w:val="22"/>
              </w:rPr>
            </w:pPr>
            <w:r w:rsidRPr="00607C97">
              <w:rPr>
                <w:szCs w:val="22"/>
              </w:rPr>
              <w:t>n. a</w:t>
            </w:r>
          </w:p>
        </w:tc>
        <w:tc>
          <w:tcPr>
            <w:tcW w:w="1260" w:type="dxa"/>
          </w:tcPr>
          <w:p w:rsidR="009E5B50" w:rsidRPr="00607C97" w:rsidRDefault="009E5B50" w:rsidP="00EC5CA8">
            <w:pPr>
              <w:pStyle w:val="Normlny0"/>
              <w:rPr>
                <w:color w:val="FF0000"/>
                <w:szCs w:val="22"/>
              </w:rPr>
            </w:pPr>
          </w:p>
        </w:tc>
        <w:tc>
          <w:tcPr>
            <w:tcW w:w="1260" w:type="dxa"/>
            <w:gridSpan w:val="2"/>
          </w:tcPr>
          <w:p w:rsidR="009E5B50" w:rsidRPr="00607C97" w:rsidRDefault="009E5B50" w:rsidP="002A554C">
            <w:pPr>
              <w:rPr>
                <w:sz w:val="20"/>
                <w:szCs w:val="22"/>
              </w:rPr>
            </w:pPr>
          </w:p>
        </w:tc>
        <w:tc>
          <w:tcPr>
            <w:tcW w:w="4500" w:type="dxa"/>
          </w:tcPr>
          <w:p w:rsidR="009E5B50" w:rsidRPr="00607C97" w:rsidRDefault="009E5B50" w:rsidP="00F169F4">
            <w:pPr>
              <w:autoSpaceDE/>
              <w:autoSpaceDN/>
              <w:contextualSpacing/>
              <w:rPr>
                <w:sz w:val="20"/>
                <w:szCs w:val="22"/>
              </w:rPr>
            </w:pPr>
          </w:p>
        </w:tc>
        <w:tc>
          <w:tcPr>
            <w:tcW w:w="720" w:type="dxa"/>
          </w:tcPr>
          <w:p w:rsidR="009E5B50" w:rsidRPr="00607C97" w:rsidRDefault="002809E5" w:rsidP="00EC5CA8">
            <w:pPr>
              <w:pStyle w:val="Normlny0"/>
              <w:rPr>
                <w:szCs w:val="22"/>
              </w:rPr>
            </w:pPr>
            <w:r w:rsidRPr="00607C97">
              <w:rPr>
                <w:szCs w:val="22"/>
              </w:rPr>
              <w:t>n. a</w:t>
            </w:r>
          </w:p>
        </w:tc>
        <w:tc>
          <w:tcPr>
            <w:tcW w:w="1805" w:type="dxa"/>
            <w:gridSpan w:val="2"/>
          </w:tcPr>
          <w:p w:rsidR="009E5B50" w:rsidRPr="00607C97" w:rsidRDefault="009E5B50" w:rsidP="00F169F4">
            <w:pPr>
              <w:pStyle w:val="Normlny0"/>
              <w:rPr>
                <w:bCs/>
                <w:szCs w:val="22"/>
              </w:rPr>
            </w:pPr>
          </w:p>
        </w:tc>
      </w:tr>
      <w:tr w:rsidR="009E5B50" w:rsidRPr="006F6E42" w:rsidTr="002809E5">
        <w:trPr>
          <w:trHeight w:val="1173"/>
          <w:jc w:val="center"/>
        </w:trPr>
        <w:tc>
          <w:tcPr>
            <w:tcW w:w="899" w:type="dxa"/>
          </w:tcPr>
          <w:p w:rsidR="009E5B50" w:rsidRPr="00607C97" w:rsidRDefault="001D3497" w:rsidP="001D3497">
            <w:pPr>
              <w:pStyle w:val="Normlny0"/>
              <w:rPr>
                <w:szCs w:val="22"/>
              </w:rPr>
            </w:pPr>
            <w:r w:rsidRPr="00607C97">
              <w:rPr>
                <w:szCs w:val="22"/>
              </w:rPr>
              <w:lastRenderedPageBreak/>
              <w:t>Č l. O11</w:t>
            </w:r>
          </w:p>
        </w:tc>
        <w:tc>
          <w:tcPr>
            <w:tcW w:w="4501" w:type="dxa"/>
            <w:gridSpan w:val="2"/>
          </w:tcPr>
          <w:p w:rsidR="006A5AB4" w:rsidRPr="00607C97" w:rsidRDefault="006A5AB4" w:rsidP="006A5AB4">
            <w:pPr>
              <w:pStyle w:val="Normlny0"/>
              <w:rPr>
                <w:szCs w:val="22"/>
              </w:rPr>
            </w:pPr>
            <w:r w:rsidRPr="00607C97">
              <w:rPr>
                <w:szCs w:val="22"/>
              </w:rPr>
              <w:t>Článok 17 sa nahrádza takto:</w:t>
            </w:r>
          </w:p>
          <w:p w:rsidR="006A5AB4" w:rsidRPr="00607C97" w:rsidRDefault="006A5AB4" w:rsidP="006A5AB4">
            <w:pPr>
              <w:pStyle w:val="Normlny0"/>
              <w:rPr>
                <w:szCs w:val="22"/>
              </w:rPr>
            </w:pPr>
          </w:p>
          <w:p w:rsidR="006A5AB4" w:rsidRPr="00607C97" w:rsidRDefault="006A5AB4" w:rsidP="006A5AB4">
            <w:pPr>
              <w:pStyle w:val="Normlny0"/>
              <w:rPr>
                <w:szCs w:val="22"/>
              </w:rPr>
            </w:pPr>
            <w:r w:rsidRPr="00607C97">
              <w:rPr>
                <w:szCs w:val="22"/>
              </w:rPr>
              <w:t>Článok 17</w:t>
            </w:r>
          </w:p>
          <w:p w:rsidR="006A5AB4" w:rsidRDefault="006A5AB4" w:rsidP="006A5AB4">
            <w:pPr>
              <w:pStyle w:val="Normlny0"/>
              <w:rPr>
                <w:b/>
                <w:szCs w:val="22"/>
              </w:rPr>
            </w:pPr>
          </w:p>
          <w:p w:rsidR="009E5B50" w:rsidRPr="00607C97" w:rsidRDefault="009E5B50" w:rsidP="009E5B50">
            <w:pPr>
              <w:pStyle w:val="Normlny0"/>
              <w:rPr>
                <w:b/>
                <w:szCs w:val="22"/>
              </w:rPr>
            </w:pPr>
            <w:r w:rsidRPr="00607C97">
              <w:rPr>
                <w:b/>
                <w:szCs w:val="22"/>
              </w:rPr>
              <w:t>Postup výboru</w:t>
            </w:r>
          </w:p>
          <w:p w:rsidR="009E5B50" w:rsidRPr="00607C97" w:rsidRDefault="009E5B50" w:rsidP="009E5B50">
            <w:pPr>
              <w:pStyle w:val="Normlny0"/>
              <w:rPr>
                <w:szCs w:val="22"/>
              </w:rPr>
            </w:pPr>
            <w:r w:rsidRPr="00607C97">
              <w:rPr>
                <w:szCs w:val="22"/>
              </w:rPr>
              <w:t>1. Komisii pomáha výbor zriadený podľa článku 39 smernice 2008/98/ES. Uvedený výbor je výborom v zmysle nariadenia Európskeho parlamentu a Rady (EÚ) č. 182/2011 (*).</w:t>
            </w:r>
          </w:p>
          <w:p w:rsidR="009E5B50" w:rsidRPr="00607C97" w:rsidRDefault="009E5B50" w:rsidP="009E5B50">
            <w:pPr>
              <w:pStyle w:val="Normlny0"/>
              <w:rPr>
                <w:szCs w:val="22"/>
              </w:rPr>
            </w:pPr>
          </w:p>
          <w:p w:rsidR="009E5B50" w:rsidRPr="00607C97" w:rsidRDefault="009E5B50" w:rsidP="009E5B50">
            <w:pPr>
              <w:pStyle w:val="Normlny0"/>
              <w:rPr>
                <w:szCs w:val="22"/>
              </w:rPr>
            </w:pPr>
            <w:r w:rsidRPr="00607C97">
              <w:rPr>
                <w:b/>
                <w:szCs w:val="22"/>
              </w:rPr>
              <w:t xml:space="preserve">2. </w:t>
            </w:r>
            <w:r w:rsidRPr="00607C97">
              <w:rPr>
                <w:szCs w:val="22"/>
              </w:rPr>
              <w:t>Ak sa odkazuje na tento odsek, uplatňuje sa článok 5 nariadenia (EÚ) č. 182/2011.</w:t>
            </w:r>
          </w:p>
          <w:p w:rsidR="009E5B50" w:rsidRPr="00607C97" w:rsidRDefault="009E5B50" w:rsidP="009E5B50">
            <w:pPr>
              <w:pStyle w:val="Normlny0"/>
              <w:rPr>
                <w:b/>
                <w:szCs w:val="22"/>
              </w:rPr>
            </w:pPr>
            <w:r w:rsidRPr="00607C97">
              <w:rPr>
                <w:szCs w:val="22"/>
              </w:rPr>
              <w:t xml:space="preserve">Ak výbor nevydá žiadne stanovisko, Komisia návrh vykonávacieho aktu neprijme a uplatňuje sa článok 5 ods. 4 tretí </w:t>
            </w:r>
            <w:proofErr w:type="spellStart"/>
            <w:r w:rsidRPr="00607C97">
              <w:rPr>
                <w:szCs w:val="22"/>
              </w:rPr>
              <w:t>pododsek</w:t>
            </w:r>
            <w:proofErr w:type="spellEnd"/>
            <w:r w:rsidRPr="00607C97">
              <w:rPr>
                <w:szCs w:val="22"/>
              </w:rPr>
              <w:t xml:space="preserve"> nariadenia (EÚ) č. 182/2011</w:t>
            </w:r>
            <w:r w:rsidRPr="00607C97">
              <w:rPr>
                <w:b/>
                <w:szCs w:val="22"/>
              </w:rPr>
              <w:t>.</w:t>
            </w:r>
          </w:p>
        </w:tc>
        <w:tc>
          <w:tcPr>
            <w:tcW w:w="1260" w:type="dxa"/>
            <w:gridSpan w:val="2"/>
          </w:tcPr>
          <w:p w:rsidR="009E5B50" w:rsidRPr="00607C97" w:rsidRDefault="009E5B50" w:rsidP="00EC5CA8">
            <w:pPr>
              <w:pStyle w:val="Normlny0"/>
              <w:rPr>
                <w:szCs w:val="22"/>
              </w:rPr>
            </w:pPr>
            <w:r w:rsidRPr="00607C97">
              <w:rPr>
                <w:szCs w:val="22"/>
              </w:rPr>
              <w:t>n. a</w:t>
            </w:r>
          </w:p>
        </w:tc>
        <w:tc>
          <w:tcPr>
            <w:tcW w:w="1260" w:type="dxa"/>
          </w:tcPr>
          <w:p w:rsidR="009E5B50" w:rsidRPr="00607C97" w:rsidRDefault="009E5B50" w:rsidP="00EC5CA8">
            <w:pPr>
              <w:pStyle w:val="Normlny0"/>
              <w:rPr>
                <w:color w:val="FF0000"/>
                <w:szCs w:val="22"/>
              </w:rPr>
            </w:pPr>
          </w:p>
        </w:tc>
        <w:tc>
          <w:tcPr>
            <w:tcW w:w="1260" w:type="dxa"/>
            <w:gridSpan w:val="2"/>
          </w:tcPr>
          <w:p w:rsidR="009E5B50" w:rsidRPr="00607C97" w:rsidRDefault="009E5B50" w:rsidP="002A554C">
            <w:pPr>
              <w:rPr>
                <w:sz w:val="20"/>
                <w:szCs w:val="22"/>
              </w:rPr>
            </w:pPr>
          </w:p>
        </w:tc>
        <w:tc>
          <w:tcPr>
            <w:tcW w:w="4500" w:type="dxa"/>
          </w:tcPr>
          <w:p w:rsidR="009E5B50" w:rsidRPr="00607C97" w:rsidRDefault="009E5B50" w:rsidP="00F169F4">
            <w:pPr>
              <w:autoSpaceDE/>
              <w:autoSpaceDN/>
              <w:contextualSpacing/>
              <w:rPr>
                <w:sz w:val="20"/>
                <w:szCs w:val="22"/>
              </w:rPr>
            </w:pPr>
          </w:p>
        </w:tc>
        <w:tc>
          <w:tcPr>
            <w:tcW w:w="720" w:type="dxa"/>
          </w:tcPr>
          <w:p w:rsidR="009E5B50" w:rsidRPr="00607C97" w:rsidRDefault="002809E5" w:rsidP="00EC5CA8">
            <w:pPr>
              <w:pStyle w:val="Normlny0"/>
              <w:rPr>
                <w:szCs w:val="22"/>
              </w:rPr>
            </w:pPr>
            <w:r w:rsidRPr="00607C97">
              <w:rPr>
                <w:szCs w:val="22"/>
              </w:rPr>
              <w:t>n. a</w:t>
            </w:r>
          </w:p>
        </w:tc>
        <w:tc>
          <w:tcPr>
            <w:tcW w:w="1805" w:type="dxa"/>
            <w:gridSpan w:val="2"/>
          </w:tcPr>
          <w:p w:rsidR="009E5B50" w:rsidRPr="00607C97" w:rsidRDefault="009E5B50" w:rsidP="00F169F4">
            <w:pPr>
              <w:pStyle w:val="Normlny0"/>
              <w:rPr>
                <w:bCs/>
                <w:szCs w:val="22"/>
              </w:rPr>
            </w:pPr>
          </w:p>
        </w:tc>
      </w:tr>
      <w:tr w:rsidR="006A5AB4" w:rsidRPr="006F6E42" w:rsidTr="002809E5">
        <w:trPr>
          <w:trHeight w:val="1173"/>
          <w:jc w:val="center"/>
        </w:trPr>
        <w:tc>
          <w:tcPr>
            <w:tcW w:w="899" w:type="dxa"/>
          </w:tcPr>
          <w:p w:rsidR="006A5AB4" w:rsidRPr="007E43DE" w:rsidRDefault="006A5AB4" w:rsidP="001D3497">
            <w:pPr>
              <w:pStyle w:val="Normlny0"/>
              <w:rPr>
                <w:szCs w:val="22"/>
              </w:rPr>
            </w:pPr>
            <w:r>
              <w:rPr>
                <w:szCs w:val="22"/>
              </w:rPr>
              <w:t>Č1 O12</w:t>
            </w:r>
          </w:p>
        </w:tc>
        <w:tc>
          <w:tcPr>
            <w:tcW w:w="4501" w:type="dxa"/>
            <w:gridSpan w:val="2"/>
          </w:tcPr>
          <w:p w:rsidR="006A5AB4" w:rsidRPr="00776062" w:rsidRDefault="006A5AB4" w:rsidP="006A5AB4">
            <w:pPr>
              <w:pStyle w:val="Normlny0"/>
              <w:rPr>
                <w:szCs w:val="22"/>
              </w:rPr>
            </w:pPr>
            <w:r w:rsidRPr="00776062">
              <w:rPr>
                <w:szCs w:val="22"/>
              </w:rPr>
              <w:t>V prílohe I sa bod 3.5 vypúšťa.</w:t>
            </w:r>
          </w:p>
        </w:tc>
        <w:tc>
          <w:tcPr>
            <w:tcW w:w="1260" w:type="dxa"/>
            <w:gridSpan w:val="2"/>
          </w:tcPr>
          <w:p w:rsidR="006A5AB4" w:rsidRPr="007E43DE" w:rsidRDefault="00776062" w:rsidP="00EC5CA8">
            <w:pPr>
              <w:pStyle w:val="Normlny0"/>
              <w:rPr>
                <w:szCs w:val="22"/>
              </w:rPr>
            </w:pPr>
            <w:proofErr w:type="spellStart"/>
            <w:r>
              <w:rPr>
                <w:szCs w:val="22"/>
              </w:rPr>
              <w:t>n.a</w:t>
            </w:r>
            <w:proofErr w:type="spellEnd"/>
          </w:p>
        </w:tc>
        <w:tc>
          <w:tcPr>
            <w:tcW w:w="1260" w:type="dxa"/>
          </w:tcPr>
          <w:p w:rsidR="006A5AB4" w:rsidRPr="007E43DE" w:rsidRDefault="006A5AB4" w:rsidP="00EC5CA8">
            <w:pPr>
              <w:pStyle w:val="Normlny0"/>
              <w:rPr>
                <w:color w:val="FF0000"/>
                <w:szCs w:val="22"/>
              </w:rPr>
            </w:pPr>
          </w:p>
        </w:tc>
        <w:tc>
          <w:tcPr>
            <w:tcW w:w="1260" w:type="dxa"/>
            <w:gridSpan w:val="2"/>
          </w:tcPr>
          <w:p w:rsidR="006A5AB4" w:rsidRPr="007E43DE" w:rsidRDefault="006A5AB4" w:rsidP="002A554C">
            <w:pPr>
              <w:rPr>
                <w:sz w:val="20"/>
                <w:szCs w:val="22"/>
              </w:rPr>
            </w:pPr>
          </w:p>
        </w:tc>
        <w:tc>
          <w:tcPr>
            <w:tcW w:w="4500" w:type="dxa"/>
          </w:tcPr>
          <w:p w:rsidR="006A5AB4" w:rsidRPr="007E43DE" w:rsidRDefault="006A5AB4" w:rsidP="00F169F4">
            <w:pPr>
              <w:autoSpaceDE/>
              <w:autoSpaceDN/>
              <w:contextualSpacing/>
              <w:rPr>
                <w:sz w:val="20"/>
                <w:szCs w:val="22"/>
              </w:rPr>
            </w:pPr>
          </w:p>
        </w:tc>
        <w:tc>
          <w:tcPr>
            <w:tcW w:w="720" w:type="dxa"/>
          </w:tcPr>
          <w:p w:rsidR="006A5AB4" w:rsidRPr="007E43DE" w:rsidRDefault="00776062" w:rsidP="00EC5CA8">
            <w:pPr>
              <w:pStyle w:val="Normlny0"/>
              <w:rPr>
                <w:szCs w:val="22"/>
              </w:rPr>
            </w:pPr>
            <w:proofErr w:type="spellStart"/>
            <w:r>
              <w:rPr>
                <w:szCs w:val="22"/>
              </w:rPr>
              <w:t>n.a</w:t>
            </w:r>
            <w:proofErr w:type="spellEnd"/>
          </w:p>
        </w:tc>
        <w:tc>
          <w:tcPr>
            <w:tcW w:w="1805" w:type="dxa"/>
            <w:gridSpan w:val="2"/>
          </w:tcPr>
          <w:p w:rsidR="006A5AB4" w:rsidRPr="006A5AB4" w:rsidRDefault="006A5AB4" w:rsidP="00F169F4">
            <w:pPr>
              <w:pStyle w:val="Normlny0"/>
              <w:rPr>
                <w:bCs/>
                <w:szCs w:val="22"/>
              </w:rPr>
            </w:pPr>
          </w:p>
        </w:tc>
      </w:tr>
      <w:tr w:rsidR="006A5AB4" w:rsidRPr="006F6E42" w:rsidTr="002809E5">
        <w:trPr>
          <w:trHeight w:val="1173"/>
          <w:jc w:val="center"/>
        </w:trPr>
        <w:tc>
          <w:tcPr>
            <w:tcW w:w="899" w:type="dxa"/>
          </w:tcPr>
          <w:p w:rsidR="006A5AB4" w:rsidRPr="007E43DE" w:rsidRDefault="006A5AB4" w:rsidP="001D3497">
            <w:pPr>
              <w:pStyle w:val="Normlny0"/>
              <w:rPr>
                <w:szCs w:val="22"/>
              </w:rPr>
            </w:pPr>
            <w:r>
              <w:rPr>
                <w:szCs w:val="22"/>
              </w:rPr>
              <w:t>Č1 O13</w:t>
            </w:r>
          </w:p>
        </w:tc>
        <w:tc>
          <w:tcPr>
            <w:tcW w:w="4501" w:type="dxa"/>
            <w:gridSpan w:val="2"/>
          </w:tcPr>
          <w:p w:rsidR="006A5AB4" w:rsidRPr="006A5AB4" w:rsidRDefault="006A5AB4" w:rsidP="006A5AB4">
            <w:pPr>
              <w:pStyle w:val="Normlny0"/>
              <w:rPr>
                <w:szCs w:val="22"/>
              </w:rPr>
            </w:pPr>
            <w:r w:rsidRPr="00776062">
              <w:t>V prílohe II sa bod 5 vypúšťa.</w:t>
            </w:r>
          </w:p>
        </w:tc>
        <w:tc>
          <w:tcPr>
            <w:tcW w:w="1260" w:type="dxa"/>
            <w:gridSpan w:val="2"/>
          </w:tcPr>
          <w:p w:rsidR="006A5AB4" w:rsidRPr="007E43DE" w:rsidRDefault="00776062" w:rsidP="00EC5CA8">
            <w:pPr>
              <w:pStyle w:val="Normlny0"/>
              <w:rPr>
                <w:szCs w:val="22"/>
              </w:rPr>
            </w:pPr>
            <w:proofErr w:type="spellStart"/>
            <w:r>
              <w:rPr>
                <w:szCs w:val="22"/>
              </w:rPr>
              <w:t>n.a</w:t>
            </w:r>
            <w:proofErr w:type="spellEnd"/>
          </w:p>
        </w:tc>
        <w:tc>
          <w:tcPr>
            <w:tcW w:w="1260" w:type="dxa"/>
          </w:tcPr>
          <w:p w:rsidR="006A5AB4" w:rsidRPr="007E43DE" w:rsidRDefault="006A5AB4" w:rsidP="00EC5CA8">
            <w:pPr>
              <w:pStyle w:val="Normlny0"/>
              <w:rPr>
                <w:color w:val="FF0000"/>
                <w:szCs w:val="22"/>
              </w:rPr>
            </w:pPr>
          </w:p>
        </w:tc>
        <w:tc>
          <w:tcPr>
            <w:tcW w:w="1260" w:type="dxa"/>
            <w:gridSpan w:val="2"/>
          </w:tcPr>
          <w:p w:rsidR="006A5AB4" w:rsidRPr="007E43DE" w:rsidRDefault="006A5AB4" w:rsidP="002A554C">
            <w:pPr>
              <w:rPr>
                <w:sz w:val="20"/>
                <w:szCs w:val="22"/>
              </w:rPr>
            </w:pPr>
          </w:p>
        </w:tc>
        <w:tc>
          <w:tcPr>
            <w:tcW w:w="4500" w:type="dxa"/>
          </w:tcPr>
          <w:p w:rsidR="006A5AB4" w:rsidRPr="007E43DE" w:rsidRDefault="006A5AB4" w:rsidP="00F169F4">
            <w:pPr>
              <w:autoSpaceDE/>
              <w:autoSpaceDN/>
              <w:contextualSpacing/>
              <w:rPr>
                <w:sz w:val="20"/>
                <w:szCs w:val="22"/>
              </w:rPr>
            </w:pPr>
          </w:p>
        </w:tc>
        <w:tc>
          <w:tcPr>
            <w:tcW w:w="720" w:type="dxa"/>
          </w:tcPr>
          <w:p w:rsidR="006A5AB4" w:rsidRPr="007E43DE" w:rsidRDefault="00776062" w:rsidP="00EC5CA8">
            <w:pPr>
              <w:pStyle w:val="Normlny0"/>
              <w:rPr>
                <w:szCs w:val="22"/>
              </w:rPr>
            </w:pPr>
            <w:proofErr w:type="spellStart"/>
            <w:r>
              <w:rPr>
                <w:szCs w:val="22"/>
              </w:rPr>
              <w:t>n.a</w:t>
            </w:r>
            <w:proofErr w:type="spellEnd"/>
          </w:p>
        </w:tc>
        <w:tc>
          <w:tcPr>
            <w:tcW w:w="1805" w:type="dxa"/>
            <w:gridSpan w:val="2"/>
          </w:tcPr>
          <w:p w:rsidR="006A5AB4" w:rsidRPr="006A5AB4" w:rsidRDefault="006A5AB4" w:rsidP="00F169F4">
            <w:pPr>
              <w:pStyle w:val="Normlny0"/>
              <w:rPr>
                <w:bCs/>
                <w:szCs w:val="22"/>
              </w:rPr>
            </w:pPr>
          </w:p>
        </w:tc>
      </w:tr>
      <w:tr w:rsidR="006A5AB4" w:rsidRPr="006F6E42" w:rsidTr="002809E5">
        <w:trPr>
          <w:trHeight w:val="1173"/>
          <w:jc w:val="center"/>
        </w:trPr>
        <w:tc>
          <w:tcPr>
            <w:tcW w:w="899" w:type="dxa"/>
          </w:tcPr>
          <w:p w:rsidR="006A5AB4" w:rsidRPr="007E43DE" w:rsidRDefault="006A5AB4" w:rsidP="001D3497">
            <w:pPr>
              <w:pStyle w:val="Normlny0"/>
              <w:rPr>
                <w:szCs w:val="22"/>
              </w:rPr>
            </w:pPr>
            <w:r>
              <w:rPr>
                <w:szCs w:val="22"/>
              </w:rPr>
              <w:t>Č1 O14</w:t>
            </w:r>
          </w:p>
        </w:tc>
        <w:tc>
          <w:tcPr>
            <w:tcW w:w="4501"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95"/>
            </w:tblGrid>
            <w:tr w:rsidR="006A5AB4" w:rsidRPr="00776062" w:rsidTr="006A5AB4">
              <w:trPr>
                <w:tblCellSpacing w:w="0" w:type="dxa"/>
              </w:trPr>
              <w:tc>
                <w:tcPr>
                  <w:tcW w:w="12" w:type="dxa"/>
                  <w:hideMark/>
                </w:tcPr>
                <w:p w:rsidR="006A5AB4" w:rsidRPr="00776062" w:rsidRDefault="006A5AB4" w:rsidP="006A5AB4">
                  <w:pPr>
                    <w:autoSpaceDE/>
                    <w:autoSpaceDN/>
                    <w:rPr>
                      <w:sz w:val="20"/>
                      <w:szCs w:val="20"/>
                    </w:rPr>
                  </w:pPr>
                </w:p>
              </w:tc>
              <w:tc>
                <w:tcPr>
                  <w:tcW w:w="9394" w:type="dxa"/>
                  <w:hideMark/>
                </w:tcPr>
                <w:p w:rsidR="006A5AB4" w:rsidRPr="00776062" w:rsidRDefault="006A5AB4" w:rsidP="006A5AB4">
                  <w:pPr>
                    <w:autoSpaceDE/>
                    <w:autoSpaceDN/>
                    <w:spacing w:before="100" w:beforeAutospacing="1" w:after="100" w:afterAutospacing="1"/>
                  </w:pPr>
                  <w:r w:rsidRPr="00607C97">
                    <w:rPr>
                      <w:sz w:val="20"/>
                    </w:rPr>
                    <w:t xml:space="preserve">V prílohe III bode 2 sa prvý </w:t>
                  </w:r>
                  <w:proofErr w:type="spellStart"/>
                  <w:r w:rsidRPr="00607C97">
                    <w:rPr>
                      <w:sz w:val="20"/>
                    </w:rPr>
                    <w:t>pododsek</w:t>
                  </w:r>
                  <w:proofErr w:type="spellEnd"/>
                  <w:r w:rsidRPr="00607C97">
                    <w:rPr>
                      <w:sz w:val="20"/>
                    </w:rPr>
                    <w:t xml:space="preserve"> vypúšťa.</w:t>
                  </w:r>
                </w:p>
              </w:tc>
            </w:tr>
          </w:tbl>
          <w:p w:rsidR="006A5AB4" w:rsidRPr="00776062" w:rsidRDefault="006A5AB4" w:rsidP="006A5AB4">
            <w:pPr>
              <w:pStyle w:val="Normlny0"/>
              <w:rPr>
                <w:szCs w:val="22"/>
              </w:rPr>
            </w:pPr>
          </w:p>
        </w:tc>
        <w:tc>
          <w:tcPr>
            <w:tcW w:w="1260" w:type="dxa"/>
            <w:gridSpan w:val="2"/>
          </w:tcPr>
          <w:p w:rsidR="006A5AB4" w:rsidRPr="007E43DE" w:rsidRDefault="00776062" w:rsidP="00EC5CA8">
            <w:pPr>
              <w:pStyle w:val="Normlny0"/>
              <w:rPr>
                <w:szCs w:val="22"/>
              </w:rPr>
            </w:pPr>
            <w:proofErr w:type="spellStart"/>
            <w:r>
              <w:rPr>
                <w:szCs w:val="22"/>
              </w:rPr>
              <w:t>n.a</w:t>
            </w:r>
            <w:proofErr w:type="spellEnd"/>
          </w:p>
        </w:tc>
        <w:tc>
          <w:tcPr>
            <w:tcW w:w="1260" w:type="dxa"/>
          </w:tcPr>
          <w:p w:rsidR="006A5AB4" w:rsidRPr="007E43DE" w:rsidRDefault="006A5AB4" w:rsidP="00EC5CA8">
            <w:pPr>
              <w:pStyle w:val="Normlny0"/>
              <w:rPr>
                <w:color w:val="FF0000"/>
                <w:szCs w:val="22"/>
              </w:rPr>
            </w:pPr>
          </w:p>
        </w:tc>
        <w:tc>
          <w:tcPr>
            <w:tcW w:w="1260" w:type="dxa"/>
            <w:gridSpan w:val="2"/>
          </w:tcPr>
          <w:p w:rsidR="006A5AB4" w:rsidRPr="007E43DE" w:rsidRDefault="006A5AB4" w:rsidP="002A554C">
            <w:pPr>
              <w:rPr>
                <w:sz w:val="20"/>
                <w:szCs w:val="22"/>
              </w:rPr>
            </w:pPr>
          </w:p>
        </w:tc>
        <w:tc>
          <w:tcPr>
            <w:tcW w:w="4500" w:type="dxa"/>
          </w:tcPr>
          <w:p w:rsidR="006A5AB4" w:rsidRPr="007E43DE" w:rsidRDefault="006A5AB4" w:rsidP="00F169F4">
            <w:pPr>
              <w:autoSpaceDE/>
              <w:autoSpaceDN/>
              <w:contextualSpacing/>
              <w:rPr>
                <w:sz w:val="20"/>
                <w:szCs w:val="22"/>
              </w:rPr>
            </w:pPr>
          </w:p>
        </w:tc>
        <w:tc>
          <w:tcPr>
            <w:tcW w:w="720" w:type="dxa"/>
          </w:tcPr>
          <w:p w:rsidR="006A5AB4" w:rsidRPr="007E43DE" w:rsidRDefault="00776062" w:rsidP="00EC5CA8">
            <w:pPr>
              <w:pStyle w:val="Normlny0"/>
              <w:rPr>
                <w:szCs w:val="22"/>
              </w:rPr>
            </w:pPr>
            <w:proofErr w:type="spellStart"/>
            <w:r>
              <w:rPr>
                <w:szCs w:val="22"/>
              </w:rPr>
              <w:t>n.a</w:t>
            </w:r>
            <w:proofErr w:type="spellEnd"/>
          </w:p>
        </w:tc>
        <w:tc>
          <w:tcPr>
            <w:tcW w:w="1805" w:type="dxa"/>
            <w:gridSpan w:val="2"/>
          </w:tcPr>
          <w:p w:rsidR="006A5AB4" w:rsidRPr="007E43DE" w:rsidRDefault="006A5AB4" w:rsidP="00F169F4">
            <w:pPr>
              <w:pStyle w:val="Normlny0"/>
              <w:rPr>
                <w:bCs/>
                <w:szCs w:val="22"/>
              </w:rPr>
            </w:pPr>
          </w:p>
        </w:tc>
      </w:tr>
      <w:tr w:rsidR="006A5AB4" w:rsidRPr="006F6E42" w:rsidTr="002809E5">
        <w:trPr>
          <w:trHeight w:val="1173"/>
          <w:jc w:val="center"/>
        </w:trPr>
        <w:tc>
          <w:tcPr>
            <w:tcW w:w="899" w:type="dxa"/>
          </w:tcPr>
          <w:p w:rsidR="006A5AB4" w:rsidRDefault="006A5AB4" w:rsidP="001D3497">
            <w:pPr>
              <w:pStyle w:val="Normlny0"/>
              <w:rPr>
                <w:szCs w:val="22"/>
              </w:rPr>
            </w:pPr>
            <w:r>
              <w:rPr>
                <w:szCs w:val="22"/>
              </w:rPr>
              <w:t>Č1 O15</w:t>
            </w:r>
          </w:p>
        </w:tc>
        <w:tc>
          <w:tcPr>
            <w:tcW w:w="4501" w:type="dxa"/>
            <w:gridSpan w:val="2"/>
          </w:tcPr>
          <w:tbl>
            <w:tblPr>
              <w:tblW w:w="5000" w:type="pct"/>
              <w:tblCellSpacing w:w="0" w:type="dxa"/>
              <w:tblLayout w:type="fixed"/>
              <w:tblCellMar>
                <w:left w:w="0" w:type="dxa"/>
                <w:right w:w="0" w:type="dxa"/>
              </w:tblCellMar>
              <w:tblLook w:val="04A0" w:firstRow="1" w:lastRow="0" w:firstColumn="1" w:lastColumn="0" w:noHBand="0" w:noVBand="1"/>
            </w:tblPr>
            <w:tblGrid>
              <w:gridCol w:w="20"/>
              <w:gridCol w:w="4395"/>
            </w:tblGrid>
            <w:tr w:rsidR="006A5AB4" w:rsidRPr="006A5AB4" w:rsidTr="006A5AB4">
              <w:trPr>
                <w:tblCellSpacing w:w="0" w:type="dxa"/>
              </w:trPr>
              <w:tc>
                <w:tcPr>
                  <w:tcW w:w="9" w:type="dxa"/>
                  <w:hideMark/>
                </w:tcPr>
                <w:p w:rsidR="006A5AB4" w:rsidRPr="00776062" w:rsidRDefault="006A5AB4" w:rsidP="006A5AB4">
                  <w:pPr>
                    <w:autoSpaceDE/>
                    <w:autoSpaceDN/>
                    <w:rPr>
                      <w:sz w:val="20"/>
                      <w:szCs w:val="20"/>
                    </w:rPr>
                  </w:pPr>
                </w:p>
              </w:tc>
              <w:tc>
                <w:tcPr>
                  <w:tcW w:w="9397" w:type="dxa"/>
                  <w:hideMark/>
                </w:tcPr>
                <w:p w:rsidR="006A5AB4" w:rsidRPr="00607C97" w:rsidRDefault="006A5AB4" w:rsidP="006A5AB4">
                  <w:pPr>
                    <w:autoSpaceDE/>
                    <w:autoSpaceDN/>
                    <w:spacing w:before="100" w:beforeAutospacing="1" w:after="100" w:afterAutospacing="1"/>
                    <w:rPr>
                      <w:sz w:val="20"/>
                    </w:rPr>
                  </w:pPr>
                  <w:r w:rsidRPr="00607C97">
                    <w:rPr>
                      <w:sz w:val="20"/>
                    </w:rPr>
                    <w:t>Príloha IV sa dopĺňa tak, ako je uvedené v prílohe k tejto smernici.</w:t>
                  </w:r>
                </w:p>
              </w:tc>
            </w:tr>
          </w:tbl>
          <w:p w:rsidR="006A5AB4" w:rsidRPr="006A5AB4" w:rsidRDefault="006A5AB4" w:rsidP="006A5AB4">
            <w:pPr>
              <w:autoSpaceDE/>
              <w:autoSpaceDN/>
              <w:rPr>
                <w:sz w:val="20"/>
                <w:szCs w:val="20"/>
              </w:rPr>
            </w:pPr>
          </w:p>
        </w:tc>
        <w:tc>
          <w:tcPr>
            <w:tcW w:w="1260" w:type="dxa"/>
            <w:gridSpan w:val="2"/>
          </w:tcPr>
          <w:p w:rsidR="006A5AB4" w:rsidRPr="007E43DE" w:rsidRDefault="00776062" w:rsidP="00EC5CA8">
            <w:pPr>
              <w:pStyle w:val="Normlny0"/>
              <w:rPr>
                <w:szCs w:val="22"/>
              </w:rPr>
            </w:pPr>
            <w:proofErr w:type="spellStart"/>
            <w:r>
              <w:rPr>
                <w:szCs w:val="22"/>
              </w:rPr>
              <w:t>n.a</w:t>
            </w:r>
            <w:proofErr w:type="spellEnd"/>
          </w:p>
        </w:tc>
        <w:tc>
          <w:tcPr>
            <w:tcW w:w="1260" w:type="dxa"/>
          </w:tcPr>
          <w:p w:rsidR="006A5AB4" w:rsidRPr="007E43DE" w:rsidRDefault="006A5AB4" w:rsidP="00EC5CA8">
            <w:pPr>
              <w:pStyle w:val="Normlny0"/>
              <w:rPr>
                <w:color w:val="FF0000"/>
                <w:szCs w:val="22"/>
              </w:rPr>
            </w:pPr>
          </w:p>
        </w:tc>
        <w:tc>
          <w:tcPr>
            <w:tcW w:w="1260" w:type="dxa"/>
            <w:gridSpan w:val="2"/>
          </w:tcPr>
          <w:p w:rsidR="006A5AB4" w:rsidRPr="007E43DE" w:rsidRDefault="006A5AB4" w:rsidP="002A554C">
            <w:pPr>
              <w:rPr>
                <w:sz w:val="20"/>
                <w:szCs w:val="22"/>
              </w:rPr>
            </w:pPr>
          </w:p>
        </w:tc>
        <w:tc>
          <w:tcPr>
            <w:tcW w:w="4500" w:type="dxa"/>
          </w:tcPr>
          <w:p w:rsidR="006A5AB4" w:rsidRPr="007E43DE" w:rsidRDefault="006A5AB4" w:rsidP="00F169F4">
            <w:pPr>
              <w:autoSpaceDE/>
              <w:autoSpaceDN/>
              <w:contextualSpacing/>
              <w:rPr>
                <w:sz w:val="20"/>
                <w:szCs w:val="22"/>
              </w:rPr>
            </w:pPr>
          </w:p>
        </w:tc>
        <w:tc>
          <w:tcPr>
            <w:tcW w:w="720" w:type="dxa"/>
          </w:tcPr>
          <w:p w:rsidR="006A5AB4" w:rsidRPr="007E43DE" w:rsidRDefault="00776062" w:rsidP="00EC5CA8">
            <w:pPr>
              <w:pStyle w:val="Normlny0"/>
              <w:rPr>
                <w:szCs w:val="22"/>
              </w:rPr>
            </w:pPr>
            <w:proofErr w:type="spellStart"/>
            <w:r>
              <w:rPr>
                <w:szCs w:val="22"/>
              </w:rPr>
              <w:t>n.a</w:t>
            </w:r>
            <w:proofErr w:type="spellEnd"/>
          </w:p>
        </w:tc>
        <w:tc>
          <w:tcPr>
            <w:tcW w:w="1805" w:type="dxa"/>
            <w:gridSpan w:val="2"/>
          </w:tcPr>
          <w:p w:rsidR="006A5AB4" w:rsidRPr="007E43DE" w:rsidRDefault="006A5AB4" w:rsidP="00F169F4">
            <w:pPr>
              <w:pStyle w:val="Normlny0"/>
              <w:rPr>
                <w:bCs/>
                <w:szCs w:val="22"/>
              </w:rPr>
            </w:pPr>
          </w:p>
        </w:tc>
      </w:tr>
      <w:tr w:rsidR="00D80BCA" w:rsidRPr="006F6E42" w:rsidTr="002809E5">
        <w:trPr>
          <w:trHeight w:val="836"/>
          <w:jc w:val="center"/>
        </w:trPr>
        <w:tc>
          <w:tcPr>
            <w:tcW w:w="899" w:type="dxa"/>
          </w:tcPr>
          <w:p w:rsidR="00D80BCA" w:rsidRPr="00607C97" w:rsidRDefault="00D80BCA" w:rsidP="001D3497">
            <w:pPr>
              <w:pStyle w:val="Normlny0"/>
              <w:rPr>
                <w:szCs w:val="22"/>
              </w:rPr>
            </w:pPr>
            <w:r w:rsidRPr="00607C97">
              <w:rPr>
                <w:szCs w:val="22"/>
              </w:rPr>
              <w:t>Č. 2</w:t>
            </w:r>
          </w:p>
        </w:tc>
        <w:tc>
          <w:tcPr>
            <w:tcW w:w="4501" w:type="dxa"/>
            <w:gridSpan w:val="2"/>
          </w:tcPr>
          <w:p w:rsidR="00D80BCA" w:rsidRPr="00607C97" w:rsidRDefault="00DA2A29" w:rsidP="00D80BCA">
            <w:pPr>
              <w:pStyle w:val="Normlny0"/>
              <w:rPr>
                <w:szCs w:val="22"/>
              </w:rPr>
            </w:pPr>
            <w:r w:rsidRPr="00607C97">
              <w:rPr>
                <w:szCs w:val="22"/>
              </w:rPr>
              <w:t>1.</w:t>
            </w:r>
            <w:r w:rsidR="00D80BCA" w:rsidRPr="00607C97">
              <w:rPr>
                <w:szCs w:val="22"/>
              </w:rPr>
              <w:t xml:space="preserve">Členské štáty uvedú do účinnosti zákony, iné právne predpisy a správne opatrenia potrebné na dosiahnutie </w:t>
            </w:r>
            <w:r w:rsidR="00D80BCA" w:rsidRPr="00607C97">
              <w:rPr>
                <w:szCs w:val="22"/>
              </w:rPr>
              <w:lastRenderedPageBreak/>
              <w:t>súladu s touto smernicou do 5. júla 2020. Bezodkladne o tom informujú Komisiu.</w:t>
            </w:r>
          </w:p>
          <w:p w:rsidR="00D80BCA" w:rsidRPr="00607C97" w:rsidRDefault="00D80BCA" w:rsidP="00D80BCA">
            <w:pPr>
              <w:pStyle w:val="Normlny0"/>
              <w:rPr>
                <w:szCs w:val="22"/>
              </w:rPr>
            </w:pPr>
            <w:r w:rsidRPr="00607C97">
              <w:rPr>
                <w:szCs w:val="22"/>
              </w:rPr>
              <w:t>Členské štáty uvedú priamo v prijatých opatreniach alebo pri ich úradnom uverejnení odkaz na túto smernicu. Podrobnosti o odkaze upravia členské štáty.</w:t>
            </w:r>
          </w:p>
          <w:p w:rsidR="00D80BCA" w:rsidRPr="00607C97" w:rsidRDefault="00D80BCA" w:rsidP="00D80BCA">
            <w:pPr>
              <w:pStyle w:val="Normlny0"/>
              <w:rPr>
                <w:b/>
                <w:szCs w:val="22"/>
              </w:rPr>
            </w:pPr>
            <w:r w:rsidRPr="00607C97">
              <w:rPr>
                <w:szCs w:val="22"/>
              </w:rPr>
              <w:t>2. Členské štáty oznámia Komisii znenie hlavných opatrení vnútroštátnych právnych predpisov, ktoré prijmú v oblasti pôsobnosti tejto smernice. Komisia o tom informuje ostatné členské štáty.</w:t>
            </w:r>
          </w:p>
        </w:tc>
        <w:tc>
          <w:tcPr>
            <w:tcW w:w="1260" w:type="dxa"/>
            <w:gridSpan w:val="2"/>
          </w:tcPr>
          <w:p w:rsidR="00D80BCA" w:rsidRPr="00607C97" w:rsidRDefault="00D80BCA" w:rsidP="00EC5CA8">
            <w:pPr>
              <w:pStyle w:val="Normlny0"/>
              <w:rPr>
                <w:szCs w:val="22"/>
              </w:rPr>
            </w:pPr>
            <w:r w:rsidRPr="00607C97">
              <w:rPr>
                <w:szCs w:val="22"/>
              </w:rPr>
              <w:lastRenderedPageBreak/>
              <w:t>n. a</w:t>
            </w:r>
          </w:p>
        </w:tc>
        <w:tc>
          <w:tcPr>
            <w:tcW w:w="1260" w:type="dxa"/>
          </w:tcPr>
          <w:p w:rsidR="00D80BCA" w:rsidRPr="00607C97" w:rsidRDefault="00D80BCA" w:rsidP="00EC5CA8">
            <w:pPr>
              <w:pStyle w:val="Normlny0"/>
              <w:rPr>
                <w:color w:val="FF0000"/>
                <w:szCs w:val="22"/>
              </w:rPr>
            </w:pPr>
          </w:p>
        </w:tc>
        <w:tc>
          <w:tcPr>
            <w:tcW w:w="1260" w:type="dxa"/>
            <w:gridSpan w:val="2"/>
          </w:tcPr>
          <w:p w:rsidR="00D80BCA" w:rsidRPr="00607C97" w:rsidRDefault="00D80BCA" w:rsidP="002A554C">
            <w:pPr>
              <w:rPr>
                <w:sz w:val="20"/>
                <w:szCs w:val="22"/>
              </w:rPr>
            </w:pPr>
          </w:p>
        </w:tc>
        <w:tc>
          <w:tcPr>
            <w:tcW w:w="4500" w:type="dxa"/>
          </w:tcPr>
          <w:p w:rsidR="00D80BCA" w:rsidRPr="00607C97" w:rsidRDefault="00D80BCA" w:rsidP="00F169F4">
            <w:pPr>
              <w:autoSpaceDE/>
              <w:autoSpaceDN/>
              <w:contextualSpacing/>
              <w:rPr>
                <w:sz w:val="20"/>
                <w:szCs w:val="22"/>
              </w:rPr>
            </w:pPr>
          </w:p>
        </w:tc>
        <w:tc>
          <w:tcPr>
            <w:tcW w:w="720" w:type="dxa"/>
          </w:tcPr>
          <w:p w:rsidR="00D80BCA" w:rsidRPr="00607C97" w:rsidRDefault="002809E5" w:rsidP="00EC5CA8">
            <w:pPr>
              <w:pStyle w:val="Normlny0"/>
              <w:rPr>
                <w:szCs w:val="22"/>
              </w:rPr>
            </w:pPr>
            <w:r w:rsidRPr="00607C97">
              <w:rPr>
                <w:szCs w:val="22"/>
              </w:rPr>
              <w:t>n. a</w:t>
            </w:r>
          </w:p>
        </w:tc>
        <w:tc>
          <w:tcPr>
            <w:tcW w:w="1805" w:type="dxa"/>
            <w:gridSpan w:val="2"/>
          </w:tcPr>
          <w:p w:rsidR="00D80BCA" w:rsidRPr="00607C97" w:rsidRDefault="006A5AB4" w:rsidP="00F169F4">
            <w:pPr>
              <w:pStyle w:val="Normlny0"/>
              <w:rPr>
                <w:bCs/>
                <w:szCs w:val="22"/>
              </w:rPr>
            </w:pPr>
            <w:r w:rsidRPr="00607C97">
              <w:rPr>
                <w:bCs/>
                <w:szCs w:val="22"/>
              </w:rPr>
              <w:t xml:space="preserve">Účinnosť návrhu zákona je </w:t>
            </w:r>
            <w:r w:rsidRPr="00607C97">
              <w:rPr>
                <w:bCs/>
                <w:szCs w:val="22"/>
              </w:rPr>
              <w:lastRenderedPageBreak/>
              <w:t xml:space="preserve">naplánovaná </w:t>
            </w:r>
            <w:r w:rsidR="007932AE" w:rsidRPr="00607C97">
              <w:rPr>
                <w:bCs/>
                <w:szCs w:val="22"/>
              </w:rPr>
              <w:t>odo dňa 1. júla 2020.</w:t>
            </w:r>
          </w:p>
        </w:tc>
      </w:tr>
      <w:tr w:rsidR="00D80BCA" w:rsidRPr="006F6E42" w:rsidTr="002809E5">
        <w:trPr>
          <w:trHeight w:val="924"/>
          <w:jc w:val="center"/>
        </w:trPr>
        <w:tc>
          <w:tcPr>
            <w:tcW w:w="899" w:type="dxa"/>
          </w:tcPr>
          <w:p w:rsidR="00D80BCA" w:rsidRPr="00607C97" w:rsidRDefault="00D80BCA" w:rsidP="00D80BCA">
            <w:pPr>
              <w:pStyle w:val="Normlny0"/>
              <w:rPr>
                <w:szCs w:val="22"/>
              </w:rPr>
            </w:pPr>
            <w:r w:rsidRPr="00607C97">
              <w:rPr>
                <w:szCs w:val="22"/>
              </w:rPr>
              <w:lastRenderedPageBreak/>
              <w:t>Č. 3</w:t>
            </w:r>
          </w:p>
        </w:tc>
        <w:tc>
          <w:tcPr>
            <w:tcW w:w="4501" w:type="dxa"/>
            <w:gridSpan w:val="2"/>
          </w:tcPr>
          <w:p w:rsidR="00D80BCA" w:rsidRPr="00607C97" w:rsidRDefault="00DA2A29" w:rsidP="009E5B50">
            <w:pPr>
              <w:pStyle w:val="Normlny0"/>
              <w:rPr>
                <w:szCs w:val="22"/>
              </w:rPr>
            </w:pPr>
            <w:r w:rsidRPr="00607C97">
              <w:rPr>
                <w:szCs w:val="22"/>
              </w:rPr>
              <w:t>Táto smernica nadobúda účinnosť dvadsiatym dňom po jej uverejnení v Úradnom vestníku Európskej únie.</w:t>
            </w:r>
          </w:p>
        </w:tc>
        <w:tc>
          <w:tcPr>
            <w:tcW w:w="1260" w:type="dxa"/>
            <w:gridSpan w:val="2"/>
          </w:tcPr>
          <w:p w:rsidR="00D80BCA" w:rsidRPr="00607C97" w:rsidRDefault="00D80BCA" w:rsidP="00EC5CA8">
            <w:pPr>
              <w:pStyle w:val="Normlny0"/>
              <w:rPr>
                <w:szCs w:val="22"/>
              </w:rPr>
            </w:pPr>
            <w:r w:rsidRPr="00607C97">
              <w:rPr>
                <w:szCs w:val="22"/>
              </w:rPr>
              <w:t>n. a</w:t>
            </w:r>
          </w:p>
        </w:tc>
        <w:tc>
          <w:tcPr>
            <w:tcW w:w="1260" w:type="dxa"/>
          </w:tcPr>
          <w:p w:rsidR="00D80BCA" w:rsidRPr="00607C97" w:rsidRDefault="00D80BCA" w:rsidP="00EC5CA8">
            <w:pPr>
              <w:pStyle w:val="Normlny0"/>
              <w:rPr>
                <w:color w:val="FF0000"/>
                <w:szCs w:val="22"/>
              </w:rPr>
            </w:pPr>
          </w:p>
        </w:tc>
        <w:tc>
          <w:tcPr>
            <w:tcW w:w="1260" w:type="dxa"/>
            <w:gridSpan w:val="2"/>
          </w:tcPr>
          <w:p w:rsidR="00D80BCA" w:rsidRPr="00607C97" w:rsidRDefault="00D80BCA" w:rsidP="002A554C">
            <w:pPr>
              <w:rPr>
                <w:sz w:val="20"/>
                <w:szCs w:val="22"/>
              </w:rPr>
            </w:pPr>
          </w:p>
        </w:tc>
        <w:tc>
          <w:tcPr>
            <w:tcW w:w="4500" w:type="dxa"/>
          </w:tcPr>
          <w:p w:rsidR="00D80BCA" w:rsidRPr="00607C97" w:rsidRDefault="00D80BCA" w:rsidP="00F169F4">
            <w:pPr>
              <w:autoSpaceDE/>
              <w:autoSpaceDN/>
              <w:contextualSpacing/>
              <w:rPr>
                <w:sz w:val="20"/>
                <w:szCs w:val="22"/>
              </w:rPr>
            </w:pPr>
          </w:p>
        </w:tc>
        <w:tc>
          <w:tcPr>
            <w:tcW w:w="720" w:type="dxa"/>
          </w:tcPr>
          <w:p w:rsidR="00D80BCA" w:rsidRPr="00607C97" w:rsidRDefault="002809E5" w:rsidP="00EC5CA8">
            <w:pPr>
              <w:pStyle w:val="Normlny0"/>
              <w:rPr>
                <w:szCs w:val="22"/>
              </w:rPr>
            </w:pPr>
            <w:r w:rsidRPr="00607C97">
              <w:rPr>
                <w:szCs w:val="22"/>
              </w:rPr>
              <w:t>n. a</w:t>
            </w:r>
          </w:p>
        </w:tc>
        <w:tc>
          <w:tcPr>
            <w:tcW w:w="1805" w:type="dxa"/>
            <w:gridSpan w:val="2"/>
          </w:tcPr>
          <w:p w:rsidR="00D80BCA" w:rsidRPr="00607C97" w:rsidRDefault="00D80BCA" w:rsidP="00F169F4">
            <w:pPr>
              <w:pStyle w:val="Normlny0"/>
              <w:rPr>
                <w:bCs/>
                <w:szCs w:val="22"/>
              </w:rPr>
            </w:pPr>
          </w:p>
        </w:tc>
      </w:tr>
      <w:tr w:rsidR="00D80BCA" w:rsidRPr="006F6E42" w:rsidTr="002809E5">
        <w:trPr>
          <w:trHeight w:val="457"/>
          <w:jc w:val="center"/>
        </w:trPr>
        <w:tc>
          <w:tcPr>
            <w:tcW w:w="899" w:type="dxa"/>
          </w:tcPr>
          <w:p w:rsidR="00D80BCA" w:rsidRPr="00607C97" w:rsidRDefault="00D80BCA" w:rsidP="00D80BCA">
            <w:pPr>
              <w:pStyle w:val="Normlny0"/>
              <w:rPr>
                <w:szCs w:val="22"/>
              </w:rPr>
            </w:pPr>
            <w:r w:rsidRPr="00607C97">
              <w:rPr>
                <w:szCs w:val="22"/>
              </w:rPr>
              <w:t>Č. 4</w:t>
            </w:r>
          </w:p>
        </w:tc>
        <w:tc>
          <w:tcPr>
            <w:tcW w:w="4501" w:type="dxa"/>
            <w:gridSpan w:val="2"/>
          </w:tcPr>
          <w:p w:rsidR="00D80BCA" w:rsidRPr="00607C97" w:rsidRDefault="00DA2A29" w:rsidP="009E5B50">
            <w:pPr>
              <w:pStyle w:val="Normlny0"/>
              <w:rPr>
                <w:szCs w:val="22"/>
              </w:rPr>
            </w:pPr>
            <w:r w:rsidRPr="00607C97">
              <w:rPr>
                <w:szCs w:val="22"/>
              </w:rPr>
              <w:t>Táto smernica je určená členským štátom.</w:t>
            </w:r>
          </w:p>
        </w:tc>
        <w:tc>
          <w:tcPr>
            <w:tcW w:w="1260" w:type="dxa"/>
            <w:gridSpan w:val="2"/>
          </w:tcPr>
          <w:p w:rsidR="00D80BCA" w:rsidRPr="00607C97" w:rsidRDefault="00D80BCA" w:rsidP="00EC5CA8">
            <w:pPr>
              <w:pStyle w:val="Normlny0"/>
              <w:rPr>
                <w:szCs w:val="22"/>
              </w:rPr>
            </w:pPr>
            <w:r w:rsidRPr="00607C97">
              <w:rPr>
                <w:szCs w:val="22"/>
              </w:rPr>
              <w:t>n. a</w:t>
            </w:r>
          </w:p>
        </w:tc>
        <w:tc>
          <w:tcPr>
            <w:tcW w:w="1260" w:type="dxa"/>
          </w:tcPr>
          <w:p w:rsidR="00D80BCA" w:rsidRPr="00607C97" w:rsidRDefault="00D80BCA" w:rsidP="00EC5CA8">
            <w:pPr>
              <w:pStyle w:val="Normlny0"/>
              <w:rPr>
                <w:color w:val="FF0000"/>
                <w:szCs w:val="22"/>
              </w:rPr>
            </w:pPr>
          </w:p>
        </w:tc>
        <w:tc>
          <w:tcPr>
            <w:tcW w:w="1260" w:type="dxa"/>
            <w:gridSpan w:val="2"/>
          </w:tcPr>
          <w:p w:rsidR="00D80BCA" w:rsidRPr="00607C97" w:rsidRDefault="00D80BCA" w:rsidP="002A554C">
            <w:pPr>
              <w:rPr>
                <w:sz w:val="20"/>
                <w:szCs w:val="22"/>
              </w:rPr>
            </w:pPr>
          </w:p>
        </w:tc>
        <w:tc>
          <w:tcPr>
            <w:tcW w:w="4500" w:type="dxa"/>
          </w:tcPr>
          <w:p w:rsidR="00D80BCA" w:rsidRPr="00607C97" w:rsidRDefault="00D80BCA" w:rsidP="00F169F4">
            <w:pPr>
              <w:autoSpaceDE/>
              <w:autoSpaceDN/>
              <w:contextualSpacing/>
              <w:rPr>
                <w:sz w:val="20"/>
                <w:szCs w:val="22"/>
              </w:rPr>
            </w:pPr>
          </w:p>
        </w:tc>
        <w:tc>
          <w:tcPr>
            <w:tcW w:w="720" w:type="dxa"/>
          </w:tcPr>
          <w:p w:rsidR="00D80BCA" w:rsidRPr="00607C97" w:rsidRDefault="002809E5" w:rsidP="00EC5CA8">
            <w:pPr>
              <w:pStyle w:val="Normlny0"/>
              <w:rPr>
                <w:szCs w:val="22"/>
              </w:rPr>
            </w:pPr>
            <w:r w:rsidRPr="00607C97">
              <w:rPr>
                <w:szCs w:val="22"/>
              </w:rPr>
              <w:t>n. a</w:t>
            </w:r>
          </w:p>
        </w:tc>
        <w:tc>
          <w:tcPr>
            <w:tcW w:w="1805" w:type="dxa"/>
            <w:gridSpan w:val="2"/>
          </w:tcPr>
          <w:p w:rsidR="00D80BCA" w:rsidRPr="00607C97" w:rsidRDefault="00D80BCA" w:rsidP="00F169F4">
            <w:pPr>
              <w:pStyle w:val="Normlny0"/>
              <w:rPr>
                <w:bCs/>
                <w:szCs w:val="22"/>
              </w:rPr>
            </w:pPr>
          </w:p>
        </w:tc>
      </w:tr>
      <w:tr w:rsidR="00776062" w:rsidRPr="006F6E42" w:rsidTr="002809E5">
        <w:trPr>
          <w:trHeight w:val="457"/>
          <w:jc w:val="center"/>
        </w:trPr>
        <w:tc>
          <w:tcPr>
            <w:tcW w:w="899" w:type="dxa"/>
          </w:tcPr>
          <w:p w:rsidR="00776062" w:rsidRPr="007932AE" w:rsidRDefault="00776062" w:rsidP="00D80BCA">
            <w:pPr>
              <w:pStyle w:val="Normlny0"/>
              <w:rPr>
                <w:szCs w:val="22"/>
              </w:rPr>
            </w:pPr>
            <w:r>
              <w:rPr>
                <w:szCs w:val="22"/>
              </w:rPr>
              <w:t xml:space="preserve">Príloha </w:t>
            </w:r>
          </w:p>
        </w:tc>
        <w:tc>
          <w:tcPr>
            <w:tcW w:w="4501" w:type="dxa"/>
            <w:gridSpan w:val="2"/>
          </w:tcPr>
          <w:p w:rsidR="00776062" w:rsidRPr="00607C97" w:rsidRDefault="00776062" w:rsidP="00776062">
            <w:pPr>
              <w:autoSpaceDE/>
              <w:autoSpaceDN/>
              <w:spacing w:before="100" w:beforeAutospacing="1" w:after="100" w:afterAutospacing="1"/>
              <w:rPr>
                <w:sz w:val="20"/>
                <w:szCs w:val="20"/>
              </w:rPr>
            </w:pPr>
            <w:r w:rsidRPr="00607C97">
              <w:rPr>
                <w:sz w:val="20"/>
                <w:szCs w:val="20"/>
              </w:rPr>
              <w:t>Dopĺňa sa táto príloha:</w:t>
            </w:r>
          </w:p>
          <w:p w:rsidR="00776062" w:rsidRPr="00607C97" w:rsidRDefault="00776062" w:rsidP="00776062">
            <w:pPr>
              <w:autoSpaceDE/>
              <w:autoSpaceDN/>
              <w:spacing w:before="100" w:beforeAutospacing="1" w:after="100" w:afterAutospacing="1"/>
              <w:rPr>
                <w:sz w:val="20"/>
                <w:szCs w:val="20"/>
              </w:rPr>
            </w:pPr>
            <w:r w:rsidRPr="00607C97">
              <w:rPr>
                <w:sz w:val="20"/>
                <w:szCs w:val="20"/>
              </w:rPr>
              <w:t>„PRÍLOHA IV</w:t>
            </w:r>
          </w:p>
          <w:p w:rsidR="00776062" w:rsidRPr="00607C97" w:rsidRDefault="00776062" w:rsidP="00776062">
            <w:pPr>
              <w:autoSpaceDE/>
              <w:autoSpaceDN/>
              <w:spacing w:before="100" w:beforeAutospacing="1" w:after="100" w:afterAutospacing="1"/>
              <w:rPr>
                <w:sz w:val="20"/>
                <w:szCs w:val="20"/>
              </w:rPr>
            </w:pPr>
            <w:r w:rsidRPr="00607C97">
              <w:rPr>
                <w:sz w:val="20"/>
                <w:szCs w:val="20"/>
              </w:rPr>
              <w:t>VYKONÁVACÍ PLÁN, KTORÝ SA MÁ PREDLOŽIŤ PODĽA ČLÁNKU 5 ODS. 6</w:t>
            </w:r>
          </w:p>
          <w:p w:rsidR="00776062" w:rsidRPr="00607C97" w:rsidRDefault="00776062" w:rsidP="00776062">
            <w:pPr>
              <w:autoSpaceDE/>
              <w:autoSpaceDN/>
              <w:spacing w:before="100" w:beforeAutospacing="1" w:after="100" w:afterAutospacing="1"/>
              <w:rPr>
                <w:sz w:val="20"/>
                <w:szCs w:val="20"/>
              </w:rPr>
            </w:pPr>
            <w:r w:rsidRPr="00607C97">
              <w:rPr>
                <w:sz w:val="20"/>
                <w:szCs w:val="20"/>
              </w:rPr>
              <w:t>Vykonávací plán, ktorý sa má predložiť podľa článku 5 ods. 6, obsahuje:</w:t>
            </w:r>
          </w:p>
          <w:tbl>
            <w:tblPr>
              <w:tblW w:w="5000" w:type="pct"/>
              <w:tblCellSpacing w:w="0" w:type="dxa"/>
              <w:tblLayout w:type="fixed"/>
              <w:tblCellMar>
                <w:left w:w="0" w:type="dxa"/>
                <w:right w:w="0" w:type="dxa"/>
              </w:tblCellMar>
              <w:tblLook w:val="04A0" w:firstRow="1" w:lastRow="0" w:firstColumn="1" w:lastColumn="0" w:noHBand="0" w:noVBand="1"/>
            </w:tblPr>
            <w:tblGrid>
              <w:gridCol w:w="95"/>
              <w:gridCol w:w="4320"/>
            </w:tblGrid>
            <w:tr w:rsidR="00776062" w:rsidRPr="00776062" w:rsidTr="00776062">
              <w:trPr>
                <w:tblCellSpacing w:w="0" w:type="dxa"/>
              </w:trPr>
              <w:tc>
                <w:tcPr>
                  <w:tcW w:w="180"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1.</w:t>
                  </w:r>
                </w:p>
              </w:tc>
              <w:tc>
                <w:tcPr>
                  <w:tcW w:w="9226"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Posúdenie minulých, súčasných a plánovaných mier recyklácie, skládkovania a iného spracovania komunálneho odpadu a prúdov, z ktorých sa skladá;</w:t>
                  </w:r>
                </w:p>
              </w:tc>
            </w:tr>
          </w:tbl>
          <w:p w:rsidR="00776062" w:rsidRPr="00607C97" w:rsidRDefault="00776062" w:rsidP="00776062">
            <w:pPr>
              <w:autoSpaceDE/>
              <w:autoSpaceDN/>
              <w:rPr>
                <w:vanish/>
                <w:sz w:val="20"/>
                <w:szCs w:val="20"/>
              </w:rPr>
            </w:pPr>
          </w:p>
          <w:tbl>
            <w:tblPr>
              <w:tblW w:w="5000" w:type="pct"/>
              <w:tblCellSpacing w:w="0" w:type="dxa"/>
              <w:tblLayout w:type="fixed"/>
              <w:tblCellMar>
                <w:left w:w="0" w:type="dxa"/>
                <w:right w:w="0" w:type="dxa"/>
              </w:tblCellMar>
              <w:tblLook w:val="04A0" w:firstRow="1" w:lastRow="0" w:firstColumn="1" w:lastColumn="0" w:noHBand="0" w:noVBand="1"/>
            </w:tblPr>
            <w:tblGrid>
              <w:gridCol w:w="95"/>
              <w:gridCol w:w="4320"/>
            </w:tblGrid>
            <w:tr w:rsidR="00776062" w:rsidRPr="00776062" w:rsidTr="00776062">
              <w:trPr>
                <w:tblCellSpacing w:w="0" w:type="dxa"/>
              </w:trPr>
              <w:tc>
                <w:tcPr>
                  <w:tcW w:w="180"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2.</w:t>
                  </w:r>
                </w:p>
              </w:tc>
              <w:tc>
                <w:tcPr>
                  <w:tcW w:w="9226"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posúdenie vykonávania programov odpadového hospodárstva a programov predchádzania vzniku odpadu zavedených podľa článkov 28 a 29 smernice 2008/98/ES;</w:t>
                  </w:r>
                </w:p>
              </w:tc>
            </w:tr>
          </w:tbl>
          <w:p w:rsidR="00776062" w:rsidRPr="00607C97" w:rsidRDefault="00776062" w:rsidP="00776062">
            <w:pPr>
              <w:autoSpaceDE/>
              <w:autoSpaceDN/>
              <w:rPr>
                <w:vanish/>
                <w:sz w:val="20"/>
                <w:szCs w:val="20"/>
              </w:rPr>
            </w:pPr>
          </w:p>
          <w:tbl>
            <w:tblPr>
              <w:tblW w:w="5000" w:type="pct"/>
              <w:tblCellSpacing w:w="0" w:type="dxa"/>
              <w:tblLayout w:type="fixed"/>
              <w:tblCellMar>
                <w:left w:w="0" w:type="dxa"/>
                <w:right w:w="0" w:type="dxa"/>
              </w:tblCellMar>
              <w:tblLook w:val="04A0" w:firstRow="1" w:lastRow="0" w:firstColumn="1" w:lastColumn="0" w:noHBand="0" w:noVBand="1"/>
            </w:tblPr>
            <w:tblGrid>
              <w:gridCol w:w="95"/>
              <w:gridCol w:w="4320"/>
            </w:tblGrid>
            <w:tr w:rsidR="00776062" w:rsidRPr="00776062" w:rsidTr="00776062">
              <w:trPr>
                <w:tblCellSpacing w:w="0" w:type="dxa"/>
              </w:trPr>
              <w:tc>
                <w:tcPr>
                  <w:tcW w:w="180"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3.</w:t>
                  </w:r>
                </w:p>
              </w:tc>
              <w:tc>
                <w:tcPr>
                  <w:tcW w:w="9226"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dôvody, pre ktoré sa členský štát domnieva, že by nemusel byť schopný dosiahnuť príslušný cieľ stanovený v článku 5 ods. 5 v stanovenej lehote a posúdenie predĺženia lehoty potrebnej na dosiahnutie tohto cieľa;</w:t>
                  </w:r>
                </w:p>
              </w:tc>
            </w:tr>
          </w:tbl>
          <w:p w:rsidR="00776062" w:rsidRPr="00607C97" w:rsidRDefault="00776062" w:rsidP="00776062">
            <w:pPr>
              <w:autoSpaceDE/>
              <w:autoSpaceDN/>
              <w:rPr>
                <w:vanish/>
                <w:sz w:val="20"/>
                <w:szCs w:val="20"/>
              </w:rPr>
            </w:pPr>
          </w:p>
          <w:tbl>
            <w:tblPr>
              <w:tblW w:w="5000" w:type="pct"/>
              <w:tblCellSpacing w:w="0" w:type="dxa"/>
              <w:tblLayout w:type="fixed"/>
              <w:tblCellMar>
                <w:left w:w="0" w:type="dxa"/>
                <w:right w:w="0" w:type="dxa"/>
              </w:tblCellMar>
              <w:tblLook w:val="04A0" w:firstRow="1" w:lastRow="0" w:firstColumn="1" w:lastColumn="0" w:noHBand="0" w:noVBand="1"/>
            </w:tblPr>
            <w:tblGrid>
              <w:gridCol w:w="95"/>
              <w:gridCol w:w="4320"/>
            </w:tblGrid>
            <w:tr w:rsidR="00776062" w:rsidRPr="00776062" w:rsidTr="00776062">
              <w:trPr>
                <w:tblCellSpacing w:w="0" w:type="dxa"/>
              </w:trPr>
              <w:tc>
                <w:tcPr>
                  <w:tcW w:w="180"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lastRenderedPageBreak/>
                    <w:t>4.</w:t>
                  </w:r>
                </w:p>
              </w:tc>
              <w:tc>
                <w:tcPr>
                  <w:tcW w:w="9226"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 xml:space="preserve">opatrenia potrebné na dosiahnutie cieľov stanovených v článku 5 ods. 8 tejto smernice, ktoré sa uplatňujú na členský štát počas predĺženia lehoty vrátane vhodných hospodárskych nástrojov a iných opatrení na stimulovanie uplatňovania hierarchie odpadového hospodárstva stanovenej v článku 4 ods. 1 smernice 2008/98/ES a jej prílohy </w:t>
                  </w:r>
                  <w:proofErr w:type="spellStart"/>
                  <w:r w:rsidRPr="00607C97">
                    <w:rPr>
                      <w:sz w:val="20"/>
                      <w:szCs w:val="20"/>
                    </w:rPr>
                    <w:t>IVa</w:t>
                  </w:r>
                  <w:proofErr w:type="spellEnd"/>
                  <w:r w:rsidRPr="00607C97">
                    <w:rPr>
                      <w:sz w:val="20"/>
                      <w:szCs w:val="20"/>
                    </w:rPr>
                    <w:t>;</w:t>
                  </w:r>
                </w:p>
              </w:tc>
            </w:tr>
          </w:tbl>
          <w:p w:rsidR="00776062" w:rsidRPr="00607C97" w:rsidRDefault="00776062" w:rsidP="00776062">
            <w:pPr>
              <w:autoSpaceDE/>
              <w:autoSpaceDN/>
              <w:rPr>
                <w:vanish/>
                <w:sz w:val="20"/>
                <w:szCs w:val="20"/>
              </w:rPr>
            </w:pPr>
          </w:p>
          <w:tbl>
            <w:tblPr>
              <w:tblW w:w="5000" w:type="pct"/>
              <w:tblCellSpacing w:w="0" w:type="dxa"/>
              <w:tblLayout w:type="fixed"/>
              <w:tblCellMar>
                <w:left w:w="0" w:type="dxa"/>
                <w:right w:w="0" w:type="dxa"/>
              </w:tblCellMar>
              <w:tblLook w:val="04A0" w:firstRow="1" w:lastRow="0" w:firstColumn="1" w:lastColumn="0" w:noHBand="0" w:noVBand="1"/>
            </w:tblPr>
            <w:tblGrid>
              <w:gridCol w:w="95"/>
              <w:gridCol w:w="4320"/>
            </w:tblGrid>
            <w:tr w:rsidR="00776062" w:rsidRPr="00776062" w:rsidTr="00776062">
              <w:trPr>
                <w:tblCellSpacing w:w="0" w:type="dxa"/>
              </w:trPr>
              <w:tc>
                <w:tcPr>
                  <w:tcW w:w="180"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5.</w:t>
                  </w:r>
                </w:p>
              </w:tc>
              <w:tc>
                <w:tcPr>
                  <w:tcW w:w="9226"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harmonogram vykonávania opatrení uvedených v bode 4, určenie orgánu zodpovedného za ich vykonávanie a hodnotenie ich individuálneho prínosu k dosiahnutiu cieľov uplatniteľných v prípade predĺženia lehoty;</w:t>
                  </w:r>
                </w:p>
              </w:tc>
            </w:tr>
          </w:tbl>
          <w:p w:rsidR="00776062" w:rsidRPr="00607C97" w:rsidRDefault="00776062" w:rsidP="00776062">
            <w:pPr>
              <w:autoSpaceDE/>
              <w:autoSpaceDN/>
              <w:rPr>
                <w:vanish/>
                <w:sz w:val="20"/>
                <w:szCs w:val="20"/>
              </w:rPr>
            </w:pPr>
          </w:p>
          <w:tbl>
            <w:tblPr>
              <w:tblW w:w="5000" w:type="pct"/>
              <w:tblCellSpacing w:w="0" w:type="dxa"/>
              <w:tblLayout w:type="fixed"/>
              <w:tblCellMar>
                <w:left w:w="0" w:type="dxa"/>
                <w:right w:w="0" w:type="dxa"/>
              </w:tblCellMar>
              <w:tblLook w:val="04A0" w:firstRow="1" w:lastRow="0" w:firstColumn="1" w:lastColumn="0" w:noHBand="0" w:noVBand="1"/>
            </w:tblPr>
            <w:tblGrid>
              <w:gridCol w:w="96"/>
              <w:gridCol w:w="4319"/>
            </w:tblGrid>
            <w:tr w:rsidR="00776062" w:rsidRPr="00776062" w:rsidTr="00776062">
              <w:trPr>
                <w:tblCellSpacing w:w="0" w:type="dxa"/>
              </w:trPr>
              <w:tc>
                <w:tcPr>
                  <w:tcW w:w="183"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6.</w:t>
                  </w:r>
                </w:p>
              </w:tc>
              <w:tc>
                <w:tcPr>
                  <w:tcW w:w="9223"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informácie o financovaní odpadového hospodárstva v súlade so zásadou „znečisťovateľ platí“;</w:t>
                  </w:r>
                </w:p>
              </w:tc>
            </w:tr>
          </w:tbl>
          <w:p w:rsidR="00776062" w:rsidRPr="00607C97" w:rsidRDefault="00776062" w:rsidP="00776062">
            <w:pPr>
              <w:autoSpaceDE/>
              <w:autoSpaceDN/>
              <w:rPr>
                <w:vanish/>
                <w:sz w:val="20"/>
                <w:szCs w:val="20"/>
              </w:rPr>
            </w:pPr>
          </w:p>
          <w:tbl>
            <w:tblPr>
              <w:tblW w:w="5000" w:type="pct"/>
              <w:tblCellSpacing w:w="0" w:type="dxa"/>
              <w:tblLayout w:type="fixed"/>
              <w:tblCellMar>
                <w:left w:w="0" w:type="dxa"/>
                <w:right w:w="0" w:type="dxa"/>
              </w:tblCellMar>
              <w:tblLook w:val="04A0" w:firstRow="1" w:lastRow="0" w:firstColumn="1" w:lastColumn="0" w:noHBand="0" w:noVBand="1"/>
            </w:tblPr>
            <w:tblGrid>
              <w:gridCol w:w="95"/>
              <w:gridCol w:w="4320"/>
            </w:tblGrid>
            <w:tr w:rsidR="00776062" w:rsidRPr="00776062" w:rsidTr="00776062">
              <w:trPr>
                <w:tblCellSpacing w:w="0" w:type="dxa"/>
              </w:trPr>
              <w:tc>
                <w:tcPr>
                  <w:tcW w:w="180"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7.</w:t>
                  </w:r>
                </w:p>
              </w:tc>
              <w:tc>
                <w:tcPr>
                  <w:tcW w:w="9226" w:type="dxa"/>
                  <w:hideMark/>
                </w:tcPr>
                <w:p w:rsidR="00776062" w:rsidRPr="00607C97" w:rsidRDefault="00776062" w:rsidP="00776062">
                  <w:pPr>
                    <w:autoSpaceDE/>
                    <w:autoSpaceDN/>
                    <w:spacing w:before="100" w:beforeAutospacing="1" w:after="100" w:afterAutospacing="1"/>
                    <w:rPr>
                      <w:sz w:val="20"/>
                      <w:szCs w:val="20"/>
                    </w:rPr>
                  </w:pPr>
                  <w:r w:rsidRPr="00607C97">
                    <w:rPr>
                      <w:sz w:val="20"/>
                      <w:szCs w:val="20"/>
                    </w:rPr>
                    <w:t>opatrenia na zlepšenie kvality údajov s cieľom lepšie plánovať a monitorovať výkonnosť odpadového hospodárstva.“</w:t>
                  </w:r>
                </w:p>
              </w:tc>
            </w:tr>
          </w:tbl>
          <w:p w:rsidR="00776062" w:rsidRPr="00835D52" w:rsidRDefault="00776062" w:rsidP="009E5B50">
            <w:pPr>
              <w:pStyle w:val="Normlny0"/>
            </w:pPr>
          </w:p>
        </w:tc>
        <w:tc>
          <w:tcPr>
            <w:tcW w:w="1260" w:type="dxa"/>
            <w:gridSpan w:val="2"/>
          </w:tcPr>
          <w:p w:rsidR="00776062" w:rsidRPr="007932AE" w:rsidRDefault="00776062" w:rsidP="00EC5CA8">
            <w:pPr>
              <w:pStyle w:val="Normlny0"/>
              <w:rPr>
                <w:szCs w:val="22"/>
              </w:rPr>
            </w:pPr>
            <w:proofErr w:type="spellStart"/>
            <w:r>
              <w:rPr>
                <w:szCs w:val="22"/>
              </w:rPr>
              <w:lastRenderedPageBreak/>
              <w:t>n.a</w:t>
            </w:r>
            <w:proofErr w:type="spellEnd"/>
          </w:p>
        </w:tc>
        <w:tc>
          <w:tcPr>
            <w:tcW w:w="1260" w:type="dxa"/>
          </w:tcPr>
          <w:p w:rsidR="00776062" w:rsidRPr="007932AE" w:rsidRDefault="00776062" w:rsidP="00EC5CA8">
            <w:pPr>
              <w:pStyle w:val="Normlny0"/>
              <w:rPr>
                <w:color w:val="FF0000"/>
                <w:szCs w:val="22"/>
              </w:rPr>
            </w:pPr>
          </w:p>
        </w:tc>
        <w:tc>
          <w:tcPr>
            <w:tcW w:w="1260" w:type="dxa"/>
            <w:gridSpan w:val="2"/>
          </w:tcPr>
          <w:p w:rsidR="00776062" w:rsidRPr="007932AE" w:rsidRDefault="00776062" w:rsidP="002A554C">
            <w:pPr>
              <w:rPr>
                <w:sz w:val="20"/>
                <w:szCs w:val="22"/>
              </w:rPr>
            </w:pPr>
          </w:p>
        </w:tc>
        <w:tc>
          <w:tcPr>
            <w:tcW w:w="4500" w:type="dxa"/>
          </w:tcPr>
          <w:p w:rsidR="00776062" w:rsidRPr="007932AE" w:rsidRDefault="00776062" w:rsidP="00F169F4">
            <w:pPr>
              <w:autoSpaceDE/>
              <w:autoSpaceDN/>
              <w:contextualSpacing/>
              <w:rPr>
                <w:sz w:val="20"/>
                <w:szCs w:val="22"/>
              </w:rPr>
            </w:pPr>
          </w:p>
        </w:tc>
        <w:tc>
          <w:tcPr>
            <w:tcW w:w="720" w:type="dxa"/>
          </w:tcPr>
          <w:p w:rsidR="00776062" w:rsidRPr="007932AE" w:rsidRDefault="00776062" w:rsidP="00EC5CA8">
            <w:pPr>
              <w:pStyle w:val="Normlny0"/>
              <w:rPr>
                <w:szCs w:val="22"/>
              </w:rPr>
            </w:pPr>
            <w:proofErr w:type="spellStart"/>
            <w:r>
              <w:rPr>
                <w:szCs w:val="22"/>
              </w:rPr>
              <w:t>n.a</w:t>
            </w:r>
            <w:proofErr w:type="spellEnd"/>
          </w:p>
        </w:tc>
        <w:tc>
          <w:tcPr>
            <w:tcW w:w="1805" w:type="dxa"/>
            <w:gridSpan w:val="2"/>
          </w:tcPr>
          <w:p w:rsidR="00776062" w:rsidRPr="007932AE" w:rsidRDefault="00776062" w:rsidP="00F169F4">
            <w:pPr>
              <w:pStyle w:val="Normlny0"/>
              <w:rPr>
                <w:bCs/>
                <w:szCs w:val="22"/>
              </w:rPr>
            </w:pPr>
          </w:p>
        </w:tc>
      </w:tr>
      <w:tr w:rsidR="00AA0795" w:rsidRPr="00D60397" w:rsidTr="002809E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475" w:type="dxa"/>
        </w:trPr>
        <w:tc>
          <w:tcPr>
            <w:tcW w:w="2410" w:type="dxa"/>
            <w:gridSpan w:val="2"/>
            <w:tcBorders>
              <w:top w:val="nil"/>
              <w:left w:val="nil"/>
              <w:bottom w:val="nil"/>
              <w:right w:val="nil"/>
            </w:tcBorders>
          </w:tcPr>
          <w:p w:rsidR="00AA0795" w:rsidRDefault="00AA0795" w:rsidP="00EC5CA8">
            <w:pPr>
              <w:pStyle w:val="Normlny0"/>
              <w:rPr>
                <w:sz w:val="18"/>
                <w:szCs w:val="18"/>
                <w:lang w:eastAsia="sk-SK"/>
              </w:rPr>
            </w:pPr>
          </w:p>
          <w:p w:rsidR="00AA0795" w:rsidRDefault="00AA0795" w:rsidP="00EC5CA8">
            <w:pPr>
              <w:pStyle w:val="Normlny0"/>
              <w:rPr>
                <w:sz w:val="18"/>
                <w:szCs w:val="18"/>
                <w:lang w:eastAsia="sk-SK"/>
              </w:rPr>
            </w:pPr>
            <w:r>
              <w:rPr>
                <w:sz w:val="18"/>
                <w:szCs w:val="18"/>
                <w:lang w:eastAsia="sk-SK"/>
              </w:rPr>
              <w:t>LEGENDA</w:t>
            </w:r>
          </w:p>
          <w:p w:rsidR="00AA0795" w:rsidRPr="00D60397" w:rsidRDefault="00AA0795" w:rsidP="00EC5CA8">
            <w:pPr>
              <w:pStyle w:val="Normlny0"/>
              <w:rPr>
                <w:sz w:val="18"/>
                <w:szCs w:val="18"/>
                <w:lang w:eastAsia="sk-SK"/>
              </w:rPr>
            </w:pPr>
            <w:r w:rsidRPr="00D60397">
              <w:rPr>
                <w:sz w:val="18"/>
                <w:szCs w:val="18"/>
                <w:lang w:eastAsia="sk-SK"/>
              </w:rPr>
              <w:t>V stĺpci (1):</w:t>
            </w:r>
          </w:p>
          <w:p w:rsidR="00AA0795" w:rsidRPr="00D60397" w:rsidRDefault="00AA0795" w:rsidP="00EC5CA8">
            <w:pPr>
              <w:pStyle w:val="Normlny0"/>
              <w:rPr>
                <w:sz w:val="18"/>
                <w:szCs w:val="18"/>
              </w:rPr>
            </w:pPr>
            <w:r w:rsidRPr="00D60397">
              <w:rPr>
                <w:sz w:val="18"/>
                <w:szCs w:val="18"/>
              </w:rPr>
              <w:t>Č – článok</w:t>
            </w:r>
          </w:p>
          <w:p w:rsidR="00AA0795" w:rsidRPr="00D60397" w:rsidRDefault="00AA0795" w:rsidP="00EC5CA8">
            <w:pPr>
              <w:pStyle w:val="Normlny0"/>
              <w:rPr>
                <w:sz w:val="18"/>
                <w:szCs w:val="18"/>
              </w:rPr>
            </w:pPr>
            <w:r w:rsidRPr="00D60397">
              <w:rPr>
                <w:sz w:val="18"/>
                <w:szCs w:val="18"/>
              </w:rPr>
              <w:t>O – odsek</w:t>
            </w:r>
          </w:p>
          <w:p w:rsidR="00AA0795" w:rsidRPr="00D60397" w:rsidRDefault="00AA0795" w:rsidP="00EC5CA8">
            <w:pPr>
              <w:pStyle w:val="Normlny0"/>
              <w:rPr>
                <w:sz w:val="18"/>
                <w:szCs w:val="18"/>
              </w:rPr>
            </w:pPr>
            <w:r w:rsidRPr="00D60397">
              <w:rPr>
                <w:sz w:val="18"/>
                <w:szCs w:val="18"/>
              </w:rPr>
              <w:t>V – veta</w:t>
            </w:r>
          </w:p>
          <w:p w:rsidR="00AA0795" w:rsidRPr="00D60397" w:rsidRDefault="00AA0795" w:rsidP="00EC5CA8">
            <w:pPr>
              <w:pStyle w:val="Normlny0"/>
              <w:rPr>
                <w:sz w:val="18"/>
                <w:szCs w:val="18"/>
              </w:rPr>
            </w:pPr>
            <w:r w:rsidRPr="00D60397">
              <w:rPr>
                <w:sz w:val="18"/>
                <w:szCs w:val="18"/>
              </w:rPr>
              <w:t>P – číslo (písmeno)</w:t>
            </w:r>
          </w:p>
          <w:p w:rsidR="00AA0795" w:rsidRPr="00D60397" w:rsidRDefault="00AA0795" w:rsidP="00EC5CA8">
            <w:pPr>
              <w:pStyle w:val="Normlny0"/>
              <w:rPr>
                <w:sz w:val="18"/>
                <w:szCs w:val="18"/>
              </w:rPr>
            </w:pPr>
          </w:p>
        </w:tc>
        <w:tc>
          <w:tcPr>
            <w:tcW w:w="3780" w:type="dxa"/>
            <w:gridSpan w:val="2"/>
            <w:tcBorders>
              <w:top w:val="nil"/>
              <w:left w:val="nil"/>
              <w:bottom w:val="nil"/>
              <w:right w:val="nil"/>
            </w:tcBorders>
          </w:tcPr>
          <w:p w:rsidR="00AA0795" w:rsidRDefault="00AA0795" w:rsidP="00EC5CA8">
            <w:pPr>
              <w:pStyle w:val="Normlny0"/>
              <w:rPr>
                <w:sz w:val="18"/>
                <w:szCs w:val="18"/>
                <w:lang w:eastAsia="sk-SK"/>
              </w:rPr>
            </w:pPr>
          </w:p>
          <w:p w:rsidR="00AA0795" w:rsidRDefault="00AA0795" w:rsidP="00EC5CA8">
            <w:pPr>
              <w:pStyle w:val="Normlny0"/>
              <w:rPr>
                <w:sz w:val="18"/>
                <w:szCs w:val="18"/>
                <w:lang w:eastAsia="sk-SK"/>
              </w:rPr>
            </w:pPr>
          </w:p>
          <w:p w:rsidR="00AA0795" w:rsidRPr="00D60397" w:rsidRDefault="00AA0795" w:rsidP="00EC5CA8">
            <w:pPr>
              <w:pStyle w:val="Normlny0"/>
              <w:rPr>
                <w:sz w:val="18"/>
                <w:szCs w:val="18"/>
                <w:lang w:eastAsia="sk-SK"/>
              </w:rPr>
            </w:pPr>
            <w:r w:rsidRPr="00D60397">
              <w:rPr>
                <w:sz w:val="18"/>
                <w:szCs w:val="18"/>
                <w:lang w:eastAsia="sk-SK"/>
              </w:rPr>
              <w:t>V stĺpci (3):</w:t>
            </w:r>
          </w:p>
          <w:p w:rsidR="00AA0795" w:rsidRPr="00D60397" w:rsidRDefault="00AA0795" w:rsidP="00EC5CA8">
            <w:pPr>
              <w:pStyle w:val="Normlny0"/>
              <w:rPr>
                <w:sz w:val="18"/>
                <w:szCs w:val="18"/>
              </w:rPr>
            </w:pPr>
            <w:r w:rsidRPr="00D60397">
              <w:rPr>
                <w:sz w:val="18"/>
                <w:szCs w:val="18"/>
              </w:rPr>
              <w:t>N – bežná transpozícia</w:t>
            </w:r>
          </w:p>
          <w:p w:rsidR="00AA0795" w:rsidRPr="00D60397" w:rsidRDefault="00AA0795" w:rsidP="00EC5CA8">
            <w:pPr>
              <w:pStyle w:val="Normlny0"/>
              <w:rPr>
                <w:sz w:val="18"/>
                <w:szCs w:val="18"/>
              </w:rPr>
            </w:pPr>
            <w:r w:rsidRPr="00D60397">
              <w:rPr>
                <w:sz w:val="18"/>
                <w:szCs w:val="18"/>
              </w:rPr>
              <w:t>O – transpozícia s možnosťou voľby</w:t>
            </w:r>
          </w:p>
          <w:p w:rsidR="00AA0795" w:rsidRPr="00D60397" w:rsidRDefault="00AA0795" w:rsidP="00EC5CA8">
            <w:pPr>
              <w:pStyle w:val="Normlny0"/>
              <w:rPr>
                <w:sz w:val="18"/>
                <w:szCs w:val="18"/>
              </w:rPr>
            </w:pPr>
            <w:r w:rsidRPr="00D60397">
              <w:rPr>
                <w:sz w:val="18"/>
                <w:szCs w:val="18"/>
              </w:rPr>
              <w:t>D – transpozícia podľa úvahy (dobrovoľná)</w:t>
            </w:r>
          </w:p>
          <w:p w:rsidR="00AA0795" w:rsidRPr="00D60397" w:rsidRDefault="00AA0795" w:rsidP="00EC5CA8">
            <w:pPr>
              <w:pStyle w:val="Normlny0"/>
              <w:rPr>
                <w:sz w:val="18"/>
                <w:szCs w:val="18"/>
              </w:rPr>
            </w:pPr>
            <w:r w:rsidRPr="00D60397">
              <w:rPr>
                <w:sz w:val="18"/>
                <w:szCs w:val="18"/>
              </w:rPr>
              <w:t>n.</w:t>
            </w:r>
            <w:r w:rsidR="00DA2A29">
              <w:rPr>
                <w:sz w:val="18"/>
                <w:szCs w:val="18"/>
              </w:rPr>
              <w:t xml:space="preserve"> </w:t>
            </w:r>
            <w:r w:rsidRPr="00D60397">
              <w:rPr>
                <w:sz w:val="18"/>
                <w:szCs w:val="18"/>
              </w:rPr>
              <w:t>a. – transpozícia sa neuskutočňuje</w:t>
            </w:r>
          </w:p>
        </w:tc>
        <w:tc>
          <w:tcPr>
            <w:tcW w:w="2340" w:type="dxa"/>
            <w:gridSpan w:val="3"/>
            <w:tcBorders>
              <w:top w:val="nil"/>
              <w:left w:val="nil"/>
              <w:bottom w:val="nil"/>
              <w:right w:val="nil"/>
            </w:tcBorders>
          </w:tcPr>
          <w:p w:rsidR="00AA0795" w:rsidRDefault="00AA0795" w:rsidP="00EC5CA8">
            <w:pPr>
              <w:pStyle w:val="Normlny0"/>
              <w:rPr>
                <w:sz w:val="18"/>
                <w:szCs w:val="18"/>
                <w:lang w:eastAsia="sk-SK"/>
              </w:rPr>
            </w:pPr>
          </w:p>
          <w:p w:rsidR="00AA0795" w:rsidRDefault="00AA0795" w:rsidP="00EC5CA8">
            <w:pPr>
              <w:pStyle w:val="Normlny0"/>
              <w:rPr>
                <w:sz w:val="18"/>
                <w:szCs w:val="18"/>
                <w:lang w:eastAsia="sk-SK"/>
              </w:rPr>
            </w:pPr>
          </w:p>
          <w:p w:rsidR="00AA0795" w:rsidRPr="00D60397" w:rsidRDefault="00AA0795" w:rsidP="00EC5CA8">
            <w:pPr>
              <w:pStyle w:val="Normlny0"/>
              <w:rPr>
                <w:sz w:val="18"/>
                <w:szCs w:val="18"/>
                <w:lang w:eastAsia="sk-SK"/>
              </w:rPr>
            </w:pPr>
            <w:r w:rsidRPr="00D60397">
              <w:rPr>
                <w:sz w:val="18"/>
                <w:szCs w:val="18"/>
                <w:lang w:eastAsia="sk-SK"/>
              </w:rPr>
              <w:t>V stĺpci (5):</w:t>
            </w:r>
          </w:p>
          <w:p w:rsidR="00AA0795" w:rsidRPr="00D60397" w:rsidRDefault="00AA0795" w:rsidP="00EC5CA8">
            <w:pPr>
              <w:pStyle w:val="Normlny0"/>
              <w:rPr>
                <w:sz w:val="18"/>
                <w:szCs w:val="18"/>
              </w:rPr>
            </w:pPr>
            <w:r w:rsidRPr="00D60397">
              <w:rPr>
                <w:sz w:val="18"/>
                <w:szCs w:val="18"/>
              </w:rPr>
              <w:t>Č – článok</w:t>
            </w:r>
          </w:p>
          <w:p w:rsidR="00AA0795" w:rsidRPr="00D60397" w:rsidRDefault="00AA0795" w:rsidP="00EC5CA8">
            <w:pPr>
              <w:pStyle w:val="Normlny0"/>
              <w:rPr>
                <w:sz w:val="18"/>
                <w:szCs w:val="18"/>
              </w:rPr>
            </w:pPr>
            <w:r w:rsidRPr="00D60397">
              <w:rPr>
                <w:sz w:val="18"/>
                <w:szCs w:val="18"/>
              </w:rPr>
              <w:t>§ – paragraf</w:t>
            </w:r>
          </w:p>
          <w:p w:rsidR="00AA0795" w:rsidRPr="00D60397" w:rsidRDefault="00AA0795" w:rsidP="00EC5CA8">
            <w:pPr>
              <w:pStyle w:val="Normlny0"/>
              <w:rPr>
                <w:sz w:val="18"/>
                <w:szCs w:val="18"/>
              </w:rPr>
            </w:pPr>
            <w:r w:rsidRPr="00D60397">
              <w:rPr>
                <w:sz w:val="18"/>
                <w:szCs w:val="18"/>
              </w:rPr>
              <w:t>O – odsek</w:t>
            </w:r>
          </w:p>
          <w:p w:rsidR="00AA0795" w:rsidRPr="00D60397" w:rsidRDefault="00AA0795" w:rsidP="00EC5CA8">
            <w:pPr>
              <w:pStyle w:val="Normlny0"/>
              <w:rPr>
                <w:sz w:val="18"/>
                <w:szCs w:val="18"/>
              </w:rPr>
            </w:pPr>
            <w:r w:rsidRPr="00D60397">
              <w:rPr>
                <w:sz w:val="18"/>
                <w:szCs w:val="18"/>
              </w:rPr>
              <w:t>V – veta</w:t>
            </w:r>
          </w:p>
          <w:p w:rsidR="00AA0795" w:rsidRPr="00D60397" w:rsidRDefault="00AA0795" w:rsidP="00EC5CA8">
            <w:pPr>
              <w:pStyle w:val="Normlny0"/>
              <w:rPr>
                <w:sz w:val="18"/>
                <w:szCs w:val="18"/>
              </w:rPr>
            </w:pPr>
            <w:r w:rsidRPr="00D60397">
              <w:rPr>
                <w:sz w:val="18"/>
                <w:szCs w:val="18"/>
              </w:rPr>
              <w:t>P – písmeno (číslo)</w:t>
            </w:r>
          </w:p>
        </w:tc>
        <w:tc>
          <w:tcPr>
            <w:tcW w:w="7200" w:type="dxa"/>
            <w:gridSpan w:val="4"/>
            <w:tcBorders>
              <w:top w:val="nil"/>
              <w:left w:val="nil"/>
              <w:bottom w:val="nil"/>
              <w:right w:val="nil"/>
            </w:tcBorders>
          </w:tcPr>
          <w:p w:rsidR="00AA0795" w:rsidRDefault="00AA0795" w:rsidP="00EC5CA8">
            <w:pPr>
              <w:pStyle w:val="Normlny0"/>
              <w:rPr>
                <w:sz w:val="18"/>
                <w:szCs w:val="18"/>
                <w:lang w:eastAsia="sk-SK"/>
              </w:rPr>
            </w:pPr>
          </w:p>
          <w:p w:rsidR="00AA0795" w:rsidRDefault="00AA0795" w:rsidP="00EC5CA8">
            <w:pPr>
              <w:pStyle w:val="Normlny0"/>
              <w:rPr>
                <w:sz w:val="18"/>
                <w:szCs w:val="18"/>
                <w:lang w:eastAsia="sk-SK"/>
              </w:rPr>
            </w:pPr>
          </w:p>
          <w:p w:rsidR="00AA0795" w:rsidRPr="00D60397" w:rsidRDefault="00AA0795" w:rsidP="00EC5CA8">
            <w:pPr>
              <w:pStyle w:val="Normlny0"/>
              <w:rPr>
                <w:sz w:val="18"/>
                <w:szCs w:val="18"/>
                <w:lang w:eastAsia="sk-SK"/>
              </w:rPr>
            </w:pPr>
            <w:r w:rsidRPr="00D60397">
              <w:rPr>
                <w:sz w:val="18"/>
                <w:szCs w:val="18"/>
                <w:lang w:eastAsia="sk-SK"/>
              </w:rPr>
              <w:t>V stĺpci (7):</w:t>
            </w:r>
          </w:p>
          <w:p w:rsidR="00AA0795" w:rsidRPr="00D60397" w:rsidRDefault="00AA0795" w:rsidP="00EC5CA8">
            <w:pPr>
              <w:pStyle w:val="Normlny0"/>
              <w:rPr>
                <w:sz w:val="18"/>
                <w:szCs w:val="18"/>
              </w:rPr>
            </w:pPr>
            <w:r w:rsidRPr="00D60397">
              <w:rPr>
                <w:sz w:val="18"/>
                <w:szCs w:val="18"/>
              </w:rPr>
              <w:t>Ú – úplná zhoda (ak bolo ustanovenie smernice prebraté v celom rozsahu, správne, v príslušnej forme, so zabezpečenou inštitucionálnou infraštruktúrou, s príslušnými sankciami a vo vzájomnej súvislosti)</w:t>
            </w:r>
          </w:p>
          <w:p w:rsidR="00AA0795" w:rsidRPr="00D60397" w:rsidRDefault="00AA0795" w:rsidP="00EC5CA8">
            <w:pPr>
              <w:pStyle w:val="Normlny0"/>
              <w:rPr>
                <w:sz w:val="18"/>
                <w:szCs w:val="18"/>
              </w:rPr>
            </w:pPr>
            <w:r w:rsidRPr="00D60397">
              <w:rPr>
                <w:sz w:val="18"/>
                <w:szCs w:val="18"/>
              </w:rPr>
              <w:t>Č – čiastočná zhoda (ak minimálne jedna z podmienok úplnej zhody nie je splnená)</w:t>
            </w:r>
          </w:p>
          <w:p w:rsidR="00AA0795" w:rsidRPr="00D60397" w:rsidRDefault="00AA0795" w:rsidP="00EC5CA8">
            <w:pPr>
              <w:pStyle w:val="Normlny0"/>
              <w:rPr>
                <w:sz w:val="18"/>
                <w:szCs w:val="18"/>
              </w:rPr>
            </w:pPr>
            <w:r w:rsidRPr="00D60397">
              <w:rPr>
                <w:sz w:val="18"/>
                <w:szCs w:val="18"/>
              </w:rPr>
              <w:t xml:space="preserve">Ž – žiadna zhoda (ak nebola dosiahnutá ani úplná ani </w:t>
            </w:r>
            <w:proofErr w:type="spellStart"/>
            <w:r w:rsidRPr="00D60397">
              <w:rPr>
                <w:sz w:val="18"/>
                <w:szCs w:val="18"/>
              </w:rPr>
              <w:t>čiast</w:t>
            </w:r>
            <w:proofErr w:type="spellEnd"/>
            <w:r w:rsidRPr="00D60397">
              <w:rPr>
                <w:sz w:val="18"/>
                <w:szCs w:val="18"/>
              </w:rPr>
              <w:t>. zhoda alebo k prebratiu dôjde v budúcnosti)</w:t>
            </w:r>
          </w:p>
          <w:p w:rsidR="00AA0795" w:rsidRPr="00D60397" w:rsidRDefault="00AA0795" w:rsidP="00EC5CA8">
            <w:pPr>
              <w:pStyle w:val="Normlny0"/>
              <w:rPr>
                <w:sz w:val="18"/>
                <w:szCs w:val="18"/>
              </w:rPr>
            </w:pPr>
            <w:r w:rsidRPr="00D60397">
              <w:rPr>
                <w:sz w:val="18"/>
                <w:szCs w:val="18"/>
              </w:rPr>
              <w:t>n.</w:t>
            </w:r>
            <w:r w:rsidR="00DA2A29">
              <w:rPr>
                <w:sz w:val="18"/>
                <w:szCs w:val="18"/>
              </w:rPr>
              <w:t xml:space="preserve"> </w:t>
            </w:r>
            <w:r w:rsidRPr="00D60397">
              <w:rPr>
                <w:sz w:val="18"/>
                <w:szCs w:val="18"/>
              </w:rPr>
              <w:t>a. – neaplikovateľnosť (ak sa ustanovenie smernice netýka SR alebo nie je potrebné ho prebrať)</w:t>
            </w:r>
          </w:p>
        </w:tc>
      </w:tr>
    </w:tbl>
    <w:p w:rsidR="009E5B50" w:rsidRDefault="009E5B50" w:rsidP="00AA0795">
      <w:pPr>
        <w:pStyle w:val="Normlny0"/>
      </w:pPr>
    </w:p>
    <w:sectPr w:rsidR="009E5B50" w:rsidSect="00B83EF0">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F8A" w:rsidRDefault="00B47F8A" w:rsidP="002615BD">
      <w:r>
        <w:separator/>
      </w:r>
    </w:p>
  </w:endnote>
  <w:endnote w:type="continuationSeparator" w:id="0">
    <w:p w:rsidR="00B47F8A" w:rsidRDefault="00B47F8A" w:rsidP="0026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EUAlbertina">
    <w:altName w:val="EU Albertina"/>
    <w:charset w:val="00"/>
    <w:family w:val="roman"/>
    <w:pitch w:val="default"/>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336721"/>
      <w:docPartObj>
        <w:docPartGallery w:val="Page Numbers (Bottom of Page)"/>
        <w:docPartUnique/>
      </w:docPartObj>
    </w:sdtPr>
    <w:sdtEndPr/>
    <w:sdtContent>
      <w:p w:rsidR="00EB774F" w:rsidRDefault="00EB774F">
        <w:pPr>
          <w:pStyle w:val="Pta"/>
          <w:jc w:val="center"/>
        </w:pPr>
        <w:r>
          <w:fldChar w:fldCharType="begin"/>
        </w:r>
        <w:r>
          <w:instrText>PAGE   \* MERGEFORMAT</w:instrText>
        </w:r>
        <w:r>
          <w:fldChar w:fldCharType="separate"/>
        </w:r>
        <w:r w:rsidR="00607C97">
          <w:rPr>
            <w:noProof/>
          </w:rPr>
          <w:t>2</w:t>
        </w:r>
        <w:r>
          <w:fldChar w:fldCharType="end"/>
        </w:r>
      </w:p>
    </w:sdtContent>
  </w:sdt>
  <w:p w:rsidR="00EB774F" w:rsidRDefault="00EB77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F8A" w:rsidRDefault="00B47F8A" w:rsidP="002615BD">
      <w:r>
        <w:separator/>
      </w:r>
    </w:p>
  </w:footnote>
  <w:footnote w:type="continuationSeparator" w:id="0">
    <w:p w:rsidR="00B47F8A" w:rsidRDefault="00B47F8A" w:rsidP="00261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058BD"/>
    <w:multiLevelType w:val="hybridMultilevel"/>
    <w:tmpl w:val="488EE2E8"/>
    <w:lvl w:ilvl="0" w:tplc="DC4AA82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9BF3C64"/>
    <w:multiLevelType w:val="hybridMultilevel"/>
    <w:tmpl w:val="FA74DB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F0"/>
    <w:rsid w:val="0002134C"/>
    <w:rsid w:val="00025F19"/>
    <w:rsid w:val="000956D1"/>
    <w:rsid w:val="000B0EC2"/>
    <w:rsid w:val="000B3081"/>
    <w:rsid w:val="001C7300"/>
    <w:rsid w:val="001D3497"/>
    <w:rsid w:val="00205DCB"/>
    <w:rsid w:val="00215AC0"/>
    <w:rsid w:val="00237C20"/>
    <w:rsid w:val="002575A0"/>
    <w:rsid w:val="002615BD"/>
    <w:rsid w:val="002809E5"/>
    <w:rsid w:val="002A554C"/>
    <w:rsid w:val="002B18D3"/>
    <w:rsid w:val="002D20CB"/>
    <w:rsid w:val="002D7AB3"/>
    <w:rsid w:val="002E7ABE"/>
    <w:rsid w:val="002F5AFD"/>
    <w:rsid w:val="003566AC"/>
    <w:rsid w:val="00395A26"/>
    <w:rsid w:val="003D0007"/>
    <w:rsid w:val="003E79EA"/>
    <w:rsid w:val="0043110D"/>
    <w:rsid w:val="00440B2E"/>
    <w:rsid w:val="004517E1"/>
    <w:rsid w:val="00462DDA"/>
    <w:rsid w:val="00483F80"/>
    <w:rsid w:val="004D6D90"/>
    <w:rsid w:val="004F018B"/>
    <w:rsid w:val="00575FF5"/>
    <w:rsid w:val="005C3515"/>
    <w:rsid w:val="005D0813"/>
    <w:rsid w:val="00607C97"/>
    <w:rsid w:val="00687CF1"/>
    <w:rsid w:val="006A5AB4"/>
    <w:rsid w:val="00751361"/>
    <w:rsid w:val="00776062"/>
    <w:rsid w:val="00780D2A"/>
    <w:rsid w:val="007932AE"/>
    <w:rsid w:val="007E43DE"/>
    <w:rsid w:val="00835D52"/>
    <w:rsid w:val="008842C9"/>
    <w:rsid w:val="00987764"/>
    <w:rsid w:val="009D1FF1"/>
    <w:rsid w:val="009D2354"/>
    <w:rsid w:val="009E5B50"/>
    <w:rsid w:val="009F6118"/>
    <w:rsid w:val="00A20CE3"/>
    <w:rsid w:val="00A24B6E"/>
    <w:rsid w:val="00A71700"/>
    <w:rsid w:val="00A9266D"/>
    <w:rsid w:val="00A954E2"/>
    <w:rsid w:val="00AA0795"/>
    <w:rsid w:val="00AC3F7C"/>
    <w:rsid w:val="00B47F8A"/>
    <w:rsid w:val="00B83EF0"/>
    <w:rsid w:val="00C22407"/>
    <w:rsid w:val="00C23D14"/>
    <w:rsid w:val="00C53666"/>
    <w:rsid w:val="00CB31BD"/>
    <w:rsid w:val="00CF55A3"/>
    <w:rsid w:val="00CF6196"/>
    <w:rsid w:val="00CF640A"/>
    <w:rsid w:val="00D02186"/>
    <w:rsid w:val="00D43FF4"/>
    <w:rsid w:val="00D6292C"/>
    <w:rsid w:val="00D6750E"/>
    <w:rsid w:val="00D76944"/>
    <w:rsid w:val="00D80BCA"/>
    <w:rsid w:val="00DA2A29"/>
    <w:rsid w:val="00DC28C9"/>
    <w:rsid w:val="00E01761"/>
    <w:rsid w:val="00E2706E"/>
    <w:rsid w:val="00E7332D"/>
    <w:rsid w:val="00E8528C"/>
    <w:rsid w:val="00EB774F"/>
    <w:rsid w:val="00EC5CA8"/>
    <w:rsid w:val="00EC62DE"/>
    <w:rsid w:val="00F169F4"/>
    <w:rsid w:val="00F20889"/>
    <w:rsid w:val="00F4369D"/>
    <w:rsid w:val="00FC4208"/>
    <w:rsid w:val="00FD6C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121E7-A8F6-4A37-8F7C-4FBDF258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3EF0"/>
    <w:pPr>
      <w:autoSpaceDE w:val="0"/>
      <w:autoSpaceDN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0">
    <w:name w:val="_Normálny"/>
    <w:basedOn w:val="Normlny"/>
    <w:uiPriority w:val="99"/>
    <w:rsid w:val="00B83EF0"/>
    <w:rPr>
      <w:sz w:val="20"/>
      <w:szCs w:val="20"/>
      <w:lang w:eastAsia="en-US"/>
    </w:rPr>
  </w:style>
  <w:style w:type="paragraph" w:customStyle="1" w:styleId="CM4">
    <w:name w:val="CM4"/>
    <w:basedOn w:val="Normlny"/>
    <w:next w:val="Normlny"/>
    <w:uiPriority w:val="99"/>
    <w:rsid w:val="00B83EF0"/>
    <w:pPr>
      <w:adjustRightInd w:val="0"/>
    </w:pPr>
  </w:style>
  <w:style w:type="paragraph" w:styleId="Odsekzoznamu">
    <w:name w:val="List Paragraph"/>
    <w:aliases w:val="body,Odsek zoznamu2,Odsek zoznamu1,Odsek"/>
    <w:basedOn w:val="Normlny"/>
    <w:link w:val="OdsekzoznamuChar"/>
    <w:uiPriority w:val="34"/>
    <w:qFormat/>
    <w:rsid w:val="00B83EF0"/>
    <w:pPr>
      <w:ind w:left="708"/>
    </w:pPr>
  </w:style>
  <w:style w:type="paragraph" w:styleId="Textpoznmkypodiarou">
    <w:name w:val="footnote text"/>
    <w:basedOn w:val="Normlny"/>
    <w:link w:val="TextpoznmkypodiarouChar"/>
    <w:uiPriority w:val="99"/>
    <w:rsid w:val="00780D2A"/>
    <w:rPr>
      <w:sz w:val="20"/>
      <w:szCs w:val="20"/>
    </w:rPr>
  </w:style>
  <w:style w:type="character" w:customStyle="1" w:styleId="TextpoznmkypodiarouChar">
    <w:name w:val="Text poznámky pod čiarou Char"/>
    <w:basedOn w:val="Predvolenpsmoodseku"/>
    <w:link w:val="Textpoznmkypodiarou"/>
    <w:uiPriority w:val="99"/>
    <w:rsid w:val="00780D2A"/>
    <w:rPr>
      <w:rFonts w:ascii="Times New Roman" w:eastAsia="Times New Roman" w:hAnsi="Times New Roman" w:cs="Times New Roman"/>
      <w:sz w:val="20"/>
      <w:szCs w:val="20"/>
      <w:lang w:eastAsia="sk-SK"/>
    </w:rPr>
  </w:style>
  <w:style w:type="paragraph" w:customStyle="1" w:styleId="Default">
    <w:name w:val="Default"/>
    <w:rsid w:val="002A554C"/>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A554C"/>
    <w:rPr>
      <w:rFonts w:cstheme="minorBidi"/>
      <w:color w:val="auto"/>
    </w:rPr>
  </w:style>
  <w:style w:type="paragraph" w:customStyle="1" w:styleId="CM3">
    <w:name w:val="CM3"/>
    <w:basedOn w:val="Default"/>
    <w:next w:val="Default"/>
    <w:uiPriority w:val="99"/>
    <w:rsid w:val="002A554C"/>
    <w:rPr>
      <w:rFonts w:cstheme="minorBidi"/>
      <w:color w:val="auto"/>
    </w:rPr>
  </w:style>
  <w:style w:type="paragraph" w:styleId="Hlavika">
    <w:name w:val="header"/>
    <w:basedOn w:val="Normlny"/>
    <w:link w:val="HlavikaChar"/>
    <w:uiPriority w:val="99"/>
    <w:unhideWhenUsed/>
    <w:rsid w:val="002615BD"/>
    <w:pPr>
      <w:tabs>
        <w:tab w:val="center" w:pos="4536"/>
        <w:tab w:val="right" w:pos="9072"/>
      </w:tabs>
    </w:pPr>
  </w:style>
  <w:style w:type="character" w:customStyle="1" w:styleId="HlavikaChar">
    <w:name w:val="Hlavička Char"/>
    <w:basedOn w:val="Predvolenpsmoodseku"/>
    <w:link w:val="Hlavika"/>
    <w:uiPriority w:val="99"/>
    <w:rsid w:val="002615B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615BD"/>
    <w:pPr>
      <w:tabs>
        <w:tab w:val="center" w:pos="4536"/>
        <w:tab w:val="right" w:pos="9072"/>
      </w:tabs>
    </w:pPr>
  </w:style>
  <w:style w:type="character" w:customStyle="1" w:styleId="PtaChar">
    <w:name w:val="Päta Char"/>
    <w:basedOn w:val="Predvolenpsmoodseku"/>
    <w:link w:val="Pta"/>
    <w:uiPriority w:val="99"/>
    <w:rsid w:val="002615BD"/>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615BD"/>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15BD"/>
    <w:rPr>
      <w:rFonts w:ascii="Segoe UI" w:eastAsia="Times New Roman" w:hAnsi="Segoe UI" w:cs="Segoe UI"/>
      <w:sz w:val="18"/>
      <w:szCs w:val="18"/>
      <w:lang w:eastAsia="sk-SK"/>
    </w:rPr>
  </w:style>
  <w:style w:type="character" w:customStyle="1" w:styleId="OdsekzoznamuChar">
    <w:name w:val="Odsek zoznamu Char"/>
    <w:aliases w:val="body Char,Odsek zoznamu2 Char,Odsek zoznamu1 Char,Odsek Char"/>
    <w:link w:val="Odsekzoznamu"/>
    <w:uiPriority w:val="34"/>
    <w:locked/>
    <w:rsid w:val="00CF6196"/>
    <w:rPr>
      <w:rFonts w:ascii="Times New Roman" w:eastAsia="Times New Roman" w:hAnsi="Times New Roman" w:cs="Times New Roman"/>
      <w:sz w:val="24"/>
      <w:szCs w:val="24"/>
      <w:lang w:eastAsia="sk-SK"/>
    </w:rPr>
  </w:style>
  <w:style w:type="paragraph" w:customStyle="1" w:styleId="Normlny1">
    <w:name w:val="Normálny1"/>
    <w:basedOn w:val="Normlny"/>
    <w:rsid w:val="0043110D"/>
    <w:pPr>
      <w:autoSpaceDE/>
      <w:autoSpaceDN/>
      <w:spacing w:before="100" w:beforeAutospacing="1" w:after="100" w:afterAutospacing="1"/>
    </w:pPr>
  </w:style>
  <w:style w:type="paragraph" w:customStyle="1" w:styleId="ti-art">
    <w:name w:val="ti-art"/>
    <w:basedOn w:val="Normlny"/>
    <w:rsid w:val="007E43DE"/>
    <w:pPr>
      <w:autoSpaceDE/>
      <w:autoSpaceDN/>
      <w:spacing w:before="100" w:beforeAutospacing="1" w:after="100" w:afterAutospacing="1"/>
    </w:pPr>
  </w:style>
  <w:style w:type="paragraph" w:customStyle="1" w:styleId="Normlny2">
    <w:name w:val="Normálny2"/>
    <w:basedOn w:val="Normlny"/>
    <w:rsid w:val="00776062"/>
    <w:pPr>
      <w:autoSpaceDE/>
      <w:autoSpaceDN/>
      <w:spacing w:before="100" w:beforeAutospacing="1" w:after="100" w:afterAutospacing="1"/>
    </w:pPr>
  </w:style>
  <w:style w:type="paragraph" w:customStyle="1" w:styleId="doc-ti">
    <w:name w:val="doc-ti"/>
    <w:basedOn w:val="Normlny"/>
    <w:rsid w:val="00776062"/>
    <w:pPr>
      <w:autoSpaceDE/>
      <w:autoSpaceDN/>
      <w:spacing w:before="100" w:beforeAutospacing="1" w:after="100" w:afterAutospacing="1"/>
    </w:pPr>
  </w:style>
  <w:style w:type="paragraph" w:customStyle="1" w:styleId="ti-grseq-1">
    <w:name w:val="ti-grseq-1"/>
    <w:basedOn w:val="Normlny"/>
    <w:rsid w:val="00776062"/>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8535">
      <w:bodyDiv w:val="1"/>
      <w:marLeft w:val="0"/>
      <w:marRight w:val="0"/>
      <w:marTop w:val="0"/>
      <w:marBottom w:val="0"/>
      <w:divBdr>
        <w:top w:val="none" w:sz="0" w:space="0" w:color="auto"/>
        <w:left w:val="none" w:sz="0" w:space="0" w:color="auto"/>
        <w:bottom w:val="none" w:sz="0" w:space="0" w:color="auto"/>
        <w:right w:val="none" w:sz="0" w:space="0" w:color="auto"/>
      </w:divBdr>
    </w:div>
    <w:div w:id="72164861">
      <w:bodyDiv w:val="1"/>
      <w:marLeft w:val="0"/>
      <w:marRight w:val="0"/>
      <w:marTop w:val="0"/>
      <w:marBottom w:val="0"/>
      <w:divBdr>
        <w:top w:val="none" w:sz="0" w:space="0" w:color="auto"/>
        <w:left w:val="none" w:sz="0" w:space="0" w:color="auto"/>
        <w:bottom w:val="none" w:sz="0" w:space="0" w:color="auto"/>
        <w:right w:val="none" w:sz="0" w:space="0" w:color="auto"/>
      </w:divBdr>
    </w:div>
    <w:div w:id="318653905">
      <w:bodyDiv w:val="1"/>
      <w:marLeft w:val="0"/>
      <w:marRight w:val="0"/>
      <w:marTop w:val="0"/>
      <w:marBottom w:val="0"/>
      <w:divBdr>
        <w:top w:val="none" w:sz="0" w:space="0" w:color="auto"/>
        <w:left w:val="none" w:sz="0" w:space="0" w:color="auto"/>
        <w:bottom w:val="none" w:sz="0" w:space="0" w:color="auto"/>
        <w:right w:val="none" w:sz="0" w:space="0" w:color="auto"/>
      </w:divBdr>
    </w:div>
    <w:div w:id="646520320">
      <w:bodyDiv w:val="1"/>
      <w:marLeft w:val="0"/>
      <w:marRight w:val="0"/>
      <w:marTop w:val="0"/>
      <w:marBottom w:val="0"/>
      <w:divBdr>
        <w:top w:val="none" w:sz="0" w:space="0" w:color="auto"/>
        <w:left w:val="none" w:sz="0" w:space="0" w:color="auto"/>
        <w:bottom w:val="none" w:sz="0" w:space="0" w:color="auto"/>
        <w:right w:val="none" w:sz="0" w:space="0" w:color="auto"/>
      </w:divBdr>
    </w:div>
    <w:div w:id="1066105870">
      <w:bodyDiv w:val="1"/>
      <w:marLeft w:val="0"/>
      <w:marRight w:val="0"/>
      <w:marTop w:val="0"/>
      <w:marBottom w:val="0"/>
      <w:divBdr>
        <w:top w:val="none" w:sz="0" w:space="0" w:color="auto"/>
        <w:left w:val="none" w:sz="0" w:space="0" w:color="auto"/>
        <w:bottom w:val="none" w:sz="0" w:space="0" w:color="auto"/>
        <w:right w:val="none" w:sz="0" w:space="0" w:color="auto"/>
      </w:divBdr>
    </w:div>
    <w:div w:id="1399984344">
      <w:bodyDiv w:val="1"/>
      <w:marLeft w:val="0"/>
      <w:marRight w:val="0"/>
      <w:marTop w:val="0"/>
      <w:marBottom w:val="0"/>
      <w:divBdr>
        <w:top w:val="none" w:sz="0" w:space="0" w:color="auto"/>
        <w:left w:val="none" w:sz="0" w:space="0" w:color="auto"/>
        <w:bottom w:val="none" w:sz="0" w:space="0" w:color="auto"/>
        <w:right w:val="none" w:sz="0" w:space="0" w:color="auto"/>
      </w:divBdr>
      <w:divsChild>
        <w:div w:id="770517087">
          <w:marLeft w:val="0"/>
          <w:marRight w:val="0"/>
          <w:marTop w:val="0"/>
          <w:marBottom w:val="0"/>
          <w:divBdr>
            <w:top w:val="none" w:sz="0" w:space="0" w:color="auto"/>
            <w:left w:val="none" w:sz="0" w:space="0" w:color="auto"/>
            <w:bottom w:val="none" w:sz="0" w:space="0" w:color="auto"/>
            <w:right w:val="none" w:sz="0" w:space="0" w:color="auto"/>
          </w:divBdr>
          <w:divsChild>
            <w:div w:id="1296982114">
              <w:marLeft w:val="0"/>
              <w:marRight w:val="0"/>
              <w:marTop w:val="0"/>
              <w:marBottom w:val="0"/>
              <w:divBdr>
                <w:top w:val="none" w:sz="0" w:space="0" w:color="auto"/>
                <w:left w:val="none" w:sz="0" w:space="0" w:color="auto"/>
                <w:bottom w:val="none" w:sz="0" w:space="0" w:color="auto"/>
                <w:right w:val="none" w:sz="0" w:space="0" w:color="auto"/>
              </w:divBdr>
              <w:divsChild>
                <w:div w:id="962886960">
                  <w:marLeft w:val="0"/>
                  <w:marRight w:val="0"/>
                  <w:marTop w:val="0"/>
                  <w:marBottom w:val="0"/>
                  <w:divBdr>
                    <w:top w:val="none" w:sz="0" w:space="0" w:color="auto"/>
                    <w:left w:val="none" w:sz="0" w:space="0" w:color="auto"/>
                    <w:bottom w:val="none" w:sz="0" w:space="0" w:color="auto"/>
                    <w:right w:val="none" w:sz="0" w:space="0" w:color="auto"/>
                  </w:divBdr>
                  <w:divsChild>
                    <w:div w:id="541750769">
                      <w:marLeft w:val="0"/>
                      <w:marRight w:val="0"/>
                      <w:marTop w:val="0"/>
                      <w:marBottom w:val="0"/>
                      <w:divBdr>
                        <w:top w:val="none" w:sz="0" w:space="0" w:color="auto"/>
                        <w:left w:val="none" w:sz="0" w:space="0" w:color="auto"/>
                        <w:bottom w:val="none" w:sz="0" w:space="0" w:color="auto"/>
                        <w:right w:val="none" w:sz="0" w:space="0" w:color="auto"/>
                      </w:divBdr>
                      <w:divsChild>
                        <w:div w:id="1068768048">
                          <w:marLeft w:val="0"/>
                          <w:marRight w:val="0"/>
                          <w:marTop w:val="0"/>
                          <w:marBottom w:val="0"/>
                          <w:divBdr>
                            <w:top w:val="none" w:sz="0" w:space="0" w:color="auto"/>
                            <w:left w:val="none" w:sz="0" w:space="0" w:color="auto"/>
                            <w:bottom w:val="none" w:sz="0" w:space="0" w:color="auto"/>
                            <w:right w:val="none" w:sz="0" w:space="0" w:color="auto"/>
                          </w:divBdr>
                          <w:divsChild>
                            <w:div w:id="328294772">
                              <w:marLeft w:val="0"/>
                              <w:marRight w:val="0"/>
                              <w:marTop w:val="0"/>
                              <w:marBottom w:val="0"/>
                              <w:divBdr>
                                <w:top w:val="none" w:sz="0" w:space="0" w:color="auto"/>
                                <w:left w:val="none" w:sz="0" w:space="0" w:color="auto"/>
                                <w:bottom w:val="none" w:sz="0" w:space="0" w:color="auto"/>
                                <w:right w:val="none" w:sz="0" w:space="0" w:color="auto"/>
                              </w:divBdr>
                              <w:divsChild>
                                <w:div w:id="1988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93793">
      <w:bodyDiv w:val="1"/>
      <w:marLeft w:val="0"/>
      <w:marRight w:val="0"/>
      <w:marTop w:val="0"/>
      <w:marBottom w:val="0"/>
      <w:divBdr>
        <w:top w:val="none" w:sz="0" w:space="0" w:color="auto"/>
        <w:left w:val="none" w:sz="0" w:space="0" w:color="auto"/>
        <w:bottom w:val="none" w:sz="0" w:space="0" w:color="auto"/>
        <w:right w:val="none" w:sz="0" w:space="0" w:color="auto"/>
      </w:divBdr>
    </w:div>
    <w:div w:id="1612126117">
      <w:bodyDiv w:val="1"/>
      <w:marLeft w:val="0"/>
      <w:marRight w:val="0"/>
      <w:marTop w:val="0"/>
      <w:marBottom w:val="0"/>
      <w:divBdr>
        <w:top w:val="none" w:sz="0" w:space="0" w:color="auto"/>
        <w:left w:val="none" w:sz="0" w:space="0" w:color="auto"/>
        <w:bottom w:val="none" w:sz="0" w:space="0" w:color="auto"/>
        <w:right w:val="none" w:sz="0" w:space="0" w:color="auto"/>
      </w:divBdr>
      <w:divsChild>
        <w:div w:id="1834028906">
          <w:marLeft w:val="0"/>
          <w:marRight w:val="0"/>
          <w:marTop w:val="0"/>
          <w:marBottom w:val="0"/>
          <w:divBdr>
            <w:top w:val="none" w:sz="0" w:space="0" w:color="auto"/>
            <w:left w:val="none" w:sz="0" w:space="0" w:color="auto"/>
            <w:bottom w:val="none" w:sz="0" w:space="0" w:color="auto"/>
            <w:right w:val="none" w:sz="0" w:space="0" w:color="auto"/>
          </w:divBdr>
          <w:divsChild>
            <w:div w:id="694506718">
              <w:marLeft w:val="0"/>
              <w:marRight w:val="0"/>
              <w:marTop w:val="0"/>
              <w:marBottom w:val="0"/>
              <w:divBdr>
                <w:top w:val="none" w:sz="0" w:space="0" w:color="auto"/>
                <w:left w:val="none" w:sz="0" w:space="0" w:color="auto"/>
                <w:bottom w:val="none" w:sz="0" w:space="0" w:color="auto"/>
                <w:right w:val="none" w:sz="0" w:space="0" w:color="auto"/>
              </w:divBdr>
              <w:divsChild>
                <w:div w:id="1620380123">
                  <w:marLeft w:val="0"/>
                  <w:marRight w:val="0"/>
                  <w:marTop w:val="0"/>
                  <w:marBottom w:val="0"/>
                  <w:divBdr>
                    <w:top w:val="none" w:sz="0" w:space="0" w:color="auto"/>
                    <w:left w:val="none" w:sz="0" w:space="0" w:color="auto"/>
                    <w:bottom w:val="none" w:sz="0" w:space="0" w:color="auto"/>
                    <w:right w:val="none" w:sz="0" w:space="0" w:color="auto"/>
                  </w:divBdr>
                  <w:divsChild>
                    <w:div w:id="1104807555">
                      <w:marLeft w:val="0"/>
                      <w:marRight w:val="0"/>
                      <w:marTop w:val="0"/>
                      <w:marBottom w:val="0"/>
                      <w:divBdr>
                        <w:top w:val="none" w:sz="0" w:space="0" w:color="auto"/>
                        <w:left w:val="none" w:sz="0" w:space="0" w:color="auto"/>
                        <w:bottom w:val="none" w:sz="0" w:space="0" w:color="auto"/>
                        <w:right w:val="none" w:sz="0" w:space="0" w:color="auto"/>
                      </w:divBdr>
                      <w:divsChild>
                        <w:div w:id="108666043">
                          <w:marLeft w:val="0"/>
                          <w:marRight w:val="0"/>
                          <w:marTop w:val="0"/>
                          <w:marBottom w:val="0"/>
                          <w:divBdr>
                            <w:top w:val="none" w:sz="0" w:space="0" w:color="auto"/>
                            <w:left w:val="none" w:sz="0" w:space="0" w:color="auto"/>
                            <w:bottom w:val="none" w:sz="0" w:space="0" w:color="auto"/>
                            <w:right w:val="none" w:sz="0" w:space="0" w:color="auto"/>
                          </w:divBdr>
                          <w:divsChild>
                            <w:div w:id="104038332">
                              <w:marLeft w:val="0"/>
                              <w:marRight w:val="0"/>
                              <w:marTop w:val="0"/>
                              <w:marBottom w:val="0"/>
                              <w:divBdr>
                                <w:top w:val="none" w:sz="0" w:space="0" w:color="auto"/>
                                <w:left w:val="none" w:sz="0" w:space="0" w:color="auto"/>
                                <w:bottom w:val="none" w:sz="0" w:space="0" w:color="auto"/>
                                <w:right w:val="none" w:sz="0" w:space="0" w:color="auto"/>
                              </w:divBdr>
                              <w:divsChild>
                                <w:div w:id="6592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074801">
      <w:bodyDiv w:val="1"/>
      <w:marLeft w:val="0"/>
      <w:marRight w:val="0"/>
      <w:marTop w:val="0"/>
      <w:marBottom w:val="0"/>
      <w:divBdr>
        <w:top w:val="none" w:sz="0" w:space="0" w:color="auto"/>
        <w:left w:val="none" w:sz="0" w:space="0" w:color="auto"/>
        <w:bottom w:val="none" w:sz="0" w:space="0" w:color="auto"/>
        <w:right w:val="none" w:sz="0" w:space="0" w:color="auto"/>
      </w:divBdr>
      <w:divsChild>
        <w:div w:id="327828240">
          <w:marLeft w:val="0"/>
          <w:marRight w:val="0"/>
          <w:marTop w:val="0"/>
          <w:marBottom w:val="0"/>
          <w:divBdr>
            <w:top w:val="none" w:sz="0" w:space="0" w:color="auto"/>
            <w:left w:val="none" w:sz="0" w:space="0" w:color="auto"/>
            <w:bottom w:val="none" w:sz="0" w:space="0" w:color="auto"/>
            <w:right w:val="none" w:sz="0" w:space="0" w:color="auto"/>
          </w:divBdr>
        </w:div>
        <w:div w:id="1202981328">
          <w:marLeft w:val="0"/>
          <w:marRight w:val="0"/>
          <w:marTop w:val="0"/>
          <w:marBottom w:val="0"/>
          <w:divBdr>
            <w:top w:val="none" w:sz="0" w:space="0" w:color="auto"/>
            <w:left w:val="none" w:sz="0" w:space="0" w:color="auto"/>
            <w:bottom w:val="none" w:sz="0" w:space="0" w:color="auto"/>
            <w:right w:val="none" w:sz="0" w:space="0" w:color="auto"/>
          </w:divBdr>
        </w:div>
        <w:div w:id="1875190617">
          <w:marLeft w:val="0"/>
          <w:marRight w:val="0"/>
          <w:marTop w:val="0"/>
          <w:marBottom w:val="0"/>
          <w:divBdr>
            <w:top w:val="none" w:sz="0" w:space="0" w:color="auto"/>
            <w:left w:val="none" w:sz="0" w:space="0" w:color="auto"/>
            <w:bottom w:val="none" w:sz="0" w:space="0" w:color="auto"/>
            <w:right w:val="none" w:sz="0" w:space="0" w:color="auto"/>
          </w:divBdr>
        </w:div>
        <w:div w:id="828717950">
          <w:marLeft w:val="0"/>
          <w:marRight w:val="0"/>
          <w:marTop w:val="0"/>
          <w:marBottom w:val="0"/>
          <w:divBdr>
            <w:top w:val="none" w:sz="0" w:space="0" w:color="auto"/>
            <w:left w:val="none" w:sz="0" w:space="0" w:color="auto"/>
            <w:bottom w:val="none" w:sz="0" w:space="0" w:color="auto"/>
            <w:right w:val="none" w:sz="0" w:space="0" w:color="auto"/>
          </w:divBdr>
        </w:div>
      </w:divsChild>
    </w:div>
    <w:div w:id="2062829160">
      <w:bodyDiv w:val="1"/>
      <w:marLeft w:val="0"/>
      <w:marRight w:val="0"/>
      <w:marTop w:val="0"/>
      <w:marBottom w:val="0"/>
      <w:divBdr>
        <w:top w:val="none" w:sz="0" w:space="0" w:color="auto"/>
        <w:left w:val="none" w:sz="0" w:space="0" w:color="auto"/>
        <w:bottom w:val="none" w:sz="0" w:space="0" w:color="auto"/>
        <w:right w:val="none" w:sz="0" w:space="0" w:color="auto"/>
      </w:divBdr>
    </w:div>
    <w:div w:id="20691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79/20190101.html?ucinnost=02.07.2019" TargetMode="External"/><Relationship Id="rId13" Type="http://schemas.openxmlformats.org/officeDocument/2006/relationships/hyperlink" Target="https://www.slov-lex.sk/pravne-predpisy/SK/ZZ/2015/79/20190101.html?ucinnost=02.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79/20190101.html?ucinnost=02.07.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79/20190101.html?ucinnost=02.07.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15/79/20190101.html?ucinnost=02.07.2019" TargetMode="External"/><Relationship Id="rId4" Type="http://schemas.openxmlformats.org/officeDocument/2006/relationships/settings" Target="settings.xml"/><Relationship Id="rId9" Type="http://schemas.openxmlformats.org/officeDocument/2006/relationships/hyperlink" Target="https://www.slov-lex.sk/pravne-predpisy/SK/ZZ/2015/79/20190101.html?ucinnost=02.07.2019"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8_tabuľka-zhody-skládky"/>
    <f:field ref="objsubject" par="" edit="true" text=""/>
    <f:field ref="objcreatedby" par="" text="Smažáková, Janette"/>
    <f:field ref="objcreatedat" par="" text="7.5.2019 18:03:02"/>
    <f:field ref="objchangedby" par="" text="Administrator, System"/>
    <f:field ref="objmodifiedat" par="" text="7.5.2019 18:03: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4084</Words>
  <Characters>23282</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Nemčeková Ingrid</dc:creator>
  <cp:keywords/>
  <dc:description/>
  <cp:lastModifiedBy>Václavková Veronika</cp:lastModifiedBy>
  <cp:revision>3</cp:revision>
  <cp:lastPrinted>2019-07-11T11:12:00Z</cp:lastPrinted>
  <dcterms:created xsi:type="dcterms:W3CDTF">2019-07-12T09:07:00Z</dcterms:created>
  <dcterms:modified xsi:type="dcterms:W3CDTF">2019-07-12T09:09:00Z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Životné prostredie_x000d_
Odpady, nakladanie s odpadmi</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Janette Smažáková</vt:lpwstr>
  </property>
  <property fmtid="{D5CDD505-2E9C-101B-9397-08002B2CF9AE}" pid="12" name="FSC#SKEDITIONSLOVLEX@103.510:zodppredkladatel">
    <vt:lpwstr>László Sólymos</vt:lpwstr>
  </property>
  <property fmtid="{D5CDD505-2E9C-101B-9397-08002B2CF9AE}" pid="13" name="FSC#SKEDITIONSLOVLEX@103.510:dalsipredkladatel">
    <vt:lpwstr/>
  </property>
  <property fmtid="{D5CDD505-2E9C-101B-9397-08002B2CF9AE}" pid="14" name="FSC#SKEDITIONSLOVLEX@103.510:nazovpredpis">
    <vt:lpwstr>,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2019</vt:lpwstr>
  </property>
  <property fmtid="{D5CDD505-2E9C-101B-9397-08002B2CF9AE}" pid="23" name="FSC#SKEDITIONSLOVLEX@103.510:plnynazovpredpis">
    <vt:lpwstr> Zákon,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7408/2019-9.1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LP/2019/350</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114 a čl. 191 až 193 Zmluvy o fungovaní Európskej únie  </vt:lpwstr>
  </property>
  <property fmtid="{D5CDD505-2E9C-101B-9397-08002B2CF9AE}" pid="47" name="FSC#SKEDITIONSLOVLEX@103.510:AttrStrListDocPropSekundarneLegPravoPO">
    <vt:lpwstr>SMERNICA EURÓPSKEHO PARLAMENTU a RADY (EÚ) 2018/852 z 30. mája 2018, ktorou sa mení smernica 94/62/ES o obaloch a odpadoch z obalov (Ú. v. EÚ L 150, 14.6.2018)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obsiahnutý</vt:lpwstr>
  </property>
  <property fmtid="{D5CDD505-2E9C-101B-9397-08002B2CF9AE}" pid="52" name="FSC#SKEDITIONSLOVLEX@103.510:AttrStrListDocPropLehotaPrebratieSmernice">
    <vt:lpwstr>-	5. júl 2020</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Návrh zákona rieši aj odstránenie transpozičných a iných nedostatkov vytýkaných zo strany Európskej komisie v rámci prebiehajúceho prípadu EU Pilot č. EUP(2018)9334. Úpravou relevantných ustanovení dôjde k úplnej transpozícii článku 2 písm. h) a článku </vt:lpwstr>
  </property>
  <property fmtid="{D5CDD505-2E9C-101B-9397-08002B2CF9AE}" pid="55" name="FSC#SKEDITIONSLOVLEX@103.510:AttrStrListDocPropInfoUzPreberanePP">
    <vt:lpwstr>- Zákon č. 79/2015 Z. z. o odpadoch a o zmene a doplnení niektorých zákonov v znení    neskorších predpisov_x000d_
- Vyhláška Ministerstva životného prostredia Slovenskej republiky č. 366/2015 Z. z. o evidenčnej povinnosti a ohlasovacej povinnosti v znení nesko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11. 4. 2019</vt:lpwstr>
  </property>
  <property fmtid="{D5CDD505-2E9C-101B-9397-08002B2CF9AE}" pid="59" name="FSC#SKEDITIONSLOVLEX@103.510:AttrDateDocPropUkonceniePKK">
    <vt:lpwstr>26. 4. 2019</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&lt;table align="left" cellpadding="0" cellspacing="0" hspace="0" vspace="0"&gt;	&lt;tbody&gt;		&lt;tr&gt;			&lt;td align="left"&gt;			&lt;p&gt;V&amp;nbsp;súvislosti so zavedením zmien a zrušením výnimiek z&amp;nbsp;povinnosti zavedenia a&amp;nbsp;zabezpečovania triedeného zberu biologicky rozlož</vt:lpwstr>
  </property>
  <property fmtid="{D5CDD505-2E9C-101B-9397-08002B2CF9AE}" pid="66" name="FSC#SKEDITIONSLOVLEX@103.510:AttrStrListDocPropAltRiesenia">
    <vt:lpwstr>Alternatívne riešenie 0 – pôvodný stav (hrozba nesplnenia záväzkov vyplývajúcich z nedodržania lehoty určenej na transpozíciu smerníc uvedených v bode 1 a neodstránenie transpozičných  nedostatkov  vytýkaných zo strany Európskej Komisie v rámci prebiehajú</vt:lpwstr>
  </property>
  <property fmtid="{D5CDD505-2E9C-101B-9397-08002B2CF9AE}" pid="67" name="FSC#SKEDITIONSLOVLEX@103.510:AttrStrListDocPropStanoviskoGest">
    <vt:lpwstr>&lt;table align="left" cellpadding="0" cellspacing="0" hspace="0" vspace="0"&gt;	&lt;tbody&gt;		&lt;tr&gt;			&lt;td align="left"&gt;			&lt;p&gt;I. Úvod: Ministerstvo životného prostredia Slovenskej republiky dňa 10. apríla 2019 predložilo Stálej pracovnej komisii na posudzovanie vybra</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životného prostredia Slovenskej republiky</vt:lpwstr>
  </property>
  <property fmtid="{D5CDD505-2E9C-101B-9397-08002B2CF9AE}" pid="142" name="FSC#SKEDITIONSLOVLEX@103.510:funkciaZodpPredAkuzativ">
    <vt:lpwstr>podpredsedovi vlády a ministrovi životného prostredia Slovenskej republiky</vt:lpwstr>
  </property>
  <property fmtid="{D5CDD505-2E9C-101B-9397-08002B2CF9AE}" pid="143" name="FSC#SKEDITIONSLOVLEX@103.510:funkciaZodpPredDativ">
    <vt:lpwstr>podpredsedu vlády a ministra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László Sólymos_x000d_
podpredseda vlády a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životného prostredia Slovenskej republiky predkladá na základe Plánu legislatívnych úloh vlády Slovenskej republiky na rok 2019 do legislatívneho procesu návrh zákona, ktorým sa mení a&amp;nbsp;dopĺňa zákon č. 79/2</vt:lpwstr>
  </property>
  <property fmtid="{D5CDD505-2E9C-101B-9397-08002B2CF9AE}" pid="150" name="FSC#SKEDITIONSLOVLEX@103.510:vytvorenedna">
    <vt:lpwstr>7. 5. 2019</vt:lpwstr>
  </property>
  <property fmtid="{D5CDD505-2E9C-101B-9397-08002B2CF9AE}" pid="151" name="FSC#COOSYSTEM@1.1:Container">
    <vt:lpwstr>COO.2145.1000.3.3349504</vt:lpwstr>
  </property>
  <property fmtid="{D5CDD505-2E9C-101B-9397-08002B2CF9AE}" pid="152" name="FSC#FSCFOLIO@1.1001:docpropproject">
    <vt:lpwstr/>
  </property>
</Properties>
</file>