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1F" w:rsidRPr="00C13A0C" w:rsidRDefault="007F6E1F" w:rsidP="007F6E1F">
      <w:pPr>
        <w:spacing w:before="100" w:beforeAutospacing="1" w:after="100" w:afterAutospacing="1" w:line="240" w:lineRule="auto"/>
        <w:jc w:val="center"/>
        <w:outlineLvl w:val="4"/>
        <w:rPr>
          <w:rFonts w:ascii="Times New Roman" w:hAnsi="Times New Roman"/>
          <w:bCs/>
          <w:sz w:val="24"/>
          <w:szCs w:val="24"/>
          <w:lang w:eastAsia="sk-SK"/>
        </w:rPr>
      </w:pPr>
      <w:r w:rsidRPr="00C13A0C">
        <w:rPr>
          <w:rFonts w:ascii="Times New Roman" w:hAnsi="Times New Roman"/>
          <w:bCs/>
          <w:sz w:val="24"/>
          <w:szCs w:val="24"/>
          <w:lang w:eastAsia="sk-SK"/>
        </w:rPr>
        <w:t>Návrh</w:t>
      </w:r>
    </w:p>
    <w:p w:rsidR="007F6E1F" w:rsidRDefault="007F6E1F" w:rsidP="007F6E1F">
      <w:pPr>
        <w:spacing w:before="100" w:beforeAutospacing="1" w:after="100" w:afterAutospacing="1" w:line="240" w:lineRule="auto"/>
        <w:jc w:val="center"/>
        <w:outlineLvl w:val="4"/>
        <w:rPr>
          <w:rFonts w:ascii="Times New Roman" w:hAnsi="Times New Roman"/>
          <w:b/>
          <w:bCs/>
          <w:sz w:val="24"/>
          <w:szCs w:val="24"/>
          <w:lang w:eastAsia="sk-SK"/>
        </w:rPr>
      </w:pPr>
      <w:r w:rsidRPr="00493F53">
        <w:rPr>
          <w:rFonts w:ascii="Times New Roman" w:hAnsi="Times New Roman"/>
          <w:b/>
          <w:bCs/>
          <w:sz w:val="24"/>
          <w:szCs w:val="24"/>
          <w:lang w:eastAsia="sk-SK"/>
        </w:rPr>
        <w:t xml:space="preserve">Vyhláška </w:t>
      </w:r>
    </w:p>
    <w:p w:rsidR="007F6E1F" w:rsidRPr="00493F53" w:rsidRDefault="007F6E1F" w:rsidP="007F6E1F">
      <w:pPr>
        <w:spacing w:before="100" w:beforeAutospacing="1" w:after="100" w:afterAutospacing="1" w:line="240" w:lineRule="auto"/>
        <w:jc w:val="center"/>
        <w:outlineLvl w:val="4"/>
        <w:rPr>
          <w:rFonts w:ascii="Times New Roman" w:hAnsi="Times New Roman"/>
          <w:b/>
          <w:bCs/>
          <w:sz w:val="24"/>
          <w:szCs w:val="24"/>
          <w:lang w:eastAsia="sk-SK"/>
        </w:rPr>
      </w:pPr>
      <w:r>
        <w:rPr>
          <w:rFonts w:ascii="Times New Roman" w:hAnsi="Times New Roman"/>
          <w:b/>
          <w:bCs/>
          <w:sz w:val="24"/>
          <w:szCs w:val="24"/>
          <w:lang w:eastAsia="sk-SK"/>
        </w:rPr>
        <w:t>Ministerstva životného prostredia Slovenskej republiky,</w:t>
      </w:r>
    </w:p>
    <w:p w:rsidR="007F6E1F" w:rsidRPr="00493F53" w:rsidRDefault="007F6E1F" w:rsidP="007F6E1F">
      <w:pPr>
        <w:spacing w:before="100" w:beforeAutospacing="1" w:after="100" w:afterAutospacing="1" w:line="240" w:lineRule="auto"/>
        <w:jc w:val="center"/>
        <w:outlineLvl w:val="4"/>
        <w:rPr>
          <w:rFonts w:ascii="Times New Roman" w:hAnsi="Times New Roman"/>
          <w:b/>
          <w:bCs/>
          <w:sz w:val="24"/>
          <w:szCs w:val="24"/>
          <w:lang w:eastAsia="sk-SK"/>
        </w:rPr>
      </w:pPr>
      <w:r w:rsidRPr="00493F53">
        <w:rPr>
          <w:rFonts w:ascii="Times New Roman" w:hAnsi="Times New Roman"/>
          <w:b/>
          <w:bCs/>
          <w:sz w:val="24"/>
          <w:szCs w:val="24"/>
          <w:lang w:eastAsia="sk-SK"/>
        </w:rPr>
        <w:t>z</w:t>
      </w:r>
      <w:r>
        <w:rPr>
          <w:rFonts w:ascii="Times New Roman" w:hAnsi="Times New Roman"/>
          <w:b/>
          <w:bCs/>
          <w:sz w:val="24"/>
          <w:szCs w:val="24"/>
          <w:lang w:eastAsia="sk-SK"/>
        </w:rPr>
        <w:t xml:space="preserve"> </w:t>
      </w:r>
      <w:r w:rsidRPr="00493F53">
        <w:rPr>
          <w:rFonts w:ascii="Times New Roman" w:hAnsi="Times New Roman"/>
          <w:b/>
          <w:bCs/>
          <w:sz w:val="24"/>
          <w:szCs w:val="24"/>
          <w:lang w:eastAsia="sk-SK"/>
        </w:rPr>
        <w:t>...</w:t>
      </w:r>
      <w:r w:rsidR="001571D5">
        <w:rPr>
          <w:rFonts w:ascii="Times New Roman" w:hAnsi="Times New Roman"/>
          <w:b/>
          <w:bCs/>
          <w:sz w:val="24"/>
          <w:szCs w:val="24"/>
          <w:lang w:eastAsia="sk-SK"/>
        </w:rPr>
        <w:t>..</w:t>
      </w:r>
      <w:r w:rsidRPr="00493F53">
        <w:rPr>
          <w:rFonts w:ascii="Times New Roman" w:hAnsi="Times New Roman"/>
          <w:b/>
          <w:bCs/>
          <w:sz w:val="24"/>
          <w:szCs w:val="24"/>
          <w:lang w:eastAsia="sk-SK"/>
        </w:rPr>
        <w:t>...</w:t>
      </w:r>
      <w:r w:rsidR="001571D5">
        <w:rPr>
          <w:rFonts w:ascii="Times New Roman" w:hAnsi="Times New Roman"/>
          <w:b/>
          <w:bCs/>
          <w:sz w:val="24"/>
          <w:szCs w:val="24"/>
          <w:lang w:eastAsia="sk-SK"/>
        </w:rPr>
        <w:t xml:space="preserve"> </w:t>
      </w:r>
      <w:r w:rsidRPr="00493F53">
        <w:rPr>
          <w:rFonts w:ascii="Times New Roman" w:hAnsi="Times New Roman"/>
          <w:b/>
          <w:bCs/>
          <w:sz w:val="24"/>
          <w:szCs w:val="24"/>
          <w:lang w:eastAsia="sk-SK"/>
        </w:rPr>
        <w:t>201</w:t>
      </w:r>
      <w:r w:rsidR="00615F32">
        <w:rPr>
          <w:rFonts w:ascii="Times New Roman" w:hAnsi="Times New Roman"/>
          <w:b/>
          <w:bCs/>
          <w:sz w:val="24"/>
          <w:szCs w:val="24"/>
          <w:lang w:eastAsia="sk-SK"/>
        </w:rPr>
        <w:t>9</w:t>
      </w:r>
      <w:r w:rsidRPr="00493F53">
        <w:rPr>
          <w:rFonts w:ascii="Times New Roman" w:hAnsi="Times New Roman"/>
          <w:b/>
          <w:bCs/>
          <w:sz w:val="24"/>
          <w:szCs w:val="24"/>
          <w:lang w:eastAsia="sk-SK"/>
        </w:rPr>
        <w:t>,</w:t>
      </w:r>
    </w:p>
    <w:p w:rsidR="00615F32" w:rsidRDefault="007F6E1F" w:rsidP="00615F32">
      <w:pPr>
        <w:spacing w:after="0" w:line="240" w:lineRule="auto"/>
        <w:jc w:val="center"/>
        <w:outlineLvl w:val="4"/>
        <w:rPr>
          <w:rFonts w:ascii="Times New Roman" w:hAnsi="Times New Roman"/>
          <w:b/>
          <w:bCs/>
          <w:sz w:val="24"/>
          <w:szCs w:val="24"/>
          <w:lang w:eastAsia="sk-SK"/>
        </w:rPr>
      </w:pPr>
      <w:r w:rsidRPr="00493F53">
        <w:rPr>
          <w:rFonts w:ascii="Times New Roman" w:hAnsi="Times New Roman"/>
          <w:b/>
          <w:bCs/>
          <w:sz w:val="24"/>
          <w:szCs w:val="24"/>
          <w:lang w:eastAsia="sk-SK"/>
        </w:rPr>
        <w:t>ktorou sa dopĺňa vyhláška Ministerstva životného prostredia Slovenskej republiky č.</w:t>
      </w:r>
      <w:r w:rsidR="007737C8">
        <w:rPr>
          <w:rFonts w:ascii="Times New Roman" w:hAnsi="Times New Roman"/>
          <w:b/>
          <w:bCs/>
          <w:sz w:val="24"/>
          <w:szCs w:val="24"/>
          <w:lang w:eastAsia="sk-SK"/>
        </w:rPr>
        <w:t> </w:t>
      </w:r>
      <w:r w:rsidRPr="00493F53">
        <w:rPr>
          <w:rFonts w:ascii="Times New Roman" w:hAnsi="Times New Roman"/>
          <w:b/>
          <w:bCs/>
          <w:sz w:val="24"/>
          <w:szCs w:val="24"/>
          <w:lang w:eastAsia="sk-SK"/>
        </w:rPr>
        <w:t>36</w:t>
      </w:r>
      <w:r>
        <w:rPr>
          <w:rFonts w:ascii="Times New Roman" w:hAnsi="Times New Roman"/>
          <w:b/>
          <w:bCs/>
          <w:sz w:val="24"/>
          <w:szCs w:val="24"/>
          <w:lang w:eastAsia="sk-SK"/>
        </w:rPr>
        <w:t>5</w:t>
      </w:r>
      <w:r w:rsidRPr="00493F53">
        <w:rPr>
          <w:rFonts w:ascii="Times New Roman" w:hAnsi="Times New Roman"/>
          <w:b/>
          <w:bCs/>
          <w:sz w:val="24"/>
          <w:szCs w:val="24"/>
          <w:lang w:eastAsia="sk-SK"/>
        </w:rPr>
        <w:t>/2015 Z. z.</w:t>
      </w:r>
      <w:r>
        <w:rPr>
          <w:rFonts w:ascii="Times New Roman" w:hAnsi="Times New Roman"/>
          <w:b/>
          <w:bCs/>
          <w:sz w:val="24"/>
          <w:szCs w:val="24"/>
          <w:lang w:eastAsia="sk-SK"/>
        </w:rPr>
        <w:t>, ktorou sa ustanovuje Katalóg odpadov</w:t>
      </w:r>
      <w:r w:rsidR="00615F32">
        <w:rPr>
          <w:rFonts w:ascii="Times New Roman" w:hAnsi="Times New Roman"/>
          <w:b/>
          <w:bCs/>
          <w:sz w:val="24"/>
          <w:szCs w:val="24"/>
          <w:lang w:eastAsia="sk-SK"/>
        </w:rPr>
        <w:t xml:space="preserve"> </w:t>
      </w:r>
    </w:p>
    <w:p w:rsidR="007F6E1F" w:rsidRDefault="00615F32" w:rsidP="00615F32">
      <w:pPr>
        <w:spacing w:after="0" w:line="240" w:lineRule="auto"/>
        <w:jc w:val="center"/>
        <w:outlineLvl w:val="4"/>
        <w:rPr>
          <w:rFonts w:ascii="Times New Roman" w:hAnsi="Times New Roman"/>
          <w:b/>
          <w:bCs/>
          <w:sz w:val="24"/>
          <w:szCs w:val="24"/>
          <w:lang w:eastAsia="sk-SK"/>
        </w:rPr>
      </w:pPr>
      <w:r>
        <w:rPr>
          <w:rFonts w:ascii="Times New Roman" w:hAnsi="Times New Roman"/>
          <w:b/>
          <w:bCs/>
          <w:sz w:val="24"/>
          <w:szCs w:val="24"/>
          <w:lang w:eastAsia="sk-SK"/>
        </w:rPr>
        <w:t>v znení vyhlášky č. 320/2017 Z. z.</w:t>
      </w:r>
    </w:p>
    <w:p w:rsidR="00845C32" w:rsidRPr="00493F53" w:rsidRDefault="00845C32" w:rsidP="00845C32">
      <w:pPr>
        <w:spacing w:before="100" w:beforeAutospacing="1" w:after="0" w:line="240" w:lineRule="auto"/>
        <w:jc w:val="center"/>
        <w:outlineLvl w:val="4"/>
        <w:rPr>
          <w:rFonts w:ascii="Times New Roman" w:hAnsi="Times New Roman"/>
          <w:bCs/>
          <w:sz w:val="24"/>
          <w:szCs w:val="24"/>
          <w:lang w:eastAsia="sk-SK"/>
        </w:rPr>
      </w:pPr>
    </w:p>
    <w:p w:rsidR="007F6E1F" w:rsidRPr="00845C32" w:rsidRDefault="007F6E1F" w:rsidP="00845C32">
      <w:pPr>
        <w:spacing w:after="120"/>
        <w:jc w:val="both"/>
        <w:outlineLvl w:val="4"/>
        <w:rPr>
          <w:rFonts w:ascii="Times New Roman" w:hAnsi="Times New Roman"/>
          <w:bCs/>
          <w:sz w:val="24"/>
          <w:szCs w:val="24"/>
          <w:lang w:eastAsia="sk-SK"/>
        </w:rPr>
      </w:pPr>
      <w:r w:rsidRPr="00845C32">
        <w:rPr>
          <w:rFonts w:ascii="Times New Roman" w:hAnsi="Times New Roman"/>
          <w:bCs/>
          <w:sz w:val="24"/>
          <w:szCs w:val="24"/>
          <w:lang w:eastAsia="sk-SK"/>
        </w:rPr>
        <w:t xml:space="preserve">Ministerstvo životného prostredia Slovenskej republiky podľa § 105 ods. 3 </w:t>
      </w:r>
      <w:r w:rsidR="00323287" w:rsidRPr="00845C32">
        <w:rPr>
          <w:rFonts w:ascii="Times New Roman" w:hAnsi="Times New Roman"/>
          <w:bCs/>
          <w:sz w:val="24"/>
          <w:szCs w:val="24"/>
          <w:lang w:eastAsia="sk-SK"/>
        </w:rPr>
        <w:t>písm. b</w:t>
      </w:r>
      <w:r w:rsidRPr="00845C32">
        <w:rPr>
          <w:rFonts w:ascii="Times New Roman" w:hAnsi="Times New Roman"/>
          <w:bCs/>
          <w:sz w:val="24"/>
          <w:szCs w:val="24"/>
          <w:lang w:eastAsia="sk-SK"/>
        </w:rPr>
        <w:t>) zákona č. 79/2015 Z. z. o odpadoch a o zmene a doplnení niektorých zákonov</w:t>
      </w:r>
      <w:r w:rsidR="008956AF">
        <w:rPr>
          <w:rFonts w:ascii="Times New Roman" w:hAnsi="Times New Roman"/>
          <w:bCs/>
          <w:sz w:val="24"/>
          <w:szCs w:val="24"/>
          <w:lang w:eastAsia="sk-SK"/>
        </w:rPr>
        <w:t xml:space="preserve"> </w:t>
      </w:r>
      <w:r w:rsidRPr="00845C32">
        <w:rPr>
          <w:rFonts w:ascii="Times New Roman" w:hAnsi="Times New Roman"/>
          <w:bCs/>
          <w:sz w:val="24"/>
          <w:szCs w:val="24"/>
          <w:lang w:eastAsia="sk-SK"/>
        </w:rPr>
        <w:t>ustanovuje :</w:t>
      </w:r>
    </w:p>
    <w:p w:rsidR="007F6E1F" w:rsidRDefault="007F6E1F" w:rsidP="007F6E1F">
      <w:pPr>
        <w:autoSpaceDE w:val="0"/>
        <w:autoSpaceDN w:val="0"/>
        <w:adjustRightInd w:val="0"/>
        <w:spacing w:after="0" w:line="240" w:lineRule="auto"/>
        <w:rPr>
          <w:rFonts w:ascii="Times New Roman" w:hAnsi="Times New Roman"/>
          <w:color w:val="20231E"/>
          <w:sz w:val="24"/>
          <w:szCs w:val="24"/>
          <w:lang w:eastAsia="sk-SK"/>
        </w:rPr>
      </w:pPr>
    </w:p>
    <w:p w:rsidR="007F6E1F" w:rsidRDefault="007F6E1F" w:rsidP="007F64D4">
      <w:pPr>
        <w:spacing w:after="0"/>
        <w:jc w:val="center"/>
        <w:outlineLvl w:val="4"/>
        <w:rPr>
          <w:rFonts w:ascii="Times New Roman" w:hAnsi="Times New Roman"/>
          <w:b/>
          <w:bCs/>
          <w:sz w:val="24"/>
          <w:szCs w:val="24"/>
          <w:lang w:eastAsia="sk-SK"/>
        </w:rPr>
      </w:pPr>
      <w:r w:rsidRPr="00493F53">
        <w:rPr>
          <w:rFonts w:ascii="Times New Roman" w:hAnsi="Times New Roman"/>
          <w:b/>
          <w:bCs/>
          <w:sz w:val="24"/>
          <w:szCs w:val="24"/>
          <w:lang w:eastAsia="sk-SK"/>
        </w:rPr>
        <w:t>Čl. I</w:t>
      </w:r>
    </w:p>
    <w:p w:rsidR="007F64D4" w:rsidRPr="005B7389" w:rsidRDefault="007F64D4" w:rsidP="007F64D4">
      <w:pPr>
        <w:spacing w:after="0"/>
        <w:jc w:val="center"/>
        <w:outlineLvl w:val="4"/>
        <w:rPr>
          <w:rFonts w:ascii="Times New Roman" w:hAnsi="Times New Roman"/>
          <w:b/>
          <w:bCs/>
          <w:sz w:val="24"/>
          <w:szCs w:val="24"/>
          <w:lang w:eastAsia="sk-SK"/>
        </w:rPr>
      </w:pPr>
    </w:p>
    <w:p w:rsidR="007F6E1F" w:rsidRPr="00493F53" w:rsidRDefault="007F6E1F" w:rsidP="007F64D4">
      <w:pPr>
        <w:spacing w:after="0"/>
        <w:ind w:firstLine="708"/>
        <w:jc w:val="both"/>
        <w:outlineLvl w:val="4"/>
        <w:rPr>
          <w:rFonts w:ascii="Times New Roman" w:hAnsi="Times New Roman"/>
          <w:bCs/>
          <w:sz w:val="24"/>
          <w:szCs w:val="24"/>
          <w:lang w:eastAsia="sk-SK"/>
        </w:rPr>
      </w:pPr>
      <w:r w:rsidRPr="00493F53">
        <w:rPr>
          <w:rFonts w:ascii="Times New Roman" w:hAnsi="Times New Roman"/>
          <w:bCs/>
          <w:sz w:val="24"/>
          <w:szCs w:val="24"/>
          <w:lang w:eastAsia="sk-SK"/>
        </w:rPr>
        <w:t xml:space="preserve">Vyhláška Ministerstva životného prostredia Slovenskej republiky č. </w:t>
      </w:r>
      <w:r w:rsidR="00323287" w:rsidRPr="00323287">
        <w:rPr>
          <w:rFonts w:ascii="Times New Roman" w:hAnsi="Times New Roman"/>
          <w:bCs/>
          <w:sz w:val="24"/>
          <w:szCs w:val="24"/>
          <w:lang w:eastAsia="sk-SK"/>
        </w:rPr>
        <w:t>365/2015 Z. z., ktorou sa ustanovuje Katalóg odpadov</w:t>
      </w:r>
      <w:r w:rsidR="00615F32">
        <w:rPr>
          <w:rFonts w:ascii="Times New Roman" w:hAnsi="Times New Roman"/>
          <w:bCs/>
          <w:sz w:val="24"/>
          <w:szCs w:val="24"/>
          <w:lang w:eastAsia="sk-SK"/>
        </w:rPr>
        <w:t xml:space="preserve"> v znení vyhlášky č.320/2017 Z. z.</w:t>
      </w:r>
      <w:r w:rsidRPr="00493F53">
        <w:rPr>
          <w:rFonts w:ascii="Times New Roman" w:hAnsi="Times New Roman"/>
          <w:bCs/>
          <w:sz w:val="24"/>
          <w:szCs w:val="24"/>
          <w:lang w:eastAsia="sk-SK"/>
        </w:rPr>
        <w:t xml:space="preserve"> sa dopĺňa takto:</w:t>
      </w:r>
    </w:p>
    <w:p w:rsidR="007F64D4" w:rsidRPr="007F64D4" w:rsidRDefault="007F64D4" w:rsidP="00615F32">
      <w:pPr>
        <w:adjustRightInd w:val="0"/>
        <w:spacing w:after="0"/>
        <w:jc w:val="both"/>
        <w:rPr>
          <w:rFonts w:ascii="Times New Roman" w:hAnsi="Times New Roman"/>
          <w:bCs/>
          <w:sz w:val="24"/>
          <w:szCs w:val="24"/>
          <w:lang w:eastAsia="sk-SK"/>
        </w:rPr>
      </w:pPr>
    </w:p>
    <w:p w:rsidR="007F6E1F" w:rsidRPr="00810B1D" w:rsidRDefault="001A650B" w:rsidP="00B41987">
      <w:pPr>
        <w:pStyle w:val="Odsekzoznamu"/>
        <w:numPr>
          <w:ilvl w:val="0"/>
          <w:numId w:val="3"/>
        </w:numPr>
        <w:adjustRightInd w:val="0"/>
        <w:spacing w:after="0"/>
        <w:jc w:val="both"/>
        <w:rPr>
          <w:rFonts w:ascii="Times New Roman" w:hAnsi="Times New Roman"/>
          <w:bCs/>
          <w:sz w:val="24"/>
          <w:szCs w:val="24"/>
          <w:lang w:eastAsia="sk-SK"/>
        </w:rPr>
      </w:pPr>
      <w:r w:rsidRPr="00810B1D">
        <w:rPr>
          <w:rFonts w:ascii="Times New Roman" w:hAnsi="Times New Roman"/>
          <w:bCs/>
          <w:sz w:val="24"/>
          <w:szCs w:val="24"/>
          <w:lang w:eastAsia="sk-SK"/>
        </w:rPr>
        <w:t>V prílohe č. 1 časti B Zoznam skupín, podskupín, druhov a poddruhov odpadov sa za slová „</w:t>
      </w:r>
      <w:r w:rsidR="00615F32">
        <w:rPr>
          <w:rFonts w:ascii="Times New Roman" w:hAnsi="Times New Roman"/>
          <w:bCs/>
          <w:sz w:val="24"/>
          <w:szCs w:val="24"/>
          <w:lang w:eastAsia="sk-SK"/>
        </w:rPr>
        <w:t>19 12 04</w:t>
      </w:r>
      <w:r w:rsidRPr="00810B1D">
        <w:rPr>
          <w:rFonts w:ascii="Times New Roman" w:hAnsi="Times New Roman"/>
          <w:bCs/>
          <w:sz w:val="24"/>
          <w:szCs w:val="24"/>
          <w:lang w:eastAsia="sk-SK"/>
        </w:rPr>
        <w:t xml:space="preserve"> </w:t>
      </w:r>
      <w:r w:rsidR="00615F32">
        <w:rPr>
          <w:rFonts w:ascii="Times New Roman" w:hAnsi="Times New Roman"/>
          <w:bCs/>
          <w:sz w:val="24"/>
          <w:szCs w:val="24"/>
          <w:lang w:eastAsia="sk-SK"/>
        </w:rPr>
        <w:t>plasty a guma</w:t>
      </w:r>
      <w:r w:rsidRPr="00810B1D">
        <w:rPr>
          <w:rFonts w:ascii="Times New Roman" w:hAnsi="Times New Roman"/>
          <w:bCs/>
          <w:sz w:val="24"/>
          <w:szCs w:val="24"/>
          <w:lang w:eastAsia="sk-SK"/>
        </w:rPr>
        <w:t xml:space="preserve"> O" vkladajú slová „</w:t>
      </w:r>
      <w:r w:rsidR="00615F32">
        <w:rPr>
          <w:rFonts w:ascii="Times New Roman" w:hAnsi="Times New Roman"/>
          <w:bCs/>
          <w:sz w:val="24"/>
          <w:szCs w:val="24"/>
          <w:lang w:eastAsia="sk-SK"/>
        </w:rPr>
        <w:t>19 12 04 01</w:t>
      </w:r>
      <w:r w:rsidRPr="00810B1D">
        <w:rPr>
          <w:rFonts w:ascii="Times New Roman" w:hAnsi="Times New Roman"/>
          <w:bCs/>
          <w:sz w:val="24"/>
          <w:szCs w:val="24"/>
          <w:lang w:eastAsia="sk-SK"/>
        </w:rPr>
        <w:t xml:space="preserve"> </w:t>
      </w:r>
      <w:r w:rsidR="00615F32">
        <w:rPr>
          <w:rFonts w:ascii="Times New Roman" w:hAnsi="Times New Roman"/>
          <w:bCs/>
          <w:sz w:val="24"/>
          <w:szCs w:val="24"/>
          <w:lang w:eastAsia="sk-SK"/>
        </w:rPr>
        <w:t xml:space="preserve">polyetylén </w:t>
      </w:r>
      <w:proofErr w:type="spellStart"/>
      <w:r w:rsidR="00615F32">
        <w:rPr>
          <w:rFonts w:ascii="Times New Roman" w:hAnsi="Times New Roman"/>
          <w:bCs/>
          <w:sz w:val="24"/>
          <w:szCs w:val="24"/>
          <w:lang w:eastAsia="sk-SK"/>
        </w:rPr>
        <w:t>tereftalát</w:t>
      </w:r>
      <w:proofErr w:type="spellEnd"/>
      <w:r w:rsidR="00615F32">
        <w:rPr>
          <w:rFonts w:ascii="Times New Roman" w:hAnsi="Times New Roman"/>
          <w:bCs/>
          <w:sz w:val="24"/>
          <w:szCs w:val="24"/>
          <w:lang w:eastAsia="sk-SK"/>
        </w:rPr>
        <w:t xml:space="preserve"> (PET)</w:t>
      </w:r>
      <w:r w:rsidRPr="00810B1D">
        <w:rPr>
          <w:rFonts w:ascii="Times New Roman" w:hAnsi="Times New Roman"/>
          <w:bCs/>
          <w:sz w:val="24"/>
          <w:szCs w:val="24"/>
          <w:lang w:eastAsia="sk-SK"/>
        </w:rPr>
        <w:t xml:space="preserve"> O</w:t>
      </w:r>
      <w:r w:rsidR="00615F32">
        <w:rPr>
          <w:rFonts w:ascii="Times New Roman" w:hAnsi="Times New Roman"/>
          <w:bCs/>
          <w:sz w:val="24"/>
          <w:szCs w:val="24"/>
          <w:lang w:eastAsia="sk-SK"/>
        </w:rPr>
        <w:t> 19 12 04 02 polyetylén veľkej hustoty (HDPE) O 19 12 04 03 polyvinylchlorid (PVC) O 19 12 04 04 polyetylén malej hustoty (LDPE) O 19 12 04 05 polypropylén (PP) O 19 12 04 06 polystyrén (PS) O</w:t>
      </w:r>
      <w:r w:rsidR="00B84F13">
        <w:rPr>
          <w:rFonts w:ascii="Times New Roman" w:hAnsi="Times New Roman"/>
          <w:bCs/>
          <w:sz w:val="24"/>
          <w:szCs w:val="24"/>
          <w:lang w:eastAsia="sk-SK"/>
        </w:rPr>
        <w:t> 19 12 04 07 ostatné O</w:t>
      </w:r>
      <w:r w:rsidRPr="00810B1D">
        <w:rPr>
          <w:rFonts w:ascii="Times New Roman" w:hAnsi="Times New Roman"/>
          <w:bCs/>
          <w:sz w:val="24"/>
          <w:szCs w:val="24"/>
          <w:lang w:eastAsia="sk-SK"/>
        </w:rPr>
        <w:t>".</w:t>
      </w:r>
    </w:p>
    <w:p w:rsidR="007F64D4" w:rsidRPr="007F64D4" w:rsidRDefault="007F64D4" w:rsidP="007F64D4">
      <w:pPr>
        <w:adjustRightInd w:val="0"/>
        <w:spacing w:after="0"/>
        <w:jc w:val="both"/>
        <w:rPr>
          <w:rFonts w:ascii="Times New Roman" w:hAnsi="Times New Roman"/>
          <w:bCs/>
          <w:sz w:val="24"/>
          <w:szCs w:val="24"/>
          <w:lang w:eastAsia="sk-SK"/>
        </w:rPr>
      </w:pPr>
    </w:p>
    <w:p w:rsidR="007F6E1F" w:rsidRPr="00C13A0C" w:rsidRDefault="007F6E1F" w:rsidP="007F64D4">
      <w:pPr>
        <w:spacing w:after="0"/>
        <w:jc w:val="both"/>
        <w:rPr>
          <w:rFonts w:ascii="Times New Roman" w:hAnsi="Times New Roman"/>
          <w:noProof/>
          <w:sz w:val="24"/>
          <w:szCs w:val="24"/>
        </w:rPr>
      </w:pPr>
    </w:p>
    <w:p w:rsidR="007F6E1F" w:rsidRDefault="007F6E1F" w:rsidP="007F64D4">
      <w:pPr>
        <w:spacing w:after="0"/>
        <w:jc w:val="center"/>
        <w:outlineLvl w:val="4"/>
        <w:rPr>
          <w:rFonts w:ascii="Times New Roman" w:hAnsi="Times New Roman"/>
          <w:b/>
          <w:sz w:val="24"/>
          <w:szCs w:val="24"/>
        </w:rPr>
      </w:pPr>
      <w:r w:rsidRPr="00C13A0C">
        <w:rPr>
          <w:rFonts w:ascii="Times New Roman" w:hAnsi="Times New Roman"/>
          <w:b/>
          <w:sz w:val="24"/>
          <w:szCs w:val="24"/>
        </w:rPr>
        <w:t>ČI. II</w:t>
      </w:r>
    </w:p>
    <w:p w:rsidR="007F64D4" w:rsidRPr="005D4F9F" w:rsidRDefault="007F64D4" w:rsidP="007F64D4">
      <w:pPr>
        <w:spacing w:after="0"/>
        <w:jc w:val="center"/>
        <w:outlineLvl w:val="4"/>
        <w:rPr>
          <w:rFonts w:ascii="Times New Roman" w:hAnsi="Times New Roman"/>
          <w:b/>
          <w:sz w:val="24"/>
          <w:szCs w:val="24"/>
        </w:rPr>
      </w:pPr>
    </w:p>
    <w:p w:rsidR="007F6E1F" w:rsidRPr="00A77812" w:rsidRDefault="007F6E1F" w:rsidP="007F64D4">
      <w:pPr>
        <w:spacing w:after="0"/>
        <w:jc w:val="both"/>
        <w:rPr>
          <w:rFonts w:ascii="Times New Roman" w:hAnsi="Times New Roman"/>
          <w:b/>
          <w:color w:val="FF0000"/>
          <w:sz w:val="24"/>
          <w:szCs w:val="24"/>
          <w:lang w:eastAsia="sk-SK"/>
        </w:rPr>
      </w:pPr>
      <w:r w:rsidRPr="0070182C">
        <w:rPr>
          <w:rFonts w:ascii="Times New Roman" w:hAnsi="Times New Roman"/>
          <w:sz w:val="24"/>
          <w:szCs w:val="24"/>
        </w:rPr>
        <w:t>T</w:t>
      </w:r>
      <w:r>
        <w:rPr>
          <w:rFonts w:ascii="Times New Roman" w:hAnsi="Times New Roman"/>
          <w:sz w:val="24"/>
          <w:szCs w:val="24"/>
        </w:rPr>
        <w:t>á</w:t>
      </w:r>
      <w:r w:rsidRPr="0070182C">
        <w:rPr>
          <w:rFonts w:ascii="Times New Roman" w:hAnsi="Times New Roman"/>
          <w:sz w:val="24"/>
          <w:szCs w:val="24"/>
        </w:rPr>
        <w:t xml:space="preserve">to </w:t>
      </w:r>
      <w:r>
        <w:rPr>
          <w:rFonts w:ascii="Times New Roman" w:hAnsi="Times New Roman"/>
          <w:sz w:val="24"/>
          <w:szCs w:val="24"/>
        </w:rPr>
        <w:t>vyhláška</w:t>
      </w:r>
      <w:r w:rsidRPr="0070182C">
        <w:rPr>
          <w:rFonts w:ascii="Times New Roman" w:hAnsi="Times New Roman"/>
          <w:sz w:val="24"/>
          <w:szCs w:val="24"/>
        </w:rPr>
        <w:t xml:space="preserve"> nadobúda účinnosť </w:t>
      </w:r>
      <w:r w:rsidRPr="0076029F">
        <w:rPr>
          <w:rFonts w:ascii="Times New Roman" w:hAnsi="Times New Roman"/>
          <w:sz w:val="24"/>
          <w:szCs w:val="24"/>
        </w:rPr>
        <w:t xml:space="preserve">1. </w:t>
      </w:r>
      <w:r w:rsidR="00C9282F">
        <w:rPr>
          <w:rFonts w:ascii="Times New Roman" w:hAnsi="Times New Roman"/>
          <w:sz w:val="24"/>
          <w:szCs w:val="24"/>
        </w:rPr>
        <w:t>januára</w:t>
      </w:r>
      <w:r>
        <w:rPr>
          <w:rFonts w:ascii="Times New Roman" w:hAnsi="Times New Roman"/>
          <w:sz w:val="24"/>
          <w:szCs w:val="24"/>
        </w:rPr>
        <w:t xml:space="preserve"> 20</w:t>
      </w:r>
      <w:r w:rsidR="00615F32">
        <w:rPr>
          <w:rFonts w:ascii="Times New Roman" w:hAnsi="Times New Roman"/>
          <w:sz w:val="24"/>
          <w:szCs w:val="24"/>
        </w:rPr>
        <w:t>20</w:t>
      </w:r>
      <w:r w:rsidRPr="0076029F">
        <w:rPr>
          <w:rFonts w:ascii="Times New Roman" w:hAnsi="Times New Roman"/>
          <w:sz w:val="24"/>
          <w:szCs w:val="24"/>
        </w:rPr>
        <w:t>.</w:t>
      </w:r>
      <w:r w:rsidRPr="00673771">
        <w:rPr>
          <w:rFonts w:ascii="Times New Roman" w:hAnsi="Times New Roman"/>
          <w:color w:val="FF0000"/>
          <w:sz w:val="24"/>
          <w:szCs w:val="24"/>
        </w:rPr>
        <w:t xml:space="preserve"> </w:t>
      </w:r>
    </w:p>
    <w:p w:rsidR="00996772" w:rsidRDefault="00627F39" w:rsidP="007F64D4">
      <w:pPr>
        <w:spacing w:after="0"/>
      </w:pPr>
    </w:p>
    <w:sectPr w:rsidR="00996772">
      <w:headerReference w:type="default" r:id="rId7"/>
      <w:footerReference w:type="even"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F39" w:rsidRDefault="00627F39">
      <w:pPr>
        <w:spacing w:after="0" w:line="240" w:lineRule="auto"/>
      </w:pPr>
      <w:r>
        <w:separator/>
      </w:r>
    </w:p>
  </w:endnote>
  <w:endnote w:type="continuationSeparator" w:id="0">
    <w:p w:rsidR="00627F39" w:rsidRDefault="0062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AD" w:rsidRDefault="00D931E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5C20AD" w:rsidRDefault="00627F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F39" w:rsidRDefault="00627F39">
      <w:pPr>
        <w:spacing w:after="0" w:line="240" w:lineRule="auto"/>
      </w:pPr>
      <w:r>
        <w:separator/>
      </w:r>
    </w:p>
  </w:footnote>
  <w:footnote w:type="continuationSeparator" w:id="0">
    <w:p w:rsidR="00627F39" w:rsidRDefault="00627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AD" w:rsidRPr="00232345" w:rsidRDefault="00627F39" w:rsidP="006E39A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3D5"/>
    <w:multiLevelType w:val="hybridMultilevel"/>
    <w:tmpl w:val="66B6BE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BA14BEC"/>
    <w:multiLevelType w:val="hybridMultilevel"/>
    <w:tmpl w:val="DE421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CEB6841"/>
    <w:multiLevelType w:val="hybridMultilevel"/>
    <w:tmpl w:val="7722B66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36"/>
    <w:rsid w:val="000A0D9B"/>
    <w:rsid w:val="000C380D"/>
    <w:rsid w:val="001571D5"/>
    <w:rsid w:val="001A650B"/>
    <w:rsid w:val="00323287"/>
    <w:rsid w:val="003D5836"/>
    <w:rsid w:val="00435980"/>
    <w:rsid w:val="00544174"/>
    <w:rsid w:val="005B6162"/>
    <w:rsid w:val="00615F32"/>
    <w:rsid w:val="00627F39"/>
    <w:rsid w:val="0067724E"/>
    <w:rsid w:val="00713DB6"/>
    <w:rsid w:val="00724FF9"/>
    <w:rsid w:val="007737C8"/>
    <w:rsid w:val="007878B3"/>
    <w:rsid w:val="007F64D4"/>
    <w:rsid w:val="007F6E1F"/>
    <w:rsid w:val="00810B1D"/>
    <w:rsid w:val="00845C32"/>
    <w:rsid w:val="008940F1"/>
    <w:rsid w:val="008956AF"/>
    <w:rsid w:val="00B41987"/>
    <w:rsid w:val="00B84F13"/>
    <w:rsid w:val="00C9282F"/>
    <w:rsid w:val="00D931E7"/>
    <w:rsid w:val="00DC6281"/>
    <w:rsid w:val="00F17516"/>
    <w:rsid w:val="00FB5AD6"/>
    <w:rsid w:val="00FF3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FFBA"/>
  <w15:chartTrackingRefBased/>
  <w15:docId w15:val="{4A8B90B3-52A4-4707-A6BD-4BE58E36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7F6E1F"/>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7F6E1F"/>
    <w:rPr>
      <w:rFonts w:ascii="Calibri" w:eastAsia="Calibri" w:hAnsi="Calibri" w:cs="Times New Roman"/>
    </w:rPr>
  </w:style>
  <w:style w:type="paragraph" w:styleId="Pta">
    <w:name w:val="footer"/>
    <w:basedOn w:val="Normlny"/>
    <w:link w:val="PtaChar"/>
    <w:uiPriority w:val="99"/>
    <w:rsid w:val="007F6E1F"/>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7F6E1F"/>
    <w:rPr>
      <w:rFonts w:ascii="Calibri" w:eastAsia="Calibri" w:hAnsi="Calibri" w:cs="Times New Roman"/>
    </w:rPr>
  </w:style>
  <w:style w:type="character" w:styleId="slostrany">
    <w:name w:val="page number"/>
    <w:uiPriority w:val="99"/>
    <w:rsid w:val="007F6E1F"/>
  </w:style>
  <w:style w:type="paragraph" w:styleId="Odsekzoznamu">
    <w:name w:val="List Paragraph"/>
    <w:basedOn w:val="Normlny"/>
    <w:uiPriority w:val="34"/>
    <w:qFormat/>
    <w:rsid w:val="007F64D4"/>
    <w:pPr>
      <w:ind w:left="720"/>
      <w:contextualSpacing/>
    </w:pPr>
  </w:style>
  <w:style w:type="paragraph" w:styleId="Textbubliny">
    <w:name w:val="Balloon Text"/>
    <w:basedOn w:val="Normlny"/>
    <w:link w:val="TextbublinyChar"/>
    <w:uiPriority w:val="99"/>
    <w:semiHidden/>
    <w:unhideWhenUsed/>
    <w:rsid w:val="004359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5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80166">
      <w:bodyDiv w:val="1"/>
      <w:marLeft w:val="0"/>
      <w:marRight w:val="0"/>
      <w:marTop w:val="0"/>
      <w:marBottom w:val="0"/>
      <w:divBdr>
        <w:top w:val="none" w:sz="0" w:space="0" w:color="auto"/>
        <w:left w:val="none" w:sz="0" w:space="0" w:color="auto"/>
        <w:bottom w:val="none" w:sz="0" w:space="0" w:color="auto"/>
        <w:right w:val="none" w:sz="0" w:space="0" w:color="auto"/>
      </w:divBdr>
      <w:divsChild>
        <w:div w:id="2144230096">
          <w:marLeft w:val="0"/>
          <w:marRight w:val="0"/>
          <w:marTop w:val="100"/>
          <w:marBottom w:val="100"/>
          <w:divBdr>
            <w:top w:val="none" w:sz="0" w:space="0" w:color="auto"/>
            <w:left w:val="none" w:sz="0" w:space="0" w:color="auto"/>
            <w:bottom w:val="none" w:sz="0" w:space="0" w:color="auto"/>
            <w:right w:val="none" w:sz="0" w:space="0" w:color="auto"/>
          </w:divBdr>
          <w:divsChild>
            <w:div w:id="992172875">
              <w:marLeft w:val="0"/>
              <w:marRight w:val="0"/>
              <w:marTop w:val="225"/>
              <w:marBottom w:val="750"/>
              <w:divBdr>
                <w:top w:val="none" w:sz="0" w:space="0" w:color="auto"/>
                <w:left w:val="none" w:sz="0" w:space="0" w:color="auto"/>
                <w:bottom w:val="none" w:sz="0" w:space="0" w:color="auto"/>
                <w:right w:val="none" w:sz="0" w:space="0" w:color="auto"/>
              </w:divBdr>
              <w:divsChild>
                <w:div w:id="1679962093">
                  <w:marLeft w:val="0"/>
                  <w:marRight w:val="0"/>
                  <w:marTop w:val="0"/>
                  <w:marBottom w:val="0"/>
                  <w:divBdr>
                    <w:top w:val="none" w:sz="0" w:space="0" w:color="auto"/>
                    <w:left w:val="none" w:sz="0" w:space="0" w:color="auto"/>
                    <w:bottom w:val="none" w:sz="0" w:space="0" w:color="auto"/>
                    <w:right w:val="none" w:sz="0" w:space="0" w:color="auto"/>
                  </w:divBdr>
                  <w:divsChild>
                    <w:div w:id="690037171">
                      <w:marLeft w:val="0"/>
                      <w:marRight w:val="0"/>
                      <w:marTop w:val="0"/>
                      <w:marBottom w:val="0"/>
                      <w:divBdr>
                        <w:top w:val="none" w:sz="0" w:space="0" w:color="auto"/>
                        <w:left w:val="none" w:sz="0" w:space="0" w:color="auto"/>
                        <w:bottom w:val="none" w:sz="0" w:space="0" w:color="auto"/>
                        <w:right w:val="none" w:sz="0" w:space="0" w:color="auto"/>
                      </w:divBdr>
                      <w:divsChild>
                        <w:div w:id="1611087490">
                          <w:marLeft w:val="0"/>
                          <w:marRight w:val="0"/>
                          <w:marTop w:val="0"/>
                          <w:marBottom w:val="0"/>
                          <w:divBdr>
                            <w:top w:val="none" w:sz="0" w:space="0" w:color="auto"/>
                            <w:left w:val="none" w:sz="0" w:space="0" w:color="auto"/>
                            <w:bottom w:val="none" w:sz="0" w:space="0" w:color="auto"/>
                            <w:right w:val="none" w:sz="0" w:space="0" w:color="auto"/>
                          </w:divBdr>
                          <w:divsChild>
                            <w:div w:id="1772771897">
                              <w:marLeft w:val="0"/>
                              <w:marRight w:val="0"/>
                              <w:marTop w:val="0"/>
                              <w:marBottom w:val="0"/>
                              <w:divBdr>
                                <w:top w:val="none" w:sz="0" w:space="0" w:color="auto"/>
                                <w:left w:val="none" w:sz="0" w:space="0" w:color="auto"/>
                                <w:bottom w:val="none" w:sz="0" w:space="0" w:color="auto"/>
                                <w:right w:val="none" w:sz="0" w:space="0" w:color="auto"/>
                              </w:divBdr>
                              <w:divsChild>
                                <w:div w:id="942961448">
                                  <w:marLeft w:val="0"/>
                                  <w:marRight w:val="0"/>
                                  <w:marTop w:val="0"/>
                                  <w:marBottom w:val="0"/>
                                  <w:divBdr>
                                    <w:top w:val="none" w:sz="0" w:space="0" w:color="auto"/>
                                    <w:left w:val="none" w:sz="0" w:space="0" w:color="auto"/>
                                    <w:bottom w:val="none" w:sz="0" w:space="0" w:color="auto"/>
                                    <w:right w:val="none" w:sz="0" w:space="0" w:color="auto"/>
                                  </w:divBdr>
                                  <w:divsChild>
                                    <w:div w:id="850265290">
                                      <w:marLeft w:val="0"/>
                                      <w:marRight w:val="0"/>
                                      <w:marTop w:val="0"/>
                                      <w:marBottom w:val="0"/>
                                      <w:divBdr>
                                        <w:top w:val="none" w:sz="0" w:space="0" w:color="auto"/>
                                        <w:left w:val="none" w:sz="0" w:space="0" w:color="auto"/>
                                        <w:bottom w:val="none" w:sz="0" w:space="0" w:color="auto"/>
                                        <w:right w:val="none" w:sz="0" w:space="0" w:color="auto"/>
                                      </w:divBdr>
                                      <w:divsChild>
                                        <w:div w:id="1185366522">
                                          <w:marLeft w:val="0"/>
                                          <w:marRight w:val="0"/>
                                          <w:marTop w:val="0"/>
                                          <w:marBottom w:val="0"/>
                                          <w:divBdr>
                                            <w:top w:val="none" w:sz="0" w:space="0" w:color="auto"/>
                                            <w:left w:val="none" w:sz="0" w:space="0" w:color="auto"/>
                                            <w:bottom w:val="none" w:sz="0" w:space="0" w:color="auto"/>
                                            <w:right w:val="none" w:sz="0" w:space="0" w:color="auto"/>
                                          </w:divBdr>
                                          <w:divsChild>
                                            <w:div w:id="2115707845">
                                              <w:marLeft w:val="0"/>
                                              <w:marRight w:val="0"/>
                                              <w:marTop w:val="0"/>
                                              <w:marBottom w:val="0"/>
                                              <w:divBdr>
                                                <w:top w:val="none" w:sz="0" w:space="0" w:color="auto"/>
                                                <w:left w:val="none" w:sz="0" w:space="0" w:color="auto"/>
                                                <w:bottom w:val="none" w:sz="0" w:space="0" w:color="auto"/>
                                                <w:right w:val="none" w:sz="0" w:space="0" w:color="auto"/>
                                              </w:divBdr>
                                              <w:divsChild>
                                                <w:div w:id="400252050">
                                                  <w:marLeft w:val="0"/>
                                                  <w:marRight w:val="0"/>
                                                  <w:marTop w:val="0"/>
                                                  <w:marBottom w:val="0"/>
                                                  <w:divBdr>
                                                    <w:top w:val="none" w:sz="0" w:space="0" w:color="auto"/>
                                                    <w:left w:val="none" w:sz="0" w:space="0" w:color="auto"/>
                                                    <w:bottom w:val="none" w:sz="0" w:space="0" w:color="auto"/>
                                                    <w:right w:val="none" w:sz="0" w:space="0" w:color="auto"/>
                                                  </w:divBdr>
                                                  <w:divsChild>
                                                    <w:div w:id="1974482046">
                                                      <w:marLeft w:val="0"/>
                                                      <w:marRight w:val="0"/>
                                                      <w:marTop w:val="0"/>
                                                      <w:marBottom w:val="0"/>
                                                      <w:divBdr>
                                                        <w:top w:val="none" w:sz="0" w:space="0" w:color="auto"/>
                                                        <w:left w:val="none" w:sz="0" w:space="0" w:color="auto"/>
                                                        <w:bottom w:val="none" w:sz="0" w:space="0" w:color="auto"/>
                                                        <w:right w:val="none" w:sz="0" w:space="0" w:color="auto"/>
                                                      </w:divBdr>
                                                    </w:div>
                                                    <w:div w:id="1331371093">
                                                      <w:marLeft w:val="0"/>
                                                      <w:marRight w:val="0"/>
                                                      <w:marTop w:val="0"/>
                                                      <w:marBottom w:val="0"/>
                                                      <w:divBdr>
                                                        <w:top w:val="none" w:sz="0" w:space="0" w:color="auto"/>
                                                        <w:left w:val="none" w:sz="0" w:space="0" w:color="auto"/>
                                                        <w:bottom w:val="none" w:sz="0" w:space="0" w:color="auto"/>
                                                        <w:right w:val="none" w:sz="0" w:space="0" w:color="auto"/>
                                                      </w:divBdr>
                                                    </w:div>
                                                    <w:div w:id="110518157">
                                                      <w:marLeft w:val="0"/>
                                                      <w:marRight w:val="0"/>
                                                      <w:marTop w:val="0"/>
                                                      <w:marBottom w:val="0"/>
                                                      <w:divBdr>
                                                        <w:top w:val="none" w:sz="0" w:space="0" w:color="auto"/>
                                                        <w:left w:val="none" w:sz="0" w:space="0" w:color="auto"/>
                                                        <w:bottom w:val="none" w:sz="0" w:space="0" w:color="auto"/>
                                                        <w:right w:val="none" w:sz="0" w:space="0" w:color="auto"/>
                                                      </w:divBdr>
                                                    </w:div>
                                                    <w:div w:id="11747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footer" Target="footer1.xml"></Relationship><Relationship Id="rId3" Type="http://schemas.openxmlformats.org/officeDocument/2006/relationships/settings" Target="settings.xml"></Relationship><Relationship Id="rId7" Type="http://schemas.openxmlformats.org/officeDocument/2006/relationships/header" Target="header1.xm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endnotes" Target="endnotes.xml"></Relationship><Relationship Id="rId5" Type="http://schemas.openxmlformats.org/officeDocument/2006/relationships/footnotes" Target="footnotes.xml"></Relationship><Relationship Id="rId10" Type="http://schemas.openxmlformats.org/officeDocument/2006/relationships/theme" Target="theme/theme1.xml"></Relationship><Relationship Id="rId4" Type="http://schemas.openxmlformats.org/officeDocument/2006/relationships/webSettings" Target="webSettings.xml"></Relationship><Relationship Id="rId9" Type="http://schemas.openxmlformats.org/officeDocument/2006/relationships/fontTable" Target="fontTable.xml"></Relationship><Relationship Id="rId11"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vlastný-materiál-365_2015"/>
    <f:field ref="objsubject" par="" edit="true" text=""/>
    <f:field ref="objcreatedby" par="" text="Smažáková, Janette"/>
    <f:field ref="objcreatedat" par="" text="7.5.2019 18:15:55"/>
    <f:field ref="objchangedby" par="" text="Administrator, System"/>
    <f:field ref="objmodifiedat" par="" text="7.5.2019 18:15: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158</Words>
  <Characters>906</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Uhliarová Dáša</dc:creator>
  <cp:keywords/>
  <dc:description/>
  <cp:lastModifiedBy>Ďuračka Ľubomír</cp:lastModifiedBy>
  <cp:revision>4</cp:revision>
  <cp:lastPrinted>2017-08-16T12:17:00Z</cp:lastPrinted>
  <dcterms:created xsi:type="dcterms:W3CDTF">2019-04-24T06:30:00Z</dcterms:created>
  <dcterms:modified xsi:type="dcterms:W3CDTF">2019-04-24T06:42:00Z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
  </property>
  <property name="FSC#SKEDITIONSLOVLEX@103.510:typpredpis" pid="3" fmtid="{D5CDD505-2E9C-101B-9397-08002B2CF9AE}">
    <vt:lpwstr>Zákon</vt:lpwstr>
  </property>
  <property name="FSC#SKEDITIONSLOVLEX@103.510:aktualnyrok" pid="4" fmtid="{D5CDD505-2E9C-101B-9397-08002B2CF9AE}">
    <vt:lpwstr>2019</vt:lpwstr>
  </property>
  <property name="FSC#SKEDITIONSLOVLEX@103.510:cisloparlamenttlac" pid="5" fmtid="{D5CDD505-2E9C-101B-9397-08002B2CF9AE}">
    <vt:lpwstr/>
  </property>
  <property name="FSC#SKEDITIONSLOVLEX@103.510:stavpredpis" pid="6" fmtid="{D5CDD505-2E9C-101B-9397-08002B2CF9AE}">
    <vt:lpwstr>Medzirezortné pripomienkové konanie</vt:lpwstr>
  </property>
  <property name="FSC#SKEDITIONSLOVLEX@103.510:povodpredpis" pid="7" fmtid="{D5CDD505-2E9C-101B-9397-08002B2CF9AE}">
    <vt:lpwstr>Slovlex (eLeg)</vt:lpwstr>
  </property>
  <property name="FSC#SKEDITIONSLOVLEX@103.510:legoblast" pid="8" fmtid="{D5CDD505-2E9C-101B-9397-08002B2CF9AE}">
    <vt:lpwstr>Životné prostredie_x000d__x000a_Odpady, nakladanie s odpadmi</vt:lpwstr>
  </property>
  <property name="FSC#SKEDITIONSLOVLEX@103.510:uzemplat" pid="9" fmtid="{D5CDD505-2E9C-101B-9397-08002B2CF9AE}">
    <vt:lpwstr/>
  </property>
  <property name="FSC#SKEDITIONSLOVLEX@103.510:vztahypredpis" pid="10" fmtid="{D5CDD505-2E9C-101B-9397-08002B2CF9AE}">
    <vt:lpwstr/>
  </property>
  <property name="FSC#SKEDITIONSLOVLEX@103.510:predkladatel" pid="11" fmtid="{D5CDD505-2E9C-101B-9397-08002B2CF9AE}">
    <vt:lpwstr>Janette Smažáková</vt:lpwstr>
  </property>
  <property name="FSC#SKEDITIONSLOVLEX@103.510:zodppredkladatel" pid="12" fmtid="{D5CDD505-2E9C-101B-9397-08002B2CF9AE}">
    <vt:lpwstr>László Sólymos</vt:lpwstr>
  </property>
  <property name="FSC#SKEDITIONSLOVLEX@103.510:dalsipredkladatel" pid="13" fmtid="{D5CDD505-2E9C-101B-9397-08002B2CF9AE}">
    <vt:lpwstr/>
  </property>
  <property name="FSC#SKEDITIONSLOVLEX@103.510:nazovpredpis" pid="14" fmtid="{D5CDD505-2E9C-101B-9397-08002B2CF9AE}">
    <vt:lpwstr>, ktorým sa mení a dopĺňa zákon č. 79/2015 Z. z. o odpadoch a o zmene a doplnení niektorých zákonov v znení neskorších predpisov a ktorým sa menia a dopĺňajú niektoré zákony</vt:lpwstr>
  </property>
  <property name="FSC#SKEDITIONSLOVLEX@103.510:nazovpredpis1" pid="15" fmtid="{D5CDD505-2E9C-101B-9397-08002B2CF9AE}">
    <vt:lpwstr/>
  </property>
  <property name="FSC#SKEDITIONSLOVLEX@103.510:nazovpredpis2" pid="16" fmtid="{D5CDD505-2E9C-101B-9397-08002B2CF9AE}">
    <vt:lpwstr/>
  </property>
  <property name="FSC#SKEDITIONSLOVLEX@103.510:nazovpredpis3" pid="17" fmtid="{D5CDD505-2E9C-101B-9397-08002B2CF9AE}">
    <vt:lpwstr/>
  </property>
  <property name="FSC#SKEDITIONSLOVLEX@103.510:cislopredpis" pid="18" fmtid="{D5CDD505-2E9C-101B-9397-08002B2CF9AE}">
    <vt:lpwstr/>
  </property>
  <property name="FSC#SKEDITIONSLOVLEX@103.510:zodpinstitucia" pid="19" fmtid="{D5CDD505-2E9C-101B-9397-08002B2CF9AE}">
    <vt:lpwstr>Ministerstvo životného prostredia Slovenskej republiky</vt:lpwstr>
  </property>
  <property name="FSC#SKEDITIONSLOVLEX@103.510:pripomienkovatelia" pid="20" fmtid="{D5CDD505-2E9C-101B-9397-08002B2CF9AE}">
    <vt:lpwstr/>
  </property>
  <property name="FSC#SKEDITIONSLOVLEX@103.510:autorpredpis" pid="21" fmtid="{D5CDD505-2E9C-101B-9397-08002B2CF9AE}">
    <vt:lpwstr/>
  </property>
  <property name="FSC#SKEDITIONSLOVLEX@103.510:podnetpredpis" pid="22" fmtid="{D5CDD505-2E9C-101B-9397-08002B2CF9AE}">
    <vt:lpwstr>Plán Legislatívnych úloh vlády Slovenskej republiky na rok 2019</vt:lpwstr>
  </property>
  <property name="FSC#SKEDITIONSLOVLEX@103.510:plnynazovpredpis" pid="23" fmtid="{D5CDD505-2E9C-101B-9397-08002B2CF9AE}">
    <vt:lpwstr> Zákon, ktorým sa mení a dopĺňa zákon č. 79/2015 Z. z. o odpadoch a o zmene a doplnení niektorých zákonov v znení neskorších predpisov a ktorým sa menia a dopĺňajú niektoré zákony</vt:lpwstr>
  </property>
  <property name="FSC#SKEDITIONSLOVLEX@103.510:plnynazovpredpis1" pid="24" fmtid="{D5CDD505-2E9C-101B-9397-08002B2CF9AE}">
    <vt:lpwstr/>
  </property>
  <property name="FSC#SKEDITIONSLOVLEX@103.510:plnynazovpredpis2" pid="25" fmtid="{D5CDD505-2E9C-101B-9397-08002B2CF9AE}">
    <vt:lpwstr/>
  </property>
  <property name="FSC#SKEDITIONSLOVLEX@103.510:plnynazovpredpis3" pid="26" fmtid="{D5CDD505-2E9C-101B-9397-08002B2CF9AE}">
    <vt:lpwstr/>
  </property>
  <property name="FSC#SKEDITIONSLOVLEX@103.510:rezortcislopredpis" pid="27" fmtid="{D5CDD505-2E9C-101B-9397-08002B2CF9AE}">
    <vt:lpwstr>7408/2019-9.1</vt:lpwstr>
  </property>
  <property name="FSC#SKEDITIONSLOVLEX@103.510:citaciapredpis" pid="28" fmtid="{D5CDD505-2E9C-101B-9397-08002B2CF9AE}">
    <vt:lpwstr/>
  </property>
  <property name="FSC#SKEDITIONSLOVLEX@103.510:spiscislouv" pid="29" fmtid="{D5CDD505-2E9C-101B-9397-08002B2CF9AE}">
    <vt:lpwstr/>
  </property>
  <property name="FSC#SKEDITIONSLOVLEX@103.510:datumschvalpredpis" pid="30" fmtid="{D5CDD505-2E9C-101B-9397-08002B2CF9AE}">
    <vt:lpwstr/>
  </property>
  <property name="FSC#SKEDITIONSLOVLEX@103.510:platneod" pid="31" fmtid="{D5CDD505-2E9C-101B-9397-08002B2CF9AE}">
    <vt:lpwstr/>
  </property>
  <property name="FSC#SKEDITIONSLOVLEX@103.510:platnedo" pid="32" fmtid="{D5CDD505-2E9C-101B-9397-08002B2CF9AE}">
    <vt:lpwstr/>
  </property>
  <property name="FSC#SKEDITIONSLOVLEX@103.510:ucinnostod" pid="33" fmtid="{D5CDD505-2E9C-101B-9397-08002B2CF9AE}">
    <vt:lpwstr/>
  </property>
  <property name="FSC#SKEDITIONSLOVLEX@103.510:ucinnostdo" pid="34" fmtid="{D5CDD505-2E9C-101B-9397-08002B2CF9AE}">
    <vt:lpwstr/>
  </property>
  <property name="FSC#SKEDITIONSLOVLEX@103.510:datumplatnosti" pid="35" fmtid="{D5CDD505-2E9C-101B-9397-08002B2CF9AE}">
    <vt:lpwstr/>
  </property>
  <property name="FSC#SKEDITIONSLOVLEX@103.510:cislolp" pid="36" fmtid="{D5CDD505-2E9C-101B-9397-08002B2CF9AE}">
    <vt:lpwstr>LP/2019/350</vt:lpwstr>
  </property>
  <property name="FSC#SKEDITIONSLOVLEX@103.510:typsprievdok" pid="37" fmtid="{D5CDD505-2E9C-101B-9397-08002B2CF9AE}">
    <vt:lpwstr>Návrh vykonávacích predpisov</vt:lpwstr>
  </property>
  <property name="FSC#SKEDITIONSLOVLEX@103.510:cislopartlac" pid="38" fmtid="{D5CDD505-2E9C-101B-9397-08002B2CF9AE}">
    <vt:lpwstr/>
  </property>
  <property name="FSC#SKEDITIONSLOVLEX@103.510:AttrStrListDocPropUcelPredmetZmluvy" pid="39" fmtid="{D5CDD505-2E9C-101B-9397-08002B2CF9AE}">
    <vt:lpwstr/>
  </property>
  <property name="FSC#SKEDITIONSLOVLEX@103.510:AttrStrListDocPropUpravaPravFOPRO" pid="40" fmtid="{D5CDD505-2E9C-101B-9397-08002B2CF9AE}">
    <vt:lpwstr/>
  </property>
  <property name="FSC#SKEDITIONSLOVLEX@103.510:AttrStrListDocPropUpravaPredmetuZmluvy" pid="41" fmtid="{D5CDD505-2E9C-101B-9397-08002B2CF9AE}">
    <vt:lpwstr/>
  </property>
  <property name="FSC#SKEDITIONSLOVLEX@103.510:AttrStrListDocPropKategoriaZmluvy74" pid="42" fmtid="{D5CDD505-2E9C-101B-9397-08002B2CF9AE}">
    <vt:lpwstr/>
  </property>
  <property name="FSC#SKEDITIONSLOVLEX@103.510:AttrStrListDocPropKategoriaZmluvy75" pid="43" fmtid="{D5CDD505-2E9C-101B-9397-08002B2CF9AE}">
    <vt:lpwstr/>
  </property>
  <property name="FSC#SKEDITIONSLOVLEX@103.510:AttrStrListDocPropDopadyPrijatiaZmluvy" pid="44" fmtid="{D5CDD505-2E9C-101B-9397-08002B2CF9AE}">
    <vt:lpwstr/>
  </property>
  <property name="FSC#SKEDITIONSLOVLEX@103.510:AttrStrListDocPropProblematikaPPa" pid="45" fmtid="{D5CDD505-2E9C-101B-9397-08002B2CF9AE}">
    <vt:lpwstr>je upravený v práve Európskej únie</vt:lpwstr>
  </property>
  <property name="FSC#SKEDITIONSLOVLEX@103.510:AttrStrListDocPropPrimarnePravoEU" pid="46" fmtid="{D5CDD505-2E9C-101B-9397-08002B2CF9AE}">
    <vt:lpwstr>Čl. 114 a čl. 191 až 193 Zmluvy o fungovaní Európskej únie  </vt:lpwstr>
  </property>
  <property name="FSC#SKEDITIONSLOVLEX@103.510:AttrStrListDocPropSekundarneLegPravoPO" pid="47" fmtid="{D5CDD505-2E9C-101B-9397-08002B2CF9AE}">
    <vt:lpwstr>SMERNICA EURÓPSKEHO PARLAMENTU a RADY (EÚ) 2018/852 z 30. mája 2018, ktorou sa mení smernica 94/62/ES o obaloch a odpadoch z obalov (Ú. v. EÚ L 150, 14.6.2018)                                                                                                                                         Gestor: Ministerstvo životného prostredia Slovenskej republiky _x000d__x000a_SMERNICA EURÓPSKEHO PARLAMENTU A RADY (EÚ) 2018/849 z 30. mája 2018, ktorou sa menia smernice 2000/53/ES o vozidlách po dobe životnosti, 2006/66/ES o batériách a akumulátoroch a použitých batériách a akumulátoroch a 2012/19/EÚ o odpade z elektrických a elektronických zariadení (Ú. v. EÚ L 150, 14.6.2018) Gestor: Ministerstvo životného prostredia Slovenskej republiky_x000d__x000a_SMERNICA EURÓPSKEHO PARLAMENTU A RADY (EÚ) 2018/850 z 30. mája 2018, ktorou sa mení smernica 1999/31/ES o skládkach odpadov (Ú. v. EÚ L 150, 14.6.2018)                                      Gestor: Ministerstvo životného prostredia Slovenskej republiky_x000d__x000a_SMERNICA EURÓPSKEHO PARLAMENTU A RADY (EÚ) 2018/851 z 30. mája 2018, ktorou sa mení smernica 2008/98/ES o odpade (Ú. v. EÚ L 150, 14.6.2018) Gestor: Ministerstvo životného prostredia Slovenskej republiky</vt:lpwstr>
  </property>
  <property name="FSC#SKEDITIONSLOVLEX@103.510:AttrStrListDocPropSekundarneNelegPravoPO" pid="48" fmtid="{D5CDD505-2E9C-101B-9397-08002B2CF9AE}">
    <vt:lpwstr/>
  </property>
  <property name="FSC#SKEDITIONSLOVLEX@103.510:AttrStrListDocPropSekundarneLegPravoDO" pid="49" fmtid="{D5CDD505-2E9C-101B-9397-08002B2CF9AE}">
    <vt:lpwstr/>
  </property>
  <property name="FSC#SKEDITIONSLOVLEX@103.510:AttrStrListDocPropProblematikaPPb" pid="50" fmtid="{D5CDD505-2E9C-101B-9397-08002B2CF9AE}">
    <vt:lpwstr/>
  </property>
  <property name="FSC#SKEDITIONSLOVLEX@103.510:AttrStrListDocPropNazovPredpisuEU" pid="51" fmtid="{D5CDD505-2E9C-101B-9397-08002B2CF9AE}">
    <vt:lpwstr>nie je obsiahnutý</vt:lpwstr>
  </property>
  <property name="FSC#SKEDITIONSLOVLEX@103.510:AttrStrListDocPropLehotaPrebratieSmernice" pid="52" fmtid="{D5CDD505-2E9C-101B-9397-08002B2CF9AE}">
    <vt:lpwstr>-_x0009_5. júl 2020</vt:lpwstr>
  </property>
  <property name="FSC#SKEDITIONSLOVLEX@103.510:AttrStrListDocPropLehotaNaPredlozenie" pid="53" fmtid="{D5CDD505-2E9C-101B-9397-08002B2CF9AE}">
    <vt:lpwstr/>
  </property>
  <property name="FSC#SKEDITIONSLOVLEX@103.510:AttrStrListDocPropInfoZaciatokKonania" pid="54" fmtid="{D5CDD505-2E9C-101B-9397-08002B2CF9AE}">
    <vt:lpwstr>- Návrh zákona rieši aj odstránenie transpozičných a iných nedostatkov vytýkaných zo strany Európskej komisie v rámci prebiehajúceho prípadu EU Pilot č. EUP(2018)9334. Úpravou relevantných ustanovení dôjde k úplnej transpozícii článku 2 písm. h) a článku 6 písm. a) smernice Rady 1999/31/ES z 26. apríla 1999 o skládkach odpadov</vt:lpwstr>
  </property>
  <property name="FSC#SKEDITIONSLOVLEX@103.510:AttrStrListDocPropInfoUzPreberanePP" pid="55" fmtid="{D5CDD505-2E9C-101B-9397-08002B2CF9AE}">
    <vt:lpwstr>- Zákon č. 79/2015 Z. z. o odpadoch a o zmene a doplnení niektorých zákonov v znení    neskorších predpisov_x000d__x000a_- Vyhláška Ministerstva životného prostredia Slovenskej republiky č. 366/2015 Z. z. o evidenčnej povinnosti a ohlasovacej povinnosti v znení neskorších predpisov _x000d__x000a_- Vyhláška Ministerstva životného prostredia Slovenskej republiky č. 371/2015 Z. z. ,ktorou sa vykonávajú niektoré ustanovenia zákona o odpadoch  v znení neskorších predpisov _x000d__x000a_- Vyhláška Ministerstva životného prostredia Slovenskej republiky č. 373/2015 Z. z. o rozšírenej zodpovednosti výrobcov vyhradených výrobkov a  o nakladaní  s vyhradenými prúdmi odpadov v znení neskorších predpisov_x000d__x000a_- Vyhláška Ministerstva životného prostredia Slovenskej republiky č. 382/2015 Z. z. o skládkovaní odpadov a uskladnení odpadovej ortuti_x000d__x000a_</vt:lpwstr>
  </property>
  <property name="FSC#SKEDITIONSLOVLEX@103.510:AttrStrListDocPropStupenZlucitelnostiPP" pid="56" fmtid="{D5CDD505-2E9C-101B-9397-08002B2CF9AE}">
    <vt:lpwstr>úplne</vt:lpwstr>
  </property>
  <property name="FSC#SKEDITIONSLOVLEX@103.510:AttrStrListDocPropGestorSpolupRezorty" pid="57" fmtid="{D5CDD505-2E9C-101B-9397-08002B2CF9AE}">
    <vt:lpwstr/>
  </property>
  <property name="FSC#SKEDITIONSLOVLEX@103.510:AttrDateDocPropZaciatokPKK" pid="58" fmtid="{D5CDD505-2E9C-101B-9397-08002B2CF9AE}">
    <vt:lpwstr>11. 4. 2019</vt:lpwstr>
  </property>
  <property name="FSC#SKEDITIONSLOVLEX@103.510:AttrDateDocPropUkonceniePKK" pid="59" fmtid="{D5CDD505-2E9C-101B-9397-08002B2CF9AE}">
    <vt:lpwstr>26. 4. 2019</vt:lpwstr>
  </property>
  <property name="FSC#SKEDITIONSLOVLEX@103.510:AttrStrDocPropVplyvRozpocetVS" pid="60" fmtid="{D5CDD505-2E9C-101B-9397-08002B2CF9AE}">
    <vt:lpwstr>Negatívne</vt:lpwstr>
  </property>
  <property name="FSC#SKEDITIONSLOVLEX@103.510:AttrStrDocPropVplyvPodnikatelskeProstr" pid="61" fmtid="{D5CDD505-2E9C-101B-9397-08002B2CF9AE}">
    <vt:lpwstr>Pozitívne_x000d__x000a_Negatívne</vt:lpwstr>
  </property>
  <property name="FSC#SKEDITIONSLOVLEX@103.510:AttrStrDocPropVplyvSocialny" pid="62" fmtid="{D5CDD505-2E9C-101B-9397-08002B2CF9AE}">
    <vt:lpwstr>Pozitívne_x000d__x000a_Negatívne</vt:lpwstr>
  </property>
  <property name="FSC#SKEDITIONSLOVLEX@103.510:AttrStrDocPropVplyvNaZivotProstr" pid="63" fmtid="{D5CDD505-2E9C-101B-9397-08002B2CF9AE}">
    <vt:lpwstr>Pozitívne</vt:lpwstr>
  </property>
  <property name="FSC#SKEDITIONSLOVLEX@103.510:AttrStrDocPropVplyvNaInformatizaciu" pid="64" fmtid="{D5CDD505-2E9C-101B-9397-08002B2CF9AE}">
    <vt:lpwstr>Pozitívne</vt:lpwstr>
  </property>
  <property name="FSC#SKEDITIONSLOVLEX@103.510:AttrStrListDocPropPoznamkaVplyv" pid="65" fmtid="{D5CDD505-2E9C-101B-9397-08002B2CF9AE}">
    <vt:lpwstr>&lt;table align="left" cellpadding="0" cellspacing="0" hspace="0" vspace="0"&gt;_x0009_&lt;tbody&gt;_x0009__x0009_&lt;tr&gt;_x0009__x0009__x0009_&lt;td align="left"&gt;_x0009__x0009__x0009_&lt;p&gt;V&amp;nbsp;súvislosti so zavedením zmien a zrušením výnimiek z&amp;nbsp;povinnosti zavedenia a&amp;nbsp;zabezpečovania triedeného zberu biologicky rozložiteľných kuchynských odpadov ustanovených v § 81 ods. 21 zákona č. 79/2015 Z. z. o&amp;nbsp;odpadoch a&amp;nbsp;o&amp;nbsp;zmene a&amp;nbsp;doplnení niektorých zákonov v&amp;nbsp;znení neskorších predpisov, ktorú si obce môžu v súčasnosti uplatniť, sa predpokladajú pozitívne a negatívne sociálne vplyvy, keďže náklady na činnosti nakladania s biologicky rozložiteľným komunálnym odpadom hradí obec z miestneho poplatku za komunálne odpady a drobné stavebné odpady podľa osobitného predpisu, ktorým je zákon č. 582/2004 Z. z. o miestnych daniach a miestnom poplatku za komunálne odpady a drobné stavebné odpady v znení neskorších predpisov.&lt;/p&gt;_x0009__x0009__x0009_&lt;p&gt;Povinné vybavenie zberných vozidiel vážiacim systémom by malo byť spolufinancované z&amp;nbsp;Environemntálneho fondu.&lt;/p&gt;_x0009__x0009__x0009_&lt;/td&gt;_x0009__x0009_&lt;/tr&gt;_x0009_&lt;/tbody&gt;&lt;/table&gt;&lt;div style="clear:both;"&gt;&amp;nbsp;&lt;/div&gt;</vt:lpwstr>
  </property>
  <property name="FSC#SKEDITIONSLOVLEX@103.510:AttrStrListDocPropAltRiesenia" pid="66" fmtid="{D5CDD505-2E9C-101B-9397-08002B2CF9AE}">
    <vt:lpwstr>Alternatívne riešenie 0 – pôvodný stav (hrozba nesplnenia záväzkov vyplývajúcich z nedodržania lehoty určenej na transpozíciu smerníc uvedených v bode 1 a neodstránenie transpozičných  nedostatkov  vytýkaných zo strany Európskej Komisie v rámci prebiehajúceho konania).Alternatívne riešenie 1 – prijatie návrhu zákona (splnenie záväzkov vyplývajúcich zo Zmluvy o fungovaní Európskej únie).</vt:lpwstr>
  </property>
  <property name="FSC#SKEDITIONSLOVLEX@103.510:AttrStrListDocPropStanoviskoGest" pid="67" fmtid="{D5CDD505-2E9C-101B-9397-08002B2CF9AE}">
    <vt:lpwstr>&lt;table align="left" cellpadding="0" cellspacing="0" hspace="0" vspace="0"&gt;_x0009_&lt;tbody&gt;_x0009__x0009_&lt;tr&gt;_x0009__x0009__x0009_&lt;td align="left"&gt;_x0009__x0009__x0009_&lt;p&gt;I. Úvod: Ministerstvo životného prostredia Slovenskej republiky dňa 10. apríla 2019 predložilo Stálej pracovnej komisii na posudzovanie vybraných vplyvov (ďalej len „Komisia“) na predbežné pripomienkové konanie materiál: „Návrh zákona, ktorým sa mení a dopĺňa zákon č. 79/2015 Z. z. o odpadoch a o zmene a doplnení niektorých zákonov v znení neskorších predpisov a ktorým sa menia a dopĺňajú niektoré zákony“. Materiál predpokladá negatívne vplyvy na rozpočet verejnej správy, ktoré sú čiastočne rozpočtovo zabezpečené, pozitívno-negatívne vplyvy na podnikateľské prostredie, vrátane pozitívno-negatívnych vplyvov na MSP, pozitívne vplyvy na životné prostredie, pozitívne vplyvy na informatizáciu, pozitívne vplyvy služieb verejnej správy na občana a pozitívne vplyvy na procesy služieb vo verejnej správe.&lt;/p&gt;_x0009__x0009__x0009_&lt;p&gt;&amp;nbsp;&lt;/p&gt;_x0009__x0009__x0009_&lt;p&gt;II. Pripomienky a návrhy zmien: Komisia uplatňuje k materiálu nasledovné pripomienky a odporúčania:&lt;/p&gt;_x0009__x0009__x0009_&lt;p&gt;&amp;nbsp;&lt;/p&gt;_x0009__x0009__x0009_&lt;p&gt;K vplyvom na podnikateľské prostredie&lt;/p&gt;_x0009__x0009__x0009_&lt;p&gt;Komisia odporúča uviesť v Analýze vplyvov na podnikateľské prostredie v časti 3.3.4 pod Tabuľku poznámku, že celkové náklady regulácie neobsahujú nepriame finančné náklady, ktoré budú tvoriť podstatnú časť negatívnych vplyvov na podnikateľské prostredie, ale vzhľadom na nemožnosť vyčíslenia nákladov tieto nie sú uvádzané. Preto Komisia prosí aj v Súhrnnej tabuľke nákladov v položke „nepriame finančné náklady“ nahradiť 0 - slovne: (finančné náklady v zmysle povinností uvádzaných v časti 3.3.2.)&lt;/p&gt;_x0009__x0009__x0009_&lt;p&gt;&amp;nbsp;&lt;/p&gt;_x0009__x0009__x0009_&lt;p&gt;&lt;strong&gt;Stanovisko MŽP SR: &lt;/strong&gt;Zapracované v zmysle &amp;nbsp;pripomienky.&lt;/p&gt;_x0009__x0009__x0009_&lt;p&gt;&amp;nbsp;&lt;/p&gt;_x0009__x0009__x0009_&lt;p&gt;Ďalej Komisia odporúča doplniť deklarovanie pozitívneho vplyvu na podnikateľské prostredie v súvislosti so zavedením elektronizácie odpadového hospodárstva v nadväznosti na uznesenie 327/2017 úlohu „B.17.znížiť administratívnu záťaž podnikateľov v nadväznosti na povinnosti vyplývajúce zo zákona č. 79/2015 Z. z. o odpadoch a o zmene a doplnení niektorých zákonov zavedením elektronického vykazovania odpadu“ a tiež jeho vyčíslenie.&lt;/p&gt;_x0009__x0009__x0009_&lt;p&gt;&amp;nbsp;&lt;/p&gt;_x0009__x0009__x0009_&lt;p&gt;&lt;strong&gt;Stanovisko MŽP SR:&lt;/strong&gt; MŽP SR predpokladá zníženie administratívnej záťaže na podnikateľské prostredie zavedením elektronizácie odpadového hospodárstva. Informačný systém má slúžiť ako miesto kde budú zhromažďované informácie z&amp;nbsp;oblasti odpadového hospodárstva, to znamená podnikateľský subjekt bude mať jednoduchší prístup k&amp;nbsp;týmto informáciám a zároveň sa do budúcnosti predpokladá aj zrušenie povinností ohlasovania niektorých údajov, ak prevádzka informačného systému preukáže nadbytočnosť takýchto údajov. Z&amp;nbsp;finančného hľadiska v&amp;nbsp;súčasnosti nie je možné vyčísliť pozitívny vplyv na podnikateľské prostredie, z&amp;nbsp;dôvodu že informačný systém je v&amp;nbsp;štádiu prípravy a&amp;nbsp;nie je zrejmé, na aký počet subjektov bude mať dopad.&lt;/p&gt;_x0009__x0009__x0009_&lt;p&gt;&amp;nbsp;&lt;/p&gt;_x0009__x0009__x0009_&lt;p&gt;K vplyvom na rozpočet verejnej správy&lt;/p&gt;_x0009__x0009__x0009_&lt;p&gt;V doložke vybraných vplyvov, ako aj predkladacej a dôvodovej správe predloženého materiálu sa uvádzajú negatívne vplyvy na rozpočet verejnej správy, ktoré sú čiastočne rozpočtovo zabezpečené. V nadväznosti na uvedené konštatovanie je vypracovaná analýza vplyvov na rozpočet verejnej správy, kde sa uvádzajú rozpočtovo nekryté vplyvy na strane výdavkov súvisiace s prevádzkou informačného systému odpadového hospodárstva v roku 2020 v sume 154 000 eur a v rokoch 2021 a 2022 v sume 1 230 000 eur ročne, pričom nie je zrejmé, z akých zdrojov majú byť tieto zvýšené výdavky kryté.&lt;/p&gt;_x0009__x0009__x0009_&lt;/td&gt;_x0009__x0009_&lt;/tr&gt;_x0009_&lt;/tbody&gt;&lt;/table&gt;&lt;div style="clear:both;"&gt;&amp;nbsp;&lt;/div&gt;V súvislosti so zavedením zmien a zrušením výnimiek z povinnosti zavedenia a zabezpečovania triedeného zberu biologicky rozložiteľných kuchynských odpadov ustanovených v § 81 ods. 21 zákona č. 79/2015 Z. z. o odpadoch a o zmene a doplnení niektorých zákonov v znení neskorších predpisov, ktorú si obce môžu v súčasnosti uplatniť, sa predpokladajú negatívne vplyvy na rozpočty obcí v prípade, že si obec v súčasnosti jednu z týchto výnimiek uplatňovala. Zároveň návrh zákona zavádza povinnosť obciam uvádzať v záväznej časti svojho Programu&lt;table align="left" cellpadding="0" cellspacing="0" hspace="0" vspace="0"&gt;_x0009_&lt;tbody&gt;_x0009__x0009_&lt;tr&gt;_x0009__x0009__x0009_&lt;td align="left"&gt;_x0009__x0009__x0009_&lt;p&gt;odpadového hospodárstva aj opatrenia na predchádzanie vzniku odpadu vrátane opatrení na podporu opätovného použitia výrobkov. Komisia žiada preto v súlade s § 33 ods. 1 zákona č. 523/2004 Z. z. o rozpočtových pravidlách verejnej správy a o zmene a doplnení niektorých zákonov v znení neskorších predpisov a Jednotnou metodikou na posudzovanie vybraných vplyvov doplniť analýzu vplyvov na rozpočet verejnej správy o kvantifikáciu dopadov na rozpočty obcí na bežný rok a tri nasledujúce rozpočtové roky spolu s uvedením návrhu na úhradu zvýšených výdavkov.&lt;/p&gt;_x0009__x0009__x0009_&lt;p&gt;&amp;nbsp;&lt;/p&gt;_x0009__x0009__x0009_&lt;p&gt;&lt;strong&gt;Stanovisko MŽP SR:&lt;/strong&gt; V súvislosti so zavedením zmien a zrušením výnimiek z povinnosti zavedenia a zabezpečovania triedeného zberu biologicky rozložiteľných kuchynských odpadov ustanovených v § 81 ods. 21 zákona č. 79/2015 Z. z. o odpadoch a o zmene a doplnení niektorých zákonov v znení neskorších predpisov, ktorú si obce môžu v súčasnosti uplatniť nebola analýza vplyvov na rozpočet verejnej správy doplnená, ale boli doplnené sociálne vplyvy a vplyvy na životné prostredie, keďže náklady na činnosti nakladania s biologicky rozložiteľným komunálnym odpadom hradí obec z miestneho poplatku za komunálne odpady a drobné stavebné odpady podľa osobitného predpisu, ktorým je zákon č. 582/2004 Z. z. o miestnych daniach a miestnom poplatku za komunálne odpady a drobné stavebné odpady v znení neskorších predpisov. V súvislosti so zavedením povinnosti obciam uvádzať v záväznej časti svojho Programu odpadového hospodárstva aj opatrenia na predchádzanie vzniku odpadu vrátane opatrení na podporu opätovného použitia výrobkov nebola analýza vplyvov na rozpočet verejnej správy doplnená, keďže Ministerstvo životného prostredia Slovenskej republiky plánuje v rámci medzirezortného pripomienkového konania povinnosť v § 10 zákona o odpadoch a o zmene a doplnení niektorých zákonov v znení neskorších predpisov zrušiť bez náhrady.&lt;/p&gt;_x0009__x0009__x0009_&lt;p&gt;&amp;nbsp;&lt;/p&gt;_x0009__x0009__x0009_&lt;p&gt;V tabuľke č. 4 analýzy vplyvov na rozpočet verejnej správy Komisia žiada v riadku „Bežné výdavky (600)“ v rokoch 2021 a 2022 nahradiť sumu 104 063 eur sumou 1 334 063 eur (suma 104 063 eur sa týka len osobných výdavkov). Táto úprava sa vzťahuje aj na sumu uvedenú v riadku „Výdavky verejnej správy celkom, MŽP SR/program 076“ pre rok 2021 tabuľky č. 1 analýzy vplyvov na rozpočet verejnej správy.&lt;/p&gt;_x0009__x0009__x0009_&lt;p&gt;Zároveň v analýze vplyvov na rozpočet verejnej správy v časti 2.1.1. Financovanie návrhu Komisia žiada vetu: „Financovanie zvýšených výdavkov v súvislosti s osobnými výdavkami 6 zamestnancov aparátu MŽP SR bude zabezpečené v rozpočte kapitoly MŽP SR.“ nahradiť vetami: "Financovanie osobných výdavkov 6 nových zamestnancov aparátu MŽP SR bude zabezpečené v rámci schválených limitov výdavkov kapitoly MŽP SR na roky 2021 a 2022 a nasledujúce roky bez dodatočných požiadaviek na rozpočet verejnej správy. Zvýšenie počtu zamestnancov aparátu ústredného orgánu o 6 osôb bude zabezpečené v rámci schváleného limitu počtu zamestnancov kapitoly MŽP SR na roky 2021 a 2022 a nasledujúce roky bez dodatočných požiadaviek na zvýšenie limitu počtu zamestnancov kapitoly.“.&lt;/p&gt;_x0009__x0009__x0009_&lt;p&gt;&amp;nbsp;&lt;/p&gt;_x0009__x0009__x0009_&lt;p&gt;&lt;strong&gt;Stanovisko MŽP SR:&lt;/strong&gt;&amp;nbsp; Pripomienka zapracovaná doplnením príslušných položiek Analýzy vplyvov na rozpočet verejnej správy, na zamestnanosť vo verejnej správe a financovanie návrhu.&lt;/p&gt;_x0009__x0009__x0009_&lt;p&gt;&amp;nbsp;&lt;/p&gt;_x0009__x0009__x0009_&lt;p&gt;S takto predloženým materiálom nie je možné súhlasiť, keďže návrh zákona zakladá nekryté vplyvy na rozpočet verejnej správy. Komisia preto zásadne žiada prepracovať analýzu vplyvov na rozpočet verejnej správy, ako aj ostatné časti materiálu takým spôsobom, aby všetky výdavky z neho vyplývajúce boli rozpočtovo zabezpečené v rámci schválených limitov kapitoly MŽP SR, resp. ostatných dotknutých subjektov verejnej správy bez zvýšených vplyvov na rozpočet verejnej správy.&lt;/p&gt;_x0009__x0009__x0009_&lt;p&gt;&amp;nbsp;&lt;/p&gt;_x0009__x0009__x0009_&lt;p&gt;&lt;strong&gt;Stanovisko MŽP SR:&lt;/strong&gt;V analýze vplyvov na rozpočet verejnej správy boli vyčíslené rozpočtovo nekryté vplyvy na strane výdavkov súvisiace s prevádzkou informačného systému odpadového hospodárstva z dôvodu potreby zabezpečenia prevádzky informačného systému odpadového hospodárstva aj po vytvorení samotného informačného systému.&lt;/p&gt;_x0009__x0009__x0009_&lt;p&gt;Cieľom vybudovania informačného systému je získať prehľad v&amp;nbsp;oblasti odpadového hospodárstva a&amp;nbsp;minimalizovať škody na životnom prostredí. Napriek nespornej dôležitosti tém životného prostredia, ktorej hmatateľnou zložkou je aj oblasť odpadového hospodárstva, sa táto téma oprávnene v&amp;nbsp;súčasnosti dostáva do popredia. Krajiny EÚ majú ambíciu pristupovať k&amp;nbsp;tejto téme zodpovedne, pričom kladú dôraz na kvalitné dáta pre zabezpečenie rozhodovania o&amp;nbsp;opatreniach.&lt;/p&gt;_x0009__x0009__x0009_&lt;p&gt;Budúcou úlohou ISOH bude zabezpečovať zhromažďovanie údajov v odpadovej oblasti, ako aj ich následné poskytovanie, pričom sa odstráni manuálne prepisovanie dát z jednotlivých hlásení, zvýši sa frekvencia podávania hlásení, odstráni sa chybovosť dát a vytvoria sa dostatočné kontrolné mechanizmy. Z&amp;nbsp;globálneho pohľadu ide o&amp;nbsp;monitorovací systém pohybu odpadov od jeho vzniku až po stavy jeho konca ako aj sledovanie pri riadení kompetencií a aktivít jednotlivých aktérov v rámci životného cyklu pri vzniku, transportu, recyklácie a likvidácie odpadu.&lt;/p&gt;_x0009__x0009__x0009_&lt;table align="left" cellpadding="0" cellspacing="0" hspace="0" vspace="0"&gt;_x0009__x0009__x0009__x0009_&lt;tbody&gt;_x0009__x0009__x0009__x0009__x0009_&lt;tr&gt;_x0009__x0009__x0009__x0009__x0009__x0009_&lt;td align="left"&gt;_x0009__x0009__x0009__x0009__x0009__x0009_&lt;p&gt;Bez zabezpečenia prevádzky informačného systému nebude možné prispieť k efektívnejšej kontrole nakladania s odpadom vykonávanými hlavne príslušnými Okresnými úradmi a Slovenskou inšpekciou životného prostredia. Tieto inštitúcie budú mať v&amp;nbsp;informačnom systéme k dispozícii konsolidované informácie o nakladaní s&amp;nbsp;odpadom, čím sa zefektívni oblasť súčinnosti týchto orgánov.&lt;/p&gt;_x0009__x0009__x0009__x0009__x0009__x0009_&lt;p&gt;Výška na zabezpečenie prevádzky bola kalkulovaná na základe skúseností a&amp;nbsp;vývoja informačných systémov z&amp;nbsp;minulosti. Výška projektu a&amp;nbsp;cena SLA kontraktov je uvádzaná v&amp;nbsp;nasledovnej tabuľke, vychádzajúc zo zmlúv zverejnených na www.crz.gov.com:&lt;/p&gt;_x0009__x0009__x0009__x0009__x0009__x0009_&lt;table border="1" cellpadding="0" cellspacing="0" width="604"&gt;_x0009__x0009__x0009__x0009__x0009__x0009__x0009_&lt;tbody&gt;_x0009__x0009__x0009__x0009__x0009__x0009__x0009__x0009_&lt;tr&gt;_x0009__x0009__x0009__x0009__x0009__x0009__x0009__x0009__x0009_&lt;td style="width:101px;height:45px;"&gt;_x0009__x0009__x0009__x0009__x0009__x0009__x0009__x0009__x0009_&lt;p align="center"&gt;&lt;strong&gt;Názov IS&lt;/strong&gt;&lt;/p&gt;_x0009__x0009__x0009__x0009__x0009__x0009__x0009__x0009__x0009_&lt;/td&gt;_x0009__x0009__x0009__x0009__x0009__x0009__x0009__x0009__x0009_&lt;td style="width:173px;height:45px;"&gt;_x0009__x0009__x0009__x0009__x0009__x0009__x0009__x0009__x0009_&lt;p align="center"&gt;&lt;strong&gt;Rezort&lt;/strong&gt;&lt;/p&gt;_x0009__x0009__x0009__x0009__x0009__x0009__x0009__x0009__x0009_&lt;/td&gt;_x0009__x0009__x0009__x0009__x0009__x0009__x0009__x0009__x0009_&lt;td style="width:113px;height:45px;"&gt;_x0009__x0009__x0009__x0009__x0009__x0009__x0009__x0009__x0009_&lt;p align="center"&gt;&lt;strong&gt;Výška Zmluvy s DPH&lt;/strong&gt;&lt;/p&gt;_x0009__x0009__x0009__x0009__x0009__x0009__x0009__x0009__x0009_&lt;/td&gt;_x0009__x0009__x0009__x0009__x0009__x0009__x0009__x0009__x0009_&lt;td style="width:142px;height:45px;"&gt;_x0009__x0009__x0009__x0009__x0009__x0009__x0009__x0009__x0009_&lt;p align="center"&gt;&lt;strong&gt;Výška SLA kontraktu s&amp;nbsp;DPH / rok&lt;/strong&gt;&lt;/p&gt;_x0009__x0009__x0009__x0009__x0009__x0009__x0009__x0009__x0009_&lt;/td&gt;_x0009__x0009__x0009__x0009__x0009__x0009__x0009__x0009__x0009_&lt;td style="width:76px;height:45px;"&gt;_x0009__x0009__x0009__x0009__x0009__x0009__x0009__x0009__x0009_&lt;p align="center"&gt;&lt;strong&gt;% podiel&lt;/strong&gt;&lt;/p&gt;_x0009__x0009__x0009__x0009__x0009__x0009__x0009__x0009__x0009_&lt;/td&gt;_x0009__x0009__x0009__x0009__x0009__x0009__x0009__x0009_&lt;/tr&gt;_x0009__x0009__x0009__x0009__x0009__x0009__x0009__x0009_&lt;tr&gt;_x0009__x0009__x0009__x0009__x0009__x0009__x0009__x0009__x0009_&lt;td style="width:101px;"&gt;_x0009__x0009__x0009__x0009__x0009__x0009__x0009__x0009__x0009_&lt;p&gt;IS CEP&lt;/p&gt;_x0009__x0009__x0009__x0009__x0009__x0009__x0009__x0009__x0009_&lt;/td&gt;_x0009__x0009__x0009__x0009__x0009__x0009__x0009__x0009__x0009_&lt;td style="width:173px;"&gt;_x0009__x0009__x0009__x0009__x0009__x0009__x0009__x0009__x0009_&lt;p&gt;Ministerstvo financií SR&lt;/p&gt;_x0009__x0009__x0009__x0009__x0009__x0009__x0009__x0009__x0009_&lt;/td&gt;_x0009__x0009__x0009__x0009__x0009__x0009__x0009__x0009__x0009_&lt;td style="width:113px;"&gt;_x0009__x0009__x0009__x0009__x0009__x0009__x0009__x0009__x0009_&lt;p align="right"&gt;16 967 874,22 €&lt;/p&gt;_x0009__x0009__x0009__x0009__x0009__x0009__x0009__x0009__x0009_&lt;/td&gt;_x0009__x0009__x0009__x0009__x0009__x0009__x0009__x0009__x0009_&lt;td style="width:142px;"&gt;_x0009__x0009__x0009__x0009__x0009__x0009__x0009__x0009__x0009_&lt;p align="right"&gt;1 917 660,00 €&lt;/p&gt;_x0009__x0009__x0009__x0009__x0009__x0009__x0009__x0009__x0009_&lt;/td&gt;_x0009__x0009__x0009__x0009__x0009__x0009__x0009__x0009__x0009_&lt;td style="width:76px;"&gt;_x0009__x0009__x0009__x0009__x0009__x0009__x0009__x0009__x0009_&lt;p align="right"&gt;11,30 %&lt;/p&gt;_x0009__x0009__x0009__x0009__x0009__x0009__x0009__x0009__x0009_&lt;/td&gt;_x0009__x0009__x0009__x0009__x0009__x0009__x0009__x0009_&lt;/tr&gt;_x0009__x0009__x0009__x0009__x0009__x0009__x0009__x0009_&lt;tr&gt;_x0009__x0009__x0009__x0009__x0009__x0009__x0009__x0009__x0009_&lt;td style="width:101px;"&gt;_x0009__x0009__x0009__x0009__x0009__x0009__x0009__x0009__x0009_&lt;p&gt;Integrovaný informačný systém pre zabezpečenie poskytovania elektronických služieb MH SR&lt;/p&gt;_x0009__x0009__x0009__x0009__x0009__x0009__x0009__x0009__x0009_&lt;/td&gt;_x0009__x0009__x0009__x0009__x0009__x0009__x0009__x0009__x0009_&lt;td style="width:173px;"&gt;_x0009__x0009__x0009__x0009__x0009__x0009__x0009__x0009__x0009_&lt;p&gt;Ministerstvo hospodárstva SR&lt;/p&gt;_x0009__x0009__x0009__x0009__x0009__x0009__x0009__x0009__x0009_&lt;/td&gt;_x0009__x0009__x0009__x0009__x0009__x0009__x0009__x0009__x0009_&lt;td style="width:113px;"&gt;_x0009__x0009__x0009__x0009__x0009__x0009__x0009__x0009__x0009_&lt;p align="right"&gt;8 078 781,60 €&lt;/p&gt;_x0009__x0009__x0009__x0009__x0009__x0009__x0009__x0009__x0009_&lt;/td&gt;_x0009__x0009__x0009__x0009__x0009__x0009__x0009__x0009__x0009_&lt;td style="width:142px;"&gt;_x0009__x0009__x0009__x0009__x0009__x0009__x0009__x0009__x0009_&lt;p align="right"&gt;433 800,00 €&lt;/p&gt;_x0009__x0009__x0009__x0009__x0009__x0009__x0009__x0009__x0009_&lt;/td&gt;_x0009__x0009__x0009__x0009__x0009__x0009__x0009__x0009__x0009_&lt;td style="width:76px;"&gt;_x0009__x0009__x0009__x0009__x0009__x0009__x0009__x0009__x0009_&lt;p align="right"&gt;5,37 %&lt;/p&gt;_x0009__x0009__x0009__x0009__x0009__x0009__x0009__x0009__x0009_&lt;/td&gt;_x0009__x0009__x0009__x0009__x0009__x0009__x0009__x0009_&lt;/tr&gt;_x0009__x0009__x0009__x0009__x0009__x0009__x0009__x0009_&lt;tr&gt;_x0009__x0009__x0009__x0009__x0009__x0009__x0009__x0009__x0009_&lt;td style="width:101px;"&gt;_x0009__x0009__x0009__x0009__x0009__x0009__x0009__x0009__x0009_&lt;p&gt;Elektronická zbierka zákonov - Slovlex&lt;/p&gt;_x0009__x0009__x0009__x0009__x0009__x0009__x0009__x0009__x0009_&lt;/td&gt;_x0009__x0009__x0009__x0009__x0009__x0009__x0009__x0009__x0009_&lt;td style="width:173px;"&gt;_x0009__x0009__x0009__x0009__x0009__x0009__x0009__x0009__x0009_&lt;p&gt;Ministerstvo spravodlivosti SR&lt;/p&gt;_x0009__x0009__x0009__x0009__x0009__x0009__x0009__x0009__x0009_&lt;/td&gt;_x0009__x0009__x0009__x0009__x0009__x0009__x0009__x0009__x0009_&lt;td style="width:113px;"&gt;_x0009__x0009__x0009__x0009__x0009__x0009__x0009__x0009__x0009_&lt;p align="right"&gt;8 950 800,00 €&lt;/p&gt;_x0009__x0009__x0009__x0009__x0009__x0009__x0009__x0009__x0009_&lt;/td&gt;_x0009__x0009__x0009__x0009__x0009__x0009__x0009__x0009__x0009_&lt;td style="width:142px;"&gt;_x0009__x0009__x0009__x0009__x0009__x0009__x0009__x0009__x0009_&lt;p align="right"&gt;1 653 888,00 €&lt;/p&gt;_x0009__x0009__x0009__x0009__x0009__x0009__x0009__x0009__x0009_&lt;/td&gt;_x0009__x0009__x0009__x0009__x0009__x0009__x0009__x0009__x0009_&lt;td style="width:76px;"&gt;_x0009__x0009__x0009__x0009__x0009__x0009__x0009__x0009__x0009_&lt;p align="right"&gt;18,48%&lt;/p&gt;_x0009__x0009__x0009__x0009__x0009__x0009__x0009__x0009__x0009_&lt;/td&gt;_x0009__x0009__x0009__x0009__x0009__x0009__x0009__x0009_&lt;/tr&gt;_x0009__x0009__x0009__x0009__x0009__x0009__x0009__x0009_&lt;tr&gt;_x0009__x0009__x0009__x0009__x0009__x0009__x0009__x0009__x0009_&lt;td colspan="3" style="width:387px;"&gt;_x0009__x0009__x0009__x0009__x0009__x0009__x0009__x0009__x0009_&lt;p&gt;&amp;nbsp;&lt;/p&gt;_x0009__x0009__x0009__x0009__x0009__x0009__x0009__x0009__x0009_&lt;/td&gt;_x0009__x0009__x0009__x0009__x0009__x0009__x0009__x0009__x0009_&lt;td style="width:142px;"&gt;_x0009__x0009__x0009__x0009__x0009__x0009__x0009__x0009__x0009_&lt;p&gt;&lt;strong&gt;Priemer&lt;/strong&gt;&lt;/p&gt;_x0009__x0009__x0009__x0009__x0009__x0009__x0009__x0009__x0009_&lt;/td&gt;_x0009__x0009__x0009__x0009__x0009__x0009__x0009__x0009__x0009_&lt;td style="width:76px;"&gt;_x0009__x0009__x0009__x0009__x0009__x0009__x0009__x0009__x0009_&lt;p&gt;&lt;strong&gt;11,72 %&lt;/strong&gt;&lt;/p&gt;_x0009__x0009__x0009__x0009__x0009__x0009__x0009__x0009__x0009_&lt;/td&gt;_x0009__x0009__x0009__x0009__x0009__x0009__x0009__x0009_&lt;/tr&gt;_x0009__x0009__x0009__x0009__x0009__x0009__x0009_&lt;/tbody&gt;_x0009__x0009__x0009__x0009__x0009__x0009_&lt;/table&gt;_x0009__x0009__x0009__x0009__x0009__x0009_&lt;p&gt;&amp;nbsp;&lt;/p&gt;_x0009__x0009__x0009__x0009__x0009__x0009_&lt;p&gt;V&amp;nbsp;zmysle strategického dokumentu pre oblasť rastu digitálnych služieb a oblasť infraštruktúry prístupovej siete novej generácie (2014 – 2020) vypracované Ministerstvo financií SR, ktorý stanovuje stratégiu ďalšieho rozvoja digitálnych služieb a infraštruktúry prístupovej siete novej generácie na Slovensku na programové obdobie 2014 – 2020, bol budúci vývoj nákladov na prevádzku IS odhadnutý vo výške takmer 10 % z&amp;nbsp;celkových investičných nákladov.&lt;/p&gt;_x0009__x0009__x0009__x0009__x0009__x0009_&lt;p&gt;Ministerstvo životného prostredia stanovilo výšku prevádzkovej podpory na úrovni 8% z&amp;nbsp;ceny projektu.&lt;/p&gt;_x0009__x0009__x0009__x0009__x0009__x0009_&lt;p&gt;Vysvetlenie MŽP SR bolo doplnené do kapitoly 2.1.1. a 2.2.1. Analýzy vplyvov na rozpočet verejnej správy, na zamestnanosť vo verejnej správe a financovanie návrhu&lt;/p&gt;_x0009__x0009__x0009__x0009__x0009__x0009_&lt;p&gt;&amp;nbsp;&lt;/p&gt;_x0009__x0009__x0009__x0009__x0009__x0009_&lt;p&gt;K sociálnym vplyvom&lt;/p&gt;_x0009__x0009__x0009__x0009__x0009__x0009_&lt;p&gt;Predkladateľ vyhodnotil sociálne vplyvy predloženého návrhu zákona ako žiadne. To znamená, že predkladateľ nepredpokladá, že sa očakávané náklady pre výrobcov vyplývajúce z navrhovaného zvýšenia limitov pre zhodnotenie a recykláciu odpadov z obalov neprenesú do cien dotknutých výrobkov pre spotrebiteľa a tiež neočakáva zmenu vo výdavkoch domácností z dôvodu navrhovaného výrazného zvýšenia objemu zberu triedeného odpadu a navrhovanej novej povinnosti zabezpečiť zberné vozidlá vážiacim systémom.. V tejto súvislosti Komisia považuje za potrebné, aby predkladateľ v bode 10. Poznámky doložky vybraných vplyvov odôvodnil predložené zhodnotenie sociálnych vplyvov (ako žiadnych sociálnych vplyvov). V opačnom prípade vznikajú sociálne vplyvy, ktoré je potrebné označiť v bode 9 doložky vybraných vplyvov a zhodnotiť v analýze sociálnych vplyvov, ktorá sa tak stáva povinnou súčasťou predkladaného materiálu.&lt;/p&gt;_x0009__x0009__x0009__x0009__x0009__x0009_&lt;p&gt;&amp;nbsp;&lt;/p&gt;_x0009__x0009__x0009__x0009__x0009__x0009_&lt;p&gt;&lt;strong&gt;Stanovisko MŽP SR:&lt;/strong&gt; Analýza sociálnych vplyvov bola doplnená.&lt;/p&gt;_x0009__x0009__x0009__x0009__x0009__x0009_&lt;p&gt;&amp;nbsp;&lt;/p&gt;_x0009__x0009__x0009__x0009__x0009__x0009_&lt;p&gt;K vplyvom na služby verejnej správy na občana a na procesy verejnej správy&lt;/p&gt;_x0009__x0009__x0009__x0009__x0009__x0009_&lt;p&gt;Komisia navrhuje predkladateľovi vyznačiť žiadny vplyv na služby verejnej správy na občana aj na procesy v doložke vybraných vplyvov.&lt;/p&gt;_x0009__x0009__x0009__x0009__x0009__x0009_&lt;p&gt;&lt;strong&gt;Stanovisko MŽP SR&lt;/strong&gt;: Zapracované v&amp;nbsp;zmysle pripomienky.&lt;/p&gt;_x0009__x0009__x0009__x0009__x0009__x0009_&lt;p&gt;III. Záver: Stála pracovná komisia na posudzovanie vybraných vplyvov vyjadruje&lt;/p&gt;_x0009__x0009__x0009__x0009__x0009__x0009_&lt;/td&gt;_x0009__x0009__x0009__x0009__x0009_&lt;/tr&gt;_x0009__x0009__x0009__x0009_&lt;/tbody&gt;_x0009__x0009__x0009_&lt;/table&gt;_x0009__x0009__x0009_&lt;p&gt;nesúhlasné stanovisko&lt;/p&gt;_x0009__x0009__x0009_&lt;table align="left" cellpadding="0" cellspacing="0" hspace="0" vspace="0"&gt;_x0009__x0009__x0009__x0009_&lt;tbody&gt;_x0009__x0009__x0009__x0009__x0009_&lt;tr&gt;_x0009__x0009__x0009__x0009__x0009__x0009_&lt;td align="left"&gt;_x0009__x0009__x0009__x0009__x0009__x0009_&lt;p&gt;s materiálom predloženým na predbežné pripomienkové konanie s odporúčaním na jeho dopracovanie podľa pripomienok v bode II.&lt;/p&gt;_x0009__x0009__x0009__x0009__x0009__x0009_&lt;p&gt;IV. Poznámka: Predkladateľ zapracuje pripomienky a odporúčania na úpravu uvedené v bode II a uvedie stanovisko Komisie do doložky vybraných vplyvov spolu s vyhodnotením pripomienok.&lt;/p&gt;_x0009__x0009__x0009__x0009__x0009__x0009_&lt;/td&gt;_x0009__x0009__x0009__x0009__x0009_&lt;/tr&gt;_x0009__x0009__x0009__x0009_&lt;/tbody&gt;_x0009__x0009__x0009_&lt;/table&gt;_x0009__x0009__x0009_&lt;p&gt;Nesúhlasné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stanovisko.&lt;/p&gt;_x0009__x0009__x0009_&lt;/td&gt;_x0009__x0009_&lt;/tr&gt;_x0009_&lt;/tbody&gt;&lt;/table&gt;&lt;div style="clear:both;"&gt;&amp;nbsp;&lt;/div&gt;</vt:lpwstr>
  </property>
  <property name="FSC#SKEDITIONSLOVLEX@103.510:AttrStrListDocPropTextKomunike" pid="68" fmtid="{D5CDD505-2E9C-101B-9397-08002B2CF9AE}">
    <vt:lpwstr/>
  </property>
  <property name="FSC#SKEDITIONSLOVLEX@103.510:AttrStrListDocPropUznesenieCastA" pid="69" fmtid="{D5CDD505-2E9C-101B-9397-08002B2CF9AE}">
    <vt:lpwstr/>
  </property>
  <property name="FSC#SKEDITIONSLOVLEX@103.510:AttrStrListDocPropUznesenieZodpovednyA1" pid="70" fmtid="{D5CDD505-2E9C-101B-9397-08002B2CF9AE}">
    <vt:lpwstr/>
  </property>
  <property name="FSC#SKEDITIONSLOVLEX@103.510:AttrStrListDocPropUznesenieTextA1" pid="71" fmtid="{D5CDD505-2E9C-101B-9397-08002B2CF9AE}">
    <vt:lpwstr/>
  </property>
  <property name="FSC#SKEDITIONSLOVLEX@103.510:AttrStrListDocPropUznesenieTerminA1" pid="72" fmtid="{D5CDD505-2E9C-101B-9397-08002B2CF9AE}">
    <vt:lpwstr/>
  </property>
  <property name="FSC#SKEDITIONSLOVLEX@103.510:AttrStrListDocPropUznesenieBODA1" pid="73" fmtid="{D5CDD505-2E9C-101B-9397-08002B2CF9AE}">
    <vt:lpwstr/>
  </property>
  <property name="FSC#SKEDITIONSLOVLEX@103.510:AttrStrListDocPropUznesenieZodpovednyA2" pid="74" fmtid="{D5CDD505-2E9C-101B-9397-08002B2CF9AE}">
    <vt:lpwstr/>
  </property>
  <property name="FSC#SKEDITIONSLOVLEX@103.510:AttrStrListDocPropUznesenieTextA2" pid="75" fmtid="{D5CDD505-2E9C-101B-9397-08002B2CF9AE}">
    <vt:lpwstr/>
  </property>
  <property name="FSC#SKEDITIONSLOVLEX@103.510:AttrStrListDocPropUznesenieTerminA2" pid="76" fmtid="{D5CDD505-2E9C-101B-9397-08002B2CF9AE}">
    <vt:lpwstr/>
  </property>
  <property name="FSC#SKEDITIONSLOVLEX@103.510:AttrStrListDocPropUznesenieBODA3" pid="77" fmtid="{D5CDD505-2E9C-101B-9397-08002B2CF9AE}">
    <vt:lpwstr/>
  </property>
  <property name="FSC#SKEDITIONSLOVLEX@103.510:AttrStrListDocPropUznesenieZodpovednyA3" pid="78" fmtid="{D5CDD505-2E9C-101B-9397-08002B2CF9AE}">
    <vt:lpwstr/>
  </property>
  <property name="FSC#SKEDITIONSLOVLEX@103.510:AttrStrListDocPropUznesenieTextA3" pid="79" fmtid="{D5CDD505-2E9C-101B-9397-08002B2CF9AE}">
    <vt:lpwstr/>
  </property>
  <property name="FSC#SKEDITIONSLOVLEX@103.510:AttrStrListDocPropUznesenieTerminA3" pid="80" fmtid="{D5CDD505-2E9C-101B-9397-08002B2CF9AE}">
    <vt:lpwstr/>
  </property>
  <property name="FSC#SKEDITIONSLOVLEX@103.510:AttrStrListDocPropUznesenieBODA4" pid="81" fmtid="{D5CDD505-2E9C-101B-9397-08002B2CF9AE}">
    <vt:lpwstr/>
  </property>
  <property name="FSC#SKEDITIONSLOVLEX@103.510:AttrStrListDocPropUznesenieZodpovednyA4" pid="82" fmtid="{D5CDD505-2E9C-101B-9397-08002B2CF9AE}">
    <vt:lpwstr/>
  </property>
  <property name="FSC#SKEDITIONSLOVLEX@103.510:AttrStrListDocPropUznesenieTextA4" pid="83" fmtid="{D5CDD505-2E9C-101B-9397-08002B2CF9AE}">
    <vt:lpwstr/>
  </property>
  <property name="FSC#SKEDITIONSLOVLEX@103.510:AttrStrListDocPropUznesenieTerminA4" pid="84" fmtid="{D5CDD505-2E9C-101B-9397-08002B2CF9AE}">
    <vt:lpwstr/>
  </property>
  <property name="FSC#SKEDITIONSLOVLEX@103.510:AttrStrListDocPropUznesenieCastB" pid="85" fmtid="{D5CDD505-2E9C-101B-9397-08002B2CF9AE}">
    <vt:lpwstr/>
  </property>
  <property name="FSC#SKEDITIONSLOVLEX@103.510:AttrStrListDocPropUznesenieBODB1" pid="86" fmtid="{D5CDD505-2E9C-101B-9397-08002B2CF9AE}">
    <vt:lpwstr/>
  </property>
  <property name="FSC#SKEDITIONSLOVLEX@103.510:AttrStrListDocPropUznesenieZodpovednyB1" pid="87" fmtid="{D5CDD505-2E9C-101B-9397-08002B2CF9AE}">
    <vt:lpwstr/>
  </property>
  <property name="FSC#SKEDITIONSLOVLEX@103.510:AttrStrListDocPropUznesenieTextB1" pid="88" fmtid="{D5CDD505-2E9C-101B-9397-08002B2CF9AE}">
    <vt:lpwstr/>
  </property>
  <property name="FSC#SKEDITIONSLOVLEX@103.510:AttrStrListDocPropUznesenieTerminB1" pid="89" fmtid="{D5CDD505-2E9C-101B-9397-08002B2CF9AE}">
    <vt:lpwstr/>
  </property>
  <property name="FSC#SKEDITIONSLOVLEX@103.510:AttrStrListDocPropUznesenieBODB2" pid="90" fmtid="{D5CDD505-2E9C-101B-9397-08002B2CF9AE}">
    <vt:lpwstr/>
  </property>
  <property name="FSC#SKEDITIONSLOVLEX@103.510:AttrStrListDocPropUznesenieZodpovednyB2" pid="91" fmtid="{D5CDD505-2E9C-101B-9397-08002B2CF9AE}">
    <vt:lpwstr/>
  </property>
  <property name="FSC#SKEDITIONSLOVLEX@103.510:AttrStrListDocPropUznesenieTextB2" pid="92" fmtid="{D5CDD505-2E9C-101B-9397-08002B2CF9AE}">
    <vt:lpwstr/>
  </property>
  <property name="FSC#SKEDITIONSLOVLEX@103.510:AttrStrListDocPropUznesenieTerminB2" pid="93" fmtid="{D5CDD505-2E9C-101B-9397-08002B2CF9AE}">
    <vt:lpwstr/>
  </property>
  <property name="FSC#SKEDITIONSLOVLEX@103.510:AttrStrListDocPropUznesenieBODB3" pid="94" fmtid="{D5CDD505-2E9C-101B-9397-08002B2CF9AE}">
    <vt:lpwstr/>
  </property>
  <property name="FSC#SKEDITIONSLOVLEX@103.510:AttrStrListDocPropUznesenieZodpovednyB3" pid="95" fmtid="{D5CDD505-2E9C-101B-9397-08002B2CF9AE}">
    <vt:lpwstr/>
  </property>
  <property name="FSC#SKEDITIONSLOVLEX@103.510:AttrStrListDocPropUznesenieTextB3" pid="96" fmtid="{D5CDD505-2E9C-101B-9397-08002B2CF9AE}">
    <vt:lpwstr/>
  </property>
  <property name="FSC#SKEDITIONSLOVLEX@103.510:AttrStrListDocPropUznesenieTerminB3" pid="97" fmtid="{D5CDD505-2E9C-101B-9397-08002B2CF9AE}">
    <vt:lpwstr/>
  </property>
  <property name="FSC#SKEDITIONSLOVLEX@103.510:AttrStrListDocPropUznesenieBODB4" pid="98" fmtid="{D5CDD505-2E9C-101B-9397-08002B2CF9AE}">
    <vt:lpwstr/>
  </property>
  <property name="FSC#SKEDITIONSLOVLEX@103.510:AttrStrListDocPropUznesenieZodpovednyB4" pid="99" fmtid="{D5CDD505-2E9C-101B-9397-08002B2CF9AE}">
    <vt:lpwstr/>
  </property>
  <property name="FSC#SKEDITIONSLOVLEX@103.510:AttrStrListDocPropUznesenieTextB4" pid="100" fmtid="{D5CDD505-2E9C-101B-9397-08002B2CF9AE}">
    <vt:lpwstr/>
  </property>
  <property name="FSC#SKEDITIONSLOVLEX@103.510:AttrStrListDocPropUznesenieTerminB4" pid="101" fmtid="{D5CDD505-2E9C-101B-9397-08002B2CF9AE}">
    <vt:lpwstr/>
  </property>
  <property name="FSC#SKEDITIONSLOVLEX@103.510:AttrStrListDocPropUznesenieCastC" pid="102" fmtid="{D5CDD505-2E9C-101B-9397-08002B2CF9AE}">
    <vt:lpwstr/>
  </property>
  <property name="FSC#SKEDITIONSLOVLEX@103.510:AttrStrListDocPropUznesenieBODC1" pid="103" fmtid="{D5CDD505-2E9C-101B-9397-08002B2CF9AE}">
    <vt:lpwstr/>
  </property>
  <property name="FSC#SKEDITIONSLOVLEX@103.510:AttrStrListDocPropUznesenieZodpovednyC1" pid="104" fmtid="{D5CDD505-2E9C-101B-9397-08002B2CF9AE}">
    <vt:lpwstr/>
  </property>
  <property name="FSC#SKEDITIONSLOVLEX@103.510:AttrStrListDocPropUznesenieTextC1" pid="105" fmtid="{D5CDD505-2E9C-101B-9397-08002B2CF9AE}">
    <vt:lpwstr/>
  </property>
  <property name="FSC#SKEDITIONSLOVLEX@103.510:AttrStrListDocPropUznesenieTerminC1" pid="106" fmtid="{D5CDD505-2E9C-101B-9397-08002B2CF9AE}">
    <vt:lpwstr/>
  </property>
  <property name="FSC#SKEDITIONSLOVLEX@103.510:AttrStrListDocPropUznesenieBODC2" pid="107" fmtid="{D5CDD505-2E9C-101B-9397-08002B2CF9AE}">
    <vt:lpwstr/>
  </property>
  <property name="FSC#SKEDITIONSLOVLEX@103.510:AttrStrListDocPropUznesenieZodpovednyC2" pid="108" fmtid="{D5CDD505-2E9C-101B-9397-08002B2CF9AE}">
    <vt:lpwstr/>
  </property>
  <property name="FSC#SKEDITIONSLOVLEX@103.510:AttrStrListDocPropUznesenieTextC2" pid="109" fmtid="{D5CDD505-2E9C-101B-9397-08002B2CF9AE}">
    <vt:lpwstr/>
  </property>
  <property name="FSC#SKEDITIONSLOVLEX@103.510:AttrStrListDocPropUznesenieTerminC2" pid="110" fmtid="{D5CDD505-2E9C-101B-9397-08002B2CF9AE}">
    <vt:lpwstr/>
  </property>
  <property name="FSC#SKEDITIONSLOVLEX@103.510:AttrStrListDocPropUznesenieBODC3" pid="111" fmtid="{D5CDD505-2E9C-101B-9397-08002B2CF9AE}">
    <vt:lpwstr/>
  </property>
  <property name="FSC#SKEDITIONSLOVLEX@103.510:AttrStrListDocPropUznesenieZodpovednyC3" pid="112" fmtid="{D5CDD505-2E9C-101B-9397-08002B2CF9AE}">
    <vt:lpwstr/>
  </property>
  <property name="FSC#SKEDITIONSLOVLEX@103.510:AttrStrListDocPropUznesenieTextC3" pid="113" fmtid="{D5CDD505-2E9C-101B-9397-08002B2CF9AE}">
    <vt:lpwstr/>
  </property>
  <property name="FSC#SKEDITIONSLOVLEX@103.510:AttrStrListDocPropUznesenieTerminC3" pid="114" fmtid="{D5CDD505-2E9C-101B-9397-08002B2CF9AE}">
    <vt:lpwstr/>
  </property>
  <property name="FSC#SKEDITIONSLOVLEX@103.510:AttrStrListDocPropUznesenieBODC4" pid="115" fmtid="{D5CDD505-2E9C-101B-9397-08002B2CF9AE}">
    <vt:lpwstr/>
  </property>
  <property name="FSC#SKEDITIONSLOVLEX@103.510:AttrStrListDocPropUznesenieZodpovednyC4" pid="116" fmtid="{D5CDD505-2E9C-101B-9397-08002B2CF9AE}">
    <vt:lpwstr/>
  </property>
  <property name="FSC#SKEDITIONSLOVLEX@103.510:AttrStrListDocPropUznesenieTextC4" pid="117" fmtid="{D5CDD505-2E9C-101B-9397-08002B2CF9AE}">
    <vt:lpwstr/>
  </property>
  <property name="FSC#SKEDITIONSLOVLEX@103.510:AttrStrListDocPropUznesenieTerminC4" pid="118" fmtid="{D5CDD505-2E9C-101B-9397-08002B2CF9AE}">
    <vt:lpwstr/>
  </property>
  <property name="FSC#SKEDITIONSLOVLEX@103.510:AttrStrListDocPropUznesenieCastD" pid="119" fmtid="{D5CDD505-2E9C-101B-9397-08002B2CF9AE}">
    <vt:lpwstr/>
  </property>
  <property name="FSC#SKEDITIONSLOVLEX@103.510:AttrStrListDocPropUznesenieBODD1" pid="120" fmtid="{D5CDD505-2E9C-101B-9397-08002B2CF9AE}">
    <vt:lpwstr/>
  </property>
  <property name="FSC#SKEDITIONSLOVLEX@103.510:AttrStrListDocPropUznesenieZodpovednyD1" pid="121" fmtid="{D5CDD505-2E9C-101B-9397-08002B2CF9AE}">
    <vt:lpwstr/>
  </property>
  <property name="FSC#SKEDITIONSLOVLEX@103.510:AttrStrListDocPropUznesenieTextD1" pid="122" fmtid="{D5CDD505-2E9C-101B-9397-08002B2CF9AE}">
    <vt:lpwstr/>
  </property>
  <property name="FSC#SKEDITIONSLOVLEX@103.510:AttrStrListDocPropUznesenieTerminD1" pid="123" fmtid="{D5CDD505-2E9C-101B-9397-08002B2CF9AE}">
    <vt:lpwstr/>
  </property>
  <property name="FSC#SKEDITIONSLOVLEX@103.510:AttrStrListDocPropUznesenieBODD2" pid="124" fmtid="{D5CDD505-2E9C-101B-9397-08002B2CF9AE}">
    <vt:lpwstr/>
  </property>
  <property name="FSC#SKEDITIONSLOVLEX@103.510:AttrStrListDocPropUznesenieZodpovednyD2" pid="125" fmtid="{D5CDD505-2E9C-101B-9397-08002B2CF9AE}">
    <vt:lpwstr/>
  </property>
  <property name="FSC#SKEDITIONSLOVLEX@103.510:AttrStrListDocPropUznesenieTextD2" pid="126" fmtid="{D5CDD505-2E9C-101B-9397-08002B2CF9AE}">
    <vt:lpwstr/>
  </property>
  <property name="FSC#SKEDITIONSLOVLEX@103.510:AttrStrListDocPropUznesenieTerminD2" pid="127" fmtid="{D5CDD505-2E9C-101B-9397-08002B2CF9AE}">
    <vt:lpwstr/>
  </property>
  <property name="FSC#SKEDITIONSLOVLEX@103.510:AttrStrListDocPropUznesenieBODD3" pid="128" fmtid="{D5CDD505-2E9C-101B-9397-08002B2CF9AE}">
    <vt:lpwstr/>
  </property>
  <property name="FSC#SKEDITIONSLOVLEX@103.510:AttrStrListDocPropUznesenieZodpovednyD3" pid="129" fmtid="{D5CDD505-2E9C-101B-9397-08002B2CF9AE}">
    <vt:lpwstr/>
  </property>
  <property name="FSC#SKEDITIONSLOVLEX@103.510:AttrStrListDocPropUznesenieTextD3" pid="130" fmtid="{D5CDD505-2E9C-101B-9397-08002B2CF9AE}">
    <vt:lpwstr/>
  </property>
  <property name="FSC#SKEDITIONSLOVLEX@103.510:AttrStrListDocPropUznesenieTerminD3" pid="131" fmtid="{D5CDD505-2E9C-101B-9397-08002B2CF9AE}">
    <vt:lpwstr/>
  </property>
  <property name="FSC#SKEDITIONSLOVLEX@103.510:AttrStrListDocPropUznesenieBODD4" pid="132" fmtid="{D5CDD505-2E9C-101B-9397-08002B2CF9AE}">
    <vt:lpwstr/>
  </property>
  <property name="FSC#SKEDITIONSLOVLEX@103.510:AttrStrListDocPropUznesenieZodpovednyD4" pid="133" fmtid="{D5CDD505-2E9C-101B-9397-08002B2CF9AE}">
    <vt:lpwstr/>
  </property>
  <property name="FSC#SKEDITIONSLOVLEX@103.510:AttrStrListDocPropUznesenieTextD4" pid="134" fmtid="{D5CDD505-2E9C-101B-9397-08002B2CF9AE}">
    <vt:lpwstr/>
  </property>
  <property name="FSC#SKEDITIONSLOVLEX@103.510:AttrStrListDocPropUznesenieTerminD4" pid="135" fmtid="{D5CDD505-2E9C-101B-9397-08002B2CF9AE}">
    <vt:lpwstr/>
  </property>
  <property name="FSC#SKEDITIONSLOVLEX@103.510:AttrStrListDocPropUznesenieVykonaju" pid="136" fmtid="{D5CDD505-2E9C-101B-9397-08002B2CF9AE}">
    <vt:lpwstr>predseda vlády Slovenskej republiky_x000d__x000a_podpredseda vlády a minister životného prostredia Slovenskej republiky</vt:lpwstr>
  </property>
  <property name="FSC#SKEDITIONSLOVLEX@103.510:AttrStrListDocPropUznesenieNaVedomie" pid="137" fmtid="{D5CDD505-2E9C-101B-9397-08002B2CF9AE}">
    <vt:lpwstr>predseda Národnej rady Slovenskej republiky</vt:lpwstr>
  </property>
  <property name="FSC#SKEDITIONSLOVLEX@103.510:funkciaPred" pid="138" fmtid="{D5CDD505-2E9C-101B-9397-08002B2CF9AE}">
    <vt:lpwstr/>
  </property>
  <property name="FSC#SKEDITIONSLOVLEX@103.510:funkciaPredAkuzativ" pid="139" fmtid="{D5CDD505-2E9C-101B-9397-08002B2CF9AE}">
    <vt:lpwstr/>
  </property>
  <property name="FSC#SKEDITIONSLOVLEX@103.510:funkciaPredDativ" pid="140" fmtid="{D5CDD505-2E9C-101B-9397-08002B2CF9AE}">
    <vt:lpwstr/>
  </property>
  <property name="FSC#SKEDITIONSLOVLEX@103.510:funkciaZodpPred" pid="141" fmtid="{D5CDD505-2E9C-101B-9397-08002B2CF9AE}">
    <vt:lpwstr>podpredseda vlády a minister životného prostredia Slovenskej republiky</vt:lpwstr>
  </property>
  <property name="FSC#SKEDITIONSLOVLEX@103.510:funkciaZodpPredAkuzativ" pid="142" fmtid="{D5CDD505-2E9C-101B-9397-08002B2CF9AE}">
    <vt:lpwstr>podpredsedovi vlády a ministrovi životného prostredia Slovenskej republiky</vt:lpwstr>
  </property>
  <property name="FSC#SKEDITIONSLOVLEX@103.510:funkciaZodpPredDativ" pid="143" fmtid="{D5CDD505-2E9C-101B-9397-08002B2CF9AE}">
    <vt:lpwstr>podpredsedu vlády a ministra životného prostredia Slovenskej republiky</vt:lpwstr>
  </property>
  <property name="FSC#SKEDITIONSLOVLEX@103.510:funkciaDalsiPred" pid="144" fmtid="{D5CDD505-2E9C-101B-9397-08002B2CF9AE}">
    <vt:lpwstr/>
  </property>
  <property name="FSC#SKEDITIONSLOVLEX@103.510:funkciaDalsiPredAkuzativ" pid="145" fmtid="{D5CDD505-2E9C-101B-9397-08002B2CF9AE}">
    <vt:lpwstr/>
  </property>
  <property name="FSC#SKEDITIONSLOVLEX@103.510:funkciaDalsiPredDativ" pid="146" fmtid="{D5CDD505-2E9C-101B-9397-08002B2CF9AE}">
    <vt:lpwstr/>
  </property>
  <property name="FSC#SKEDITIONSLOVLEX@103.510:predkladateliaObalSD" pid="147" fmtid="{D5CDD505-2E9C-101B-9397-08002B2CF9AE}">
    <vt:lpwstr>László Sólymos_x000d__x000a_podpredseda vlády a minister životného prostredia Slovenskej republiky</vt:lpwstr>
  </property>
  <property name="FSC#SKEDITIONSLOVLEX@103.510:AttrStrListDocPropTextVseobPrilohy" pid="148" fmtid="{D5CDD505-2E9C-101B-9397-08002B2CF9AE}">
    <vt:lpwstr/>
  </property>
  <property name="FSC#SKEDITIONSLOVLEX@103.510:AttrStrListDocPropTextPredklSpravy" pid="149" fmtid="{D5CDD505-2E9C-101B-9397-08002B2CF9AE}">
    <vt:lpwstr>&lt;p style="text-align: justify;"&gt;Ministerstvo životného prostredia Slovenskej republiky predkladá na základe Plánu legislatívnych úloh vlády Slovenskej republiky na rok 2019 do legislatívneho procesu návrh zákona, ktorým sa mení a&amp;nbsp;dopĺňa zákon č. 79/2015 Z. z. o&amp;nbsp;odpadoch a&amp;nbsp;o&amp;nbsp;zmene a&amp;nbsp;doplnení niektorých zákonov v&amp;nbsp;znení neskorších predpisov a&amp;nbsp;ktorým&amp;nbsp;sa&amp;nbsp;menia a dopĺňajú niektoré zákony (ďalej len „návrh zákona“) z dôvodu transpozície tzv. „odpadového balíka“, ktorý tvoria nasledujúce smernice, a to smernica Európskeho parlamentu a&amp;nbsp;Rady (EÚ) 2018/849 z 30. mája 2018, ktorou sa menia smernice 2000/53/ES o&amp;nbsp;vozidlách po dobe životnosti, 2006/66/ES o&amp;nbsp;batériách a akumulátoroch a použitých batériách a akumulátoroch a&amp;nbsp;2012/19/EÚ o odpade z&amp;nbsp;elektrických a elektronických zariadení, smernica Európskeho parlamentu a Rady (EÚ)&amp;nbsp;2018/850 z 30. mája 2018, ktorou sa mení smernica 1999/31/ES o&amp;nbsp;skládkach odpadov, smernica Európskeho parlamentu a Rady (EÚ) 2018/851 z 30. mája 2018, ktorou sa mení smernica 2008/98/ES o&amp;nbsp;odpade a smernica Európskeho parlamentu a Rady (EÚ)&amp;nbsp;2018/852 z 30. mája 2018, ktorou sa mení smernica 94/62/ES o obaloch a odpadoch z&amp;nbsp;obalov.&amp;nbsp;&lt;/p&gt;&lt;p style="text-align: justify;"&gt;Nárhom zákona sa upravujú ustanovenia týkajúce sa niektorých základných definícií a&amp;nbsp;pojmov, dopĺňajú sa ciele recyklácie komunálneho odpadu pre roky 2025, 2030 a&amp;nbsp;2035 a&amp;nbsp;ciele recyklácie odpadov z&amp;nbsp;obalov pre roky 2025 a&amp;nbsp;2030. Návrhom zákona sa ustanovuje povinnosť pre výrobcov vyhradeného výrobku a&amp;nbsp;organizácie zodpovednosti výrobcov zriadiť finančnú zábezpeku na&amp;nbsp;zabezpečenie systému rozšírenej zodpovednosti výrobcov. Návrhom zákona sa prijímajú opatrenia na zvýhodnenie výrobcov uvádzajúcich na trh recyklovateľné výrobky, ako aj opatrenia na podporu opätovného použitia odpadu, recyklácie a iných činností zhodnocovania a prijímajú sa opatrenia na&amp;nbsp;zníženie tvorby plastového odpadu, t. j. zakazuje sa uvádzať na trh Slovenskej republiky niektoré jednorazové plastové výrobky. Zároveň sa upravujú ustanovenia o informačnom systéme odpadového hospodárstva a&amp;nbsp;niektoré ustanovenia v dôsledku požiadaviek z&amp;nbsp;aplikačnej praxe. Návrhom zákona sa zabezpečí odstránenie transpozičných nedostatkov, na ktoré Európska komisia poukazuje v prípade EU Pilot č. EUP(2016)8727, ktorý sa týka nesprávnej transpozície smernice Rady 1999/31/ES z&amp;nbsp;26. apríla 1999 o skládkach odpadov a smernice Európskeho parlamentu a Rady 2012/19/EÚ zo 4. júla 2012 o odpade z elektrických a elektronických zariadení (OEEZ).&lt;/p&gt;&lt;p style="text-align: justify;"&gt;Predkladaný návrh zákona predpokladá negatívny vplyv na rozpočet verejnej správy, pozitívny vplyv na&amp;nbsp;životné prostredie a na informatizáciu a nepredpokladá sociálny vplyv, vplyv na služby verejnej správy pre občana a&amp;nbsp;ani na procesy služieb vo verejnej správe. Návrh zákona predpokladá pozitívne aj negatívne vplyvy na podnikateľské prostredie.&lt;/p&gt;&lt;p style="text-align: justify;"&gt;Návrh zákona bude predmetom vnútrokomunitárneho pripomienkového konania.&lt;/p&gt;&lt;p style="text-align: justify;"&gt;Dátum účinnosti návrhu zákona je navrhnutý na 1. júl 2020 z&amp;nbsp;dôvodu lehoty na transpozíciu vyššie uvedených smerníc, pričom účinnosť niektorých bodov je navrhnutý ku dňu 1. januára 2021 alebo 1. januára 2023, aby adresáti právneho predpisu mali dostatok času na&amp;nbsp;vykonanie potrebných opatrení.&amp;nbsp; Navrhovaný dátum účinnosti zohľadňuje aj potrebu vyriešiť výhrady Európskej komisie v&amp;nbsp;konaní o porušení povinnosti č. EUP(2018)9334.&lt;/p&gt;&lt;p style="text-align: justify;"&gt;Predkladaný návrh zákona je v súlade s Ústavou Slovenskej republiky, ústavnými zákonmi a&amp;nbsp;nálezmi Ústavného súdu SR, medzinárodnými zmluvami a&amp;nbsp;inými medzinárodnými dokumentmi, ktorými je Slovenská republika viazaná a súčasne je v súlade s právom Európskej únie.&lt;/p&gt;</vt:lpwstr>
  </property>
  <property name="FSC#SKEDITIONSLOVLEX@103.510:vytvorenedna" pid="150" fmtid="{D5CDD505-2E9C-101B-9397-08002B2CF9AE}">
    <vt:lpwstr>7. 5. 2019</vt:lpwstr>
  </property>
  <property name="FSC#COOSYSTEM@1.1:Container" pid="151" fmtid="{D5CDD505-2E9C-101B-9397-08002B2CF9AE}">
    <vt:lpwstr>COO.2145.1000.3.3349511</vt:lpwstr>
  </property>
  <property name="FSC#FSCFOLIO@1.1001:docpropproject" pid="152" fmtid="{D5CDD505-2E9C-101B-9397-08002B2CF9AE}">
    <vt:lpwstr/>
  </property>
</Properties>
</file>