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74EDB" w:rsidRPr="002E32C0" w:rsidTr="007B71A4">
        <w:trPr>
          <w:trHeight w:val="566"/>
        </w:trPr>
        <w:tc>
          <w:tcPr>
            <w:tcW w:w="9212" w:type="dxa"/>
            <w:shd w:val="clear" w:color="auto" w:fill="D9D9D9"/>
            <w:vAlign w:val="center"/>
            <w:hideMark/>
          </w:tcPr>
          <w:p w:rsidR="00374EDB" w:rsidRPr="002E32C0" w:rsidRDefault="00413E9A" w:rsidP="00413E9A">
            <w:pPr>
              <w:jc w:val="center"/>
              <w:rPr>
                <w:sz w:val="24"/>
                <w:szCs w:val="24"/>
              </w:rPr>
            </w:pPr>
            <w:r w:rsidRPr="002E32C0">
              <w:rPr>
                <w:b/>
                <w:sz w:val="28"/>
                <w:szCs w:val="24"/>
              </w:rPr>
              <w:t>Analýza v</w:t>
            </w:r>
            <w:r w:rsidR="00374EDB" w:rsidRPr="002E32C0">
              <w:rPr>
                <w:b/>
                <w:sz w:val="28"/>
                <w:szCs w:val="24"/>
              </w:rPr>
              <w:t>plyv</w:t>
            </w:r>
            <w:r w:rsidRPr="002E32C0">
              <w:rPr>
                <w:b/>
                <w:sz w:val="28"/>
                <w:szCs w:val="24"/>
              </w:rPr>
              <w:t>ov</w:t>
            </w:r>
            <w:r w:rsidR="00374EDB" w:rsidRPr="002E32C0">
              <w:rPr>
                <w:b/>
                <w:sz w:val="28"/>
                <w:szCs w:val="24"/>
              </w:rPr>
              <w:t xml:space="preserve"> na životné prostredie</w:t>
            </w:r>
          </w:p>
        </w:tc>
      </w:tr>
      <w:tr w:rsidR="00374EDB" w:rsidRPr="002E32C0" w:rsidTr="007B71A4">
        <w:trPr>
          <w:trHeight w:val="688"/>
        </w:trPr>
        <w:tc>
          <w:tcPr>
            <w:tcW w:w="9212" w:type="dxa"/>
            <w:shd w:val="clear" w:color="auto" w:fill="D9D9D9"/>
            <w:vAlign w:val="center"/>
            <w:hideMark/>
          </w:tcPr>
          <w:p w:rsidR="00374EDB" w:rsidRPr="002E32C0" w:rsidRDefault="00374EDB" w:rsidP="007B71A4">
            <w:pPr>
              <w:rPr>
                <w:i/>
                <w:sz w:val="24"/>
                <w:szCs w:val="24"/>
              </w:rPr>
            </w:pPr>
            <w:r w:rsidRPr="002E32C0">
              <w:rPr>
                <w:b/>
                <w:sz w:val="24"/>
                <w:szCs w:val="24"/>
              </w:rPr>
              <w:t>5.1 Ktoré zložky životného prostredia (najmä ovzdušie, voda, horniny, pôda, organizmy) budú predkladaným materiálom ovplyvnené a aký bude ich vplyv ?</w:t>
            </w:r>
          </w:p>
        </w:tc>
      </w:tr>
      <w:tr w:rsidR="00374EDB" w:rsidRPr="002E32C0" w:rsidTr="007B71A4">
        <w:trPr>
          <w:trHeight w:val="995"/>
        </w:trPr>
        <w:tc>
          <w:tcPr>
            <w:tcW w:w="9212" w:type="dxa"/>
          </w:tcPr>
          <w:p w:rsidR="00374EDB" w:rsidRDefault="00374EDB" w:rsidP="00C361DD">
            <w:pPr>
              <w:jc w:val="both"/>
              <w:rPr>
                <w:i/>
                <w:sz w:val="24"/>
                <w:szCs w:val="24"/>
              </w:rPr>
            </w:pPr>
            <w:r w:rsidRPr="002E32C0">
              <w:rPr>
                <w:i/>
                <w:sz w:val="24"/>
                <w:szCs w:val="24"/>
              </w:rPr>
              <w:t>Typ, veľkosť a rozsah vplyvu</w:t>
            </w:r>
          </w:p>
          <w:p w:rsidR="00AD429D" w:rsidRDefault="00AD429D" w:rsidP="006A583D">
            <w:pPr>
              <w:jc w:val="both"/>
              <w:rPr>
                <w:sz w:val="24"/>
                <w:szCs w:val="24"/>
              </w:rPr>
            </w:pPr>
            <w:r w:rsidRPr="00EC267F">
              <w:t>Zavedenie zákazu skládkovania odpadu, ktorý nebol upravený</w:t>
            </w:r>
            <w:r w:rsidR="00C361DD">
              <w:t xml:space="preserve"> pred skládkovaním,</w:t>
            </w:r>
            <w:r w:rsidRPr="00EC267F">
              <w:t xml:space="preserve"> bude mať výrazne pozitívny vplyv na životné prostredie, keďže veľkú časť </w:t>
            </w:r>
            <w:r w:rsidR="00C361DD">
              <w:t xml:space="preserve">napr. v prípade </w:t>
            </w:r>
            <w:r w:rsidRPr="00EC267F">
              <w:t xml:space="preserve">komunálneho odpadu predstavuje biologicky rozložiteľný odpad. Skládkovanie nespracovaného biologicky rozložiteľného odpadu má výrazne  </w:t>
            </w:r>
            <w:r>
              <w:t xml:space="preserve">negatívny environmentálny vplyv </w:t>
            </w:r>
            <w:r w:rsidRPr="00EC267F">
              <w:t>z hľadiska emisií skleníkových plynov a znečisťovania povrchových vôd, podzemných vôd, pôdy a ovzdušia</w:t>
            </w:r>
            <w:r w:rsidRPr="00EC267F">
              <w:rPr>
                <w:sz w:val="24"/>
                <w:szCs w:val="24"/>
              </w:rPr>
              <w:t xml:space="preserve">. </w:t>
            </w:r>
          </w:p>
          <w:p w:rsidR="00AD429D" w:rsidRDefault="00AD429D" w:rsidP="006A583D">
            <w:pPr>
              <w:jc w:val="both"/>
            </w:pPr>
            <w:r w:rsidRPr="00AD429D">
              <w:t>Zavedením opatrení na predchádzanie vzniku odpadu na úrovni obce (prostredníctvom záväzných opatrení v Programoch odpadového hospodárstva obcí), ako aj podporou činností prípravy odpadu na opätovné použitie a aj priameho opätovného použitia výrobkov (vyčlenením špeciálneho priestoru na zberných dvoroch obcí, v zariadeniach na zber a vo výkupniach odpadu) by mal byť dosiahnutý dlhodobý pozitívny vplyv na jednotlivé zložky životného prostredia a aj na zdravie obyvateľstva. Predchádzaním vzniku odpadu a opätovným používaním výrobkov by malo dôjsť ku znižovaniu vzniku komunálneho odpadu a teda aj ku znižovaniu jeho ukladania na skládky (zníži sa množstvo skládkových plynov, prašnosť, riziko požiarov aj zápach obťažujúci obyvateľov, záber pôdy). Primárne pozitívne vplyvy na horninové prostredie sa môžu prejaviť ako dôsledok šetrenia nerastných surovín.</w:t>
            </w:r>
          </w:p>
          <w:p w:rsidR="005B78FB" w:rsidRDefault="009C5CAF" w:rsidP="006A583D">
            <w:pPr>
              <w:jc w:val="both"/>
            </w:pPr>
            <w:r>
              <w:t xml:space="preserve">Zavedením povinnosti spoplatniť </w:t>
            </w:r>
            <w:r w:rsidR="00D16031">
              <w:t xml:space="preserve"> všetky </w:t>
            </w:r>
            <w:r>
              <w:t>plastové tašky</w:t>
            </w:r>
            <w:r w:rsidR="00D16031">
              <w:t xml:space="preserve"> (nielen ľahké)</w:t>
            </w:r>
            <w:r>
              <w:t xml:space="preserve">, ktoré predstavujú výraznú záťaž pre životné prostredie, sa eliminuje negatívny priamy vplyv na životné prostredie. Hierarchia </w:t>
            </w:r>
            <w:r w:rsidR="00D16031">
              <w:t xml:space="preserve">odpadového hospodárstva </w:t>
            </w:r>
            <w:r>
              <w:t>má svoje priority a jednou z nich je aj predchádzanie vzniku odpadu.</w:t>
            </w:r>
          </w:p>
          <w:p w:rsidR="00767906" w:rsidRDefault="009C5CAF" w:rsidP="006A583D">
            <w:pPr>
              <w:jc w:val="both"/>
            </w:pPr>
            <w:r>
              <w:t xml:space="preserve">Povinnosť zabezpečiť pri demolačných prácach </w:t>
            </w:r>
            <w:r w:rsidR="00D16031">
              <w:t>selektívnu demoláciu na</w:t>
            </w:r>
            <w:r>
              <w:t xml:space="preserve"> materiály </w:t>
            </w:r>
            <w:r w:rsidR="00D16031">
              <w:t xml:space="preserve">vhodné </w:t>
            </w:r>
            <w:r>
              <w:t xml:space="preserve">na opätovné použitie a recykláciu spôsobí, že dôjde k šetreniu primárnych zdrojov a surovín a tým sa </w:t>
            </w:r>
            <w:r w:rsidR="00F161DE">
              <w:t>zníži negatívny dopad na jednotlivé zložky životného prostredia.</w:t>
            </w:r>
          </w:p>
          <w:p w:rsidR="00930556" w:rsidRDefault="00930556" w:rsidP="006A583D">
            <w:pPr>
              <w:jc w:val="both"/>
              <w:rPr>
                <w:noProof/>
              </w:rPr>
            </w:pPr>
            <w:r w:rsidRPr="00CA6135">
              <w:rPr>
                <w:noProof/>
              </w:rPr>
              <w:t xml:space="preserve">V súvislosti so zrušením výnimky z povinnosti zavedenia a zabezpečovania triedeného zberu biologicky rozložiteľných kuchynských odpadov ustanovenej v § 81 ods. 21 písm. d) zákona o odpadoch, ktorú si obce môžu v súčasnosti uplatniť je možné predpokladať výrazne pozitívny vplyv na životné prostredie, keďže obce, ktoré si túto výnimku uplatňujú nevykonávajú triedený zber tohto odpadu, ale spolu so zmesovým komunálnym odpadom ho zneškodňujú skládkovaním. Skládkovanie nespracovaného biologicky rozložiteľného odpadu má výrazne negatívny environmentálny vplyv z hľadiska emisií skleníkových plynov a znečisťovania povrchových vôd, podzemných vôd, pôdy a ovzdušia. </w:t>
            </w:r>
          </w:p>
          <w:p w:rsidR="00E21481" w:rsidRPr="000203D9" w:rsidRDefault="00AF4ABA" w:rsidP="006A583D">
            <w:pPr>
              <w:jc w:val="both"/>
              <w:rPr>
                <w:color w:val="000000" w:themeColor="text1"/>
              </w:rPr>
            </w:pPr>
            <w:bookmarkStart w:id="0" w:name="_GoBack"/>
            <w:bookmarkEnd w:id="0"/>
            <w:r w:rsidRPr="000203D9">
              <w:rPr>
                <w:rFonts w:ascii="Times" w:hAnsi="Times" w:cs="Times"/>
                <w:color w:val="000000" w:themeColor="text1"/>
              </w:rPr>
              <w:t xml:space="preserve">V súvislosti s povinnosťou pre OZV a tretiu osobu, ktorá je ustanovená </w:t>
            </w:r>
            <w:r w:rsidR="001451F8" w:rsidRPr="000203D9">
              <w:rPr>
                <w:rFonts w:ascii="Times" w:hAnsi="Times" w:cs="Times"/>
                <w:color w:val="000000" w:themeColor="text1"/>
              </w:rPr>
              <w:t>v § 28 ods. 4 písm. h</w:t>
            </w:r>
            <w:r w:rsidRPr="000203D9">
              <w:rPr>
                <w:rFonts w:ascii="Times" w:hAnsi="Times" w:cs="Times"/>
                <w:color w:val="000000" w:themeColor="text1"/>
              </w:rPr>
              <w:t>) a § 44 ods. 8 písm. v) návrhu zákona</w:t>
            </w:r>
            <w:r w:rsidRPr="000203D9">
              <w:rPr>
                <w:noProof/>
                <w:color w:val="000000" w:themeColor="text1"/>
              </w:rPr>
              <w:t xml:space="preserve"> by ú</w:t>
            </w:r>
            <w:r w:rsidRPr="000203D9">
              <w:rPr>
                <w:color w:val="000000" w:themeColor="text1"/>
              </w:rPr>
              <w:t>pravou finančných príspevkov</w:t>
            </w:r>
            <w:r w:rsidR="00E21481" w:rsidRPr="000203D9">
              <w:rPr>
                <w:color w:val="000000" w:themeColor="text1"/>
              </w:rPr>
              <w:t xml:space="preserve"> malo dôjsť k motivácii pre výrobcov vyrábať výrobky s dlhšou trvanlivosťou, </w:t>
            </w:r>
            <w:r w:rsidR="00E67C2D" w:rsidRPr="000203D9">
              <w:rPr>
                <w:color w:val="000000" w:themeColor="text1"/>
              </w:rPr>
              <w:t>výrobky opätovne použiteľné a opraviteľné, čím</w:t>
            </w:r>
            <w:r w:rsidR="00E21481" w:rsidRPr="000203D9">
              <w:rPr>
                <w:color w:val="000000" w:themeColor="text1"/>
              </w:rPr>
              <w:t xml:space="preserve"> by malo dôjsť ku znižovaniu vzniku odpadu</w:t>
            </w:r>
            <w:r w:rsidRPr="000203D9">
              <w:rPr>
                <w:color w:val="000000" w:themeColor="text1"/>
              </w:rPr>
              <w:t xml:space="preserve"> a mal by sa dosiahnuť dlhodobý pozitívny vplyv na jednotlivé zložky životného prostredia a aj na zdravie obyvateľstva.</w:t>
            </w:r>
          </w:p>
          <w:p w:rsidR="009871C7" w:rsidRPr="00767906" w:rsidRDefault="009871C7" w:rsidP="006A583D">
            <w:pPr>
              <w:jc w:val="both"/>
              <w:rPr>
                <w:sz w:val="24"/>
                <w:szCs w:val="24"/>
              </w:rPr>
            </w:pPr>
            <w:r>
              <w:t>Zavedením elektronizácie služieb nedôjde k žiadnemu vplyvu na zložky životného prostredia</w:t>
            </w:r>
            <w:r w:rsidR="00FA32ED">
              <w:t xml:space="preserve">                                                                                                                                            </w:t>
            </w:r>
          </w:p>
        </w:tc>
      </w:tr>
      <w:tr w:rsidR="00374EDB" w:rsidRPr="002E32C0" w:rsidTr="007B71A4">
        <w:trPr>
          <w:trHeight w:val="404"/>
        </w:trPr>
        <w:tc>
          <w:tcPr>
            <w:tcW w:w="9212" w:type="dxa"/>
            <w:shd w:val="clear" w:color="auto" w:fill="D9D9D9"/>
            <w:vAlign w:val="center"/>
            <w:hideMark/>
          </w:tcPr>
          <w:p w:rsidR="00374EDB" w:rsidRPr="002E32C0" w:rsidRDefault="00374EDB" w:rsidP="007B71A4">
            <w:pPr>
              <w:rPr>
                <w:b/>
                <w:sz w:val="24"/>
                <w:szCs w:val="24"/>
              </w:rPr>
            </w:pPr>
            <w:r w:rsidRPr="002E32C0">
              <w:rPr>
                <w:b/>
                <w:sz w:val="24"/>
                <w:szCs w:val="24"/>
              </w:rPr>
              <w:t xml:space="preserve">5.2 Bude mať predkladaný materiál vplyv na chránené územia a ak áno, aký? </w:t>
            </w:r>
          </w:p>
        </w:tc>
      </w:tr>
      <w:tr w:rsidR="00374EDB" w:rsidRPr="002E32C0" w:rsidTr="007B71A4">
        <w:trPr>
          <w:trHeight w:val="987"/>
        </w:trPr>
        <w:tc>
          <w:tcPr>
            <w:tcW w:w="9212" w:type="dxa"/>
          </w:tcPr>
          <w:p w:rsidR="00374EDB" w:rsidRDefault="00374EDB" w:rsidP="007B71A4">
            <w:pPr>
              <w:jc w:val="both"/>
              <w:rPr>
                <w:i/>
                <w:sz w:val="24"/>
                <w:szCs w:val="24"/>
              </w:rPr>
            </w:pPr>
            <w:r w:rsidRPr="002E32C0">
              <w:rPr>
                <w:i/>
                <w:sz w:val="24"/>
                <w:szCs w:val="24"/>
              </w:rPr>
              <w:t>Typ, veľkosť a rozsah vplyvu</w:t>
            </w:r>
          </w:p>
          <w:p w:rsidR="00767906" w:rsidRDefault="00AD429D" w:rsidP="00D16031">
            <w:pPr>
              <w:jc w:val="both"/>
            </w:pPr>
            <w:r>
              <w:t>Realizáciou návrhu zákona sa nepredpokladá žiadny priamy vplyv na chránené územia Natura 2000.</w:t>
            </w:r>
          </w:p>
          <w:p w:rsidR="00AD429D" w:rsidRPr="002E32C0" w:rsidRDefault="00AD429D" w:rsidP="00E81677">
            <w:pPr>
              <w:jc w:val="both"/>
              <w:rPr>
                <w:i/>
                <w:sz w:val="24"/>
                <w:szCs w:val="24"/>
              </w:rPr>
            </w:pPr>
            <w:r>
              <w:t>Pri nepriamych vplyvoch sa očakáva pozitívny vplyv.</w:t>
            </w:r>
          </w:p>
        </w:tc>
      </w:tr>
      <w:tr w:rsidR="00374EDB" w:rsidRPr="002E32C0" w:rsidTr="007B71A4">
        <w:trPr>
          <w:trHeight w:val="698"/>
        </w:trPr>
        <w:tc>
          <w:tcPr>
            <w:tcW w:w="9212" w:type="dxa"/>
            <w:shd w:val="clear" w:color="auto" w:fill="D9D9D9"/>
            <w:vAlign w:val="center"/>
          </w:tcPr>
          <w:p w:rsidR="00374EDB" w:rsidRPr="002E32C0" w:rsidRDefault="00374EDB" w:rsidP="007B71A4">
            <w:pPr>
              <w:rPr>
                <w:b/>
                <w:sz w:val="24"/>
                <w:szCs w:val="24"/>
              </w:rPr>
            </w:pPr>
            <w:r w:rsidRPr="002E32C0">
              <w:rPr>
                <w:b/>
                <w:sz w:val="24"/>
                <w:szCs w:val="24"/>
              </w:rPr>
              <w:t>5.3 Bude mať predkladaný materiál vplyvy na životné prostredie presahujúce štátne hranice? (ktoré zložky a ako budú najviac ovplyvnené)?</w:t>
            </w:r>
          </w:p>
        </w:tc>
      </w:tr>
      <w:tr w:rsidR="00374EDB" w:rsidRPr="002E32C0" w:rsidTr="007B71A4">
        <w:trPr>
          <w:trHeight w:val="969"/>
        </w:trPr>
        <w:tc>
          <w:tcPr>
            <w:tcW w:w="9212" w:type="dxa"/>
          </w:tcPr>
          <w:p w:rsidR="00374EDB" w:rsidRDefault="00374EDB" w:rsidP="007B71A4">
            <w:pPr>
              <w:jc w:val="both"/>
              <w:rPr>
                <w:i/>
                <w:sz w:val="24"/>
                <w:szCs w:val="24"/>
              </w:rPr>
            </w:pPr>
            <w:r w:rsidRPr="002E32C0">
              <w:rPr>
                <w:i/>
                <w:sz w:val="24"/>
                <w:szCs w:val="24"/>
              </w:rPr>
              <w:t>Typ, veľkosť a rozsah vplyvu</w:t>
            </w:r>
          </w:p>
          <w:p w:rsidR="00767906" w:rsidRPr="00767906" w:rsidRDefault="00AD429D" w:rsidP="007B71A4">
            <w:pPr>
              <w:jc w:val="both"/>
              <w:rPr>
                <w:b/>
                <w:sz w:val="24"/>
                <w:szCs w:val="24"/>
              </w:rPr>
            </w:pPr>
            <w:r>
              <w:t>Nepredpokladajú sa vplyvy na životné prostredie presahujúce štátne hranice.</w:t>
            </w:r>
          </w:p>
        </w:tc>
      </w:tr>
      <w:tr w:rsidR="00374EDB" w:rsidRPr="002E32C0" w:rsidTr="007B71A4">
        <w:trPr>
          <w:trHeight w:val="713"/>
        </w:trPr>
        <w:tc>
          <w:tcPr>
            <w:tcW w:w="9212" w:type="dxa"/>
            <w:shd w:val="clear" w:color="auto" w:fill="D9D9D9"/>
            <w:vAlign w:val="center"/>
          </w:tcPr>
          <w:p w:rsidR="00374EDB" w:rsidRPr="002E32C0" w:rsidRDefault="00374EDB" w:rsidP="007B71A4">
            <w:pPr>
              <w:rPr>
                <w:b/>
                <w:sz w:val="24"/>
                <w:szCs w:val="24"/>
              </w:rPr>
            </w:pPr>
            <w:r w:rsidRPr="002E32C0">
              <w:rPr>
                <w:b/>
                <w:sz w:val="24"/>
                <w:szCs w:val="24"/>
              </w:rPr>
              <w:t>5.4 Aké opatrenia budú prijaté na zmiernenie negatívneho vplyvu na životné prostredie?</w:t>
            </w:r>
          </w:p>
        </w:tc>
      </w:tr>
      <w:tr w:rsidR="00374EDB" w:rsidRPr="002E32C0" w:rsidTr="007B71A4">
        <w:trPr>
          <w:trHeight w:val="979"/>
        </w:trPr>
        <w:tc>
          <w:tcPr>
            <w:tcW w:w="9212" w:type="dxa"/>
            <w:shd w:val="clear" w:color="auto" w:fill="FFFFFF"/>
          </w:tcPr>
          <w:p w:rsidR="00374EDB" w:rsidRPr="00767906" w:rsidRDefault="00E81677" w:rsidP="00E81677">
            <w:pPr>
              <w:jc w:val="both"/>
              <w:rPr>
                <w:sz w:val="24"/>
                <w:szCs w:val="24"/>
              </w:rPr>
            </w:pPr>
            <w:r w:rsidRPr="00E81677">
              <w:lastRenderedPageBreak/>
              <w:t>.</w:t>
            </w:r>
          </w:p>
        </w:tc>
      </w:tr>
    </w:tbl>
    <w:p w:rsidR="00374EDB" w:rsidRPr="002E32C0" w:rsidRDefault="00374EDB" w:rsidP="00374EDB">
      <w:pPr>
        <w:jc w:val="center"/>
        <w:rPr>
          <w:b/>
          <w:bCs/>
          <w:sz w:val="28"/>
          <w:szCs w:val="28"/>
        </w:rPr>
      </w:pPr>
    </w:p>
    <w:p w:rsidR="00374EDB" w:rsidRPr="002E32C0" w:rsidRDefault="00374EDB" w:rsidP="004F6B21">
      <w:pPr>
        <w:rPr>
          <w:sz w:val="24"/>
          <w:szCs w:val="24"/>
        </w:rPr>
      </w:pPr>
    </w:p>
    <w:sectPr w:rsidR="00374EDB" w:rsidRPr="002E32C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0B9" w:rsidRDefault="001B60B9" w:rsidP="00374EDB">
      <w:r>
        <w:separator/>
      </w:r>
    </w:p>
  </w:endnote>
  <w:endnote w:type="continuationSeparator" w:id="0">
    <w:p w:rsidR="001B60B9" w:rsidRDefault="001B60B9" w:rsidP="0037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515198327"/>
      <w:docPartObj>
        <w:docPartGallery w:val="Page Numbers (Bottom of Page)"/>
        <w:docPartUnique/>
      </w:docPartObj>
    </w:sdtPr>
    <w:sdtEndPr/>
    <w:sdtContent>
      <w:p w:rsidR="00374EDB" w:rsidRPr="00374EDB" w:rsidRDefault="00374EDB">
        <w:pPr>
          <w:pStyle w:val="Pta"/>
          <w:jc w:val="right"/>
          <w:rPr>
            <w:sz w:val="22"/>
          </w:rPr>
        </w:pPr>
        <w:r w:rsidRPr="00374EDB">
          <w:rPr>
            <w:sz w:val="22"/>
          </w:rPr>
          <w:fldChar w:fldCharType="begin"/>
        </w:r>
        <w:r w:rsidRPr="00374EDB">
          <w:rPr>
            <w:sz w:val="22"/>
          </w:rPr>
          <w:instrText>PAGE   \* MERGEFORMAT</w:instrText>
        </w:r>
        <w:r w:rsidRPr="00374EDB">
          <w:rPr>
            <w:sz w:val="22"/>
          </w:rPr>
          <w:fldChar w:fldCharType="separate"/>
        </w:r>
        <w:r w:rsidR="000203D9">
          <w:rPr>
            <w:noProof/>
            <w:sz w:val="22"/>
          </w:rPr>
          <w:t>2</w:t>
        </w:r>
        <w:r w:rsidRPr="00374EDB">
          <w:rPr>
            <w:sz w:val="22"/>
          </w:rPr>
          <w:fldChar w:fldCharType="end"/>
        </w:r>
      </w:p>
    </w:sdtContent>
  </w:sdt>
  <w:p w:rsidR="00374EDB" w:rsidRDefault="00374ED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0B9" w:rsidRDefault="001B60B9" w:rsidP="00374EDB">
      <w:r>
        <w:separator/>
      </w:r>
    </w:p>
  </w:footnote>
  <w:footnote w:type="continuationSeparator" w:id="0">
    <w:p w:rsidR="001B60B9" w:rsidRDefault="001B60B9" w:rsidP="00374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EDB" w:rsidRDefault="00374EDB" w:rsidP="00374EDB">
    <w:pPr>
      <w:pStyle w:val="Hlavika"/>
      <w:jc w:val="right"/>
      <w:rPr>
        <w:sz w:val="24"/>
        <w:szCs w:val="24"/>
      </w:rPr>
    </w:pPr>
    <w:r w:rsidRPr="000A15AE">
      <w:rPr>
        <w:sz w:val="24"/>
        <w:szCs w:val="24"/>
      </w:rPr>
      <w:t>Príloha č</w:t>
    </w:r>
    <w:r>
      <w:rPr>
        <w:sz w:val="24"/>
        <w:szCs w:val="24"/>
      </w:rPr>
      <w:t>. 5</w:t>
    </w:r>
  </w:p>
  <w:p w:rsidR="00374EDB" w:rsidRDefault="00374ED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682"/>
    <w:multiLevelType w:val="hybridMultilevel"/>
    <w:tmpl w:val="3F32D05A"/>
    <w:lvl w:ilvl="0" w:tplc="0FC2CE88">
      <w:start w:val="1"/>
      <w:numFmt w:val="decimal"/>
      <w:lvlText w:val="%1."/>
      <w:lvlJc w:val="left"/>
      <w:pPr>
        <w:tabs>
          <w:tab w:val="num" w:pos="420"/>
        </w:tabs>
        <w:ind w:left="420" w:hanging="360"/>
      </w:pPr>
      <w:rPr>
        <w:rFonts w:cs="Times New Roman" w:hint="default"/>
      </w:rPr>
    </w:lvl>
    <w:lvl w:ilvl="1" w:tplc="FF0AC334">
      <w:start w:val="1"/>
      <w:numFmt w:val="bullet"/>
      <w:lvlText w:val="-"/>
      <w:lvlJc w:val="left"/>
      <w:pPr>
        <w:tabs>
          <w:tab w:val="num" w:pos="1140"/>
        </w:tabs>
        <w:ind w:left="1140" w:hanging="360"/>
      </w:pPr>
      <w:rPr>
        <w:rFonts w:ascii="Times New Roman" w:eastAsia="Times New Roman" w:hAnsi="Times New Roman" w:hint="default"/>
      </w:rPr>
    </w:lvl>
    <w:lvl w:ilvl="2" w:tplc="856AD45A">
      <w:start w:val="1"/>
      <w:numFmt w:val="lowerLetter"/>
      <w:lvlText w:val="%3)"/>
      <w:lvlJc w:val="left"/>
      <w:pPr>
        <w:tabs>
          <w:tab w:val="num" w:pos="2040"/>
        </w:tabs>
        <w:ind w:left="2040" w:hanging="360"/>
      </w:pPr>
      <w:rPr>
        <w:rFonts w:cs="Times New Roman" w:hint="default"/>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1" w15:restartNumberingAfterBreak="0">
    <w:nsid w:val="2500299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C0E4B0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D2F2AE6"/>
    <w:multiLevelType w:val="singleLevel"/>
    <w:tmpl w:val="02F81D8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46E1B1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EEC28DE"/>
    <w:multiLevelType w:val="multilevel"/>
    <w:tmpl w:val="F01C05CA"/>
    <w:lvl w:ilvl="0">
      <w:start w:val="1"/>
      <w:numFmt w:val="bullet"/>
      <w:lvlText w:val=""/>
      <w:lvlJc w:val="left"/>
      <w:pPr>
        <w:tabs>
          <w:tab w:val="num" w:pos="360"/>
        </w:tabs>
        <w:ind w:left="340"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EDF"/>
    <w:rsid w:val="000203D9"/>
    <w:rsid w:val="000807CA"/>
    <w:rsid w:val="00100915"/>
    <w:rsid w:val="001451F8"/>
    <w:rsid w:val="001B60B9"/>
    <w:rsid w:val="001F768E"/>
    <w:rsid w:val="00237368"/>
    <w:rsid w:val="002B182D"/>
    <w:rsid w:val="002E32C0"/>
    <w:rsid w:val="003528E6"/>
    <w:rsid w:val="00374EDB"/>
    <w:rsid w:val="003753FD"/>
    <w:rsid w:val="003A67DF"/>
    <w:rsid w:val="00413E9A"/>
    <w:rsid w:val="00426D4A"/>
    <w:rsid w:val="004F6B21"/>
    <w:rsid w:val="005719EA"/>
    <w:rsid w:val="00572A86"/>
    <w:rsid w:val="005B78FB"/>
    <w:rsid w:val="005D6AFA"/>
    <w:rsid w:val="00627350"/>
    <w:rsid w:val="0067349F"/>
    <w:rsid w:val="006A583D"/>
    <w:rsid w:val="006E0468"/>
    <w:rsid w:val="00702CAB"/>
    <w:rsid w:val="00751782"/>
    <w:rsid w:val="007604EE"/>
    <w:rsid w:val="00765FE2"/>
    <w:rsid w:val="00767906"/>
    <w:rsid w:val="007773EE"/>
    <w:rsid w:val="007A5204"/>
    <w:rsid w:val="007E5C32"/>
    <w:rsid w:val="00802CE5"/>
    <w:rsid w:val="008220B0"/>
    <w:rsid w:val="00930556"/>
    <w:rsid w:val="009818D1"/>
    <w:rsid w:val="009871C7"/>
    <w:rsid w:val="0099408D"/>
    <w:rsid w:val="009C5CAF"/>
    <w:rsid w:val="00A07B42"/>
    <w:rsid w:val="00A716C0"/>
    <w:rsid w:val="00A96EDF"/>
    <w:rsid w:val="00AD429D"/>
    <w:rsid w:val="00AF4ABA"/>
    <w:rsid w:val="00B53390"/>
    <w:rsid w:val="00C361DD"/>
    <w:rsid w:val="00CA6135"/>
    <w:rsid w:val="00CB3623"/>
    <w:rsid w:val="00CD1CE1"/>
    <w:rsid w:val="00D013BE"/>
    <w:rsid w:val="00D16031"/>
    <w:rsid w:val="00E21481"/>
    <w:rsid w:val="00E56BB2"/>
    <w:rsid w:val="00E67C2D"/>
    <w:rsid w:val="00E81677"/>
    <w:rsid w:val="00F161DE"/>
    <w:rsid w:val="00FA32ED"/>
    <w:rsid w:val="00FA68B1"/>
    <w:rsid w:val="00FD5989"/>
    <w:rsid w:val="00FE20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AE0B7"/>
  <w15:docId w15:val="{C5D8A211-999A-49BB-80C3-8E30C3CF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74EDB"/>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74EDB"/>
    <w:pPr>
      <w:tabs>
        <w:tab w:val="center" w:pos="4536"/>
        <w:tab w:val="right" w:pos="9072"/>
      </w:tabs>
    </w:pPr>
  </w:style>
  <w:style w:type="character" w:customStyle="1" w:styleId="HlavikaChar">
    <w:name w:val="Hlavička Char"/>
    <w:basedOn w:val="Predvolenpsmoodseku"/>
    <w:link w:val="Hlavika"/>
    <w:uiPriority w:val="99"/>
    <w:rsid w:val="00374EDB"/>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374EDB"/>
    <w:pPr>
      <w:tabs>
        <w:tab w:val="center" w:pos="4536"/>
        <w:tab w:val="right" w:pos="9072"/>
      </w:tabs>
    </w:pPr>
  </w:style>
  <w:style w:type="character" w:customStyle="1" w:styleId="PtaChar">
    <w:name w:val="Päta Char"/>
    <w:basedOn w:val="Predvolenpsmoodseku"/>
    <w:link w:val="Pta"/>
    <w:uiPriority w:val="99"/>
    <w:rsid w:val="00374EDB"/>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13E9A"/>
    <w:rPr>
      <w:rFonts w:ascii="Tahoma" w:hAnsi="Tahoma" w:cs="Tahoma"/>
      <w:sz w:val="16"/>
      <w:szCs w:val="16"/>
    </w:rPr>
  </w:style>
  <w:style w:type="character" w:customStyle="1" w:styleId="TextbublinyChar">
    <w:name w:val="Text bubliny Char"/>
    <w:basedOn w:val="Predvolenpsmoodseku"/>
    <w:link w:val="Textbubliny"/>
    <w:uiPriority w:val="99"/>
    <w:semiHidden/>
    <w:rsid w:val="00413E9A"/>
    <w:rPr>
      <w:rFonts w:ascii="Tahoma" w:eastAsia="Times New Roman" w:hAnsi="Tahoma" w:cs="Tahoma"/>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05_životné-prostredie"/>
    <f:field ref="objsubject" par="" edit="true" text=""/>
    <f:field ref="objcreatedby" par="" text="Smažáková, Janette"/>
    <f:field ref="objcreatedat" par="" text="7.5.2019 17:30:43"/>
    <f:field ref="objchangedby" par="" text="Administrator, System"/>
    <f:field ref="objmodifiedat" par="" text="7.5.2019 17:30:4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596</Words>
  <Characters>3398</Characters>
  <Application>Microsoft Office Word</Application>
  <DocSecurity>0</DocSecurity>
  <Lines>28</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Simoncicova Iveta</dc:creator>
  <cp:keywords/>
  <dc:description/>
  <cp:lastModifiedBy>Masničáková Miroslava</cp:lastModifiedBy>
  <cp:revision>11</cp:revision>
  <dcterms:created xsi:type="dcterms:W3CDTF">2019-03-29T08:36:00Z</dcterms:created>
  <dcterms:modified xsi:type="dcterms:W3CDTF">2019-07-04T07:50:00Z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Životné prostredie_x000d_
Odpady, nakladanie s odpadmi</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Janette Smažáková</vt:lpwstr>
  </property>
  <property fmtid="{D5CDD505-2E9C-101B-9397-08002B2CF9AE}" pid="12" name="FSC#SKEDITIONSLOVLEX@103.510:zodppredkladatel">
    <vt:lpwstr>László Sólymos</vt:lpwstr>
  </property>
  <property fmtid="{D5CDD505-2E9C-101B-9397-08002B2CF9AE}" pid="13" name="FSC#SKEDITIONSLOVLEX@103.510:dalsipredkladatel">
    <vt:lpwstr/>
  </property>
  <property fmtid="{D5CDD505-2E9C-101B-9397-08002B2CF9AE}" pid="14" name="FSC#SKEDITIONSLOVLEX@103.510:nazovpredpis">
    <vt:lpwstr>, ktorým sa mení a dopĺňa zákon č. 79/2015 Z. z. o odpadoch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životného prostredia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2019</vt:lpwstr>
  </property>
  <property fmtid="{D5CDD505-2E9C-101B-9397-08002B2CF9AE}" pid="23" name="FSC#SKEDITIONSLOVLEX@103.510:plnynazovpredpis">
    <vt:lpwstr> Zákon, ktorým sa mení a dopĺňa zákon č. 79/2015 Z. z. o odpadoch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7408/2019-9.1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LP/2019/350</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114 a čl. 191 až 193 Zmluvy o fungovaní Európskej únie  </vt:lpwstr>
  </property>
  <property fmtid="{D5CDD505-2E9C-101B-9397-08002B2CF9AE}" pid="47" name="FSC#SKEDITIONSLOVLEX@103.510:AttrStrListDocPropSekundarneLegPravoPO">
    <vt:lpwstr>SMERNICA EURÓPSKEHO PARLAMENTU a RADY (EÚ) 2018/852 z 30. mája 2018, ktorou sa mení smernica 94/62/ES o obaloch a odpadoch z obalov (Ú. v. EÚ L 150, 14.6.2018)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nie je obsiahnutý</vt:lpwstr>
  </property>
  <property fmtid="{D5CDD505-2E9C-101B-9397-08002B2CF9AE}" pid="52" name="FSC#SKEDITIONSLOVLEX@103.510:AttrStrListDocPropLehotaPrebratieSmernice">
    <vt:lpwstr>-	5. júl 2020</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Návrh zákona rieši aj odstránenie transpozičných a iných nedostatkov vytýkaných zo strany Európskej komisie v rámci prebiehajúceho prípadu EU Pilot č. EUP(2018)9334. Úpravou relevantných ustanovení dôjde k úplnej transpozícii článku 2 písm. h) a článku </vt:lpwstr>
  </property>
  <property fmtid="{D5CDD505-2E9C-101B-9397-08002B2CF9AE}" pid="55" name="FSC#SKEDITIONSLOVLEX@103.510:AttrStrListDocPropInfoUzPreberanePP">
    <vt:lpwstr>- Zákon č. 79/2015 Z. z. o odpadoch a o zmene a doplnení niektorých zákonov v znení    neskorších predpisov_x000d_
- Vyhláška Ministerstva životného prostredia Slovenskej republiky č. 366/2015 Z. z. o evidenčnej povinnosti a ohlasovacej povinnosti v znení nesko</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11. 4. 2019</vt:lpwstr>
  </property>
  <property fmtid="{D5CDD505-2E9C-101B-9397-08002B2CF9AE}" pid="59" name="FSC#SKEDITIONSLOVLEX@103.510:AttrDateDocPropUkonceniePKK">
    <vt:lpwstr>26. 4. 2019</vt:lpwstr>
  </property>
  <property fmtid="{D5CDD505-2E9C-101B-9397-08002B2CF9AE}" pid="60" name="FSC#SKEDITIONSLOVLEX@103.510:AttrStrDocPropVplyvRozpocetVS">
    <vt:lpwstr>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Pozitívne_x000d_
Negatívne</vt:lpwstr>
  </property>
  <property fmtid="{D5CDD505-2E9C-101B-9397-08002B2CF9AE}" pid="63" name="FSC#SKEDITIONSLOVLEX@103.510:AttrStrDocPropVplyvNaZivotProstr">
    <vt:lpwstr>Pozitívne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&lt;table align="left" cellpadding="0" cellspacing="0" hspace="0" vspace="0"&gt;	&lt;tbody&gt;		&lt;tr&gt;			&lt;td align="left"&gt;			&lt;p&gt;V&amp;nbsp;súvislosti so zavedením zmien a zrušením výnimiek z&amp;nbsp;povinnosti zavedenia a&amp;nbsp;zabezpečovania triedeného zberu biologicky rozlož</vt:lpwstr>
  </property>
  <property fmtid="{D5CDD505-2E9C-101B-9397-08002B2CF9AE}" pid="66" name="FSC#SKEDITIONSLOVLEX@103.510:AttrStrListDocPropAltRiesenia">
    <vt:lpwstr>Alternatívne riešenie 0 – pôvodný stav (hrozba nesplnenia záväzkov vyplývajúcich z nedodržania lehoty určenej na transpozíciu smerníc uvedených v bode 1 a neodstránenie transpozičných  nedostatkov  vytýkaných zo strany Európskej Komisie v rámci prebiehajú</vt:lpwstr>
  </property>
  <property fmtid="{D5CDD505-2E9C-101B-9397-08002B2CF9AE}" pid="67" name="FSC#SKEDITIONSLOVLEX@103.510:AttrStrListDocPropStanoviskoGest">
    <vt:lpwstr>&lt;table align="left" cellpadding="0" cellspacing="0" hspace="0" vspace="0"&gt;	&lt;tbody&gt;		&lt;tr&gt;			&lt;td align="left"&gt;			&lt;p&gt;I. Úvod: Ministerstvo životného prostredia Slovenskej republiky dňa 10. apríla 2019 predložilo Stálej pracovnej komisii na posudzovanie vybra</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životného prostredia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podpredseda vlády a minister životného prostredia Slovenskej republiky</vt:lpwstr>
  </property>
  <property fmtid="{D5CDD505-2E9C-101B-9397-08002B2CF9AE}" pid="142" name="FSC#SKEDITIONSLOVLEX@103.510:funkciaZodpPredAkuzativ">
    <vt:lpwstr>podpredsedovi vlády a ministrovi životného prostredia Slovenskej republiky</vt:lpwstr>
  </property>
  <property fmtid="{D5CDD505-2E9C-101B-9397-08002B2CF9AE}" pid="143" name="FSC#SKEDITIONSLOVLEX@103.510:funkciaZodpPredDativ">
    <vt:lpwstr>podpredsedu vlády a ministra životného prostredia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László Sólymos_x000d_
podpredseda vlády a minister životného prostredia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životného prostredia Slovenskej republiky predkladá na základe Plánu legislatívnych úloh vlády Slovenskej republiky na rok 2019 do legislatívneho procesu návrh zákona, ktorým sa mení a&amp;nbsp;dopĺňa zákon č. 79/2</vt:lpwstr>
  </property>
  <property fmtid="{D5CDD505-2E9C-101B-9397-08002B2CF9AE}" pid="150" name="FSC#SKEDITIONSLOVLEX@103.510:vytvorenedna">
    <vt:lpwstr>7. 5. 2019</vt:lpwstr>
  </property>
  <property fmtid="{D5CDD505-2E9C-101B-9397-08002B2CF9AE}" pid="151" name="FSC#COOSYSTEM@1.1:Container">
    <vt:lpwstr>COO.2145.1000.3.3349494</vt:lpwstr>
  </property>
  <property fmtid="{D5CDD505-2E9C-101B-9397-08002B2CF9AE}" pid="152" name="FSC#FSCFOLIO@1.1001:docpropproject">
    <vt:lpwstr/>
  </property>
</Properties>
</file>