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224847" w:rsidRPr="00CD4982" w:rsidTr="00E1659F">
        <w:trPr>
          <w:trHeight w:val="534"/>
          <w:jc w:val="center"/>
        </w:trPr>
        <w:tc>
          <w:tcPr>
            <w:tcW w:w="5000" w:type="pct"/>
            <w:tcBorders>
              <w:bottom w:val="single" w:sz="4" w:space="0" w:color="auto"/>
            </w:tcBorders>
            <w:shd w:val="clear" w:color="auto" w:fill="D9D9D9"/>
          </w:tcPr>
          <w:p w:rsidR="00224847" w:rsidRPr="00CD4982" w:rsidRDefault="00224847" w:rsidP="00E1659F">
            <w:pPr>
              <w:spacing w:after="0" w:line="240" w:lineRule="auto"/>
              <w:ind w:left="-284" w:firstLine="284"/>
              <w:jc w:val="center"/>
              <w:rPr>
                <w:rFonts w:ascii="Times New Roman" w:eastAsia="Calibri" w:hAnsi="Times New Roman" w:cs="Times New Roman"/>
                <w:b/>
                <w:lang w:eastAsia="sk-SK"/>
              </w:rPr>
            </w:pPr>
            <w:r>
              <w:rPr>
                <w:rFonts w:ascii="Times New Roman" w:eastAsia="Calibri" w:hAnsi="Times New Roman" w:cs="Times New Roman"/>
                <w:b/>
                <w:sz w:val="28"/>
                <w:lang w:eastAsia="sk-SK"/>
              </w:rPr>
              <w:t>Analýza s</w:t>
            </w:r>
            <w:r w:rsidRPr="00CD4982">
              <w:rPr>
                <w:rFonts w:ascii="Times New Roman" w:eastAsia="Calibri" w:hAnsi="Times New Roman" w:cs="Times New Roman"/>
                <w:b/>
                <w:sz w:val="28"/>
                <w:lang w:eastAsia="sk-SK"/>
              </w:rPr>
              <w:t>ociáln</w:t>
            </w:r>
            <w:r>
              <w:rPr>
                <w:rFonts w:ascii="Times New Roman" w:eastAsia="Calibri" w:hAnsi="Times New Roman" w:cs="Times New Roman"/>
                <w:b/>
                <w:sz w:val="28"/>
                <w:lang w:eastAsia="sk-SK"/>
              </w:rPr>
              <w:t>ych</w:t>
            </w:r>
            <w:r w:rsidRPr="00CD4982">
              <w:rPr>
                <w:rFonts w:ascii="Times New Roman" w:eastAsia="Calibri" w:hAnsi="Times New Roman" w:cs="Times New Roman"/>
                <w:b/>
                <w:sz w:val="28"/>
                <w:lang w:eastAsia="sk-SK"/>
              </w:rPr>
              <w:t xml:space="preserve"> vplyv</w:t>
            </w:r>
            <w:r>
              <w:rPr>
                <w:rFonts w:ascii="Times New Roman" w:eastAsia="Calibri" w:hAnsi="Times New Roman" w:cs="Times New Roman"/>
                <w:b/>
                <w:sz w:val="28"/>
                <w:lang w:eastAsia="sk-SK"/>
              </w:rPr>
              <w:t>ov</w:t>
            </w:r>
          </w:p>
          <w:p w:rsidR="00224847" w:rsidRPr="00CD4982" w:rsidRDefault="00224847" w:rsidP="00E1659F">
            <w:pPr>
              <w:spacing w:after="0" w:line="240" w:lineRule="auto"/>
              <w:jc w:val="center"/>
              <w:rPr>
                <w:rFonts w:ascii="Times New Roman" w:eastAsia="Calibri" w:hAnsi="Times New Roman" w:cs="Times New Roman"/>
                <w:b/>
                <w:lang w:eastAsia="sk-SK"/>
              </w:rPr>
            </w:pPr>
            <w:r w:rsidRPr="00CD4982">
              <w:rPr>
                <w:rFonts w:ascii="Times New Roman" w:eastAsia="Calibri" w:hAnsi="Times New Roman" w:cs="Times New Roman"/>
                <w:b/>
                <w:sz w:val="24"/>
                <w:lang w:eastAsia="sk-SK"/>
              </w:rPr>
              <w:t>Vplyvy na hospodárenie domácností, prístup k zdrojom, právam, tovarom a službám, sociálnu inklúziu, rovnosť príležitostí a rodovú rovnosť a vplyvy na zamestnanosť</w:t>
            </w:r>
          </w:p>
        </w:tc>
      </w:tr>
      <w:tr w:rsidR="00224847" w:rsidRPr="00CD4982" w:rsidTr="00E1659F">
        <w:trPr>
          <w:jc w:val="center"/>
        </w:trPr>
        <w:tc>
          <w:tcPr>
            <w:tcW w:w="5000" w:type="pct"/>
            <w:tcBorders>
              <w:bottom w:val="nil"/>
            </w:tcBorders>
            <w:shd w:val="clear" w:color="auto" w:fill="D9D9D9"/>
          </w:tcPr>
          <w:p w:rsidR="00224847" w:rsidRPr="0040544D" w:rsidRDefault="00224847" w:rsidP="00E1659F">
            <w:pPr>
              <w:spacing w:after="0" w:line="240" w:lineRule="auto"/>
              <w:rPr>
                <w:rFonts w:ascii="Times New Roman" w:eastAsia="Calibri" w:hAnsi="Times New Roman" w:cs="Times New Roman"/>
                <w:b/>
                <w:sz w:val="24"/>
                <w:lang w:eastAsia="sk-SK"/>
              </w:rPr>
            </w:pPr>
            <w:r w:rsidRPr="00CD4982">
              <w:rPr>
                <w:rFonts w:ascii="Times New Roman" w:eastAsia="Calibri" w:hAnsi="Times New Roman" w:cs="Times New Roman"/>
                <w:b/>
                <w:lang w:eastAsia="sk-SK"/>
              </w:rPr>
              <w:t xml:space="preserve">4.1 </w:t>
            </w:r>
            <w:r w:rsidRPr="00CD4982">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bl>
    <w:p w:rsidR="00224847" w:rsidRDefault="00224847" w:rsidP="00224847">
      <w:pPr>
        <w:shd w:val="clear" w:color="auto" w:fill="F2F2F2"/>
        <w:spacing w:after="0" w:line="240" w:lineRule="auto"/>
        <w:rPr>
          <w:rFonts w:ascii="Times New Roman" w:eastAsia="Calibri" w:hAnsi="Times New Roman" w:cs="Times New Roman"/>
          <w:i/>
          <w:sz w:val="20"/>
          <w:szCs w:val="20"/>
          <w:lang w:eastAsia="sk-SK"/>
        </w:rPr>
        <w:sectPr w:rsidR="00224847" w:rsidSect="00224847">
          <w:headerReference w:type="default" r:id="rId9"/>
          <w:footerReference w:type="default" r:id="rId10"/>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224847" w:rsidRPr="00CD4982" w:rsidTr="00E1659F">
        <w:trPr>
          <w:trHeight w:val="736"/>
          <w:jc w:val="center"/>
        </w:trPr>
        <w:tc>
          <w:tcPr>
            <w:tcW w:w="5000" w:type="pct"/>
            <w:tcBorders>
              <w:bottom w:val="single" w:sz="4" w:space="0" w:color="auto"/>
            </w:tcBorders>
            <w:shd w:val="clear" w:color="auto" w:fill="F2F2F2"/>
          </w:tcPr>
          <w:p w:rsidR="00224847" w:rsidRPr="00CD4982" w:rsidRDefault="00224847" w:rsidP="00E1659F">
            <w:pPr>
              <w:shd w:val="clear" w:color="auto" w:fill="F2F2F2"/>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Vedie návrh k zvýšeniu alebo zníženiu príjmov alebo výdavkov domácností? </w:t>
            </w:r>
          </w:p>
          <w:p w:rsidR="00224847" w:rsidRPr="00CD4982" w:rsidRDefault="00224847" w:rsidP="00E1659F">
            <w:pPr>
              <w:shd w:val="clear" w:color="auto" w:fill="F2F2F2"/>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Ktoré skupiny domácností/obyvateľstva sú takto ovplyvnené a akým spôsobom? </w:t>
            </w:r>
          </w:p>
          <w:p w:rsidR="00224847" w:rsidRPr="00CD4982" w:rsidRDefault="00224847" w:rsidP="00E1659F">
            <w:pPr>
              <w:shd w:val="clear" w:color="auto" w:fill="F2F2F2"/>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Sú medzi potenciálne ovplyvnenými skupinami skupiny v riziku chudoby alebo sociálneho vylúčenia?</w:t>
            </w:r>
          </w:p>
        </w:tc>
      </w:tr>
    </w:tbl>
    <w:p w:rsidR="00224847" w:rsidRDefault="00224847" w:rsidP="00224847">
      <w:pPr>
        <w:spacing w:after="0" w:line="240" w:lineRule="auto"/>
        <w:rPr>
          <w:rFonts w:ascii="Times New Roman" w:eastAsia="Calibri" w:hAnsi="Times New Roman" w:cs="Times New Roman"/>
          <w:i/>
          <w:sz w:val="20"/>
          <w:szCs w:val="20"/>
          <w:lang w:eastAsia="sk-SK"/>
        </w:rPr>
        <w:sectPr w:rsidR="00224847"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224847" w:rsidRPr="00CD4982" w:rsidTr="00E1659F">
        <w:trPr>
          <w:trHeight w:val="759"/>
          <w:jc w:val="center"/>
        </w:trPr>
        <w:tc>
          <w:tcPr>
            <w:tcW w:w="2500" w:type="pct"/>
            <w:tcBorders>
              <w:top w:val="nil"/>
              <w:bottom w:val="dotted" w:sz="4" w:space="0" w:color="auto"/>
            </w:tcBorders>
            <w:shd w:val="clear" w:color="auto" w:fill="auto"/>
          </w:tcPr>
          <w:p w:rsidR="00224847" w:rsidRPr="00CD4982" w:rsidRDefault="00224847" w:rsidP="00E1659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Popíšte </w:t>
            </w:r>
            <w:r w:rsidRPr="00E538C0">
              <w:rPr>
                <w:rFonts w:ascii="Times New Roman" w:eastAsia="Calibri" w:hAnsi="Times New Roman" w:cs="Times New Roman"/>
                <w:b/>
                <w:i/>
                <w:sz w:val="20"/>
                <w:szCs w:val="20"/>
                <w:lang w:eastAsia="sk-SK"/>
              </w:rPr>
              <w:t>pozitívny</w:t>
            </w:r>
            <w:r>
              <w:rPr>
                <w:rFonts w:ascii="Times New Roman" w:eastAsia="Calibri" w:hAnsi="Times New Roman" w:cs="Times New Roman"/>
                <w:i/>
                <w:sz w:val="20"/>
                <w:szCs w:val="20"/>
                <w:lang w:eastAsia="sk-SK"/>
              </w:rPr>
              <w:t xml:space="preserve"> vplyv na hospodárenie domácností s uvedením, či ide o zvýšenie príjmov alebo zníženie výdavkov:</w:t>
            </w:r>
          </w:p>
        </w:tc>
        <w:tc>
          <w:tcPr>
            <w:tcW w:w="2500" w:type="pct"/>
            <w:tcBorders>
              <w:top w:val="nil"/>
              <w:bottom w:val="dotted" w:sz="4" w:space="0" w:color="auto"/>
            </w:tcBorders>
            <w:shd w:val="clear" w:color="auto" w:fill="auto"/>
          </w:tcPr>
          <w:p w:rsidR="00C358E1" w:rsidRPr="00C358E1" w:rsidRDefault="00C358E1" w:rsidP="00C358E1">
            <w:p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Zavedením zákazu používania jednorazových plastov ušetria spotrebitelia používaním opakovane použiteľných či inak environmentálne vhodnejších jednorazových výrobkov, najmä pri konzumácii rýchleho občerstvenia.  </w:t>
            </w:r>
          </w:p>
          <w:p w:rsidR="00C358E1" w:rsidRPr="00C358E1" w:rsidRDefault="00C358E1" w:rsidP="00C358E1">
            <w:p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Pozitívnym sociálnym vplyvom bude aj zlepšenie spotrebiteľ</w:t>
            </w:r>
            <w:r w:rsidRPr="00C358E1">
              <w:rPr>
                <w:rFonts w:ascii="Times New Roman" w:eastAsia="Calibri" w:hAnsi="Times New Roman" w:cs="Times New Roman"/>
                <w:sz w:val="20"/>
                <w:szCs w:val="20"/>
                <w:lang w:eastAsia="sk-SK"/>
              </w:rPr>
              <w:t>ských návykov- vznik a nakladanie</w:t>
            </w:r>
            <w:r w:rsidRPr="00C358E1">
              <w:rPr>
                <w:rFonts w:ascii="Times New Roman" w:eastAsia="Calibri" w:hAnsi="Times New Roman" w:cs="Times New Roman"/>
                <w:sz w:val="20"/>
                <w:szCs w:val="20"/>
                <w:lang w:eastAsia="sk-SK"/>
              </w:rPr>
              <w:t xml:space="preserve"> s odpadom v súlade s hierarchiou odpadového hospodárstva.</w:t>
            </w:r>
          </w:p>
          <w:p w:rsidR="00224847" w:rsidRPr="00C358E1" w:rsidRDefault="00480182" w:rsidP="00480182">
            <w:p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Zavedenie zmien a zrušenie výnimiek z povinnosti zavedenia a zabezpečovania triedeného zberu biologicky rozložiteľných kuchynských odpadov ustanovených v § 81 ods. 21 zákona č. 79/2015 Z. z. o odpadoch a o zmene a doplnení niektorých zákonov z znení neskorších predpisov (ďalej len „zákon o odpadoch“), ktorú si môžu obce v súčasnosti uplatniť, sa môže prejaviť v znižovaní miestneho poplatku za komunálne odpady a drobné stavebné odpady, a to dobre a správne nastaveným systémom nakladania s komunálnymi odpadmi v obci. Zavedením triedeného zberu biologicky rozložiteľného kuchynského odpadu v obci, poklesne množstvo zmesového komunálneho odpadu, a tým dôjde k zníženiu množstva zmesového komunálneho odpadu, ktorý je ukladaný na skládky odpadov a šetreniu finančných prostriedkov za poplatky za skládkovanie. </w:t>
            </w:r>
          </w:p>
          <w:p w:rsidR="00DF7EE0" w:rsidRPr="00C358E1" w:rsidRDefault="00DF7EE0" w:rsidP="00DF7EE0">
            <w:p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Príklad správne a dobre nastaveného systému nakladania s komunálnym odpadom: </w:t>
            </w:r>
          </w:p>
          <w:p w:rsidR="00DF7EE0" w:rsidRPr="00C358E1" w:rsidRDefault="007027C3" w:rsidP="007027C3">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o</w:t>
            </w:r>
            <w:r w:rsidR="00DF7EE0" w:rsidRPr="00C358E1">
              <w:rPr>
                <w:rFonts w:ascii="Times New Roman" w:eastAsia="Calibri" w:hAnsi="Times New Roman" w:cs="Times New Roman"/>
                <w:sz w:val="20"/>
                <w:szCs w:val="20"/>
                <w:lang w:eastAsia="sk-SK"/>
              </w:rPr>
              <w:t>bec</w:t>
            </w:r>
            <w:r w:rsidRPr="00C358E1">
              <w:rPr>
                <w:rFonts w:ascii="Times New Roman" w:eastAsia="Calibri" w:hAnsi="Times New Roman" w:cs="Times New Roman"/>
                <w:sz w:val="20"/>
                <w:szCs w:val="20"/>
                <w:lang w:eastAsia="sk-SK"/>
              </w:rPr>
              <w:t xml:space="preserve"> má zavedený triedený zber pre plasty, kovy, sklo, papier</w:t>
            </w:r>
            <w:r w:rsidR="00F625DB" w:rsidRPr="00C358E1">
              <w:rPr>
                <w:rFonts w:ascii="Times New Roman" w:eastAsia="Calibri" w:hAnsi="Times New Roman" w:cs="Times New Roman"/>
                <w:sz w:val="20"/>
                <w:szCs w:val="20"/>
                <w:lang w:eastAsia="sk-SK"/>
              </w:rPr>
              <w:t xml:space="preserve"> (zníženie zmesového komunálneho odpadu o</w:t>
            </w:r>
            <w:r w:rsidR="00567FCC" w:rsidRPr="00C358E1">
              <w:rPr>
                <w:rFonts w:ascii="Times New Roman" w:eastAsia="Calibri" w:hAnsi="Times New Roman" w:cs="Times New Roman"/>
                <w:sz w:val="20"/>
                <w:szCs w:val="20"/>
                <w:lang w:eastAsia="sk-SK"/>
              </w:rPr>
              <w:t> 32,5</w:t>
            </w:r>
            <w:r w:rsidR="00F625DB" w:rsidRPr="00C358E1">
              <w:rPr>
                <w:rFonts w:ascii="Times New Roman" w:eastAsia="Calibri" w:hAnsi="Times New Roman" w:cs="Times New Roman"/>
                <w:sz w:val="20"/>
                <w:szCs w:val="20"/>
                <w:lang w:eastAsia="sk-SK"/>
              </w:rPr>
              <w:t xml:space="preserve"> %</w:t>
            </w:r>
            <w:r w:rsidR="00567FCC" w:rsidRPr="00C358E1">
              <w:rPr>
                <w:rFonts w:ascii="Times New Roman" w:eastAsia="Calibri" w:hAnsi="Times New Roman" w:cs="Times New Roman"/>
                <w:sz w:val="20"/>
                <w:szCs w:val="20"/>
                <w:lang w:eastAsia="sk-SK"/>
              </w:rPr>
              <w:t xml:space="preserve"> v</w:t>
            </w:r>
            <w:r w:rsidR="00FD0E68" w:rsidRPr="00C358E1">
              <w:rPr>
                <w:rFonts w:ascii="Times New Roman" w:eastAsia="Calibri" w:hAnsi="Times New Roman" w:cs="Times New Roman"/>
                <w:sz w:val="20"/>
                <w:szCs w:val="20"/>
                <w:lang w:eastAsia="sk-SK"/>
              </w:rPr>
              <w:t> komplexnej bytovej výstavbe - KBV</w:t>
            </w:r>
            <w:r w:rsidR="00567FCC" w:rsidRPr="00C358E1">
              <w:rPr>
                <w:rFonts w:ascii="Times New Roman" w:eastAsia="Calibri" w:hAnsi="Times New Roman" w:cs="Times New Roman"/>
                <w:sz w:val="20"/>
                <w:szCs w:val="20"/>
                <w:lang w:eastAsia="sk-SK"/>
              </w:rPr>
              <w:t>, o 27,93 % v</w:t>
            </w:r>
            <w:r w:rsidR="00FD0E68" w:rsidRPr="00C358E1">
              <w:rPr>
                <w:rFonts w:ascii="Times New Roman" w:eastAsia="Calibri" w:hAnsi="Times New Roman" w:cs="Times New Roman"/>
                <w:sz w:val="20"/>
                <w:szCs w:val="20"/>
                <w:lang w:eastAsia="sk-SK"/>
              </w:rPr>
              <w:t xml:space="preserve"> individuálnej bytovej výstavbe - </w:t>
            </w:r>
            <w:r w:rsidR="00567FCC" w:rsidRPr="00C358E1">
              <w:rPr>
                <w:rFonts w:ascii="Times New Roman" w:eastAsia="Calibri" w:hAnsi="Times New Roman" w:cs="Times New Roman"/>
                <w:sz w:val="20"/>
                <w:szCs w:val="20"/>
                <w:lang w:eastAsia="sk-SK"/>
              </w:rPr>
              <w:t>IBV</w:t>
            </w:r>
            <w:r w:rsidR="00F625DB" w:rsidRPr="00C358E1">
              <w:rPr>
                <w:rFonts w:ascii="Times New Roman" w:eastAsia="Calibri" w:hAnsi="Times New Roman" w:cs="Times New Roman"/>
                <w:sz w:val="20"/>
                <w:szCs w:val="20"/>
                <w:lang w:eastAsia="sk-SK"/>
              </w:rPr>
              <w:t>)</w:t>
            </w:r>
            <w:r w:rsidRPr="00C358E1">
              <w:rPr>
                <w:rFonts w:ascii="Times New Roman" w:eastAsia="Calibri" w:hAnsi="Times New Roman" w:cs="Times New Roman"/>
                <w:sz w:val="20"/>
                <w:szCs w:val="20"/>
                <w:lang w:eastAsia="sk-SK"/>
              </w:rPr>
              <w:t xml:space="preserve">, elektroodpady, batérie a akumulátory a informuje obyvateľov, kde môžu odovzdať pneumatiky a staré vozidlá, ide o odpady zaradené pod rozšírenú zodpovednosť výrobcov a nakladanie s týmito </w:t>
            </w:r>
            <w:r w:rsidR="00316CDF" w:rsidRPr="00C358E1">
              <w:rPr>
                <w:rFonts w:ascii="Times New Roman" w:eastAsia="Calibri" w:hAnsi="Times New Roman" w:cs="Times New Roman"/>
                <w:sz w:val="20"/>
                <w:szCs w:val="20"/>
                <w:lang w:eastAsia="sk-SK"/>
              </w:rPr>
              <w:t>odpadmi sa nehradí</w:t>
            </w:r>
            <w:r w:rsidR="000C16EB" w:rsidRPr="00C358E1">
              <w:rPr>
                <w:rFonts w:ascii="Times New Roman" w:eastAsia="Calibri" w:hAnsi="Times New Roman" w:cs="Times New Roman"/>
                <w:sz w:val="20"/>
                <w:szCs w:val="20"/>
                <w:lang w:eastAsia="sk-SK"/>
              </w:rPr>
              <w:t xml:space="preserve"> z</w:t>
            </w:r>
            <w:r w:rsidRPr="00C358E1">
              <w:rPr>
                <w:rFonts w:ascii="Times New Roman" w:eastAsia="Calibri" w:hAnsi="Times New Roman" w:cs="Times New Roman"/>
                <w:sz w:val="20"/>
                <w:szCs w:val="20"/>
                <w:lang w:eastAsia="sk-SK"/>
              </w:rPr>
              <w:t xml:space="preserve"> poplatku za komunálne odpady;</w:t>
            </w:r>
          </w:p>
          <w:p w:rsidR="00567FCC" w:rsidRPr="00C358E1" w:rsidRDefault="007027C3" w:rsidP="0012185E">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obec zároveň zavedie triedený zber textilu</w:t>
            </w:r>
            <w:r w:rsidR="00567FCC" w:rsidRPr="00C358E1">
              <w:rPr>
                <w:rFonts w:ascii="Times New Roman" w:eastAsia="Calibri" w:hAnsi="Times New Roman" w:cs="Times New Roman"/>
                <w:sz w:val="20"/>
                <w:szCs w:val="20"/>
                <w:lang w:eastAsia="sk-SK"/>
              </w:rPr>
              <w:t xml:space="preserve"> a</w:t>
            </w:r>
            <w:r w:rsidRPr="00C358E1">
              <w:rPr>
                <w:rFonts w:ascii="Times New Roman" w:eastAsia="Calibri" w:hAnsi="Times New Roman" w:cs="Times New Roman"/>
                <w:sz w:val="20"/>
                <w:szCs w:val="20"/>
                <w:lang w:eastAsia="sk-SK"/>
              </w:rPr>
              <w:t xml:space="preserve"> poskytne </w:t>
            </w:r>
            <w:r w:rsidR="00567FCC" w:rsidRPr="00C358E1">
              <w:rPr>
                <w:rFonts w:ascii="Times New Roman" w:eastAsia="Calibri" w:hAnsi="Times New Roman" w:cs="Times New Roman"/>
                <w:sz w:val="20"/>
                <w:szCs w:val="20"/>
                <w:lang w:eastAsia="sk-SK"/>
              </w:rPr>
              <w:t xml:space="preserve">ho </w:t>
            </w:r>
            <w:r w:rsidR="00DC53A1" w:rsidRPr="00C358E1">
              <w:rPr>
                <w:rFonts w:ascii="Times New Roman" w:eastAsia="Calibri" w:hAnsi="Times New Roman" w:cs="Times New Roman"/>
                <w:sz w:val="20"/>
                <w:szCs w:val="20"/>
                <w:lang w:eastAsia="sk-SK"/>
              </w:rPr>
              <w:t xml:space="preserve">na zhodnotenie, </w:t>
            </w:r>
            <w:r w:rsidR="00567FCC" w:rsidRPr="00C358E1">
              <w:rPr>
                <w:rFonts w:ascii="Times New Roman" w:eastAsia="Calibri" w:hAnsi="Times New Roman" w:cs="Times New Roman"/>
                <w:sz w:val="20"/>
                <w:szCs w:val="20"/>
                <w:lang w:eastAsia="sk-SK"/>
              </w:rPr>
              <w:t>čím by sa malo znížiť množstvo tejto zložky v zmesovom komunálnom odpade o 3,06 % v KBV a o 4,36 % v IBV;</w:t>
            </w:r>
          </w:p>
          <w:p w:rsidR="00DC53A1" w:rsidRPr="00C358E1" w:rsidRDefault="007027C3" w:rsidP="0012185E">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obec zavedie množstvový zber zmesového komunálneho odpadu, resp. žetónový systém zberu</w:t>
            </w:r>
            <w:r w:rsidR="00DC53A1" w:rsidRPr="00C358E1">
              <w:rPr>
                <w:rFonts w:ascii="Times New Roman" w:eastAsia="Calibri" w:hAnsi="Times New Roman" w:cs="Times New Roman"/>
                <w:sz w:val="20"/>
                <w:szCs w:val="20"/>
                <w:lang w:eastAsia="sk-SK"/>
              </w:rPr>
              <w:t>, aby boli obyvatelia motivovaní</w:t>
            </w:r>
            <w:r w:rsidRPr="00C358E1">
              <w:rPr>
                <w:rFonts w:ascii="Times New Roman" w:eastAsia="Calibri" w:hAnsi="Times New Roman" w:cs="Times New Roman"/>
                <w:sz w:val="20"/>
                <w:szCs w:val="20"/>
                <w:lang w:eastAsia="sk-SK"/>
              </w:rPr>
              <w:t xml:space="preserve"> k</w:t>
            </w:r>
            <w:r w:rsidR="00DC53A1" w:rsidRPr="00C358E1">
              <w:rPr>
                <w:rFonts w:ascii="Times New Roman" w:eastAsia="Calibri" w:hAnsi="Times New Roman" w:cs="Times New Roman"/>
                <w:sz w:val="20"/>
                <w:szCs w:val="20"/>
                <w:lang w:eastAsia="sk-SK"/>
              </w:rPr>
              <w:t xml:space="preserve"> triedeniu a platili len za to, čo nevedia vytriediť a zároveň neplatili za odvoz </w:t>
            </w:r>
            <w:r w:rsidR="00DC53A1" w:rsidRPr="00C358E1">
              <w:rPr>
                <w:rFonts w:ascii="Times New Roman" w:eastAsia="Calibri" w:hAnsi="Times New Roman" w:cs="Times New Roman"/>
                <w:sz w:val="20"/>
                <w:szCs w:val="20"/>
                <w:lang w:eastAsia="sk-SK"/>
              </w:rPr>
              <w:lastRenderedPageBreak/>
              <w:t>nenaplnenej zbernej nádoby na zmesový komunálny odpad;</w:t>
            </w:r>
          </w:p>
          <w:p w:rsidR="007027C3" w:rsidRPr="00C358E1" w:rsidRDefault="00DC53A1" w:rsidP="007027C3">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obec zavedie </w:t>
            </w:r>
            <w:r w:rsidR="007027C3" w:rsidRPr="00C358E1">
              <w:rPr>
                <w:rFonts w:ascii="Times New Roman" w:eastAsia="Calibri" w:hAnsi="Times New Roman" w:cs="Times New Roman"/>
                <w:sz w:val="20"/>
                <w:szCs w:val="20"/>
                <w:lang w:eastAsia="sk-SK"/>
              </w:rPr>
              <w:t>množstvový zber drobného stavebného odpadu</w:t>
            </w:r>
            <w:r w:rsidRPr="00C358E1">
              <w:rPr>
                <w:rFonts w:ascii="Times New Roman" w:eastAsia="Calibri" w:hAnsi="Times New Roman" w:cs="Times New Roman"/>
                <w:sz w:val="20"/>
                <w:szCs w:val="20"/>
                <w:lang w:eastAsia="sk-SK"/>
              </w:rPr>
              <w:t>, čím šetrí náklady na zber a nakladanie s týmto odpadom jednotlivým občanom v obci, keďže občan platí poplatok iba pri vzniku a odovzdaní takéhoto odpadu</w:t>
            </w:r>
            <w:r w:rsidR="007027C3" w:rsidRPr="00C358E1">
              <w:rPr>
                <w:rFonts w:ascii="Times New Roman" w:eastAsia="Calibri" w:hAnsi="Times New Roman" w:cs="Times New Roman"/>
                <w:sz w:val="20"/>
                <w:szCs w:val="20"/>
                <w:lang w:eastAsia="sk-SK"/>
              </w:rPr>
              <w:t>;</w:t>
            </w:r>
          </w:p>
          <w:p w:rsidR="00DC53A1" w:rsidRPr="00C358E1" w:rsidRDefault="00DC53A1" w:rsidP="00DC53A1">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najdôležitejšie je, aby obec zaviedla domáce kompostovanie biologicky rozložiteľného komunálneho odpadu vrátane kuchynského odpadu z domácnosti (najmä jej rastlinnej časti, ktorej je veľké množstvo), čím by sa malo množstvo tejto zložky v zmesovom komunálnom odpade znížiť až o</w:t>
            </w:r>
            <w:r w:rsidR="00567FCC" w:rsidRPr="00C358E1">
              <w:rPr>
                <w:rFonts w:ascii="Times New Roman" w:eastAsia="Calibri" w:hAnsi="Times New Roman" w:cs="Times New Roman"/>
                <w:sz w:val="20"/>
                <w:szCs w:val="20"/>
                <w:lang w:eastAsia="sk-SK"/>
              </w:rPr>
              <w:t> 42,46</w:t>
            </w:r>
            <w:r w:rsidRPr="00C358E1">
              <w:rPr>
                <w:rFonts w:ascii="Times New Roman" w:eastAsia="Calibri" w:hAnsi="Times New Roman" w:cs="Times New Roman"/>
                <w:sz w:val="20"/>
                <w:szCs w:val="20"/>
                <w:lang w:eastAsia="sk-SK"/>
              </w:rPr>
              <w:t xml:space="preserve"> % v</w:t>
            </w:r>
            <w:r w:rsidR="00567FCC" w:rsidRPr="00C358E1">
              <w:rPr>
                <w:rFonts w:ascii="Times New Roman" w:eastAsia="Calibri" w:hAnsi="Times New Roman" w:cs="Times New Roman"/>
                <w:sz w:val="20"/>
                <w:szCs w:val="20"/>
                <w:lang w:eastAsia="sk-SK"/>
              </w:rPr>
              <w:t> KBV a o 46,29 % v </w:t>
            </w:r>
            <w:r w:rsidR="00272BA6" w:rsidRPr="00C358E1">
              <w:rPr>
                <w:rFonts w:ascii="Times New Roman" w:eastAsia="Calibri" w:hAnsi="Times New Roman" w:cs="Times New Roman"/>
                <w:sz w:val="20"/>
                <w:szCs w:val="20"/>
                <w:lang w:eastAsia="sk-SK"/>
              </w:rPr>
              <w:t>IBV</w:t>
            </w:r>
            <w:r w:rsidR="006A60EA" w:rsidRPr="00C358E1">
              <w:rPr>
                <w:rFonts w:ascii="Times New Roman" w:eastAsia="Calibri" w:hAnsi="Times New Roman" w:cs="Times New Roman"/>
                <w:sz w:val="20"/>
                <w:szCs w:val="20"/>
                <w:lang w:eastAsia="sk-SK"/>
              </w:rPr>
              <w:t>;</w:t>
            </w:r>
          </w:p>
          <w:p w:rsidR="006A60EA" w:rsidRPr="00C358E1" w:rsidRDefault="006A60EA" w:rsidP="006A60EA">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obec pravidelne informuje občanov o spôsoboch zberu odpadov, šetrenia nákladov na nakladanie s odpadmi a o ďalšom zhodnotení vytriedených odpadov;</w:t>
            </w:r>
          </w:p>
          <w:p w:rsidR="00F625DB" w:rsidRPr="00C358E1" w:rsidRDefault="006A60EA" w:rsidP="00F625DB">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obec </w:t>
            </w:r>
            <w:r w:rsidR="000C16EB" w:rsidRPr="00C358E1">
              <w:rPr>
                <w:rFonts w:ascii="Times New Roman" w:eastAsia="Calibri" w:hAnsi="Times New Roman" w:cs="Times New Roman"/>
                <w:sz w:val="20"/>
                <w:szCs w:val="20"/>
                <w:lang w:eastAsia="sk-SK"/>
              </w:rPr>
              <w:t xml:space="preserve">taktiež </w:t>
            </w:r>
            <w:r w:rsidRPr="00C358E1">
              <w:rPr>
                <w:rFonts w:ascii="Times New Roman" w:eastAsia="Calibri" w:hAnsi="Times New Roman" w:cs="Times New Roman"/>
                <w:sz w:val="20"/>
                <w:szCs w:val="20"/>
                <w:lang w:eastAsia="sk-SK"/>
              </w:rPr>
              <w:t xml:space="preserve">motivuje občanov k predchádzaniu vzniku odpadov a zároveň obec podporuje aktivity súvisiace s predchádzaním vzniku odpadu v danej obci napr. automaty na mlieko, </w:t>
            </w:r>
            <w:r w:rsidR="00F625DB" w:rsidRPr="00C358E1">
              <w:rPr>
                <w:rFonts w:ascii="Times New Roman" w:eastAsia="Calibri" w:hAnsi="Times New Roman" w:cs="Times New Roman"/>
                <w:sz w:val="20"/>
                <w:szCs w:val="20"/>
                <w:lang w:eastAsia="sk-SK"/>
              </w:rPr>
              <w:t>výmenná burza použitých vecí atď.</w:t>
            </w:r>
          </w:p>
          <w:p w:rsidR="00F625DB" w:rsidRPr="00C358E1" w:rsidRDefault="00567FCC" w:rsidP="00F65015">
            <w:p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Vytriedením </w:t>
            </w:r>
            <w:r w:rsidR="00F65015" w:rsidRPr="00C358E1">
              <w:rPr>
                <w:rFonts w:ascii="Times New Roman" w:eastAsia="Calibri" w:hAnsi="Times New Roman" w:cs="Times New Roman"/>
                <w:sz w:val="20"/>
                <w:szCs w:val="20"/>
                <w:lang w:eastAsia="sk-SK"/>
              </w:rPr>
              <w:t xml:space="preserve">vyššie uvedených </w:t>
            </w:r>
            <w:r w:rsidRPr="00C358E1">
              <w:rPr>
                <w:rFonts w:ascii="Times New Roman" w:eastAsia="Calibri" w:hAnsi="Times New Roman" w:cs="Times New Roman"/>
                <w:sz w:val="20"/>
                <w:szCs w:val="20"/>
                <w:lang w:eastAsia="sk-SK"/>
              </w:rPr>
              <w:t xml:space="preserve">základných percentuálne vyjadrených zložiek zmesového komunálneho odpadu by viedlo k zníženiu množstva </w:t>
            </w:r>
            <w:r w:rsidR="000C16EB" w:rsidRPr="00C358E1">
              <w:rPr>
                <w:rFonts w:ascii="Times New Roman" w:eastAsia="Calibri" w:hAnsi="Times New Roman" w:cs="Times New Roman"/>
                <w:sz w:val="20"/>
                <w:szCs w:val="20"/>
                <w:lang w:eastAsia="sk-SK"/>
              </w:rPr>
              <w:t xml:space="preserve">tohto </w:t>
            </w:r>
            <w:r w:rsidRPr="00C358E1">
              <w:rPr>
                <w:rFonts w:ascii="Times New Roman" w:eastAsia="Calibri" w:hAnsi="Times New Roman" w:cs="Times New Roman"/>
                <w:sz w:val="20"/>
                <w:szCs w:val="20"/>
                <w:lang w:eastAsia="sk-SK"/>
              </w:rPr>
              <w:t>odpadu o 78,02 %.</w:t>
            </w:r>
          </w:p>
        </w:tc>
      </w:tr>
      <w:tr w:rsidR="00224847" w:rsidRPr="00CD4982" w:rsidTr="00E1659F">
        <w:trPr>
          <w:trHeight w:val="624"/>
          <w:jc w:val="center"/>
        </w:trPr>
        <w:tc>
          <w:tcPr>
            <w:tcW w:w="2500" w:type="pct"/>
            <w:tcBorders>
              <w:top w:val="dotted" w:sz="4" w:space="0" w:color="auto"/>
            </w:tcBorders>
            <w:shd w:val="clear" w:color="auto" w:fill="auto"/>
          </w:tcPr>
          <w:p w:rsidR="00224847" w:rsidRPr="00CD4982" w:rsidRDefault="00224847" w:rsidP="00E1659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lastRenderedPageBreak/>
              <w:t xml:space="preserve">Špecifikujte </w:t>
            </w:r>
            <w:r w:rsidRPr="00E538C0">
              <w:rPr>
                <w:rFonts w:ascii="Times New Roman" w:eastAsia="Calibri" w:hAnsi="Times New Roman" w:cs="Times New Roman"/>
                <w:b/>
                <w:i/>
                <w:sz w:val="20"/>
                <w:szCs w:val="20"/>
                <w:lang w:eastAsia="sk-SK"/>
              </w:rPr>
              <w:t>pozitívne</w:t>
            </w:r>
            <w:r>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tcBorders>
            <w:shd w:val="clear" w:color="auto" w:fill="auto"/>
          </w:tcPr>
          <w:p w:rsidR="00224847" w:rsidRPr="0040544D" w:rsidRDefault="00480182" w:rsidP="00E1659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domácnosti</w:t>
            </w:r>
          </w:p>
        </w:tc>
      </w:tr>
      <w:tr w:rsidR="00224847" w:rsidRPr="00CD4982" w:rsidTr="00E1659F">
        <w:trPr>
          <w:trHeight w:val="759"/>
          <w:jc w:val="center"/>
        </w:trPr>
        <w:tc>
          <w:tcPr>
            <w:tcW w:w="2500" w:type="pct"/>
            <w:tcBorders>
              <w:bottom w:val="dotted" w:sz="4" w:space="0" w:color="auto"/>
            </w:tcBorders>
            <w:shd w:val="clear" w:color="auto" w:fill="auto"/>
          </w:tcPr>
          <w:p w:rsidR="00224847" w:rsidRPr="00E538C0" w:rsidRDefault="00224847" w:rsidP="00E1659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Popíšte </w:t>
            </w:r>
            <w:r>
              <w:rPr>
                <w:rFonts w:ascii="Times New Roman" w:eastAsia="Calibri" w:hAnsi="Times New Roman" w:cs="Times New Roman"/>
                <w:b/>
                <w:i/>
                <w:sz w:val="20"/>
                <w:szCs w:val="20"/>
                <w:lang w:eastAsia="sk-SK"/>
              </w:rPr>
              <w:t xml:space="preserve">negatívny </w:t>
            </w:r>
            <w:r>
              <w:rPr>
                <w:rFonts w:ascii="Times New Roman" w:eastAsia="Calibri" w:hAnsi="Times New Roman" w:cs="Times New Roman"/>
                <w:i/>
                <w:sz w:val="20"/>
                <w:szCs w:val="20"/>
                <w:lang w:eastAsia="sk-SK"/>
              </w:rPr>
              <w:t>vplyv na hospodárenie domácností s uvedením, či ide o zníženie príjmov alebo zvýšenie výdavkov:</w:t>
            </w:r>
          </w:p>
        </w:tc>
        <w:tc>
          <w:tcPr>
            <w:tcW w:w="2500" w:type="pct"/>
            <w:tcBorders>
              <w:bottom w:val="dotted" w:sz="4" w:space="0" w:color="auto"/>
            </w:tcBorders>
            <w:shd w:val="clear" w:color="auto" w:fill="auto"/>
          </w:tcPr>
          <w:p w:rsidR="00224847" w:rsidRDefault="001A79BF" w:rsidP="0048018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Zavedenie zmien a zrušenie výnimiek z povinnosti zavedenia a zabezpečovania triedeného zberu biologicky rozložiteľných kuchynských odpadov ustanovených v § 81 ods. 21 </w:t>
            </w:r>
            <w:r w:rsidR="00B057BC">
              <w:rPr>
                <w:rFonts w:ascii="Times New Roman" w:eastAsia="Calibri" w:hAnsi="Times New Roman" w:cs="Times New Roman"/>
                <w:sz w:val="20"/>
                <w:szCs w:val="20"/>
                <w:lang w:eastAsia="sk-SK"/>
              </w:rPr>
              <w:t>zákon</w:t>
            </w:r>
            <w:r w:rsidR="00480182">
              <w:rPr>
                <w:rFonts w:ascii="Times New Roman" w:eastAsia="Calibri" w:hAnsi="Times New Roman" w:cs="Times New Roman"/>
                <w:sz w:val="20"/>
                <w:szCs w:val="20"/>
                <w:lang w:eastAsia="sk-SK"/>
              </w:rPr>
              <w:t>a</w:t>
            </w:r>
            <w:r w:rsidR="00B057BC">
              <w:rPr>
                <w:rFonts w:ascii="Times New Roman" w:eastAsia="Calibri" w:hAnsi="Times New Roman" w:cs="Times New Roman"/>
                <w:sz w:val="20"/>
                <w:szCs w:val="20"/>
                <w:lang w:eastAsia="sk-SK"/>
              </w:rPr>
              <w:t xml:space="preserve"> o odpadoch</w:t>
            </w:r>
            <w:r>
              <w:rPr>
                <w:rFonts w:ascii="Times New Roman" w:eastAsia="Calibri" w:hAnsi="Times New Roman" w:cs="Times New Roman"/>
                <w:sz w:val="20"/>
                <w:szCs w:val="20"/>
                <w:lang w:eastAsia="sk-SK"/>
              </w:rPr>
              <w:t>, ktorú si môžu obce v súčasnosti uplatniť, sa môže prejaviť vo zvyšovaní miestneho poplatku za komunálne odpady a drobné stavebné odpady,</w:t>
            </w:r>
            <w:r w:rsidR="00480182">
              <w:rPr>
                <w:rFonts w:ascii="Times New Roman" w:eastAsia="Calibri" w:hAnsi="Times New Roman" w:cs="Times New Roman"/>
                <w:sz w:val="20"/>
                <w:szCs w:val="20"/>
                <w:lang w:eastAsia="sk-SK"/>
              </w:rPr>
              <w:t xml:space="preserve"> a to zle a nesprávne nastaveným systémom nakladania s komunálnymi odpadmi v</w:t>
            </w:r>
            <w:r w:rsidR="00975369">
              <w:rPr>
                <w:rFonts w:ascii="Times New Roman" w:eastAsia="Calibri" w:hAnsi="Times New Roman" w:cs="Times New Roman"/>
                <w:sz w:val="20"/>
                <w:szCs w:val="20"/>
                <w:lang w:eastAsia="sk-SK"/>
              </w:rPr>
              <w:t> </w:t>
            </w:r>
            <w:r w:rsidR="00480182">
              <w:rPr>
                <w:rFonts w:ascii="Times New Roman" w:eastAsia="Calibri" w:hAnsi="Times New Roman" w:cs="Times New Roman"/>
                <w:sz w:val="20"/>
                <w:szCs w:val="20"/>
                <w:lang w:eastAsia="sk-SK"/>
              </w:rPr>
              <w:t>obci</w:t>
            </w:r>
            <w:r w:rsidR="00975369">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 xml:space="preserve"> a tým bude negatívne ovplyvnené hospodárenie domácností.</w:t>
            </w:r>
          </w:p>
          <w:p w:rsidR="000D57E4" w:rsidRPr="00C358E1" w:rsidRDefault="003B68B0" w:rsidP="00480182">
            <w:p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(301) </w:t>
            </w:r>
            <w:r w:rsidR="000C16EB" w:rsidRPr="00C358E1">
              <w:rPr>
                <w:rFonts w:ascii="Times New Roman" w:eastAsia="Calibri" w:hAnsi="Times New Roman" w:cs="Times New Roman"/>
                <w:sz w:val="20"/>
                <w:szCs w:val="20"/>
                <w:lang w:eastAsia="sk-SK"/>
              </w:rPr>
              <w:t>Príklad nesprávne a zle nastaveného s</w:t>
            </w:r>
            <w:r w:rsidR="00CC02E7" w:rsidRPr="00C358E1">
              <w:rPr>
                <w:rFonts w:ascii="Times New Roman" w:eastAsia="Calibri" w:hAnsi="Times New Roman" w:cs="Times New Roman"/>
                <w:sz w:val="20"/>
                <w:szCs w:val="20"/>
                <w:lang w:eastAsia="sk-SK"/>
              </w:rPr>
              <w:t>ystému nakladania s komunálnym odpadom:</w:t>
            </w:r>
          </w:p>
          <w:p w:rsidR="00436447" w:rsidRPr="00C358E1" w:rsidRDefault="00436447" w:rsidP="00436447">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obec má nesprávne zavedený triedený zber pre plasty, kovy, sklo, papier (podiel týchto odpadov v zmesovom komunálnom odpade môže byť 32,5 % v KBV a 27,93 % v IBV), elektroodpady, batérie a akumulátory a neinformuje obyvateľov, kde môžu odovzdať pneumatiky a staré vozidlá,</w:t>
            </w:r>
            <w:r w:rsidR="00F65015" w:rsidRPr="00C358E1">
              <w:rPr>
                <w:rFonts w:ascii="Times New Roman" w:eastAsia="Calibri" w:hAnsi="Times New Roman" w:cs="Times New Roman"/>
                <w:sz w:val="20"/>
                <w:szCs w:val="20"/>
                <w:lang w:eastAsia="sk-SK"/>
              </w:rPr>
              <w:t xml:space="preserve"> </w:t>
            </w:r>
            <w:r w:rsidRPr="00C358E1">
              <w:rPr>
                <w:rFonts w:ascii="Times New Roman" w:eastAsia="Calibri" w:hAnsi="Times New Roman" w:cs="Times New Roman"/>
                <w:sz w:val="20"/>
                <w:szCs w:val="20"/>
                <w:lang w:eastAsia="sk-SK"/>
              </w:rPr>
              <w:t>čím dochádza k napĺňaniu nádob na zmesový komunálny odpad, resp. k vytváraniu tzv. čiernych skládok;</w:t>
            </w:r>
          </w:p>
          <w:p w:rsidR="00436447" w:rsidRPr="00C358E1" w:rsidRDefault="00436447" w:rsidP="00436447">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obec nemá zavedený triedený zber textilu a množstvo tejto zložky v zmesovom komunálnom odpade môže predstavovať 3,06 % v KBV a 4,36 % v IBV;</w:t>
            </w:r>
          </w:p>
          <w:p w:rsidR="00CC02E7" w:rsidRPr="00C358E1" w:rsidRDefault="00CC02E7" w:rsidP="00CC02E7">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obec má zavedený zber zmesového komunálneho odpadu rovnakým spôsobom v celej obci a občan platí paušálny poplatok za odvoz zmesového komunálneho odpadu</w:t>
            </w:r>
            <w:r w:rsidR="00436447" w:rsidRPr="00C358E1">
              <w:rPr>
                <w:rFonts w:ascii="Times New Roman" w:eastAsia="Calibri" w:hAnsi="Times New Roman" w:cs="Times New Roman"/>
                <w:sz w:val="20"/>
                <w:szCs w:val="20"/>
                <w:lang w:eastAsia="sk-SK"/>
              </w:rPr>
              <w:t xml:space="preserve">, čo vedie k tomu, že občania využívajú celý </w:t>
            </w:r>
            <w:r w:rsidR="00436447" w:rsidRPr="00C358E1">
              <w:rPr>
                <w:rFonts w:ascii="Times New Roman" w:eastAsia="Calibri" w:hAnsi="Times New Roman" w:cs="Times New Roman"/>
                <w:sz w:val="20"/>
                <w:szCs w:val="20"/>
                <w:lang w:eastAsia="sk-SK"/>
              </w:rPr>
              <w:lastRenderedPageBreak/>
              <w:t>priestor zbernej nádoby a nie sú motivovaní k triedeniu odpadov;</w:t>
            </w:r>
          </w:p>
          <w:p w:rsidR="00436447" w:rsidRPr="00C358E1" w:rsidRDefault="00436447" w:rsidP="00436447">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obec nezavedie množstvový zber drobného stavebného odpadu, </w:t>
            </w:r>
            <w:r w:rsidR="00F65015" w:rsidRPr="00C358E1">
              <w:rPr>
                <w:rFonts w:ascii="Times New Roman" w:eastAsia="Calibri" w:hAnsi="Times New Roman" w:cs="Times New Roman"/>
                <w:sz w:val="20"/>
                <w:szCs w:val="20"/>
                <w:lang w:eastAsia="sk-SK"/>
              </w:rPr>
              <w:t xml:space="preserve">ale umožní občanom zber drobného stavebného odpadu paušálne, </w:t>
            </w:r>
            <w:r w:rsidRPr="00C358E1">
              <w:rPr>
                <w:rFonts w:ascii="Times New Roman" w:eastAsia="Calibri" w:hAnsi="Times New Roman" w:cs="Times New Roman"/>
                <w:sz w:val="20"/>
                <w:szCs w:val="20"/>
                <w:lang w:eastAsia="sk-SK"/>
              </w:rPr>
              <w:t xml:space="preserve">čím </w:t>
            </w:r>
            <w:r w:rsidR="00272BA6" w:rsidRPr="00C358E1">
              <w:rPr>
                <w:rFonts w:ascii="Times New Roman" w:eastAsia="Calibri" w:hAnsi="Times New Roman" w:cs="Times New Roman"/>
                <w:sz w:val="20"/>
                <w:szCs w:val="20"/>
                <w:lang w:eastAsia="sk-SK"/>
              </w:rPr>
              <w:t>náklady na nakladanie s týmto odpadom hradí v rámci m</w:t>
            </w:r>
            <w:r w:rsidR="00F65015" w:rsidRPr="00C358E1">
              <w:rPr>
                <w:rFonts w:ascii="Times New Roman" w:eastAsia="Calibri" w:hAnsi="Times New Roman" w:cs="Times New Roman"/>
                <w:sz w:val="20"/>
                <w:szCs w:val="20"/>
                <w:lang w:eastAsia="sk-SK"/>
              </w:rPr>
              <w:t>i</w:t>
            </w:r>
            <w:r w:rsidR="00272BA6" w:rsidRPr="00C358E1">
              <w:rPr>
                <w:rFonts w:ascii="Times New Roman" w:eastAsia="Calibri" w:hAnsi="Times New Roman" w:cs="Times New Roman"/>
                <w:sz w:val="20"/>
                <w:szCs w:val="20"/>
                <w:lang w:eastAsia="sk-SK"/>
              </w:rPr>
              <w:t>estneho poplatku každý občan aj za situácie, že v jednom roku, resp. vo viacerých rokoch  drobný stavebný odpad netvorí</w:t>
            </w:r>
            <w:r w:rsidRPr="00C358E1">
              <w:rPr>
                <w:rFonts w:ascii="Times New Roman" w:eastAsia="Calibri" w:hAnsi="Times New Roman" w:cs="Times New Roman"/>
                <w:sz w:val="20"/>
                <w:szCs w:val="20"/>
                <w:lang w:eastAsia="sk-SK"/>
              </w:rPr>
              <w:t>;</w:t>
            </w:r>
          </w:p>
          <w:p w:rsidR="00272BA6" w:rsidRPr="00C358E1" w:rsidRDefault="00272BA6" w:rsidP="00272BA6">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obec nezavedie domáce kompostovanie biologicky rozložiteľného komunálneho odpadu vrátane kuchynského odpadu z domácnosti (najmä jej rastlinnej časti, ktorej je veľké množstvo), ale má zavedený zber do zbernej nádoby, zber vykonáva maximálne 1 x za 14 dní</w:t>
            </w:r>
            <w:r w:rsidR="00F65015" w:rsidRPr="00C358E1">
              <w:rPr>
                <w:rFonts w:ascii="Times New Roman" w:eastAsia="Calibri" w:hAnsi="Times New Roman" w:cs="Times New Roman"/>
                <w:sz w:val="20"/>
                <w:szCs w:val="20"/>
                <w:lang w:eastAsia="sk-SK"/>
              </w:rPr>
              <w:t>,</w:t>
            </w:r>
            <w:r w:rsidRPr="00C358E1">
              <w:rPr>
                <w:rFonts w:ascii="Times New Roman" w:eastAsia="Calibri" w:hAnsi="Times New Roman" w:cs="Times New Roman"/>
                <w:sz w:val="20"/>
                <w:szCs w:val="20"/>
                <w:lang w:eastAsia="sk-SK"/>
              </w:rPr>
              <w:t xml:space="preserve"> čo môže viesť k sťažnostiam občanov na tento systém zberu najmä v letných mesiacoch, keď nádo</w:t>
            </w:r>
            <w:bookmarkStart w:id="0" w:name="_GoBack"/>
            <w:bookmarkEnd w:id="0"/>
            <w:r w:rsidRPr="00C358E1">
              <w:rPr>
                <w:rFonts w:ascii="Times New Roman" w:eastAsia="Calibri" w:hAnsi="Times New Roman" w:cs="Times New Roman"/>
                <w:sz w:val="20"/>
                <w:szCs w:val="20"/>
                <w:lang w:eastAsia="sk-SK"/>
              </w:rPr>
              <w:t xml:space="preserve">by zapáchajú a biologicky rozložiteľný odpad </w:t>
            </w:r>
            <w:r w:rsidR="00F65015" w:rsidRPr="00C358E1">
              <w:rPr>
                <w:rFonts w:ascii="Times New Roman" w:eastAsia="Calibri" w:hAnsi="Times New Roman" w:cs="Times New Roman"/>
                <w:sz w:val="20"/>
                <w:szCs w:val="20"/>
                <w:lang w:eastAsia="sk-SK"/>
              </w:rPr>
              <w:t xml:space="preserve">občania radšej </w:t>
            </w:r>
            <w:r w:rsidRPr="00C358E1">
              <w:rPr>
                <w:rFonts w:ascii="Times New Roman" w:eastAsia="Calibri" w:hAnsi="Times New Roman" w:cs="Times New Roman"/>
                <w:sz w:val="20"/>
                <w:szCs w:val="20"/>
                <w:lang w:eastAsia="sk-SK"/>
              </w:rPr>
              <w:t>umiestnia do nádob na zmesový komunálny odpad, keďže táto nádoba sa vyváža v obci častejšie, množstvo tejto zložky v zmesovom komunálnom odpade môže tvoriť až 42,46 % v KBV a 46,29 % v</w:t>
            </w:r>
            <w:r w:rsidR="00F65015" w:rsidRPr="00C358E1">
              <w:rPr>
                <w:rFonts w:ascii="Times New Roman" w:eastAsia="Calibri" w:hAnsi="Times New Roman" w:cs="Times New Roman"/>
                <w:sz w:val="20"/>
                <w:szCs w:val="20"/>
                <w:lang w:eastAsia="sk-SK"/>
              </w:rPr>
              <w:t> </w:t>
            </w:r>
            <w:r w:rsidRPr="00C358E1">
              <w:rPr>
                <w:rFonts w:ascii="Times New Roman" w:eastAsia="Calibri" w:hAnsi="Times New Roman" w:cs="Times New Roman"/>
                <w:sz w:val="20"/>
                <w:szCs w:val="20"/>
                <w:lang w:eastAsia="sk-SK"/>
              </w:rPr>
              <w:t>IBV</w:t>
            </w:r>
            <w:r w:rsidR="00F65015" w:rsidRPr="00C358E1">
              <w:rPr>
                <w:rFonts w:ascii="Times New Roman" w:eastAsia="Calibri" w:hAnsi="Times New Roman" w:cs="Times New Roman"/>
                <w:sz w:val="20"/>
                <w:szCs w:val="20"/>
                <w:lang w:eastAsia="sk-SK"/>
              </w:rPr>
              <w:t>, resp. zariadenie na zhodnotenie je vo veľkej vzdialenosti od miesta zberu, čím sa zvyšujú náklady na dopravu</w:t>
            </w:r>
            <w:r w:rsidRPr="00C358E1">
              <w:rPr>
                <w:rFonts w:ascii="Times New Roman" w:eastAsia="Calibri" w:hAnsi="Times New Roman" w:cs="Times New Roman"/>
                <w:sz w:val="20"/>
                <w:szCs w:val="20"/>
                <w:lang w:eastAsia="sk-SK"/>
              </w:rPr>
              <w:t xml:space="preserve">; </w:t>
            </w:r>
          </w:p>
          <w:p w:rsidR="00272BA6" w:rsidRPr="00C358E1" w:rsidRDefault="00272BA6" w:rsidP="00272BA6">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obec neinformuje občanov o spôsoboch zberu odpadov, šetrenia nákladov na nakladanie s odpadmi a o ďalšom zhodnotení vytriedených odpadov;</w:t>
            </w:r>
          </w:p>
          <w:p w:rsidR="00272BA6" w:rsidRPr="00C358E1" w:rsidRDefault="00272BA6" w:rsidP="00272BA6">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obec taktiež </w:t>
            </w:r>
            <w:r w:rsidR="00316CDF" w:rsidRPr="00C358E1">
              <w:rPr>
                <w:rFonts w:ascii="Times New Roman" w:eastAsia="Calibri" w:hAnsi="Times New Roman" w:cs="Times New Roman"/>
                <w:sz w:val="20"/>
                <w:szCs w:val="20"/>
                <w:lang w:eastAsia="sk-SK"/>
              </w:rPr>
              <w:t>ne</w:t>
            </w:r>
            <w:r w:rsidRPr="00C358E1">
              <w:rPr>
                <w:rFonts w:ascii="Times New Roman" w:eastAsia="Calibri" w:hAnsi="Times New Roman" w:cs="Times New Roman"/>
                <w:sz w:val="20"/>
                <w:szCs w:val="20"/>
                <w:lang w:eastAsia="sk-SK"/>
              </w:rPr>
              <w:t xml:space="preserve">motivuje občanov k predchádzaniu vzniku odpadov a zároveň obec </w:t>
            </w:r>
            <w:r w:rsidR="00316CDF" w:rsidRPr="00C358E1">
              <w:rPr>
                <w:rFonts w:ascii="Times New Roman" w:eastAsia="Calibri" w:hAnsi="Times New Roman" w:cs="Times New Roman"/>
                <w:sz w:val="20"/>
                <w:szCs w:val="20"/>
                <w:lang w:eastAsia="sk-SK"/>
              </w:rPr>
              <w:t>ne</w:t>
            </w:r>
            <w:r w:rsidRPr="00C358E1">
              <w:rPr>
                <w:rFonts w:ascii="Times New Roman" w:eastAsia="Calibri" w:hAnsi="Times New Roman" w:cs="Times New Roman"/>
                <w:sz w:val="20"/>
                <w:szCs w:val="20"/>
                <w:lang w:eastAsia="sk-SK"/>
              </w:rPr>
              <w:t>podporuje aktivity súvisiace s predchádzaním vzniku odpadu v danej obci.</w:t>
            </w:r>
          </w:p>
          <w:p w:rsidR="00436447" w:rsidRPr="00316CDF" w:rsidRDefault="00316CDF" w:rsidP="00316CDF">
            <w:pPr>
              <w:spacing w:after="0" w:line="240" w:lineRule="auto"/>
              <w:jc w:val="both"/>
              <w:rPr>
                <w:rFonts w:ascii="Times New Roman" w:eastAsia="Calibri" w:hAnsi="Times New Roman" w:cs="Times New Roman"/>
                <w:sz w:val="20"/>
                <w:szCs w:val="20"/>
                <w:lang w:eastAsia="sk-SK"/>
              </w:rPr>
            </w:pPr>
            <w:r w:rsidRPr="00C358E1">
              <w:rPr>
                <w:rFonts w:ascii="Times New Roman" w:eastAsia="Calibri" w:hAnsi="Times New Roman" w:cs="Times New Roman"/>
                <w:sz w:val="20"/>
                <w:szCs w:val="20"/>
                <w:lang w:eastAsia="sk-SK"/>
              </w:rPr>
              <w:t xml:space="preserve">Nesprávne nastaveným systémom a </w:t>
            </w:r>
            <w:r w:rsidR="00F65015" w:rsidRPr="00C358E1">
              <w:rPr>
                <w:rFonts w:ascii="Times New Roman" w:eastAsia="Calibri" w:hAnsi="Times New Roman" w:cs="Times New Roman"/>
                <w:sz w:val="20"/>
                <w:szCs w:val="20"/>
                <w:lang w:eastAsia="sk-SK"/>
              </w:rPr>
              <w:t>ne</w:t>
            </w:r>
            <w:r w:rsidRPr="00C358E1">
              <w:rPr>
                <w:rFonts w:ascii="Times New Roman" w:eastAsia="Calibri" w:hAnsi="Times New Roman" w:cs="Times New Roman"/>
                <w:sz w:val="20"/>
                <w:szCs w:val="20"/>
                <w:lang w:eastAsia="sk-SK"/>
              </w:rPr>
              <w:t>triedením týchto základných percentuálne vyjadrených zložiek zmesového komunálneho odpadu sa množstvo zmesového komunálneho odpadu nezníži, aj napriek tomu, že poplatok uloženia odpadov na skládku sa bude zvyšovať, čo môže mať negatívny dopad na jednotlivých občanov v danej obci</w:t>
            </w:r>
            <w:r>
              <w:rPr>
                <w:rFonts w:ascii="Times New Roman" w:eastAsia="Calibri" w:hAnsi="Times New Roman" w:cs="Times New Roman"/>
                <w:color w:val="FF0000"/>
                <w:sz w:val="20"/>
                <w:szCs w:val="20"/>
                <w:lang w:eastAsia="sk-SK"/>
              </w:rPr>
              <w:t>.</w:t>
            </w:r>
          </w:p>
          <w:p w:rsidR="00CC02E7" w:rsidRPr="00436447" w:rsidRDefault="00CC02E7" w:rsidP="00436447">
            <w:pPr>
              <w:spacing w:after="0" w:line="240" w:lineRule="auto"/>
              <w:ind w:left="360"/>
              <w:jc w:val="both"/>
              <w:rPr>
                <w:rFonts w:ascii="Times New Roman" w:eastAsia="Calibri" w:hAnsi="Times New Roman" w:cs="Times New Roman"/>
                <w:color w:val="FF0000"/>
                <w:sz w:val="20"/>
                <w:szCs w:val="20"/>
                <w:lang w:eastAsia="sk-SK"/>
              </w:rPr>
            </w:pPr>
          </w:p>
          <w:p w:rsidR="00BD65F2" w:rsidRDefault="000D57E4" w:rsidP="000D57E4">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Zavedenie povinnosti vybaviť zberové vozidlá vážiacim systémom </w:t>
            </w:r>
            <w:r w:rsidRPr="000D57E4">
              <w:rPr>
                <w:rFonts w:ascii="Times New Roman" w:eastAsia="Calibri" w:hAnsi="Times New Roman" w:cs="Times New Roman"/>
                <w:sz w:val="20"/>
                <w:szCs w:val="20"/>
                <w:lang w:eastAsia="sk-SK"/>
              </w:rPr>
              <w:t>môže viesť k zvýšeniu ceny služieb v oblasti zberu odpadov</w:t>
            </w:r>
            <w:r>
              <w:rPr>
                <w:rFonts w:ascii="Times New Roman" w:eastAsia="Calibri" w:hAnsi="Times New Roman" w:cs="Times New Roman"/>
                <w:sz w:val="20"/>
                <w:szCs w:val="20"/>
                <w:lang w:eastAsia="sk-SK"/>
              </w:rPr>
              <w:t xml:space="preserve"> </w:t>
            </w:r>
            <w:r w:rsidRPr="000D57E4">
              <w:rPr>
                <w:rFonts w:ascii="Times New Roman" w:eastAsia="Calibri" w:hAnsi="Times New Roman" w:cs="Times New Roman"/>
                <w:sz w:val="20"/>
                <w:szCs w:val="20"/>
                <w:lang w:eastAsia="sk-SK"/>
              </w:rPr>
              <w:t>čo sa môže premietnuť vo výške poplatku za komunálne odpad</w:t>
            </w:r>
            <w:r w:rsidR="00BD65F2">
              <w:rPr>
                <w:rFonts w:ascii="Times New Roman" w:eastAsia="Calibri" w:hAnsi="Times New Roman" w:cs="Times New Roman"/>
                <w:sz w:val="20"/>
                <w:szCs w:val="20"/>
                <w:lang w:eastAsia="sk-SK"/>
              </w:rPr>
              <w:t>y</w:t>
            </w:r>
            <w:r>
              <w:rPr>
                <w:rFonts w:ascii="Times New Roman" w:eastAsia="Calibri" w:hAnsi="Times New Roman" w:cs="Times New Roman"/>
                <w:sz w:val="20"/>
                <w:szCs w:val="20"/>
                <w:lang w:eastAsia="sk-SK"/>
              </w:rPr>
              <w:t xml:space="preserve">. </w:t>
            </w:r>
            <w:r w:rsidR="00BD65F2">
              <w:rPr>
                <w:rFonts w:ascii="Times New Roman" w:eastAsia="Calibri" w:hAnsi="Times New Roman" w:cs="Times New Roman"/>
                <w:sz w:val="20"/>
                <w:szCs w:val="20"/>
                <w:lang w:eastAsia="sk-SK"/>
              </w:rPr>
              <w:t>Výdavky na vážiace systému by mali byť spolufinancované z Environmentálneho fondu.</w:t>
            </w:r>
          </w:p>
          <w:p w:rsidR="00BD65F2" w:rsidRDefault="00BD65F2" w:rsidP="000D57E4">
            <w:pPr>
              <w:spacing w:after="0" w:line="240" w:lineRule="auto"/>
              <w:jc w:val="both"/>
              <w:rPr>
                <w:rFonts w:ascii="Times New Roman" w:eastAsia="Calibri" w:hAnsi="Times New Roman" w:cs="Times New Roman"/>
                <w:sz w:val="20"/>
                <w:szCs w:val="20"/>
                <w:lang w:eastAsia="sk-SK"/>
              </w:rPr>
            </w:pPr>
          </w:p>
          <w:p w:rsidR="000D57E4" w:rsidRPr="0040544D" w:rsidRDefault="000D57E4" w:rsidP="000D57E4">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Zavedenie nových limitov pre zhodnotenie  a recykláciu odpadov z obalov môže viesť k zvýšeniu cien výrobkov – obalov.</w:t>
            </w:r>
          </w:p>
        </w:tc>
      </w:tr>
      <w:tr w:rsidR="00224847" w:rsidRPr="00CD4982" w:rsidTr="00E1659F">
        <w:trPr>
          <w:trHeight w:val="624"/>
          <w:jc w:val="center"/>
        </w:trPr>
        <w:tc>
          <w:tcPr>
            <w:tcW w:w="2500" w:type="pct"/>
            <w:tcBorders>
              <w:top w:val="dotted" w:sz="4" w:space="0" w:color="auto"/>
              <w:bottom w:val="single" w:sz="4" w:space="0" w:color="auto"/>
            </w:tcBorders>
            <w:shd w:val="clear" w:color="auto" w:fill="auto"/>
          </w:tcPr>
          <w:p w:rsidR="00224847" w:rsidRPr="00CD4982" w:rsidRDefault="00224847" w:rsidP="00E1659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lastRenderedPageBreak/>
              <w:t xml:space="preserve">Špecifikujte </w:t>
            </w:r>
            <w:r w:rsidRPr="00F2597D">
              <w:rPr>
                <w:rFonts w:ascii="Times New Roman" w:eastAsia="Calibri" w:hAnsi="Times New Roman" w:cs="Times New Roman"/>
                <w:b/>
                <w:i/>
                <w:sz w:val="20"/>
                <w:szCs w:val="20"/>
                <w:lang w:eastAsia="sk-SK"/>
              </w:rPr>
              <w:t>negatívne</w:t>
            </w:r>
            <w:r>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bottom w:val="single" w:sz="4" w:space="0" w:color="auto"/>
            </w:tcBorders>
            <w:shd w:val="clear" w:color="auto" w:fill="auto"/>
          </w:tcPr>
          <w:p w:rsidR="00224847" w:rsidRPr="0040544D" w:rsidRDefault="001A79BF" w:rsidP="00E1659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domácnosti</w:t>
            </w:r>
          </w:p>
        </w:tc>
      </w:tr>
      <w:tr w:rsidR="00224847" w:rsidRPr="00CD4982" w:rsidTr="00E1659F">
        <w:trPr>
          <w:trHeight w:val="680"/>
          <w:jc w:val="center"/>
        </w:trPr>
        <w:tc>
          <w:tcPr>
            <w:tcW w:w="2500" w:type="pct"/>
            <w:tcBorders>
              <w:bottom w:val="nil"/>
            </w:tcBorders>
            <w:shd w:val="clear" w:color="auto" w:fill="auto"/>
          </w:tcPr>
          <w:p w:rsidR="00224847" w:rsidRPr="00CD4982" w:rsidRDefault="00224847" w:rsidP="00E1659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Špecifikujte ovplyvnené skupiny </w:t>
            </w:r>
            <w:r w:rsidRPr="00E538C0">
              <w:rPr>
                <w:rFonts w:ascii="Times New Roman" w:eastAsia="Calibri" w:hAnsi="Times New Roman" w:cs="Times New Roman"/>
                <w:b/>
                <w:i/>
                <w:sz w:val="20"/>
                <w:szCs w:val="20"/>
                <w:lang w:eastAsia="sk-SK"/>
              </w:rPr>
              <w:t>v riziku chudoby alebo sociálneho vylúčenia</w:t>
            </w:r>
            <w:r>
              <w:rPr>
                <w:rFonts w:ascii="Times New Roman" w:eastAsia="Calibri" w:hAnsi="Times New Roman" w:cs="Times New Roman"/>
                <w:i/>
                <w:sz w:val="20"/>
                <w:szCs w:val="20"/>
                <w:lang w:eastAsia="sk-SK"/>
              </w:rPr>
              <w:t xml:space="preserve"> a popíšte vplyv:</w:t>
            </w:r>
          </w:p>
        </w:tc>
        <w:tc>
          <w:tcPr>
            <w:tcW w:w="2500" w:type="pct"/>
            <w:tcBorders>
              <w:bottom w:val="nil"/>
            </w:tcBorders>
            <w:shd w:val="clear" w:color="auto" w:fill="auto"/>
          </w:tcPr>
          <w:p w:rsidR="00224847" w:rsidRPr="0040544D" w:rsidRDefault="00224847" w:rsidP="00E1659F">
            <w:pPr>
              <w:spacing w:after="0" w:line="240" w:lineRule="auto"/>
              <w:rPr>
                <w:rFonts w:ascii="Times New Roman" w:eastAsia="Calibri" w:hAnsi="Times New Roman" w:cs="Times New Roman"/>
                <w:sz w:val="20"/>
                <w:szCs w:val="20"/>
                <w:lang w:eastAsia="sk-SK"/>
              </w:rPr>
            </w:pPr>
          </w:p>
        </w:tc>
      </w:tr>
    </w:tbl>
    <w:p w:rsidR="00224847" w:rsidRDefault="00224847" w:rsidP="00224847">
      <w:pPr>
        <w:spacing w:after="0" w:line="240" w:lineRule="auto"/>
        <w:jc w:val="both"/>
        <w:rPr>
          <w:rFonts w:ascii="Times New Roman" w:eastAsia="Calibri" w:hAnsi="Times New Roman" w:cs="Times New Roman"/>
          <w:i/>
          <w:sz w:val="20"/>
          <w:szCs w:val="20"/>
          <w:lang w:eastAsia="sk-SK"/>
        </w:rPr>
        <w:sectPr w:rsidR="00224847"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224847" w:rsidRPr="00CD4982" w:rsidTr="00E1659F">
        <w:trPr>
          <w:trHeight w:val="680"/>
          <w:jc w:val="center"/>
        </w:trPr>
        <w:tc>
          <w:tcPr>
            <w:tcW w:w="5000" w:type="pct"/>
            <w:shd w:val="clear" w:color="auto" w:fill="F2F2F2" w:themeFill="background1" w:themeFillShade="F2"/>
          </w:tcPr>
          <w:p w:rsidR="00224847" w:rsidRDefault="00224847" w:rsidP="00E1659F">
            <w:pPr>
              <w:spacing w:after="0" w:line="240" w:lineRule="auto"/>
              <w:jc w:val="both"/>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224847" w:rsidRPr="00CD4982" w:rsidRDefault="00224847" w:rsidP="00E1659F">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 prípade vyššieho počtu ovplyvnených skupín doplňte do tabuľky ďalšie riadky.</w:t>
            </w:r>
          </w:p>
          <w:p w:rsidR="00224847" w:rsidRPr="0040544D" w:rsidRDefault="00224847" w:rsidP="00E1659F">
            <w:pPr>
              <w:tabs>
                <w:tab w:val="left" w:pos="3505"/>
              </w:tabs>
              <w:spacing w:after="0" w:line="240" w:lineRule="auto"/>
              <w:rPr>
                <w:rFonts w:ascii="Times New Roman" w:eastAsia="Calibri" w:hAnsi="Times New Roman" w:cs="Times New Roman"/>
                <w:sz w:val="20"/>
                <w:szCs w:val="20"/>
                <w:lang w:eastAsia="sk-SK"/>
              </w:rPr>
            </w:pPr>
            <w:r w:rsidRPr="00CD4982">
              <w:rPr>
                <w:rFonts w:ascii="Times New Roman" w:eastAsia="Calibri" w:hAnsi="Times New Roman" w:cs="Times New Roman"/>
                <w:i/>
                <w:sz w:val="20"/>
                <w:szCs w:val="20"/>
                <w:lang w:eastAsia="sk-SK"/>
              </w:rPr>
              <w:lastRenderedPageBreak/>
              <w:t>V prípade, ak neuvádzate kvantifikáciu, uveďte dôvod.</w:t>
            </w:r>
          </w:p>
        </w:tc>
      </w:tr>
    </w:tbl>
    <w:p w:rsidR="00224847" w:rsidRDefault="00224847" w:rsidP="00224847">
      <w:pPr>
        <w:spacing w:after="0" w:line="240" w:lineRule="auto"/>
        <w:jc w:val="both"/>
        <w:rPr>
          <w:rFonts w:ascii="Times New Roman" w:eastAsia="Calibri" w:hAnsi="Times New Roman" w:cs="Times New Roman"/>
          <w:b/>
          <w:i/>
          <w:sz w:val="20"/>
          <w:szCs w:val="20"/>
          <w:lang w:eastAsia="sk-SK"/>
        </w:rPr>
        <w:sectPr w:rsidR="00224847"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224847" w:rsidRPr="00CD4982" w:rsidTr="00E1659F">
        <w:trPr>
          <w:trHeight w:val="286"/>
          <w:jc w:val="center"/>
        </w:trPr>
        <w:tc>
          <w:tcPr>
            <w:tcW w:w="5000" w:type="pct"/>
            <w:gridSpan w:val="2"/>
            <w:tcBorders>
              <w:top w:val="nil"/>
            </w:tcBorders>
            <w:shd w:val="clear" w:color="auto" w:fill="auto"/>
          </w:tcPr>
          <w:p w:rsidR="00224847" w:rsidRPr="00CD4982" w:rsidRDefault="00224847" w:rsidP="00E1659F">
            <w:pPr>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b/>
                <w:i/>
                <w:sz w:val="20"/>
                <w:szCs w:val="20"/>
                <w:lang w:eastAsia="sk-SK"/>
              </w:rPr>
              <w:t>Ovplyvnená skupina č. 1:</w:t>
            </w:r>
            <w:r w:rsidR="001A79BF">
              <w:rPr>
                <w:rFonts w:ascii="Times New Roman" w:eastAsia="Calibri" w:hAnsi="Times New Roman" w:cs="Times New Roman"/>
                <w:b/>
                <w:i/>
                <w:sz w:val="20"/>
                <w:szCs w:val="20"/>
                <w:lang w:eastAsia="sk-SK"/>
              </w:rPr>
              <w:t xml:space="preserve"> Obyvatelia dotknutých obcí</w:t>
            </w:r>
          </w:p>
        </w:tc>
      </w:tr>
      <w:tr w:rsidR="00224847" w:rsidRPr="00CD4982" w:rsidTr="00E1659F">
        <w:trPr>
          <w:trHeight w:val="503"/>
          <w:jc w:val="center"/>
        </w:trPr>
        <w:tc>
          <w:tcPr>
            <w:tcW w:w="2500" w:type="pct"/>
            <w:tcBorders>
              <w:bottom w:val="single" w:sz="4" w:space="0" w:color="BFBFBF" w:themeColor="background1" w:themeShade="BF"/>
            </w:tcBorders>
            <w:shd w:val="clear" w:color="auto" w:fill="auto"/>
          </w:tcPr>
          <w:p w:rsidR="00224847" w:rsidRPr="00CD4982" w:rsidRDefault="00224847" w:rsidP="00E1659F">
            <w:pPr>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Pozitívny vplyv - priemerný rast príjmov/ pokles výdavkov v skupine v eurách a/alebo v % / obdobie:</w:t>
            </w:r>
          </w:p>
        </w:tc>
        <w:tc>
          <w:tcPr>
            <w:tcW w:w="2500" w:type="pct"/>
            <w:tcBorders>
              <w:bottom w:val="single" w:sz="4" w:space="0" w:color="BFBFBF" w:themeColor="background1" w:themeShade="BF"/>
            </w:tcBorders>
            <w:shd w:val="clear" w:color="auto" w:fill="auto"/>
          </w:tcPr>
          <w:p w:rsidR="00975369" w:rsidRDefault="00975369" w:rsidP="00975369">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Pozitívny vplyv na jednotlivých poplatníkov v dotknutej obci nie je možné vyčísliť konkrétne, keďže nie sú známe skutočnosti o:</w:t>
            </w:r>
          </w:p>
          <w:p w:rsidR="00975369" w:rsidRDefault="00975369" w:rsidP="00975369">
            <w:pPr>
              <w:pStyle w:val="Odsekzoznamu"/>
              <w:numPr>
                <w:ilvl w:val="0"/>
                <w:numId w:val="13"/>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výške miestneho poplatku za komunálne odpady a drobné stavebné odpady v dotknutej obci;</w:t>
            </w:r>
          </w:p>
          <w:p w:rsidR="00975369" w:rsidRDefault="00975369" w:rsidP="00975369">
            <w:pPr>
              <w:pStyle w:val="Odsekzoznamu"/>
              <w:numPr>
                <w:ilvl w:val="0"/>
                <w:numId w:val="13"/>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možnostiach spôsobu triedeného zberu tohto odpadu v dotknutej obci;</w:t>
            </w:r>
          </w:p>
          <w:p w:rsidR="00224847" w:rsidRPr="00975369" w:rsidRDefault="00975369" w:rsidP="00975369">
            <w:pPr>
              <w:pStyle w:val="Odsekzoznamu"/>
              <w:numPr>
                <w:ilvl w:val="0"/>
                <w:numId w:val="13"/>
              </w:numPr>
              <w:spacing w:after="0" w:line="240" w:lineRule="auto"/>
              <w:jc w:val="both"/>
              <w:rPr>
                <w:rFonts w:ascii="Times New Roman" w:eastAsia="Calibri" w:hAnsi="Times New Roman" w:cs="Times New Roman"/>
                <w:sz w:val="20"/>
                <w:szCs w:val="20"/>
                <w:lang w:eastAsia="sk-SK"/>
              </w:rPr>
            </w:pPr>
            <w:r w:rsidRPr="00975369">
              <w:rPr>
                <w:rFonts w:ascii="Times New Roman" w:eastAsia="Calibri" w:hAnsi="Times New Roman" w:cs="Times New Roman"/>
                <w:sz w:val="20"/>
                <w:szCs w:val="20"/>
                <w:lang w:eastAsia="sk-SK"/>
              </w:rPr>
              <w:t>možnostiach spôsobu zhodnocovania tohto odpadu v dotknutej obci alebo v jej okolí.</w:t>
            </w:r>
          </w:p>
        </w:tc>
      </w:tr>
      <w:tr w:rsidR="00224847" w:rsidRPr="00CD4982" w:rsidTr="00E1659F">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224847" w:rsidRPr="00CD4982" w:rsidRDefault="00224847" w:rsidP="00E1659F">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224847" w:rsidRDefault="006A7632" w:rsidP="00E1659F">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Negatívny vplyv na jednotlivých poplatníkov v dotknutej obci nie je možné vyčísliť konkrétne, keďže nie sú známe skutočnosti o:</w:t>
            </w:r>
          </w:p>
          <w:p w:rsidR="006A7632" w:rsidRDefault="006A7632" w:rsidP="006A7632">
            <w:pPr>
              <w:pStyle w:val="Odsekzoznamu"/>
              <w:numPr>
                <w:ilvl w:val="0"/>
                <w:numId w:val="13"/>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výške miestneho poplatku za komunálne dpady a drobné stavebné odpady v dotknutej obci;</w:t>
            </w:r>
          </w:p>
          <w:p w:rsidR="006A7632" w:rsidRDefault="006A7632" w:rsidP="006A7632">
            <w:pPr>
              <w:pStyle w:val="Odsekzoznamu"/>
              <w:numPr>
                <w:ilvl w:val="0"/>
                <w:numId w:val="13"/>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možnostiach spôsobu triedeného zberu</w:t>
            </w:r>
            <w:r w:rsidR="005E401B">
              <w:rPr>
                <w:rFonts w:ascii="Times New Roman" w:eastAsia="Calibri" w:hAnsi="Times New Roman" w:cs="Times New Roman"/>
                <w:sz w:val="20"/>
                <w:szCs w:val="20"/>
                <w:lang w:eastAsia="sk-SK"/>
              </w:rPr>
              <w:t xml:space="preserve"> tohto odpadu</w:t>
            </w:r>
            <w:r>
              <w:rPr>
                <w:rFonts w:ascii="Times New Roman" w:eastAsia="Calibri" w:hAnsi="Times New Roman" w:cs="Times New Roman"/>
                <w:sz w:val="20"/>
                <w:szCs w:val="20"/>
                <w:lang w:eastAsia="sk-SK"/>
              </w:rPr>
              <w:t xml:space="preserve"> v dotknutej obci;</w:t>
            </w:r>
          </w:p>
          <w:p w:rsidR="006A7632" w:rsidRDefault="006A7632" w:rsidP="006A7632">
            <w:pPr>
              <w:pStyle w:val="Odsekzoznamu"/>
              <w:numPr>
                <w:ilvl w:val="0"/>
                <w:numId w:val="13"/>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možnostiach spôsobu zhodnocovania</w:t>
            </w:r>
            <w:r w:rsidR="005E401B">
              <w:rPr>
                <w:rFonts w:ascii="Times New Roman" w:eastAsia="Calibri" w:hAnsi="Times New Roman" w:cs="Times New Roman"/>
                <w:sz w:val="20"/>
                <w:szCs w:val="20"/>
                <w:lang w:eastAsia="sk-SK"/>
              </w:rPr>
              <w:t xml:space="preserve"> tohto odpadu</w:t>
            </w:r>
            <w:r>
              <w:rPr>
                <w:rFonts w:ascii="Times New Roman" w:eastAsia="Calibri" w:hAnsi="Times New Roman" w:cs="Times New Roman"/>
                <w:sz w:val="20"/>
                <w:szCs w:val="20"/>
                <w:lang w:eastAsia="sk-SK"/>
              </w:rPr>
              <w:t xml:space="preserve"> v dotknutej obci alebo v jej okolí.</w:t>
            </w:r>
          </w:p>
          <w:p w:rsidR="000D57E4" w:rsidRDefault="000D57E4" w:rsidP="000D57E4">
            <w:pPr>
              <w:spacing w:after="0" w:line="240" w:lineRule="auto"/>
              <w:jc w:val="both"/>
              <w:rPr>
                <w:rFonts w:ascii="Times New Roman" w:eastAsia="Calibri" w:hAnsi="Times New Roman" w:cs="Times New Roman"/>
                <w:sz w:val="20"/>
                <w:szCs w:val="20"/>
                <w:lang w:eastAsia="sk-SK"/>
              </w:rPr>
            </w:pPr>
          </w:p>
          <w:p w:rsidR="000D57E4" w:rsidRDefault="000D57E4" w:rsidP="000D57E4">
            <w:pPr>
              <w:spacing w:after="0" w:line="240" w:lineRule="auto"/>
              <w:jc w:val="both"/>
              <w:rPr>
                <w:rFonts w:ascii="Times New Roman" w:eastAsia="Calibri" w:hAnsi="Times New Roman" w:cs="Times New Roman"/>
                <w:sz w:val="20"/>
                <w:szCs w:val="20"/>
                <w:lang w:eastAsia="sk-SK"/>
              </w:rPr>
            </w:pPr>
            <w:r w:rsidRPr="000D57E4">
              <w:rPr>
                <w:rFonts w:ascii="Times New Roman" w:eastAsia="Calibri" w:hAnsi="Times New Roman" w:cs="Times New Roman"/>
                <w:sz w:val="20"/>
                <w:szCs w:val="20"/>
                <w:lang w:eastAsia="sk-SK"/>
              </w:rPr>
              <w:t xml:space="preserve">Negatívny vplyv na jednotlivých poplatníkov v dotknutej obci </w:t>
            </w:r>
            <w:r>
              <w:rPr>
                <w:rFonts w:ascii="Times New Roman" w:eastAsia="Calibri" w:hAnsi="Times New Roman" w:cs="Times New Roman"/>
                <w:sz w:val="20"/>
                <w:szCs w:val="20"/>
                <w:lang w:eastAsia="sk-SK"/>
              </w:rPr>
              <w:t xml:space="preserve">v súvislosti so zavedením povinnosti vybaviť zberové vozidlá vážiacim systémom, </w:t>
            </w:r>
            <w:r w:rsidRPr="000D57E4">
              <w:rPr>
                <w:rFonts w:ascii="Times New Roman" w:eastAsia="Calibri" w:hAnsi="Times New Roman" w:cs="Times New Roman"/>
                <w:sz w:val="20"/>
                <w:szCs w:val="20"/>
                <w:lang w:eastAsia="sk-SK"/>
              </w:rPr>
              <w:t>nie je možné vyčísliť konkrétne, keďže nie sú známe skutočnosti o:</w:t>
            </w:r>
          </w:p>
          <w:p w:rsidR="000D57E4" w:rsidRDefault="000D57E4" w:rsidP="000D57E4">
            <w:pPr>
              <w:pStyle w:val="Odsekzoznamu"/>
              <w:numPr>
                <w:ilvl w:val="0"/>
                <w:numId w:val="13"/>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počte zberových vozidiel jednotlivých zberových spoločností,</w:t>
            </w:r>
          </w:p>
          <w:p w:rsidR="000D57E4" w:rsidRPr="000D57E4" w:rsidRDefault="000D57E4" w:rsidP="000D57E4">
            <w:pPr>
              <w:pStyle w:val="Odsekzoznamu"/>
              <w:numPr>
                <w:ilvl w:val="0"/>
                <w:numId w:val="13"/>
              </w:numPr>
              <w:rPr>
                <w:rFonts w:ascii="Times New Roman" w:eastAsia="Calibri" w:hAnsi="Times New Roman" w:cs="Times New Roman"/>
                <w:sz w:val="20"/>
                <w:szCs w:val="20"/>
                <w:lang w:eastAsia="sk-SK"/>
              </w:rPr>
            </w:pPr>
            <w:r w:rsidRPr="000D57E4">
              <w:rPr>
                <w:rFonts w:ascii="Times New Roman" w:eastAsia="Calibri" w:hAnsi="Times New Roman" w:cs="Times New Roman"/>
                <w:sz w:val="20"/>
                <w:szCs w:val="20"/>
                <w:lang w:eastAsia="sk-SK"/>
              </w:rPr>
              <w:t>výške miestneho poplatku za komunálne odpady a drobné s</w:t>
            </w:r>
            <w:r>
              <w:rPr>
                <w:rFonts w:ascii="Times New Roman" w:eastAsia="Calibri" w:hAnsi="Times New Roman" w:cs="Times New Roman"/>
                <w:sz w:val="20"/>
                <w:szCs w:val="20"/>
                <w:lang w:eastAsia="sk-SK"/>
              </w:rPr>
              <w:t>tavebné odpady v dotknutej obci.</w:t>
            </w:r>
          </w:p>
          <w:p w:rsidR="00A51260" w:rsidRPr="00A51260" w:rsidRDefault="00A51260" w:rsidP="004F68F7">
            <w:pPr>
              <w:pStyle w:val="Odsekzoznamu"/>
              <w:numPr>
                <w:ilvl w:val="0"/>
                <w:numId w:val="13"/>
              </w:numPr>
              <w:spacing w:after="0" w:line="240" w:lineRule="auto"/>
              <w:jc w:val="both"/>
              <w:rPr>
                <w:rFonts w:ascii="Times New Roman" w:eastAsia="Calibri" w:hAnsi="Times New Roman" w:cs="Times New Roman"/>
                <w:sz w:val="20"/>
                <w:szCs w:val="20"/>
                <w:lang w:eastAsia="sk-SK"/>
              </w:rPr>
            </w:pPr>
          </w:p>
        </w:tc>
      </w:tr>
      <w:tr w:rsidR="00224847" w:rsidRPr="00CD4982" w:rsidTr="00E1659F">
        <w:trPr>
          <w:trHeight w:val="363"/>
          <w:jc w:val="center"/>
        </w:trPr>
        <w:tc>
          <w:tcPr>
            <w:tcW w:w="2500" w:type="pct"/>
            <w:tcBorders>
              <w:top w:val="single" w:sz="4" w:space="0" w:color="BFBFBF" w:themeColor="background1" w:themeShade="BF"/>
              <w:bottom w:val="single" w:sz="4" w:space="0" w:color="auto"/>
            </w:tcBorders>
            <w:shd w:val="clear" w:color="auto" w:fill="auto"/>
          </w:tcPr>
          <w:p w:rsidR="00224847" w:rsidRPr="00CD4982" w:rsidRDefault="00224847" w:rsidP="00E1659F">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Veľkosť skupiny (počet obyvateľov):</w:t>
            </w:r>
          </w:p>
        </w:tc>
        <w:tc>
          <w:tcPr>
            <w:tcW w:w="2500" w:type="pct"/>
            <w:tcBorders>
              <w:top w:val="single" w:sz="4" w:space="0" w:color="BFBFBF" w:themeColor="background1" w:themeShade="BF"/>
              <w:bottom w:val="single" w:sz="4" w:space="0" w:color="auto"/>
            </w:tcBorders>
            <w:shd w:val="clear" w:color="auto" w:fill="auto"/>
          </w:tcPr>
          <w:p w:rsidR="00A51260" w:rsidRDefault="00A51260" w:rsidP="00A51260">
            <w:pPr>
              <w:pStyle w:val="Odsekzoznamu"/>
              <w:numPr>
                <w:ilvl w:val="0"/>
                <w:numId w:val="13"/>
              </w:numPr>
              <w:spacing w:after="0" w:line="240" w:lineRule="auto"/>
              <w:jc w:val="both"/>
              <w:rPr>
                <w:rFonts w:ascii="Times New Roman" w:eastAsia="Calibri" w:hAnsi="Times New Roman" w:cs="Times New Roman"/>
                <w:sz w:val="20"/>
                <w:szCs w:val="20"/>
                <w:lang w:eastAsia="sk-SK"/>
              </w:rPr>
            </w:pPr>
            <w:r w:rsidRPr="00A51260">
              <w:rPr>
                <w:rFonts w:ascii="Times New Roman" w:eastAsia="Calibri" w:hAnsi="Times New Roman" w:cs="Times New Roman"/>
                <w:sz w:val="20"/>
                <w:szCs w:val="20"/>
                <w:lang w:eastAsia="sk-SK"/>
              </w:rPr>
              <w:t>p</w:t>
            </w:r>
            <w:r w:rsidR="006A7632" w:rsidRPr="00A51260">
              <w:rPr>
                <w:rFonts w:ascii="Times New Roman" w:eastAsia="Calibri" w:hAnsi="Times New Roman" w:cs="Times New Roman"/>
                <w:sz w:val="20"/>
                <w:szCs w:val="20"/>
                <w:lang w:eastAsia="sk-SK"/>
              </w:rPr>
              <w:t xml:space="preserve">očet </w:t>
            </w:r>
            <w:r w:rsidRPr="00A51260">
              <w:rPr>
                <w:rFonts w:ascii="Times New Roman" w:eastAsia="Calibri" w:hAnsi="Times New Roman" w:cs="Times New Roman"/>
                <w:sz w:val="20"/>
                <w:szCs w:val="20"/>
                <w:lang w:eastAsia="sk-SK"/>
              </w:rPr>
              <w:t xml:space="preserve">obyvateľov danej obce, </w:t>
            </w:r>
          </w:p>
          <w:p w:rsidR="00224847" w:rsidRPr="00A51260" w:rsidRDefault="00224847" w:rsidP="004F68F7">
            <w:pPr>
              <w:pStyle w:val="Odsekzoznamu"/>
              <w:spacing w:after="0" w:line="240" w:lineRule="auto"/>
              <w:jc w:val="both"/>
              <w:rPr>
                <w:rFonts w:ascii="Times New Roman" w:eastAsia="Calibri" w:hAnsi="Times New Roman" w:cs="Times New Roman"/>
                <w:sz w:val="20"/>
                <w:szCs w:val="20"/>
                <w:lang w:eastAsia="sk-SK"/>
              </w:rPr>
            </w:pPr>
          </w:p>
        </w:tc>
      </w:tr>
      <w:tr w:rsidR="00224847" w:rsidRPr="00CD4982" w:rsidTr="00E1659F">
        <w:trPr>
          <w:trHeight w:val="265"/>
          <w:jc w:val="center"/>
        </w:trPr>
        <w:tc>
          <w:tcPr>
            <w:tcW w:w="5000" w:type="pct"/>
            <w:gridSpan w:val="2"/>
            <w:tcBorders>
              <w:top w:val="single" w:sz="4" w:space="0" w:color="auto"/>
            </w:tcBorders>
            <w:shd w:val="clear" w:color="auto" w:fill="auto"/>
          </w:tcPr>
          <w:p w:rsidR="00224847" w:rsidRPr="00CD4982" w:rsidRDefault="00224847" w:rsidP="00E1659F">
            <w:pPr>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b/>
                <w:i/>
                <w:sz w:val="20"/>
                <w:szCs w:val="20"/>
                <w:lang w:eastAsia="sk-SK"/>
              </w:rPr>
              <w:t>Ovplyvnená skupina č. 2:</w:t>
            </w:r>
          </w:p>
        </w:tc>
      </w:tr>
      <w:tr w:rsidR="00224847" w:rsidRPr="00CD4982" w:rsidTr="00E1659F">
        <w:trPr>
          <w:trHeight w:val="587"/>
          <w:jc w:val="center"/>
        </w:trPr>
        <w:tc>
          <w:tcPr>
            <w:tcW w:w="2500" w:type="pct"/>
            <w:tcBorders>
              <w:bottom w:val="single" w:sz="4" w:space="0" w:color="BFBFBF" w:themeColor="background1" w:themeShade="BF"/>
            </w:tcBorders>
            <w:shd w:val="clear" w:color="auto" w:fill="auto"/>
          </w:tcPr>
          <w:p w:rsidR="00224847" w:rsidRPr="00CD4982" w:rsidRDefault="00224847" w:rsidP="00E1659F">
            <w:pPr>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Pozitívny vplyv - priemerný rast príjmov/pokles výdavkov v skupine v eurách a/alebo v % / obdobie:</w:t>
            </w:r>
          </w:p>
        </w:tc>
        <w:tc>
          <w:tcPr>
            <w:tcW w:w="2500" w:type="pct"/>
            <w:tcBorders>
              <w:bottom w:val="single" w:sz="4" w:space="0" w:color="BFBFBF" w:themeColor="background1" w:themeShade="BF"/>
            </w:tcBorders>
            <w:shd w:val="clear" w:color="auto" w:fill="auto"/>
          </w:tcPr>
          <w:p w:rsidR="00224847" w:rsidRPr="00CA6BAF" w:rsidRDefault="00224847" w:rsidP="00E1659F">
            <w:pPr>
              <w:spacing w:after="0" w:line="240" w:lineRule="auto"/>
              <w:jc w:val="both"/>
              <w:rPr>
                <w:rFonts w:ascii="Times New Roman" w:eastAsia="Calibri" w:hAnsi="Times New Roman" w:cs="Times New Roman"/>
                <w:sz w:val="20"/>
                <w:szCs w:val="20"/>
                <w:lang w:eastAsia="sk-SK"/>
              </w:rPr>
            </w:pPr>
          </w:p>
        </w:tc>
      </w:tr>
      <w:tr w:rsidR="00224847" w:rsidRPr="00CD4982" w:rsidTr="00E1659F">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224847" w:rsidRPr="00CD4982" w:rsidRDefault="00224847" w:rsidP="00E1659F">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4F68F7" w:rsidRPr="004F68F7" w:rsidRDefault="004F68F7" w:rsidP="004F68F7">
            <w:pPr>
              <w:spacing w:after="0" w:line="240" w:lineRule="auto"/>
              <w:jc w:val="both"/>
              <w:rPr>
                <w:rFonts w:ascii="Times New Roman" w:eastAsia="Calibri" w:hAnsi="Times New Roman" w:cs="Times New Roman"/>
                <w:sz w:val="20"/>
                <w:szCs w:val="20"/>
                <w:lang w:eastAsia="sk-SK"/>
              </w:rPr>
            </w:pPr>
            <w:r w:rsidRPr="004F68F7">
              <w:rPr>
                <w:rFonts w:ascii="Times New Roman" w:eastAsia="Calibri" w:hAnsi="Times New Roman" w:cs="Times New Roman"/>
                <w:sz w:val="20"/>
                <w:szCs w:val="20"/>
                <w:lang w:eastAsia="sk-SK"/>
              </w:rPr>
              <w:t>Negatívny vplyv na jednotlivé domácnosti v súvislosti so zavedením nových limitov pre zhodnocovanie a recykláciu odpadov z obalov, nie je možné vyčísliť konkrétne, keďže nie sú známe skutočnosti o:</w:t>
            </w:r>
          </w:p>
          <w:p w:rsidR="00224847" w:rsidRPr="00CA6BAF" w:rsidRDefault="004F68F7" w:rsidP="004F68F7">
            <w:pPr>
              <w:spacing w:after="0" w:line="240" w:lineRule="auto"/>
              <w:jc w:val="both"/>
              <w:rPr>
                <w:rFonts w:ascii="Times New Roman" w:eastAsia="Calibri" w:hAnsi="Times New Roman" w:cs="Times New Roman"/>
                <w:sz w:val="20"/>
                <w:szCs w:val="20"/>
                <w:lang w:eastAsia="sk-SK"/>
              </w:rPr>
            </w:pPr>
            <w:r w:rsidRPr="004F68F7">
              <w:rPr>
                <w:rFonts w:ascii="Times New Roman" w:eastAsia="Calibri" w:hAnsi="Times New Roman" w:cs="Times New Roman"/>
                <w:sz w:val="20"/>
                <w:szCs w:val="20"/>
                <w:lang w:eastAsia="sk-SK"/>
              </w:rPr>
              <w:t>-</w:t>
            </w:r>
            <w:r w:rsidRPr="004F68F7">
              <w:rPr>
                <w:rFonts w:ascii="Times New Roman" w:eastAsia="Calibri" w:hAnsi="Times New Roman" w:cs="Times New Roman"/>
                <w:sz w:val="20"/>
                <w:szCs w:val="20"/>
                <w:lang w:eastAsia="sk-SK"/>
              </w:rPr>
              <w:tab/>
              <w:t>spotrebne uvedených výrobkov v jednotlivých domácnostiach.</w:t>
            </w:r>
          </w:p>
        </w:tc>
      </w:tr>
      <w:tr w:rsidR="00224847" w:rsidRPr="00CD4982" w:rsidTr="00E1659F">
        <w:trPr>
          <w:trHeight w:val="363"/>
          <w:jc w:val="center"/>
        </w:trPr>
        <w:tc>
          <w:tcPr>
            <w:tcW w:w="2500" w:type="pct"/>
            <w:tcBorders>
              <w:top w:val="single" w:sz="4" w:space="0" w:color="BFBFBF" w:themeColor="background1" w:themeShade="BF"/>
            </w:tcBorders>
            <w:shd w:val="clear" w:color="auto" w:fill="auto"/>
          </w:tcPr>
          <w:p w:rsidR="00224847" w:rsidRPr="00CD4982" w:rsidRDefault="00224847" w:rsidP="00E1659F">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Veľkosť skupiny (počet obyvateľov):</w:t>
            </w:r>
          </w:p>
        </w:tc>
        <w:tc>
          <w:tcPr>
            <w:tcW w:w="2500" w:type="pct"/>
            <w:tcBorders>
              <w:top w:val="single" w:sz="4" w:space="0" w:color="BFBFBF" w:themeColor="background1" w:themeShade="BF"/>
            </w:tcBorders>
            <w:shd w:val="clear" w:color="auto" w:fill="auto"/>
          </w:tcPr>
          <w:p w:rsidR="00224847" w:rsidRPr="00D16498" w:rsidRDefault="004F68F7" w:rsidP="00D16498">
            <w:pPr>
              <w:pStyle w:val="Odsekzoznamu"/>
              <w:numPr>
                <w:ilvl w:val="0"/>
                <w:numId w:val="13"/>
              </w:numPr>
              <w:spacing w:after="0" w:line="240" w:lineRule="auto"/>
              <w:jc w:val="both"/>
              <w:rPr>
                <w:rFonts w:ascii="Times New Roman" w:eastAsia="Calibri" w:hAnsi="Times New Roman" w:cs="Times New Roman"/>
                <w:sz w:val="20"/>
                <w:szCs w:val="20"/>
                <w:lang w:eastAsia="sk-SK"/>
              </w:rPr>
            </w:pPr>
            <w:r w:rsidRPr="00D16498">
              <w:rPr>
                <w:rFonts w:ascii="Times New Roman" w:eastAsia="Calibri" w:hAnsi="Times New Roman" w:cs="Times New Roman"/>
                <w:sz w:val="20"/>
                <w:szCs w:val="20"/>
                <w:lang w:eastAsia="sk-SK"/>
              </w:rPr>
              <w:t>domácnosti</w:t>
            </w:r>
          </w:p>
        </w:tc>
      </w:tr>
      <w:tr w:rsidR="00224847" w:rsidRPr="00CD4982" w:rsidTr="00E1659F">
        <w:trPr>
          <w:trHeight w:val="670"/>
          <w:jc w:val="center"/>
        </w:trPr>
        <w:tc>
          <w:tcPr>
            <w:tcW w:w="2500" w:type="pct"/>
            <w:shd w:val="clear" w:color="auto" w:fill="auto"/>
          </w:tcPr>
          <w:p w:rsidR="00224847" w:rsidRPr="00CD4982" w:rsidRDefault="00224847" w:rsidP="00E1659F">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Dôvod chýbajúcej kvantifikácie:</w:t>
            </w:r>
          </w:p>
        </w:tc>
        <w:tc>
          <w:tcPr>
            <w:tcW w:w="2500" w:type="pct"/>
            <w:shd w:val="clear" w:color="auto" w:fill="auto"/>
          </w:tcPr>
          <w:p w:rsidR="00224847" w:rsidRDefault="006A7632" w:rsidP="00B057BC">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Vzhľadom na to, že </w:t>
            </w:r>
            <w:r w:rsidR="00B057BC">
              <w:rPr>
                <w:rFonts w:ascii="Times New Roman" w:eastAsia="Calibri" w:hAnsi="Times New Roman" w:cs="Times New Roman"/>
                <w:sz w:val="20"/>
                <w:szCs w:val="20"/>
                <w:lang w:eastAsia="sk-SK"/>
              </w:rPr>
              <w:t>uplatnenie si výnimiek v § 81 ods. 21 zákona o odpadoch je možnosťou a nie povinnosťou</w:t>
            </w:r>
            <w:r w:rsidR="005E401B">
              <w:rPr>
                <w:rFonts w:ascii="Times New Roman" w:eastAsia="Calibri" w:hAnsi="Times New Roman" w:cs="Times New Roman"/>
                <w:sz w:val="20"/>
                <w:szCs w:val="20"/>
                <w:lang w:eastAsia="sk-SK"/>
              </w:rPr>
              <w:t xml:space="preserve"> pre obce</w:t>
            </w:r>
            <w:r w:rsidR="00B057BC">
              <w:rPr>
                <w:rFonts w:ascii="Times New Roman" w:eastAsia="Calibri" w:hAnsi="Times New Roman" w:cs="Times New Roman"/>
                <w:sz w:val="20"/>
                <w:szCs w:val="20"/>
                <w:lang w:eastAsia="sk-SK"/>
              </w:rPr>
              <w:t xml:space="preserve">, nie je známa kvantifikácia obcí, </w:t>
            </w:r>
            <w:r w:rsidR="005E401B">
              <w:rPr>
                <w:rFonts w:ascii="Times New Roman" w:eastAsia="Calibri" w:hAnsi="Times New Roman" w:cs="Times New Roman"/>
                <w:sz w:val="20"/>
                <w:szCs w:val="20"/>
                <w:lang w:eastAsia="sk-SK"/>
              </w:rPr>
              <w:t>ktoré si tieto výnimky uplatnili. Zároveň nie je možné vyčísliť tieto výdavky aj vzhľadom na to, že nie sú známe faktory, ktoré ovplyvňujú zvyšovanie</w:t>
            </w:r>
            <w:r w:rsidR="00975369">
              <w:rPr>
                <w:rFonts w:ascii="Times New Roman" w:eastAsia="Calibri" w:hAnsi="Times New Roman" w:cs="Times New Roman"/>
                <w:sz w:val="20"/>
                <w:szCs w:val="20"/>
                <w:lang w:eastAsia="sk-SK"/>
              </w:rPr>
              <w:t>, resp. znižovanie</w:t>
            </w:r>
            <w:r w:rsidR="005E401B">
              <w:rPr>
                <w:rFonts w:ascii="Times New Roman" w:eastAsia="Calibri" w:hAnsi="Times New Roman" w:cs="Times New Roman"/>
                <w:sz w:val="20"/>
                <w:szCs w:val="20"/>
                <w:lang w:eastAsia="sk-SK"/>
              </w:rPr>
              <w:t xml:space="preserve"> výdavkov na hospodárenie domácností.</w:t>
            </w:r>
          </w:p>
          <w:p w:rsidR="004F68F7" w:rsidRDefault="004F68F7" w:rsidP="00B057BC">
            <w:pPr>
              <w:spacing w:after="0" w:line="240" w:lineRule="auto"/>
              <w:jc w:val="both"/>
              <w:rPr>
                <w:rFonts w:ascii="Times New Roman" w:eastAsia="Calibri" w:hAnsi="Times New Roman" w:cs="Times New Roman"/>
                <w:sz w:val="20"/>
                <w:szCs w:val="20"/>
                <w:lang w:eastAsia="sk-SK"/>
              </w:rPr>
            </w:pPr>
          </w:p>
          <w:p w:rsidR="004F68F7" w:rsidRPr="00CA6BAF" w:rsidRDefault="004F68F7" w:rsidP="00B057BC">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Predkladateľ návrhu nedisponuje údajmi o spotrebe obalov v jednotlivých domácnostiach a tak nie je možné </w:t>
            </w:r>
            <w:r>
              <w:rPr>
                <w:rFonts w:ascii="Times New Roman" w:eastAsia="Calibri" w:hAnsi="Times New Roman" w:cs="Times New Roman"/>
                <w:sz w:val="20"/>
                <w:szCs w:val="20"/>
                <w:lang w:eastAsia="sk-SK"/>
              </w:rPr>
              <w:lastRenderedPageBreak/>
              <w:t>vyčísliť zvýšené výdavky na domácnosti v súvislosti so zavedením nových cieľov pre zhodnotenie a recykláciu odpadov z obalov, ktoré sa môžu premietnuť v cene výrobku.</w:t>
            </w:r>
          </w:p>
        </w:tc>
      </w:tr>
      <w:tr w:rsidR="00224847" w:rsidRPr="00CD4982" w:rsidTr="00E1659F">
        <w:trPr>
          <w:trHeight w:val="670"/>
          <w:jc w:val="center"/>
        </w:trPr>
        <w:tc>
          <w:tcPr>
            <w:tcW w:w="2500" w:type="pct"/>
            <w:shd w:val="clear" w:color="auto" w:fill="auto"/>
          </w:tcPr>
          <w:p w:rsidR="00224847" w:rsidRPr="00CD4982" w:rsidRDefault="00224847" w:rsidP="00E1659F">
            <w:pPr>
              <w:spacing w:after="0" w:line="240" w:lineRule="auto"/>
              <w:jc w:val="both"/>
              <w:rPr>
                <w:rFonts w:ascii="Times New Roman" w:eastAsia="Calibri" w:hAnsi="Times New Roman" w:cs="Times New Roman"/>
                <w:i/>
                <w:lang w:eastAsia="sk-SK"/>
              </w:rPr>
            </w:pPr>
            <w:r w:rsidRPr="00CD4982">
              <w:rPr>
                <w:rFonts w:ascii="Times New Roman" w:eastAsia="Calibri" w:hAnsi="Times New Roman" w:cs="Times New Roman"/>
                <w:i/>
                <w:sz w:val="20"/>
                <w:szCs w:val="20"/>
                <w:lang w:eastAsia="sk-SK"/>
              </w:rPr>
              <w:lastRenderedPageBreak/>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rsidR="00224847" w:rsidRPr="00CA6BAF" w:rsidRDefault="00224847" w:rsidP="00E1659F">
            <w:pPr>
              <w:spacing w:after="0" w:line="240" w:lineRule="auto"/>
              <w:jc w:val="both"/>
              <w:rPr>
                <w:rFonts w:ascii="Times New Roman" w:eastAsia="Calibri" w:hAnsi="Times New Roman" w:cs="Times New Roman"/>
                <w:sz w:val="20"/>
                <w:szCs w:val="20"/>
                <w:lang w:eastAsia="sk-SK"/>
              </w:rPr>
            </w:pPr>
          </w:p>
        </w:tc>
      </w:tr>
    </w:tbl>
    <w:p w:rsidR="00224847" w:rsidRPr="00A30F1C" w:rsidRDefault="00224847" w:rsidP="00224847">
      <w:pPr>
        <w:rPr>
          <w:rFonts w:ascii="Times New Roman" w:hAnsi="Times New Roman" w:cs="Times New Roman"/>
          <w:sz w:val="20"/>
          <w:szCs w:val="20"/>
        </w:rPr>
      </w:pPr>
    </w:p>
    <w:p w:rsidR="00A30F1C" w:rsidRDefault="00A30F1C" w:rsidP="00224847">
      <w:pPr>
        <w:spacing w:after="0" w:line="240" w:lineRule="auto"/>
        <w:rPr>
          <w:rFonts w:ascii="Times New Roman" w:eastAsia="Calibri" w:hAnsi="Times New Roman" w:cs="Times New Roman"/>
          <w:b/>
          <w:sz w:val="24"/>
          <w:szCs w:val="24"/>
          <w:lang w:eastAsia="sk-SK"/>
        </w:rPr>
      </w:pPr>
      <w:r>
        <w:rPr>
          <w:rFonts w:ascii="Times New Roman" w:eastAsia="Calibri" w:hAnsi="Times New Roman" w:cs="Times New Roman"/>
          <w:b/>
          <w:sz w:val="24"/>
          <w:szCs w:val="24"/>
          <w:lang w:eastAsia="sk-SK"/>
        </w:rPr>
        <w:br w:type="page"/>
      </w:r>
    </w:p>
    <w:p w:rsidR="00224847" w:rsidRDefault="00224847" w:rsidP="00224847">
      <w:pPr>
        <w:spacing w:after="0" w:line="240" w:lineRule="auto"/>
        <w:rPr>
          <w:rFonts w:ascii="Times New Roman" w:eastAsia="Calibri" w:hAnsi="Times New Roman" w:cs="Times New Roman"/>
          <w:b/>
          <w:sz w:val="24"/>
          <w:szCs w:val="24"/>
          <w:lang w:eastAsia="sk-SK"/>
        </w:rPr>
        <w:sectPr w:rsidR="00224847"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30F1C" w:rsidRPr="00CD4982" w:rsidTr="00E1659F">
        <w:trPr>
          <w:trHeight w:val="339"/>
          <w:jc w:val="center"/>
        </w:trPr>
        <w:tc>
          <w:tcPr>
            <w:tcW w:w="5000" w:type="pct"/>
            <w:tcBorders>
              <w:bottom w:val="single" w:sz="4" w:space="0" w:color="auto"/>
            </w:tcBorders>
            <w:shd w:val="clear" w:color="auto" w:fill="D9D9D9"/>
          </w:tcPr>
          <w:p w:rsidR="00A30F1C" w:rsidRPr="00CD4982" w:rsidRDefault="00A30F1C" w:rsidP="00E1659F">
            <w:pPr>
              <w:spacing w:after="0" w:line="240" w:lineRule="auto"/>
              <w:rPr>
                <w:rFonts w:ascii="Times New Roman" w:eastAsia="Calibri" w:hAnsi="Times New Roman" w:cs="Times New Roman"/>
                <w:b/>
                <w:sz w:val="24"/>
                <w:szCs w:val="24"/>
                <w:lang w:eastAsia="sk-SK"/>
              </w:rPr>
            </w:pPr>
            <w:r w:rsidRPr="00CD4982">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A30F1C" w:rsidRPr="00CD4982" w:rsidTr="00E1659F">
        <w:trPr>
          <w:trHeight w:val="290"/>
          <w:jc w:val="center"/>
        </w:trPr>
        <w:tc>
          <w:tcPr>
            <w:tcW w:w="5000" w:type="pct"/>
            <w:tcBorders>
              <w:bottom w:val="single" w:sz="4" w:space="0" w:color="auto"/>
            </w:tcBorders>
            <w:shd w:val="clear" w:color="auto" w:fill="F2F2F2"/>
          </w:tcPr>
          <w:p w:rsidR="00A30F1C" w:rsidRPr="00CD4982" w:rsidRDefault="00A30F1C" w:rsidP="00E1659F">
            <w:pPr>
              <w:spacing w:after="0" w:line="240" w:lineRule="auto"/>
              <w:jc w:val="both"/>
              <w:rPr>
                <w:rFonts w:ascii="Times New Roman" w:eastAsia="Calibri" w:hAnsi="Times New Roman" w:cs="Times New Roman"/>
                <w:i/>
                <w:sz w:val="20"/>
                <w:szCs w:val="24"/>
                <w:lang w:eastAsia="sk-SK"/>
              </w:rPr>
            </w:pPr>
            <w:r w:rsidRPr="00CD4982">
              <w:rPr>
                <w:rFonts w:ascii="Times New Roman" w:eastAsia="Calibri" w:hAnsi="Times New Roman" w:cs="Times New Roman"/>
                <w:i/>
                <w:sz w:val="20"/>
                <w:szCs w:val="24"/>
                <w:lang w:eastAsia="sk-SK"/>
              </w:rPr>
              <w:t xml:space="preserve">Má návrh vplyv na prístup k zdrojom, právam, tovarom a službám? </w:t>
            </w:r>
          </w:p>
          <w:p w:rsidR="00A30F1C" w:rsidRPr="00CD4982" w:rsidRDefault="00A30F1C" w:rsidP="00E1659F">
            <w:pPr>
              <w:spacing w:after="0" w:line="240" w:lineRule="auto"/>
              <w:jc w:val="both"/>
              <w:rPr>
                <w:rFonts w:ascii="Calibri" w:eastAsia="Calibri" w:hAnsi="Calibri" w:cs="Times New Roman"/>
                <w:i/>
                <w:sz w:val="24"/>
                <w:szCs w:val="24"/>
                <w:lang w:eastAsia="sk-SK"/>
              </w:rPr>
            </w:pPr>
            <w:r w:rsidRPr="00CD4982">
              <w:rPr>
                <w:rFonts w:ascii="Times New Roman" w:eastAsia="Calibri" w:hAnsi="Times New Roman" w:cs="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A30F1C" w:rsidRDefault="00A30F1C" w:rsidP="00A30F1C">
      <w:pPr>
        <w:spacing w:after="0" w:line="240" w:lineRule="auto"/>
        <w:jc w:val="both"/>
        <w:rPr>
          <w:rFonts w:ascii="Times New Roman" w:eastAsia="Calibri" w:hAnsi="Times New Roman" w:cs="Times New Roman"/>
          <w:i/>
          <w:sz w:val="18"/>
          <w:szCs w:val="18"/>
          <w:lang w:eastAsia="sk-SK"/>
        </w:rPr>
        <w:sectPr w:rsidR="00A30F1C"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30F1C" w:rsidRPr="00CD4982" w:rsidTr="00E1659F">
        <w:trPr>
          <w:trHeight w:val="557"/>
          <w:jc w:val="center"/>
        </w:trPr>
        <w:tc>
          <w:tcPr>
            <w:tcW w:w="1993" w:type="pct"/>
            <w:shd w:val="clear" w:color="auto" w:fill="auto"/>
          </w:tcPr>
          <w:p w:rsidR="00A30F1C" w:rsidRPr="00CD4982" w:rsidRDefault="00A30F1C" w:rsidP="00E1659F">
            <w:p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Rozumie sa najmä na prístup k:</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pomoci pri úhrade výdavkov súvisiacich so zdravotným postihnutím, </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k formálnemu i neformálnemu vzdelávaniu a celo</w:t>
            </w:r>
            <w:r w:rsidRPr="00CD4982">
              <w:rPr>
                <w:rFonts w:ascii="Times New Roman" w:eastAsia="Calibri" w:hAnsi="Times New Roman" w:cs="Times New Roman"/>
                <w:i/>
                <w:sz w:val="18"/>
                <w:szCs w:val="18"/>
                <w:lang w:eastAsia="sk-SK"/>
              </w:rPr>
              <w:softHyphen/>
              <w:t xml:space="preserve">životnému vzdelávaniu, </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bývaniu a súvisiacim základným komunálnym službám,</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doprave,</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ďalším službám najmä službám všeobecného záujmu a tovarom,</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spravodlivosti, právnej ochrane, právnym službám,</w:t>
            </w:r>
          </w:p>
          <w:p w:rsidR="00A30F1C" w:rsidRPr="00CD4982" w:rsidRDefault="00A30F1C" w:rsidP="00E1659F">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informáciám</w:t>
            </w:r>
          </w:p>
          <w:p w:rsidR="00A30F1C" w:rsidRPr="00CD4982" w:rsidRDefault="00A30F1C" w:rsidP="00E1659F">
            <w:pPr>
              <w:numPr>
                <w:ilvl w:val="0"/>
                <w:numId w:val="11"/>
              </w:numPr>
              <w:spacing w:after="0" w:line="240" w:lineRule="auto"/>
              <w:jc w:val="both"/>
              <w:rPr>
                <w:rFonts w:ascii="Calibri" w:eastAsia="Calibri" w:hAnsi="Calibri" w:cs="Times New Roman"/>
                <w:i/>
                <w:sz w:val="20"/>
                <w:szCs w:val="20"/>
                <w:lang w:eastAsia="sk-SK"/>
              </w:rPr>
            </w:pPr>
            <w:r w:rsidRPr="00CD4982">
              <w:rPr>
                <w:rFonts w:ascii="Times New Roman" w:eastAsia="Calibri" w:hAnsi="Times New Roman" w:cs="Times New Roman"/>
                <w:i/>
                <w:sz w:val="18"/>
                <w:szCs w:val="18"/>
                <w:lang w:eastAsia="sk-SK"/>
              </w:rPr>
              <w:t>k iným právam (napr. politickým).</w:t>
            </w:r>
          </w:p>
        </w:tc>
        <w:tc>
          <w:tcPr>
            <w:tcW w:w="3007" w:type="pct"/>
            <w:shd w:val="clear" w:color="auto" w:fill="auto"/>
          </w:tcPr>
          <w:p w:rsidR="00A30F1C" w:rsidRDefault="00A30F1C" w:rsidP="00E1659F">
            <w:pPr>
              <w:spacing w:after="0" w:line="240" w:lineRule="auto"/>
              <w:rPr>
                <w:rFonts w:ascii="Times New Roman" w:eastAsia="Calibri" w:hAnsi="Times New Roman" w:cs="Times New Roman"/>
                <w:sz w:val="20"/>
                <w:szCs w:val="20"/>
                <w:lang w:eastAsia="sk-SK"/>
              </w:rPr>
            </w:pPr>
          </w:p>
          <w:p w:rsidR="00A30F1C" w:rsidRPr="0040544D" w:rsidRDefault="00D03CFE" w:rsidP="000D7680">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Predkladaný materiál nemá vplyvy na prístup</w:t>
            </w:r>
            <w:r w:rsidR="000D7680">
              <w:rPr>
                <w:rFonts w:ascii="Times New Roman" w:eastAsia="Calibri" w:hAnsi="Times New Roman" w:cs="Times New Roman"/>
                <w:sz w:val="20"/>
                <w:szCs w:val="20"/>
                <w:lang w:eastAsia="sk-SK"/>
              </w:rPr>
              <w:t xml:space="preserve"> k</w:t>
            </w:r>
            <w:r>
              <w:rPr>
                <w:rFonts w:ascii="Times New Roman" w:eastAsia="Calibri" w:hAnsi="Times New Roman" w:cs="Times New Roman"/>
                <w:sz w:val="20"/>
                <w:szCs w:val="20"/>
                <w:lang w:eastAsia="sk-SK"/>
              </w:rPr>
              <w:t xml:space="preserve"> zdrojom, právam, tovarom a službám.</w:t>
            </w:r>
          </w:p>
        </w:tc>
      </w:tr>
    </w:tbl>
    <w:p w:rsidR="00A30F1C" w:rsidRDefault="00A30F1C" w:rsidP="00A30F1C">
      <w:pPr>
        <w:spacing w:after="0" w:line="240" w:lineRule="auto"/>
        <w:jc w:val="both"/>
        <w:rPr>
          <w:rFonts w:ascii="Times New Roman" w:eastAsia="Calibri" w:hAnsi="Times New Roman" w:cs="Times New Roman"/>
          <w:i/>
          <w:sz w:val="20"/>
          <w:szCs w:val="20"/>
          <w:lang w:eastAsia="sk-SK"/>
        </w:rPr>
        <w:sectPr w:rsidR="00A30F1C"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30F1C" w:rsidRPr="00CD4982" w:rsidTr="00E1659F">
        <w:trPr>
          <w:jc w:val="center"/>
        </w:trPr>
        <w:tc>
          <w:tcPr>
            <w:tcW w:w="5000" w:type="pct"/>
            <w:tcBorders>
              <w:bottom w:val="single" w:sz="4" w:space="0" w:color="auto"/>
            </w:tcBorders>
            <w:shd w:val="clear" w:color="auto" w:fill="F2F2F2"/>
          </w:tcPr>
          <w:p w:rsidR="00A30F1C" w:rsidRPr="00CD4982" w:rsidRDefault="00A30F1C" w:rsidP="00E1659F">
            <w:pPr>
              <w:spacing w:after="0" w:line="240" w:lineRule="auto"/>
              <w:jc w:val="both"/>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A30F1C" w:rsidRPr="00CD4982" w:rsidRDefault="00A30F1C" w:rsidP="00E1659F">
            <w:pPr>
              <w:spacing w:after="0" w:line="240" w:lineRule="auto"/>
              <w:jc w:val="both"/>
              <w:rPr>
                <w:rFonts w:ascii="Calibri" w:eastAsia="Calibri" w:hAnsi="Calibri" w:cs="Times New Roman"/>
                <w:i/>
                <w:lang w:eastAsia="sk-SK"/>
              </w:rPr>
            </w:pPr>
            <w:r w:rsidRPr="00CD4982">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A30F1C" w:rsidRDefault="00A30F1C" w:rsidP="00A30F1C">
      <w:pPr>
        <w:spacing w:after="0" w:line="240" w:lineRule="auto"/>
        <w:jc w:val="both"/>
        <w:rPr>
          <w:rFonts w:ascii="Times New Roman" w:eastAsia="Calibri" w:hAnsi="Times New Roman" w:cs="Times New Roman"/>
          <w:i/>
          <w:sz w:val="18"/>
          <w:szCs w:val="18"/>
          <w:lang w:eastAsia="sk-SK"/>
        </w:rPr>
        <w:sectPr w:rsidR="00A30F1C"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30F1C" w:rsidRPr="00CD4982" w:rsidTr="00E1659F">
        <w:trPr>
          <w:trHeight w:val="677"/>
          <w:jc w:val="center"/>
        </w:trPr>
        <w:tc>
          <w:tcPr>
            <w:tcW w:w="1993" w:type="pct"/>
            <w:shd w:val="clear" w:color="auto" w:fill="auto"/>
          </w:tcPr>
          <w:p w:rsidR="00A30F1C" w:rsidRPr="00CD4982" w:rsidRDefault="00A30F1C" w:rsidP="00E1659F">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Zraniteľné skupiny alebo s</w:t>
            </w:r>
            <w:r w:rsidRPr="00CD4982">
              <w:rPr>
                <w:rFonts w:ascii="Times New Roman" w:eastAsia="Calibri" w:hAnsi="Times New Roman" w:cs="Times New Roman"/>
                <w:i/>
                <w:sz w:val="18"/>
                <w:szCs w:val="18"/>
                <w:lang w:eastAsia="sk-SK"/>
              </w:rPr>
              <w:t>kupiny v riziku chudoby alebo sociálneho vylúčenia</w:t>
            </w:r>
            <w:r>
              <w:rPr>
                <w:rFonts w:ascii="Times New Roman" w:eastAsia="Calibri" w:hAnsi="Times New Roman" w:cs="Times New Roman"/>
                <w:i/>
                <w:sz w:val="18"/>
                <w:szCs w:val="18"/>
                <w:lang w:eastAsia="sk-SK"/>
              </w:rPr>
              <w:t xml:space="preserve"> sú napr.</w:t>
            </w:r>
            <w:r w:rsidRPr="00CD4982">
              <w:rPr>
                <w:rFonts w:ascii="Times New Roman" w:eastAsia="Calibri" w:hAnsi="Times New Roman" w:cs="Times New Roman"/>
                <w:i/>
                <w:sz w:val="18"/>
                <w:szCs w:val="18"/>
                <w:lang w:eastAsia="sk-SK"/>
              </w:rPr>
              <w:t>:</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nezamestnaní, najmä dlhodobo nezamestnaní, mladí nezamestnaní a nezamestnaní nad 50 rokov,</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deti (0 – 17),</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mladí ľudia (18 – 25 rokov),</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starší ľudia, napr. ľudia vo veku nad 65 rokov alebo dôchodcovia,</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ľudia so zdravotným postihnutím,</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marginalizované rómske komunity </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domácnosti s 3 a viac deťmi,</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jednorodičovské domácnosti s deťmi (neúplné rodiny, ktoré tvoria najmä osamelé matky s deťmi),</w:t>
            </w:r>
          </w:p>
          <w:p w:rsidR="00A30F1C" w:rsidRPr="00CD4982" w:rsidRDefault="00A30F1C" w:rsidP="00E1659F">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príslušníci tretích krajín, azylanti, žiadatelia o azyl,</w:t>
            </w:r>
          </w:p>
          <w:p w:rsidR="00A30F1C" w:rsidRPr="00CD4982" w:rsidRDefault="00A30F1C" w:rsidP="00E1659F">
            <w:pPr>
              <w:numPr>
                <w:ilvl w:val="0"/>
                <w:numId w:val="12"/>
              </w:numPr>
              <w:spacing w:after="0" w:line="240" w:lineRule="auto"/>
              <w:jc w:val="both"/>
              <w:rPr>
                <w:rFonts w:ascii="Calibri" w:eastAsia="Calibri" w:hAnsi="Calibri" w:cs="Times New Roman"/>
                <w:i/>
                <w:sz w:val="18"/>
                <w:szCs w:val="18"/>
                <w:lang w:eastAsia="sk-SK"/>
              </w:rPr>
            </w:pPr>
            <w:r w:rsidRPr="00CD4982">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3007" w:type="pct"/>
            <w:shd w:val="clear" w:color="auto" w:fill="auto"/>
          </w:tcPr>
          <w:p w:rsidR="00A30F1C" w:rsidRPr="0040544D" w:rsidRDefault="00A30F1C" w:rsidP="00E1659F">
            <w:pPr>
              <w:spacing w:after="0" w:line="240" w:lineRule="auto"/>
              <w:rPr>
                <w:rFonts w:ascii="Times New Roman" w:eastAsia="Calibri" w:hAnsi="Times New Roman" w:cs="Times New Roman"/>
                <w:sz w:val="20"/>
                <w:lang w:eastAsia="sk-SK"/>
              </w:rPr>
            </w:pPr>
          </w:p>
          <w:p w:rsidR="00D03CFE" w:rsidRPr="0040544D" w:rsidRDefault="00D03CFE" w:rsidP="00D03CF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Predkladaný  materiál nemá vplyv na zraniteľné skupiny obyvateľstva alebo skupiny v riziku chudoby alebo sociálneho vylúčenia.</w:t>
            </w:r>
          </w:p>
          <w:p w:rsidR="00A30F1C" w:rsidRDefault="00A30F1C" w:rsidP="00E1659F">
            <w:pPr>
              <w:spacing w:after="0" w:line="240" w:lineRule="auto"/>
              <w:rPr>
                <w:rFonts w:ascii="Times New Roman" w:eastAsia="Calibri" w:hAnsi="Times New Roman" w:cs="Times New Roman"/>
                <w:sz w:val="20"/>
                <w:lang w:eastAsia="sk-SK"/>
              </w:rPr>
            </w:pPr>
          </w:p>
          <w:p w:rsidR="00D03CFE" w:rsidRPr="00D03CFE" w:rsidRDefault="00D03CFE" w:rsidP="00E1659F">
            <w:pPr>
              <w:spacing w:after="0" w:line="240" w:lineRule="auto"/>
              <w:rPr>
                <w:rFonts w:ascii="Times New Roman" w:eastAsia="Calibri" w:hAnsi="Times New Roman" w:cs="Times New Roman"/>
                <w:color w:val="FF0000"/>
                <w:sz w:val="20"/>
                <w:lang w:eastAsia="sk-SK"/>
              </w:rPr>
            </w:pPr>
            <w:r w:rsidRPr="00D16498">
              <w:rPr>
                <w:rFonts w:ascii="Times New Roman" w:eastAsia="Calibri" w:hAnsi="Times New Roman" w:cs="Times New Roman"/>
                <w:sz w:val="20"/>
                <w:lang w:eastAsia="sk-SK"/>
              </w:rPr>
              <w:t>Prekladaný materiál nemá preto vplyv, lebo poplatok môže byť regulovaný zo strany obce prostredníctvom využitia inštitútu odpustenia poplatku bez ohľadu na to, či sa navrhovaná zmena prijme alebo nie.</w:t>
            </w:r>
          </w:p>
        </w:tc>
      </w:tr>
    </w:tbl>
    <w:p w:rsidR="00A87D5B" w:rsidRDefault="00A87D5B"/>
    <w:p w:rsidR="00C63956" w:rsidRDefault="00C63956" w:rsidP="00DA4453">
      <w:pPr>
        <w:spacing w:after="0" w:line="240" w:lineRule="auto"/>
        <w:rPr>
          <w:rFonts w:ascii="Times New Roman" w:eastAsia="Calibri" w:hAnsi="Times New Roman" w:cs="Times New Roman"/>
          <w:b/>
          <w:sz w:val="24"/>
          <w:szCs w:val="24"/>
          <w:lang w:eastAsia="sk-SK"/>
        </w:rPr>
        <w:sectPr w:rsidR="00C63956" w:rsidSect="0040544D">
          <w:headerReference w:type="default" r:id="rId11"/>
          <w:footerReference w:type="default" r:id="rId12"/>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CD4982" w:rsidTr="00DA4453">
        <w:trPr>
          <w:jc w:val="center"/>
        </w:trPr>
        <w:tc>
          <w:tcPr>
            <w:tcW w:w="5000" w:type="pct"/>
            <w:shd w:val="clear" w:color="auto" w:fill="D9D9D9"/>
          </w:tcPr>
          <w:p w:rsidR="00CD4982" w:rsidRPr="00CD4982" w:rsidRDefault="00CD4982" w:rsidP="00DA4453">
            <w:pPr>
              <w:spacing w:after="0" w:line="240" w:lineRule="auto"/>
              <w:rPr>
                <w:rFonts w:ascii="Times New Roman" w:eastAsia="Calibri" w:hAnsi="Times New Roman" w:cs="Times New Roman"/>
                <w:b/>
                <w:sz w:val="24"/>
                <w:szCs w:val="24"/>
                <w:lang w:eastAsia="sk-SK"/>
              </w:rPr>
            </w:pPr>
            <w:r w:rsidRPr="00CD4982">
              <w:rPr>
                <w:rFonts w:ascii="Times New Roman" w:eastAsia="Calibri" w:hAnsi="Times New Roman" w:cs="Times New Roman"/>
                <w:b/>
                <w:sz w:val="24"/>
                <w:szCs w:val="24"/>
                <w:lang w:eastAsia="sk-SK"/>
              </w:rPr>
              <w:t>4.3 Identifikujte a popíšte vplyv na rovnosť príležitostí.</w:t>
            </w:r>
          </w:p>
          <w:p w:rsidR="00CD4982" w:rsidRPr="00CD4982" w:rsidRDefault="00CD4982" w:rsidP="00DA4453">
            <w:pPr>
              <w:spacing w:after="0" w:line="240" w:lineRule="auto"/>
              <w:ind w:left="340"/>
              <w:jc w:val="both"/>
              <w:rPr>
                <w:rFonts w:ascii="Calibri" w:eastAsia="Calibri" w:hAnsi="Calibri" w:cs="Times New Roman"/>
                <w:sz w:val="24"/>
                <w:szCs w:val="24"/>
                <w:lang w:eastAsia="sk-SK"/>
              </w:rPr>
            </w:pPr>
            <w:r w:rsidRPr="00CD4982">
              <w:rPr>
                <w:rFonts w:ascii="Times New Roman" w:eastAsia="Calibri" w:hAnsi="Times New Roman" w:cs="Times New Roman"/>
                <w:b/>
                <w:sz w:val="24"/>
                <w:szCs w:val="24"/>
                <w:lang w:eastAsia="sk-SK"/>
              </w:rPr>
              <w:t>Identifikujte, popíšte a kvantifikujte vplyv na rodovú rovnosť.</w:t>
            </w:r>
          </w:p>
        </w:tc>
      </w:tr>
      <w:tr w:rsidR="00CD4982" w:rsidRPr="00CD4982" w:rsidTr="00DA4453">
        <w:trPr>
          <w:jc w:val="center"/>
        </w:trPr>
        <w:tc>
          <w:tcPr>
            <w:tcW w:w="5000" w:type="pct"/>
            <w:tcBorders>
              <w:bottom w:val="single" w:sz="4" w:space="0" w:color="auto"/>
            </w:tcBorders>
            <w:shd w:val="clear" w:color="auto" w:fill="F2F2F2"/>
          </w:tcPr>
          <w:p w:rsidR="00CD4982" w:rsidRPr="00CD4982" w:rsidRDefault="00CD4982" w:rsidP="00DA4453">
            <w:pPr>
              <w:spacing w:after="0" w:line="240" w:lineRule="auto"/>
              <w:jc w:val="both"/>
              <w:rPr>
                <w:rFonts w:ascii="Times New Roman" w:eastAsia="Calibri" w:hAnsi="Times New Roman" w:cs="Times New Roman"/>
                <w:i/>
                <w:sz w:val="24"/>
                <w:szCs w:val="24"/>
                <w:lang w:eastAsia="sk-SK"/>
              </w:rPr>
            </w:pPr>
            <w:r w:rsidRPr="00CD4982">
              <w:rPr>
                <w:rFonts w:ascii="Times New Roman" w:eastAsia="Calibri" w:hAnsi="Times New Roman" w:cs="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CA6BAF" w:rsidRDefault="00CA6BAF" w:rsidP="00DA4453">
      <w:pPr>
        <w:spacing w:after="0" w:line="240" w:lineRule="auto"/>
        <w:rPr>
          <w:rFonts w:ascii="Times New Roman" w:eastAsia="Calibri" w:hAnsi="Times New Roman" w:cs="Times New Roman"/>
          <w:sz w:val="20"/>
          <w:lang w:eastAsia="sk-SK"/>
        </w:rPr>
        <w:sectPr w:rsidR="00CA6BAF"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40544D" w:rsidTr="007B003C">
        <w:trPr>
          <w:trHeight w:val="928"/>
          <w:jc w:val="center"/>
        </w:trPr>
        <w:tc>
          <w:tcPr>
            <w:tcW w:w="5000" w:type="pct"/>
            <w:tcBorders>
              <w:top w:val="nil"/>
              <w:bottom w:val="nil"/>
            </w:tcBorders>
            <w:shd w:val="clear" w:color="auto" w:fill="auto"/>
          </w:tcPr>
          <w:p w:rsidR="00831412" w:rsidRPr="0040544D" w:rsidRDefault="00831412" w:rsidP="00831412">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Predkladaný materiál nevedie k diskriminácii niektorých skupín obyvateľstva.</w:t>
            </w:r>
          </w:p>
          <w:p w:rsidR="00CD4982" w:rsidRPr="0040544D" w:rsidRDefault="00CD4982" w:rsidP="00DA4453">
            <w:pPr>
              <w:spacing w:after="0" w:line="240" w:lineRule="auto"/>
              <w:rPr>
                <w:rFonts w:ascii="Times New Roman" w:eastAsia="Calibri" w:hAnsi="Times New Roman" w:cs="Times New Roman"/>
                <w:i/>
                <w:sz w:val="20"/>
                <w:lang w:eastAsia="sk-SK"/>
              </w:rPr>
            </w:pPr>
          </w:p>
        </w:tc>
      </w:tr>
    </w:tbl>
    <w:p w:rsidR="00C63956" w:rsidRDefault="00C63956" w:rsidP="00DA4453">
      <w:pPr>
        <w:spacing w:after="0" w:line="240" w:lineRule="auto"/>
        <w:rPr>
          <w:rFonts w:ascii="Times New Roman" w:eastAsia="Calibri" w:hAnsi="Times New Roman" w:cs="Times New Roman"/>
          <w:i/>
          <w:sz w:val="20"/>
          <w:szCs w:val="20"/>
          <w:lang w:eastAsia="sk-SK"/>
        </w:rPr>
        <w:sectPr w:rsidR="00C63956"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CD4982" w:rsidTr="00DA4453">
        <w:trPr>
          <w:trHeight w:val="345"/>
          <w:jc w:val="center"/>
        </w:trPr>
        <w:tc>
          <w:tcPr>
            <w:tcW w:w="5000" w:type="pct"/>
            <w:tcBorders>
              <w:bottom w:val="single" w:sz="4" w:space="0" w:color="auto"/>
            </w:tcBorders>
            <w:shd w:val="clear" w:color="auto" w:fill="F2F2F2"/>
            <w:vAlign w:val="center"/>
          </w:tcPr>
          <w:p w:rsidR="00CD4982" w:rsidRPr="00CD4982" w:rsidRDefault="00CD4982" w:rsidP="00DA4453">
            <w:pPr>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Môže mať návrh odlišný vplyv na ženy a mužov? Podporuje návrh rovnosť medzi ženami a mužmi alebo naopak bude viesť k zväčšovaniu rodových nerovností? Popíšte vplyvy.</w:t>
            </w:r>
          </w:p>
        </w:tc>
      </w:tr>
    </w:tbl>
    <w:p w:rsidR="00C63956" w:rsidRDefault="00C63956" w:rsidP="00DA4453">
      <w:pPr>
        <w:spacing w:after="0" w:line="240" w:lineRule="auto"/>
        <w:jc w:val="both"/>
        <w:rPr>
          <w:rFonts w:ascii="Times New Roman" w:eastAsia="Calibri" w:hAnsi="Times New Roman" w:cs="Times New Roman"/>
          <w:i/>
          <w:sz w:val="18"/>
          <w:szCs w:val="18"/>
          <w:lang w:eastAsia="sk-SK"/>
        </w:rPr>
        <w:sectPr w:rsidR="00C63956"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CD4982" w:rsidRPr="00CD4982" w:rsidTr="007B003C">
        <w:trPr>
          <w:trHeight w:val="1235"/>
          <w:jc w:val="center"/>
        </w:trPr>
        <w:tc>
          <w:tcPr>
            <w:tcW w:w="1993" w:type="pct"/>
            <w:shd w:val="clear" w:color="auto" w:fill="auto"/>
          </w:tcPr>
          <w:p w:rsidR="00CD4982" w:rsidRPr="00CD4982" w:rsidRDefault="00CD4982" w:rsidP="00DA4453">
            <w:p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podpora vyrovnávania ekonomickej nezávislosti, </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zosúladenie pracovného, súkromného a rodinného života, </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podpora rovnej participácie na rozhodovaní, </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boj proti rodovo podmienenému násiliu a obchodovaniu s ľuďmi, </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eliminácia rodových stereotypov.</w:t>
            </w:r>
          </w:p>
        </w:tc>
        <w:tc>
          <w:tcPr>
            <w:tcW w:w="3007" w:type="pct"/>
            <w:shd w:val="clear" w:color="auto" w:fill="auto"/>
          </w:tcPr>
          <w:p w:rsidR="00CA6BAF" w:rsidRDefault="00CA6BAF" w:rsidP="00DA4453">
            <w:pPr>
              <w:spacing w:after="0" w:line="240" w:lineRule="auto"/>
              <w:rPr>
                <w:rFonts w:ascii="Times New Roman" w:eastAsia="Calibri" w:hAnsi="Times New Roman" w:cs="Times New Roman"/>
                <w:sz w:val="20"/>
                <w:lang w:eastAsia="sk-SK"/>
              </w:rPr>
            </w:pPr>
          </w:p>
          <w:p w:rsidR="00CA6BAF" w:rsidRDefault="00CA6BAF" w:rsidP="00DA4453">
            <w:pPr>
              <w:spacing w:after="0" w:line="240" w:lineRule="auto"/>
              <w:rPr>
                <w:rFonts w:ascii="Times New Roman" w:eastAsia="Calibri" w:hAnsi="Times New Roman" w:cs="Times New Roman"/>
                <w:sz w:val="20"/>
                <w:lang w:eastAsia="sk-SK"/>
              </w:rPr>
            </w:pPr>
          </w:p>
          <w:p w:rsidR="00CA6BAF" w:rsidRDefault="00CA6BAF" w:rsidP="00DA4453">
            <w:pPr>
              <w:spacing w:after="0" w:line="240" w:lineRule="auto"/>
              <w:rPr>
                <w:rFonts w:ascii="Times New Roman" w:eastAsia="Calibri" w:hAnsi="Times New Roman" w:cs="Times New Roman"/>
                <w:sz w:val="20"/>
                <w:lang w:eastAsia="sk-SK"/>
              </w:rPr>
            </w:pPr>
          </w:p>
          <w:p w:rsidR="00CA6BAF" w:rsidRDefault="00CA6BAF" w:rsidP="00DA4453">
            <w:pPr>
              <w:spacing w:after="0" w:line="240" w:lineRule="auto"/>
              <w:rPr>
                <w:rFonts w:ascii="Times New Roman" w:eastAsia="Calibri" w:hAnsi="Times New Roman" w:cs="Times New Roman"/>
                <w:sz w:val="20"/>
                <w:lang w:eastAsia="sk-SK"/>
              </w:rPr>
            </w:pPr>
          </w:p>
          <w:p w:rsidR="00831412" w:rsidRDefault="00831412" w:rsidP="00831412">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Predkladaný materiál nevedie k zväčšovaniu rodových nerovností.</w:t>
            </w:r>
          </w:p>
          <w:p w:rsidR="00CA6BAF" w:rsidRPr="00CA6BAF" w:rsidRDefault="00CA6BAF" w:rsidP="00DA4453">
            <w:pPr>
              <w:spacing w:after="0" w:line="240" w:lineRule="auto"/>
              <w:rPr>
                <w:rFonts w:ascii="Times New Roman" w:eastAsia="Calibri" w:hAnsi="Times New Roman" w:cs="Times New Roman"/>
                <w:sz w:val="20"/>
                <w:lang w:eastAsia="sk-SK"/>
              </w:rPr>
            </w:pPr>
          </w:p>
        </w:tc>
      </w:tr>
    </w:tbl>
    <w:p w:rsidR="00C63956" w:rsidRDefault="00C63956" w:rsidP="00DA4453">
      <w:pPr>
        <w:spacing w:after="0" w:line="240" w:lineRule="auto"/>
        <w:rPr>
          <w:rFonts w:ascii="Times New Roman" w:eastAsia="Calibri" w:hAnsi="Times New Roman" w:cs="Times New Roman"/>
          <w:b/>
          <w:sz w:val="24"/>
          <w:lang w:eastAsia="sk-SK"/>
        </w:rPr>
        <w:sectPr w:rsidR="00C63956"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CD4982" w:rsidTr="00DA4453">
        <w:trPr>
          <w:jc w:val="center"/>
        </w:trPr>
        <w:tc>
          <w:tcPr>
            <w:tcW w:w="5000" w:type="pct"/>
            <w:shd w:val="clear" w:color="auto" w:fill="D9D9D9"/>
          </w:tcPr>
          <w:p w:rsidR="00994C53" w:rsidRPr="00994C53" w:rsidRDefault="00CD4982" w:rsidP="00994C53">
            <w:pPr>
              <w:spacing w:after="0" w:line="240" w:lineRule="auto"/>
              <w:rPr>
                <w:rFonts w:ascii="Times New Roman" w:eastAsia="Calibri" w:hAnsi="Times New Roman" w:cs="Times New Roman"/>
                <w:b/>
                <w:sz w:val="24"/>
                <w:lang w:eastAsia="sk-SK"/>
              </w:rPr>
            </w:pPr>
            <w:r w:rsidRPr="00CD4982">
              <w:rPr>
                <w:rFonts w:ascii="Times New Roman" w:eastAsia="Calibri" w:hAnsi="Times New Roman" w:cs="Times New Roman"/>
                <w:b/>
                <w:sz w:val="24"/>
                <w:lang w:eastAsia="sk-SK"/>
              </w:rPr>
              <w:t xml:space="preserve">4.4 </w:t>
            </w:r>
            <w:r w:rsidR="00994C53" w:rsidRPr="00994C53">
              <w:rPr>
                <w:rFonts w:ascii="Times New Roman" w:eastAsia="Calibri" w:hAnsi="Times New Roman" w:cs="Times New Roman"/>
                <w:b/>
                <w:sz w:val="24"/>
                <w:lang w:eastAsia="sk-SK"/>
              </w:rPr>
              <w:t>Identifikujte, popíšte a kvantifikujte vplyvy na zamestnanosť a na trh práce.</w:t>
            </w:r>
          </w:p>
          <w:p w:rsidR="00A87D5B" w:rsidRPr="00994C53" w:rsidRDefault="00994C53" w:rsidP="00994C53">
            <w:pPr>
              <w:spacing w:after="0" w:line="240" w:lineRule="auto"/>
              <w:jc w:val="both"/>
              <w:rPr>
                <w:rFonts w:ascii="Times New Roman" w:eastAsia="Calibri" w:hAnsi="Times New Roman" w:cs="Times New Roman"/>
                <w:i/>
                <w:lang w:eastAsia="sk-SK"/>
              </w:rPr>
            </w:pPr>
            <w:r w:rsidRPr="00994C53">
              <w:rPr>
                <w:rFonts w:ascii="Times New Roman" w:eastAsia="Calibri" w:hAnsi="Times New Roman" w:cs="Times New Roman"/>
                <w:i/>
                <w:lang w:eastAsia="sk-SK"/>
              </w:rPr>
              <w:t xml:space="preserve">V prípade kladnej odpovede pripojte </w:t>
            </w:r>
            <w:r w:rsidRPr="00994C53">
              <w:rPr>
                <w:rFonts w:ascii="Times New Roman" w:eastAsia="Calibri" w:hAnsi="Times New Roman" w:cs="Times New Roman"/>
                <w:b/>
                <w:i/>
                <w:lang w:eastAsia="sk-SK"/>
              </w:rPr>
              <w:t>odôvodnenie</w:t>
            </w:r>
            <w:r w:rsidRPr="00994C53">
              <w:rPr>
                <w:rFonts w:ascii="Times New Roman" w:eastAsia="Calibri" w:hAnsi="Times New Roman" w:cs="Times New Roman"/>
                <w:i/>
                <w:lang w:eastAsia="sk-SK"/>
              </w:rPr>
              <w:t xml:space="preserve"> v súlade s Metodickým postupom pre analýzu sociálnych vplyvov.</w:t>
            </w:r>
          </w:p>
        </w:tc>
      </w:tr>
    </w:tbl>
    <w:p w:rsidR="00C63956" w:rsidRDefault="00C63956" w:rsidP="00DA4453">
      <w:pPr>
        <w:spacing w:after="0" w:line="240" w:lineRule="auto"/>
        <w:rPr>
          <w:rFonts w:ascii="Times New Roman" w:eastAsia="Calibri" w:hAnsi="Times New Roman" w:cs="Times New Roman"/>
          <w:i/>
          <w:sz w:val="20"/>
          <w:szCs w:val="24"/>
          <w:lang w:eastAsia="sk-SK"/>
        </w:rPr>
        <w:sectPr w:rsidR="00C63956"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994C53" w:rsidRPr="00994C53" w:rsidTr="000D226A">
        <w:trPr>
          <w:trHeight w:val="287"/>
          <w:jc w:val="center"/>
        </w:trPr>
        <w:tc>
          <w:tcPr>
            <w:tcW w:w="5000" w:type="pct"/>
            <w:gridSpan w:val="2"/>
            <w:tcBorders>
              <w:top w:val="nil"/>
              <w:bottom w:val="single" w:sz="4" w:space="0" w:color="auto"/>
            </w:tcBorders>
            <w:shd w:val="clear" w:color="auto" w:fill="F2F2F2"/>
          </w:tcPr>
          <w:p w:rsidR="00994C53" w:rsidRPr="00994C53" w:rsidRDefault="00994C53" w:rsidP="00994C53">
            <w:pPr>
              <w:spacing w:after="0" w:line="240" w:lineRule="auto"/>
              <w:rPr>
                <w:rFonts w:ascii="Times New Roman" w:eastAsia="Calibri" w:hAnsi="Times New Roman" w:cs="Times New Roman"/>
                <w:i/>
                <w:sz w:val="20"/>
                <w:szCs w:val="20"/>
              </w:rPr>
            </w:pPr>
            <w:r w:rsidRPr="00994C53">
              <w:rPr>
                <w:rFonts w:ascii="Times New Roman" w:eastAsia="Calibri" w:hAnsi="Times New Roman" w:cs="Times New Roman"/>
                <w:i/>
                <w:sz w:val="20"/>
                <w:szCs w:val="20"/>
              </w:rPr>
              <w:t>Uľahčuje návrh vznik nových pracovných miest? Ak áno, ako? Ak je to možné, doplňte kvantifikáciu.</w:t>
            </w:r>
          </w:p>
        </w:tc>
      </w:tr>
      <w:tr w:rsidR="00994C53" w:rsidRPr="00994C53" w:rsidTr="000D226A">
        <w:trPr>
          <w:trHeight w:val="567"/>
          <w:jc w:val="center"/>
        </w:trPr>
        <w:tc>
          <w:tcPr>
            <w:tcW w:w="1993" w:type="pct"/>
            <w:tcBorders>
              <w:top w:val="nil"/>
              <w:bottom w:val="single" w:sz="4" w:space="0" w:color="auto"/>
            </w:tcBorders>
            <w:shd w:val="clear" w:color="auto" w:fill="FFFFFF"/>
          </w:tcPr>
          <w:p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bottom w:val="single" w:sz="4" w:space="0" w:color="auto"/>
            </w:tcBorders>
            <w:shd w:val="clear" w:color="auto" w:fill="FFFFFF"/>
          </w:tcPr>
          <w:p w:rsidR="00831412" w:rsidRDefault="00831412" w:rsidP="00831412">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20"/>
                <w:lang w:eastAsia="sk-SK"/>
              </w:rPr>
              <w:t xml:space="preserve">Zavedenie zmien a zrušenie výnimiek z povinnosti zavedenia a zabezpečovania triedeného zberu biologicky rozložiteľných kuchynských odpadov ustanovených v § 81 ods. 21 zákona o odpadoch </w:t>
            </w:r>
            <w:r>
              <w:rPr>
                <w:rFonts w:ascii="Times New Roman" w:eastAsia="Calibri" w:hAnsi="Times New Roman" w:cs="Times New Roman"/>
                <w:sz w:val="20"/>
                <w:szCs w:val="18"/>
              </w:rPr>
              <w:t>a presun odpadov k ich recyklácii prináša vznik nových pracovných miest v sektore odpadového hospodárstva. Nové pracovné miesta môžu v dôsledku zvýšenej miery triedeného zberu vzniknúť vo sfére zberu odpadov, ako aj v samotných zariadeniach na zhodnocovanie odpadov. Vznik nových pracovných miest nie je možné kvantifikovať.</w:t>
            </w:r>
          </w:p>
          <w:p w:rsidR="00994C53" w:rsidRPr="00A30F1C" w:rsidRDefault="00994C53" w:rsidP="00994C53">
            <w:pPr>
              <w:spacing w:after="0" w:line="240" w:lineRule="auto"/>
              <w:rPr>
                <w:rFonts w:ascii="Times New Roman" w:eastAsia="Calibri" w:hAnsi="Times New Roman" w:cs="Times New Roman"/>
                <w:sz w:val="20"/>
                <w:szCs w:val="18"/>
              </w:rPr>
            </w:pPr>
          </w:p>
        </w:tc>
      </w:tr>
      <w:tr w:rsidR="00994C53" w:rsidRPr="00994C53" w:rsidTr="000D226A">
        <w:trPr>
          <w:trHeight w:val="270"/>
          <w:jc w:val="center"/>
        </w:trPr>
        <w:tc>
          <w:tcPr>
            <w:tcW w:w="5000" w:type="pct"/>
            <w:gridSpan w:val="2"/>
            <w:tcBorders>
              <w:bottom w:val="single" w:sz="4" w:space="0" w:color="auto"/>
            </w:tcBorders>
            <w:shd w:val="clear" w:color="auto" w:fill="F2F2F2"/>
          </w:tcPr>
          <w:p w:rsidR="00994C53" w:rsidRPr="00994C53" w:rsidRDefault="00994C53" w:rsidP="00994C53">
            <w:pPr>
              <w:spacing w:after="0" w:line="240" w:lineRule="auto"/>
              <w:rPr>
                <w:rFonts w:ascii="Times New Roman" w:eastAsia="Calibri" w:hAnsi="Times New Roman" w:cs="Times New Roman"/>
                <w:i/>
                <w:sz w:val="20"/>
                <w:szCs w:val="20"/>
              </w:rPr>
            </w:pPr>
            <w:r w:rsidRPr="00994C53">
              <w:rPr>
                <w:rFonts w:ascii="Times New Roman" w:eastAsia="Calibri" w:hAnsi="Times New Roman" w:cs="Times New Roman"/>
                <w:i/>
                <w:sz w:val="20"/>
                <w:szCs w:val="20"/>
              </w:rPr>
              <w:t>Vedie návrh k zániku pracovných miest?</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ako a akých? Ak je to možné, doplňte kvantifikáciu.</w:t>
            </w:r>
          </w:p>
        </w:tc>
      </w:tr>
      <w:tr w:rsidR="00994C53" w:rsidRPr="00994C53" w:rsidTr="000D226A">
        <w:trPr>
          <w:trHeight w:val="454"/>
          <w:jc w:val="center"/>
        </w:trPr>
        <w:tc>
          <w:tcPr>
            <w:tcW w:w="1993" w:type="pct"/>
            <w:tcBorders>
              <w:bottom w:val="single" w:sz="4" w:space="0" w:color="auto"/>
            </w:tcBorders>
            <w:shd w:val="clear" w:color="auto" w:fill="FFFFFF"/>
          </w:tcPr>
          <w:p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bottom w:val="single" w:sz="4" w:space="0" w:color="auto"/>
            </w:tcBorders>
            <w:shd w:val="clear" w:color="auto" w:fill="FFFFFF"/>
          </w:tcPr>
          <w:p w:rsidR="00994C53" w:rsidRPr="00A30F1C" w:rsidRDefault="004003B4" w:rsidP="00994C53">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Návrh zákona nevedie k zániku pracovných miest.</w:t>
            </w:r>
          </w:p>
        </w:tc>
      </w:tr>
      <w:tr w:rsidR="00994C53" w:rsidRPr="00994C53" w:rsidTr="000D226A">
        <w:trPr>
          <w:trHeight w:val="248"/>
          <w:jc w:val="center"/>
        </w:trPr>
        <w:tc>
          <w:tcPr>
            <w:tcW w:w="5000" w:type="pct"/>
            <w:gridSpan w:val="2"/>
            <w:tcBorders>
              <w:bottom w:val="single" w:sz="4" w:space="0" w:color="auto"/>
            </w:tcBorders>
            <w:shd w:val="clear" w:color="auto" w:fill="F2F2F2"/>
          </w:tcPr>
          <w:p w:rsidR="00994C53" w:rsidRPr="00994C53" w:rsidRDefault="00994C53" w:rsidP="00994C53">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Ovplyvňuje návrh dopyt po práci?</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ako?</w:t>
            </w:r>
          </w:p>
        </w:tc>
      </w:tr>
      <w:tr w:rsidR="00994C53" w:rsidRPr="00994C53" w:rsidTr="000D226A">
        <w:trPr>
          <w:trHeight w:val="209"/>
          <w:jc w:val="center"/>
        </w:trPr>
        <w:tc>
          <w:tcPr>
            <w:tcW w:w="1993" w:type="pct"/>
            <w:tcBorders>
              <w:bottom w:val="single" w:sz="4" w:space="0" w:color="auto"/>
            </w:tcBorders>
            <w:shd w:val="clear" w:color="auto" w:fill="FFFFFF"/>
          </w:tcPr>
          <w:p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lastRenderedPageBreak/>
              <w:t>Dopyt po práci závisí na jednej strane na produkcii tovarov a služieb v ekonomike a na druhej strane na cene práce.</w:t>
            </w:r>
          </w:p>
        </w:tc>
        <w:tc>
          <w:tcPr>
            <w:tcW w:w="3007" w:type="pct"/>
            <w:tcBorders>
              <w:bottom w:val="single" w:sz="4" w:space="0" w:color="auto"/>
            </w:tcBorders>
            <w:shd w:val="clear" w:color="auto" w:fill="FFFFFF"/>
          </w:tcPr>
          <w:p w:rsidR="004003B4" w:rsidRPr="00A30F1C" w:rsidRDefault="004003B4" w:rsidP="00994C53">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Predkladaný materiál neovplyvňuje dopyt po práci.</w:t>
            </w:r>
          </w:p>
        </w:tc>
      </w:tr>
      <w:tr w:rsidR="00994C53" w:rsidRPr="00994C53" w:rsidTr="000D226A">
        <w:trPr>
          <w:trHeight w:val="208"/>
          <w:jc w:val="center"/>
        </w:trPr>
        <w:tc>
          <w:tcPr>
            <w:tcW w:w="5000" w:type="pct"/>
            <w:gridSpan w:val="2"/>
            <w:tcBorders>
              <w:bottom w:val="single" w:sz="4" w:space="0" w:color="auto"/>
            </w:tcBorders>
            <w:shd w:val="clear" w:color="auto" w:fill="F2F2F2"/>
          </w:tcPr>
          <w:p w:rsidR="00994C53" w:rsidRPr="00994C53" w:rsidRDefault="00994C53" w:rsidP="00994C53">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Má návrh dosah na fungovanie trhu práce?</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aký?</w:t>
            </w:r>
          </w:p>
        </w:tc>
      </w:tr>
      <w:tr w:rsidR="00994C53" w:rsidRPr="00994C53" w:rsidTr="000D226A">
        <w:trPr>
          <w:trHeight w:val="794"/>
          <w:jc w:val="center"/>
        </w:trPr>
        <w:tc>
          <w:tcPr>
            <w:tcW w:w="1993" w:type="pct"/>
            <w:tcBorders>
              <w:bottom w:val="single" w:sz="4" w:space="0" w:color="auto"/>
            </w:tcBorders>
            <w:shd w:val="clear" w:color="auto" w:fill="FFFFFF"/>
          </w:tcPr>
          <w:p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994C53">
              <w:rPr>
                <w:rFonts w:ascii="Times New Roman" w:eastAsia="Calibri" w:hAnsi="Times New Roman" w:cs="Times New Roman"/>
                <w:sz w:val="18"/>
                <w:szCs w:val="18"/>
              </w:rPr>
              <w:t xml:space="preserve"> </w:t>
            </w:r>
            <w:r w:rsidRPr="00994C53">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bottom w:val="single" w:sz="4" w:space="0" w:color="auto"/>
            </w:tcBorders>
            <w:shd w:val="clear" w:color="auto" w:fill="FFFFFF"/>
          </w:tcPr>
          <w:p w:rsidR="004003B4" w:rsidRDefault="004003B4" w:rsidP="004003B4">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Nepredpokladá sa vplyv predkladaného materiálu na fungovanie trhu práce.</w:t>
            </w:r>
          </w:p>
          <w:p w:rsidR="00994C53" w:rsidRPr="00A30F1C" w:rsidRDefault="00994C53" w:rsidP="00994C53">
            <w:pPr>
              <w:spacing w:after="0" w:line="240" w:lineRule="auto"/>
              <w:rPr>
                <w:rFonts w:ascii="Times New Roman" w:eastAsia="Calibri" w:hAnsi="Times New Roman" w:cs="Times New Roman"/>
                <w:sz w:val="20"/>
                <w:szCs w:val="18"/>
              </w:rPr>
            </w:pPr>
          </w:p>
        </w:tc>
      </w:tr>
      <w:tr w:rsidR="00994C53" w:rsidRPr="00994C53" w:rsidTr="000D226A">
        <w:trPr>
          <w:trHeight w:val="324"/>
          <w:jc w:val="center"/>
        </w:trPr>
        <w:tc>
          <w:tcPr>
            <w:tcW w:w="5000" w:type="pct"/>
            <w:gridSpan w:val="2"/>
            <w:tcBorders>
              <w:bottom w:val="single" w:sz="4" w:space="0" w:color="auto"/>
            </w:tcBorders>
            <w:shd w:val="clear" w:color="auto" w:fill="F2F2F2"/>
          </w:tcPr>
          <w:p w:rsidR="00994C53" w:rsidRPr="00994C53" w:rsidRDefault="00994C53" w:rsidP="00994C53">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Má návrh špecifické negatívne dôsledky pre isté skupiny profesií, skupín zamestnancov či živnostníkov?</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aké a pre ktoré skupiny?</w:t>
            </w:r>
          </w:p>
        </w:tc>
      </w:tr>
      <w:tr w:rsidR="00994C53" w:rsidRPr="00994C53" w:rsidTr="000D226A">
        <w:trPr>
          <w:trHeight w:val="216"/>
          <w:jc w:val="center"/>
        </w:trPr>
        <w:tc>
          <w:tcPr>
            <w:tcW w:w="1993" w:type="pct"/>
            <w:tcBorders>
              <w:bottom w:val="single" w:sz="4" w:space="0" w:color="auto"/>
            </w:tcBorders>
            <w:shd w:val="clear" w:color="auto" w:fill="FFFFFF"/>
          </w:tcPr>
          <w:p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Návrh môže ohrozovať napr. pracovníkov istých profesií favorizovaním špecifických aktivít či technológií.</w:t>
            </w:r>
          </w:p>
        </w:tc>
        <w:tc>
          <w:tcPr>
            <w:tcW w:w="3007" w:type="pct"/>
            <w:tcBorders>
              <w:bottom w:val="single" w:sz="4" w:space="0" w:color="auto"/>
            </w:tcBorders>
            <w:shd w:val="clear" w:color="auto" w:fill="FFFFFF"/>
          </w:tcPr>
          <w:p w:rsidR="00994C53" w:rsidRPr="00A30F1C" w:rsidRDefault="004003B4" w:rsidP="00994C53">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Neboli identifikované špecifické vplyvy.</w:t>
            </w:r>
          </w:p>
        </w:tc>
      </w:tr>
      <w:tr w:rsidR="00994C53" w:rsidRPr="00994C53" w:rsidTr="000D226A">
        <w:trPr>
          <w:trHeight w:val="219"/>
          <w:jc w:val="center"/>
        </w:trPr>
        <w:tc>
          <w:tcPr>
            <w:tcW w:w="5000" w:type="pct"/>
            <w:gridSpan w:val="2"/>
            <w:tcBorders>
              <w:bottom w:val="single" w:sz="4" w:space="0" w:color="auto"/>
            </w:tcBorders>
            <w:shd w:val="clear" w:color="auto" w:fill="F2F2F2"/>
          </w:tcPr>
          <w:p w:rsidR="00994C53" w:rsidRPr="00994C53" w:rsidRDefault="00994C53" w:rsidP="00994C53">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Ovplyvňuje návrh špecifické vekové skupiny zamestnancov? Ak áno, aké? Akým spôsobom?</w:t>
            </w:r>
          </w:p>
        </w:tc>
      </w:tr>
      <w:tr w:rsidR="00994C53" w:rsidRPr="00994C53" w:rsidTr="000D226A">
        <w:trPr>
          <w:trHeight w:val="497"/>
          <w:jc w:val="center"/>
        </w:trPr>
        <w:tc>
          <w:tcPr>
            <w:tcW w:w="1993" w:type="pct"/>
            <w:tcBorders>
              <w:bottom w:val="single" w:sz="4" w:space="0" w:color="auto"/>
            </w:tcBorders>
            <w:shd w:val="clear" w:color="auto" w:fill="FFFFFF"/>
          </w:tcPr>
          <w:p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bottom w:val="single" w:sz="4" w:space="0" w:color="auto"/>
            </w:tcBorders>
            <w:shd w:val="clear" w:color="auto" w:fill="FFFFFF"/>
          </w:tcPr>
          <w:p w:rsidR="00994C53" w:rsidRPr="00A30F1C" w:rsidRDefault="004003B4" w:rsidP="00994C53">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Tento vplyv sa nepredpokladá.</w:t>
            </w:r>
          </w:p>
        </w:tc>
      </w:tr>
    </w:tbl>
    <w:p w:rsidR="00B90A2F" w:rsidRDefault="00B90A2F" w:rsidP="00CD4982">
      <w:pPr>
        <w:spacing w:after="0" w:line="240" w:lineRule="auto"/>
        <w:outlineLvl w:val="0"/>
        <w:rPr>
          <w:rFonts w:ascii="Times New Roman" w:eastAsia="Times New Roman" w:hAnsi="Times New Roman" w:cs="Times New Roman"/>
          <w:b/>
          <w:sz w:val="28"/>
          <w:szCs w:val="28"/>
          <w:lang w:eastAsia="sk-SK"/>
        </w:rPr>
        <w:sectPr w:rsidR="00B90A2F" w:rsidSect="0040544D">
          <w:footnotePr>
            <w:numFmt w:val="chicago"/>
          </w:footnotePr>
          <w:type w:val="continuous"/>
          <w:pgSz w:w="11906" w:h="16838"/>
          <w:pgMar w:top="1134" w:right="1418" w:bottom="1134" w:left="1418" w:header="510" w:footer="567" w:gutter="0"/>
          <w:cols w:space="708"/>
          <w:formProt w:val="0"/>
          <w:docGrid w:linePitch="360"/>
        </w:sectPr>
      </w:pPr>
    </w:p>
    <w:p w:rsidR="00CB3623" w:rsidRDefault="00CB3623" w:rsidP="00225512">
      <w:pPr>
        <w:spacing w:after="0" w:line="240" w:lineRule="auto"/>
        <w:jc w:val="center"/>
        <w:outlineLvl w:val="0"/>
      </w:pPr>
    </w:p>
    <w:sectPr w:rsidR="00CB3623" w:rsidSect="00CD4982">
      <w:footnotePr>
        <w:numRestart w:val="eachSect"/>
      </w:footnotePr>
      <w:pgSz w:w="11906" w:h="16838"/>
      <w:pgMar w:top="1134" w:right="1418" w:bottom="1134" w:left="1418" w:header="51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F5C" w:rsidRDefault="00242F5C" w:rsidP="001D6749">
      <w:pPr>
        <w:spacing w:after="0" w:line="240" w:lineRule="auto"/>
      </w:pPr>
      <w:r>
        <w:separator/>
      </w:r>
    </w:p>
  </w:endnote>
  <w:endnote w:type="continuationSeparator" w:id="0">
    <w:p w:rsidR="00242F5C" w:rsidRDefault="00242F5C" w:rsidP="001D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922620"/>
      <w:docPartObj>
        <w:docPartGallery w:val="Page Numbers (Bottom of Page)"/>
        <w:docPartUnique/>
      </w:docPartObj>
    </w:sdtPr>
    <w:sdtEndPr>
      <w:rPr>
        <w:rFonts w:ascii="Times New Roman" w:hAnsi="Times New Roman" w:cs="Times New Roman"/>
      </w:rPr>
    </w:sdtEndPr>
    <w:sdtContent>
      <w:p w:rsidR="00224847" w:rsidRPr="001D6749" w:rsidRDefault="00224847">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358E1">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1D6749" w:rsidRPr="001D6749" w:rsidRDefault="001D6749">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358E1">
          <w:rPr>
            <w:rFonts w:ascii="Times New Roman" w:hAnsi="Times New Roman" w:cs="Times New Roman"/>
            <w:noProof/>
          </w:rPr>
          <w:t>9</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F5C" w:rsidRDefault="00242F5C" w:rsidP="001D6749">
      <w:pPr>
        <w:spacing w:after="0" w:line="240" w:lineRule="auto"/>
      </w:pPr>
      <w:r>
        <w:separator/>
      </w:r>
    </w:p>
  </w:footnote>
  <w:footnote w:type="continuationSeparator" w:id="0">
    <w:p w:rsidR="00242F5C" w:rsidRDefault="00242F5C" w:rsidP="001D6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47" w:rsidRPr="00CD4982" w:rsidRDefault="00224847" w:rsidP="00CD4982">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749" w:rsidRPr="00CD4982" w:rsidRDefault="001D6749" w:rsidP="00CD4982">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Príloha č.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75D6"/>
    <w:multiLevelType w:val="hybridMultilevel"/>
    <w:tmpl w:val="EE04C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906FA3"/>
    <w:multiLevelType w:val="hybridMultilevel"/>
    <w:tmpl w:val="78EA3660"/>
    <w:lvl w:ilvl="0" w:tplc="E9D65000">
      <w:numFmt w:val="bullet"/>
      <w:lvlText w:val="-"/>
      <w:lvlJc w:val="left"/>
      <w:pPr>
        <w:ind w:left="720" w:hanging="360"/>
      </w:pPr>
      <w:rPr>
        <w:rFonts w:ascii="Times New Roman" w:eastAsia="Calibri" w:hAnsi="Times New Roman" w:cs="Times New Roman"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E634A0"/>
    <w:multiLevelType w:val="hybridMultilevel"/>
    <w:tmpl w:val="81181248"/>
    <w:lvl w:ilvl="0" w:tplc="CDB060C2">
      <w:numFmt w:val="bullet"/>
      <w:lvlText w:val="-"/>
      <w:lvlJc w:val="left"/>
      <w:pPr>
        <w:ind w:left="720" w:hanging="360"/>
      </w:pPr>
      <w:rPr>
        <w:rFonts w:ascii="Times New Roman" w:eastAsia="Calibri" w:hAnsi="Times New Roman" w:cs="Times New Roman"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5137714"/>
    <w:multiLevelType w:val="hybridMultilevel"/>
    <w:tmpl w:val="9AB0E9E2"/>
    <w:lvl w:ilvl="0" w:tplc="4C48CA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3"/>
  </w:num>
  <w:num w:numId="5">
    <w:abstractNumId w:val="11"/>
  </w:num>
  <w:num w:numId="6">
    <w:abstractNumId w:val="14"/>
  </w:num>
  <w:num w:numId="7">
    <w:abstractNumId w:val="0"/>
  </w:num>
  <w:num w:numId="8">
    <w:abstractNumId w:val="12"/>
  </w:num>
  <w:num w:numId="9">
    <w:abstractNumId w:val="7"/>
  </w:num>
  <w:num w:numId="10">
    <w:abstractNumId w:val="10"/>
  </w:num>
  <w:num w:numId="11">
    <w:abstractNumId w:val="9"/>
  </w:num>
  <w:num w:numId="12">
    <w:abstractNumId w:val="4"/>
  </w:num>
  <w:num w:numId="13">
    <w:abstractNumId w:val="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5D"/>
    <w:rsid w:val="000009B5"/>
    <w:rsid w:val="000274D0"/>
    <w:rsid w:val="000C16EB"/>
    <w:rsid w:val="000D57E4"/>
    <w:rsid w:val="000D7680"/>
    <w:rsid w:val="001623DF"/>
    <w:rsid w:val="00165321"/>
    <w:rsid w:val="001A79BF"/>
    <w:rsid w:val="001C5745"/>
    <w:rsid w:val="001D6749"/>
    <w:rsid w:val="001F7932"/>
    <w:rsid w:val="00204D10"/>
    <w:rsid w:val="00224847"/>
    <w:rsid w:val="00225512"/>
    <w:rsid w:val="00227A26"/>
    <w:rsid w:val="00242F5C"/>
    <w:rsid w:val="00272BA6"/>
    <w:rsid w:val="00275F99"/>
    <w:rsid w:val="00301FB9"/>
    <w:rsid w:val="00316CDF"/>
    <w:rsid w:val="00337B5D"/>
    <w:rsid w:val="003541E9"/>
    <w:rsid w:val="00357E2A"/>
    <w:rsid w:val="00362CBF"/>
    <w:rsid w:val="003849C7"/>
    <w:rsid w:val="003B68B0"/>
    <w:rsid w:val="004003B4"/>
    <w:rsid w:val="0040544D"/>
    <w:rsid w:val="00436447"/>
    <w:rsid w:val="00466488"/>
    <w:rsid w:val="00480182"/>
    <w:rsid w:val="004A441C"/>
    <w:rsid w:val="004C5B8E"/>
    <w:rsid w:val="004F2664"/>
    <w:rsid w:val="004F68F7"/>
    <w:rsid w:val="0051643C"/>
    <w:rsid w:val="00520808"/>
    <w:rsid w:val="00525BD6"/>
    <w:rsid w:val="00567FCC"/>
    <w:rsid w:val="00585AD3"/>
    <w:rsid w:val="005A57C8"/>
    <w:rsid w:val="005E401B"/>
    <w:rsid w:val="006A60EA"/>
    <w:rsid w:val="006A7632"/>
    <w:rsid w:val="006B34DA"/>
    <w:rsid w:val="007027C3"/>
    <w:rsid w:val="007B003C"/>
    <w:rsid w:val="00831412"/>
    <w:rsid w:val="00881728"/>
    <w:rsid w:val="008A4F7C"/>
    <w:rsid w:val="00913629"/>
    <w:rsid w:val="00921D53"/>
    <w:rsid w:val="00943698"/>
    <w:rsid w:val="00951ED0"/>
    <w:rsid w:val="00972E46"/>
    <w:rsid w:val="00975369"/>
    <w:rsid w:val="00994C53"/>
    <w:rsid w:val="00997B26"/>
    <w:rsid w:val="009A0D54"/>
    <w:rsid w:val="009B755F"/>
    <w:rsid w:val="009F385D"/>
    <w:rsid w:val="00A30F1C"/>
    <w:rsid w:val="00A51260"/>
    <w:rsid w:val="00A53AFA"/>
    <w:rsid w:val="00A605B0"/>
    <w:rsid w:val="00A87D5B"/>
    <w:rsid w:val="00AB649E"/>
    <w:rsid w:val="00AD045B"/>
    <w:rsid w:val="00AF39B8"/>
    <w:rsid w:val="00B057BC"/>
    <w:rsid w:val="00B4080A"/>
    <w:rsid w:val="00B437B3"/>
    <w:rsid w:val="00B90A2F"/>
    <w:rsid w:val="00BC22E3"/>
    <w:rsid w:val="00BD65F2"/>
    <w:rsid w:val="00C358E1"/>
    <w:rsid w:val="00C63956"/>
    <w:rsid w:val="00C77AA2"/>
    <w:rsid w:val="00CA023C"/>
    <w:rsid w:val="00CA3E12"/>
    <w:rsid w:val="00CA6BAF"/>
    <w:rsid w:val="00CB3623"/>
    <w:rsid w:val="00CC02E7"/>
    <w:rsid w:val="00CD4982"/>
    <w:rsid w:val="00D03CFE"/>
    <w:rsid w:val="00D16498"/>
    <w:rsid w:val="00D829FE"/>
    <w:rsid w:val="00D921AE"/>
    <w:rsid w:val="00DA4453"/>
    <w:rsid w:val="00DC53A1"/>
    <w:rsid w:val="00DF7EE0"/>
    <w:rsid w:val="00E22685"/>
    <w:rsid w:val="00E2292E"/>
    <w:rsid w:val="00E40428"/>
    <w:rsid w:val="00E538C0"/>
    <w:rsid w:val="00EF0C21"/>
    <w:rsid w:val="00F2597D"/>
    <w:rsid w:val="00F30B4E"/>
    <w:rsid w:val="00F625DB"/>
    <w:rsid w:val="00F65015"/>
    <w:rsid w:val="00F74B56"/>
    <w:rsid w:val="00F7696B"/>
    <w:rsid w:val="00F77D10"/>
    <w:rsid w:val="00F938A1"/>
    <w:rsid w:val="00FA11DD"/>
    <w:rsid w:val="00FB7660"/>
    <w:rsid w:val="00FD0E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88CA"/>
  <w15:docId w15:val="{7F9F5B76-4986-4BB5-9078-6AC0BAF0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1D674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D6749"/>
    <w:rPr>
      <w:sz w:val="20"/>
      <w:szCs w:val="20"/>
    </w:rPr>
  </w:style>
  <w:style w:type="character" w:styleId="Odkaznapoznmkupodiarou">
    <w:name w:val="footnote reference"/>
    <w:aliases w:val="Footnote symbol,Footnote reference number"/>
    <w:semiHidden/>
    <w:unhideWhenUsed/>
    <w:rsid w:val="001D6749"/>
    <w:rPr>
      <w:vertAlign w:val="superscript"/>
    </w:rPr>
  </w:style>
  <w:style w:type="paragraph" w:styleId="Hlavika">
    <w:name w:val="header"/>
    <w:basedOn w:val="Normlny"/>
    <w:link w:val="HlavikaChar"/>
    <w:uiPriority w:val="99"/>
    <w:unhideWhenUsed/>
    <w:rsid w:val="001D67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6749"/>
  </w:style>
  <w:style w:type="paragraph" w:styleId="Pta">
    <w:name w:val="footer"/>
    <w:basedOn w:val="Normlny"/>
    <w:link w:val="PtaChar"/>
    <w:uiPriority w:val="99"/>
    <w:unhideWhenUsed/>
    <w:rsid w:val="001D6749"/>
    <w:pPr>
      <w:tabs>
        <w:tab w:val="center" w:pos="4536"/>
        <w:tab w:val="right" w:pos="9072"/>
      </w:tabs>
      <w:spacing w:after="0" w:line="240" w:lineRule="auto"/>
    </w:pPr>
  </w:style>
  <w:style w:type="character" w:customStyle="1" w:styleId="PtaChar">
    <w:name w:val="Päta Char"/>
    <w:basedOn w:val="Predvolenpsmoodseku"/>
    <w:link w:val="Pta"/>
    <w:uiPriority w:val="99"/>
    <w:rsid w:val="001D6749"/>
  </w:style>
  <w:style w:type="character" w:styleId="Odkaznakomentr">
    <w:name w:val="annotation reference"/>
    <w:basedOn w:val="Predvolenpsmoodseku"/>
    <w:uiPriority w:val="99"/>
    <w:semiHidden/>
    <w:unhideWhenUsed/>
    <w:rsid w:val="00CD4982"/>
    <w:rPr>
      <w:sz w:val="16"/>
      <w:szCs w:val="16"/>
    </w:rPr>
  </w:style>
  <w:style w:type="paragraph" w:styleId="Textkomentra">
    <w:name w:val="annotation text"/>
    <w:basedOn w:val="Normlny"/>
    <w:link w:val="TextkomentraChar"/>
    <w:uiPriority w:val="99"/>
    <w:semiHidden/>
    <w:unhideWhenUsed/>
    <w:rsid w:val="00CD4982"/>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CD4982"/>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CD49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D4982"/>
    <w:rPr>
      <w:rFonts w:ascii="Tahoma" w:hAnsi="Tahoma" w:cs="Tahoma"/>
      <w:sz w:val="16"/>
      <w:szCs w:val="16"/>
    </w:rPr>
  </w:style>
  <w:style w:type="paragraph" w:styleId="Odsekzoznamu">
    <w:name w:val="List Paragraph"/>
    <w:basedOn w:val="Normlny"/>
    <w:uiPriority w:val="34"/>
    <w:qFormat/>
    <w:rsid w:val="006A7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socialne-vplyvy"/>
    <f:field ref="objsubject" par="" edit="true" text=""/>
    <f:field ref="objcreatedby" par="" text="Smažáková, Janette"/>
    <f:field ref="objcreatedat" par="" text="7.5.2019 17:30:24"/>
    <f:field ref="objchangedby" par="" text="Administrator, System"/>
    <f:field ref="objmodifiedat" par="" text="7.5.2019 17:30:2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898A285-A4DA-4E9D-A0E8-A168865F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2644</Words>
  <Characters>15077</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Vitteková Katarína</cp:lastModifiedBy>
  <cp:revision>2</cp:revision>
  <cp:lastPrinted>2019-05-06T07:15:00Z</cp:lastPrinted>
  <dcterms:created xsi:type="dcterms:W3CDTF">2019-07-02T08:47:00Z</dcterms:created>
  <dcterms:modified xsi:type="dcterms:W3CDTF">2019-07-02T08:47:00Z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Životné prostredie_x000d_
Odpady, nakladanie s odpadmi</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Janette Smažáková</vt:lpwstr>
  </property>
  <property fmtid="{D5CDD505-2E9C-101B-9397-08002B2CF9AE}" pid="12" name="FSC#SKEDITIONSLOVLEX@103.510:zodppredkladatel">
    <vt:lpwstr>László Sólymos</vt:lpwstr>
  </property>
  <property fmtid="{D5CDD505-2E9C-101B-9397-08002B2CF9AE}" pid="13" name="FSC#SKEDITIONSLOVLEX@103.510:dalsipredkladatel">
    <vt:lpwstr/>
  </property>
  <property fmtid="{D5CDD505-2E9C-101B-9397-08002B2CF9AE}" pid="14" name="FSC#SKEDITIONSLOVLEX@103.510:nazovpredpis">
    <vt:lpwstr>,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2019</vt:lpwstr>
  </property>
  <property fmtid="{D5CDD505-2E9C-101B-9397-08002B2CF9AE}" pid="23" name="FSC#SKEDITIONSLOVLEX@103.510:plnynazovpredpis">
    <vt:lpwstr> Zákon,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7408/2019-9.1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LP/2019/350</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114 a čl. 191 až 193 Zmluvy o fungovaní Európskej únie  </vt:lpwstr>
  </property>
  <property fmtid="{D5CDD505-2E9C-101B-9397-08002B2CF9AE}" pid="47" name="FSC#SKEDITIONSLOVLEX@103.510:AttrStrListDocPropSekundarneLegPravoPO">
    <vt:lpwstr>SMERNICA EURÓPSKEHO PARLAMENTU a RADY (EÚ) 2018/852 z 30. mája 2018, ktorou sa mení smernica 94/62/ES o obaloch a odpadoch z obalov (Ú. v. EÚ L 150, 14.6.2018)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obsiahnutý</vt:lpwstr>
  </property>
  <property fmtid="{D5CDD505-2E9C-101B-9397-08002B2CF9AE}" pid="52" name="FSC#SKEDITIONSLOVLEX@103.510:AttrStrListDocPropLehotaPrebratieSmernice">
    <vt:lpwstr>-	5. júl 2020</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Návrh zákona rieši aj odstránenie transpozičných a iných nedostatkov vytýkaných zo strany Európskej komisie v rámci prebiehajúceho prípadu EU Pilot č. EUP(2018)9334. Úpravou relevantných ustanovení dôjde k úplnej transpozícii článku 2 písm. h) a článku </vt:lpwstr>
  </property>
  <property fmtid="{D5CDD505-2E9C-101B-9397-08002B2CF9AE}" pid="55" name="FSC#SKEDITIONSLOVLEX@103.510:AttrStrListDocPropInfoUzPreberanePP">
    <vt:lpwstr>- Zákon č. 79/2015 Z. z. o odpadoch a o zmene a doplnení niektorých zákonov v znení    neskorších predpisov_x000d_
- Vyhláška Ministerstva životného prostredia Slovenskej republiky č. 366/2015 Z. z. o evidenčnej povinnosti a ohlasovacej povinnosti v znení nesko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11. 4. 2019</vt:lpwstr>
  </property>
  <property fmtid="{D5CDD505-2E9C-101B-9397-08002B2CF9AE}" pid="59" name="FSC#SKEDITIONSLOVLEX@103.510:AttrDateDocPropUkonceniePKK">
    <vt:lpwstr>26. 4. 2019</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&lt;table align="left" cellpadding="0" cellspacing="0" hspace="0" vspace="0"&gt;	&lt;tbody&gt;		&lt;tr&gt;			&lt;td align="left"&gt;			&lt;p&gt;V&amp;nbsp;súvislosti so zavedením zmien a zrušením výnimiek z&amp;nbsp;povinnosti zavedenia a&amp;nbsp;zabezpečovania triedeného zberu biologicky rozlož</vt:lpwstr>
  </property>
  <property fmtid="{D5CDD505-2E9C-101B-9397-08002B2CF9AE}" pid="66" name="FSC#SKEDITIONSLOVLEX@103.510:AttrStrListDocPropAltRiesenia">
    <vt:lpwstr>Alternatívne riešenie 0 – pôvodný stav (hrozba nesplnenia záväzkov vyplývajúcich z nedodržania lehoty určenej na transpozíciu smerníc uvedených v bode 1 a neodstránenie transpozičných  nedostatkov  vytýkaných zo strany Európskej Komisie v rámci prebiehajú</vt:lpwstr>
  </property>
  <property fmtid="{D5CDD505-2E9C-101B-9397-08002B2CF9AE}" pid="67" name="FSC#SKEDITIONSLOVLEX@103.510:AttrStrListDocPropStanoviskoGest">
    <vt:lpwstr>&lt;table align="left" cellpadding="0" cellspacing="0" hspace="0" vspace="0"&gt;	&lt;tbody&gt;		&lt;tr&gt;			&lt;td align="left"&gt;			&lt;p&gt;I. Úvod: Ministerstvo životného prostredia Slovenskej republiky dňa 10. apríla 2019 predložilo Stálej pracovnej komisii na posudzovanie vybra</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životného prostredia Slovenskej republiky</vt:lpwstr>
  </property>
  <property fmtid="{D5CDD505-2E9C-101B-9397-08002B2CF9AE}" pid="142" name="FSC#SKEDITIONSLOVLEX@103.510:funkciaZodpPredAkuzativ">
    <vt:lpwstr>podpredsedovi vlády a ministrovi životného prostredia Slovenskej republiky</vt:lpwstr>
  </property>
  <property fmtid="{D5CDD505-2E9C-101B-9397-08002B2CF9AE}" pid="143" name="FSC#SKEDITIONSLOVLEX@103.510:funkciaZodpPredDativ">
    <vt:lpwstr>podpredsedu vlády a ministra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László Sólymos_x000d_
podpredseda vlády a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životného prostredia Slovenskej republiky predkladá na základe Plánu legislatívnych úloh vlády Slovenskej republiky na rok 2019 do legislatívneho procesu návrh zákona, ktorým sa mení a&amp;nbsp;dopĺňa zákon č. 79/2</vt:lpwstr>
  </property>
  <property fmtid="{D5CDD505-2E9C-101B-9397-08002B2CF9AE}" pid="150" name="FSC#SKEDITIONSLOVLEX@103.510:vytvorenedna">
    <vt:lpwstr>7. 5. 2019</vt:lpwstr>
  </property>
  <property fmtid="{D5CDD505-2E9C-101B-9397-08002B2CF9AE}" pid="151" name="FSC#COOSYSTEM@1.1:Container">
    <vt:lpwstr>COO.2145.1000.3.3349493</vt:lpwstr>
  </property>
  <property fmtid="{D5CDD505-2E9C-101B-9397-08002B2CF9AE}" pid="152" name="FSC#FSCFOLIO@1.1001:docpropproject">
    <vt:lpwstr/>
  </property>
</Properties>
</file>