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rsidR="00E963A3" w:rsidRDefault="00E963A3" w:rsidP="00212894">
      <w:pPr>
        <w:spacing w:after="0" w:line="240" w:lineRule="auto"/>
        <w:rPr>
          <w:rFonts w:ascii="Times New Roman" w:eastAsia="Times New Roman" w:hAnsi="Times New Roman" w:cs="Times New Roman"/>
          <w:b/>
          <w:bCs/>
          <w:sz w:val="24"/>
          <w:szCs w:val="24"/>
          <w:lang w:eastAsia="sk-SK"/>
        </w:rPr>
      </w:pPr>
    </w:p>
    <w:p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963A3" w:rsidRDefault="00E963A3" w:rsidP="007D5748">
      <w:pPr>
        <w:spacing w:after="0" w:line="240" w:lineRule="auto"/>
        <w:jc w:val="right"/>
        <w:rPr>
          <w:rFonts w:ascii="Times New Roman" w:eastAsia="Times New Roman" w:hAnsi="Times New Roman" w:cs="Times New Roman"/>
          <w:sz w:val="20"/>
          <w:szCs w:val="20"/>
          <w:lang w:eastAsia="sk-SK"/>
        </w:rPr>
      </w:pP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80"/>
        <w:gridCol w:w="1280"/>
      </w:tblGrid>
      <w:tr w:rsidR="007D5748" w:rsidRPr="007D5748" w:rsidTr="004A5202">
        <w:trPr>
          <w:cantSplit/>
          <w:trHeight w:val="194"/>
          <w:jc w:val="center"/>
        </w:trPr>
        <w:tc>
          <w:tcPr>
            <w:tcW w:w="4661" w:type="dxa"/>
            <w:vMerge w:val="restart"/>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94" w:type="dxa"/>
            <w:gridSpan w:val="4"/>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rsidTr="004A5202">
        <w:trPr>
          <w:cantSplit/>
          <w:trHeight w:val="70"/>
          <w:jc w:val="center"/>
        </w:trPr>
        <w:tc>
          <w:tcPr>
            <w:tcW w:w="4661" w:type="dxa"/>
            <w:vMerge/>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D5748" w:rsidRDefault="00DE034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267" w:type="dxa"/>
            <w:shd w:val="clear" w:color="auto" w:fill="BFBFBF" w:themeFill="background1" w:themeFillShade="BF"/>
            <w:vAlign w:val="center"/>
          </w:tcPr>
          <w:p w:rsidR="007D5748" w:rsidRPr="007D5748" w:rsidRDefault="00DE034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80" w:type="dxa"/>
            <w:shd w:val="clear" w:color="auto" w:fill="BFBFBF" w:themeFill="background1" w:themeFillShade="BF"/>
            <w:vAlign w:val="center"/>
          </w:tcPr>
          <w:p w:rsidR="007D5748" w:rsidRPr="007D5748" w:rsidRDefault="00DE034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80" w:type="dxa"/>
            <w:shd w:val="clear" w:color="auto" w:fill="BFBFBF" w:themeFill="background1" w:themeFillShade="BF"/>
            <w:vAlign w:val="center"/>
          </w:tcPr>
          <w:p w:rsidR="007D5748" w:rsidRPr="007D5748" w:rsidRDefault="00DE034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r>
      <w:tr w:rsidR="007D5748" w:rsidRPr="007D5748" w:rsidTr="004A5202">
        <w:trPr>
          <w:trHeight w:val="70"/>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D5748" w:rsidRDefault="00DE0348"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80"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80"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4A5202">
        <w:trPr>
          <w:trHeight w:val="132"/>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rsidTr="004A5202">
        <w:trPr>
          <w:trHeight w:val="125"/>
          <w:jc w:val="center"/>
        </w:trPr>
        <w:tc>
          <w:tcPr>
            <w:tcW w:w="4661" w:type="dxa"/>
            <w:noWrap/>
            <w:vAlign w:val="center"/>
          </w:tcPr>
          <w:p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80"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80"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80"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4A5202">
        <w:trPr>
          <w:trHeight w:val="125"/>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690CD7" w:rsidRDefault="00CA049E"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154 000</w:t>
            </w:r>
          </w:p>
        </w:tc>
        <w:tc>
          <w:tcPr>
            <w:tcW w:w="1280" w:type="dxa"/>
            <w:shd w:val="clear" w:color="auto" w:fill="C0C0C0"/>
            <w:noWrap/>
            <w:vAlign w:val="center"/>
          </w:tcPr>
          <w:p w:rsidR="007D5748" w:rsidRPr="00690CD7" w:rsidRDefault="00CA049E" w:rsidP="0003558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w:t>
            </w:r>
            <w:r w:rsidR="004A5202" w:rsidRPr="00690CD7">
              <w:rPr>
                <w:rFonts w:ascii="Times New Roman" w:eastAsia="Times New Roman" w:hAnsi="Times New Roman" w:cs="Times New Roman"/>
                <w:b/>
                <w:bCs/>
                <w:sz w:val="24"/>
                <w:szCs w:val="24"/>
                <w:lang w:eastAsia="sk-SK"/>
              </w:rPr>
              <w:t> 282 031,5</w:t>
            </w:r>
          </w:p>
        </w:tc>
        <w:tc>
          <w:tcPr>
            <w:tcW w:w="1280" w:type="dxa"/>
            <w:shd w:val="clear" w:color="auto" w:fill="C0C0C0"/>
            <w:noWrap/>
            <w:vAlign w:val="center"/>
          </w:tcPr>
          <w:p w:rsidR="007D5748" w:rsidRPr="00690CD7" w:rsidRDefault="004A5202" w:rsidP="00CA049E">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1 282 031,5</w:t>
            </w:r>
          </w:p>
        </w:tc>
      </w:tr>
      <w:tr w:rsidR="007D5748" w:rsidRPr="007D5748" w:rsidTr="004A5202">
        <w:trPr>
          <w:trHeight w:val="70"/>
          <w:jc w:val="center"/>
        </w:trPr>
        <w:tc>
          <w:tcPr>
            <w:tcW w:w="4661" w:type="dxa"/>
            <w:noWrap/>
            <w:vAlign w:val="center"/>
          </w:tcPr>
          <w:p w:rsidR="007D5748" w:rsidRPr="007D5748" w:rsidRDefault="00DE0348"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MŽP SR/program 076</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c>
          <w:tcPr>
            <w:tcW w:w="1280" w:type="dxa"/>
            <w:noWrap/>
            <w:vAlign w:val="center"/>
          </w:tcPr>
          <w:p w:rsidR="007D5748" w:rsidRPr="00690CD7" w:rsidRDefault="004A5202"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52 031,5</w:t>
            </w:r>
          </w:p>
        </w:tc>
        <w:tc>
          <w:tcPr>
            <w:tcW w:w="1280" w:type="dxa"/>
            <w:noWrap/>
            <w:vAlign w:val="center"/>
          </w:tcPr>
          <w:p w:rsidR="007D5748" w:rsidRPr="00690CD7" w:rsidRDefault="004A5202"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52 031,5</w:t>
            </w:r>
          </w:p>
        </w:tc>
      </w:tr>
      <w:tr w:rsidR="0024167E" w:rsidRPr="007D5748" w:rsidTr="004A5202">
        <w:trPr>
          <w:trHeight w:val="70"/>
          <w:jc w:val="center"/>
        </w:trPr>
        <w:tc>
          <w:tcPr>
            <w:tcW w:w="4661" w:type="dxa"/>
            <w:noWrap/>
            <w:vAlign w:val="center"/>
          </w:tcPr>
          <w:p w:rsidR="0024167E" w:rsidRPr="007D5748" w:rsidRDefault="0024167E" w:rsidP="007D5748">
            <w:pPr>
              <w:spacing w:after="0" w:line="240" w:lineRule="auto"/>
              <w:rPr>
                <w:rFonts w:ascii="Times New Roman" w:eastAsia="Times New Roman" w:hAnsi="Times New Roman" w:cs="Times New Roman"/>
                <w:b/>
                <w:bCs/>
                <w:i/>
                <w:iCs/>
                <w:sz w:val="24"/>
                <w:szCs w:val="24"/>
                <w:lang w:eastAsia="sk-SK"/>
              </w:rPr>
            </w:pPr>
            <w:r>
              <w:rPr>
                <w:rFonts w:ascii="Times New Roman" w:eastAsia="Times New Roman" w:hAnsi="Times New Roman" w:cs="Times New Roman"/>
                <w:sz w:val="24"/>
                <w:szCs w:val="24"/>
                <w:lang w:eastAsia="sk-SK"/>
              </w:rPr>
              <w:t>MŽP SR/program 0EK0E</w:t>
            </w:r>
          </w:p>
        </w:tc>
        <w:tc>
          <w:tcPr>
            <w:tcW w:w="1267" w:type="dxa"/>
            <w:noWrap/>
            <w:vAlign w:val="center"/>
          </w:tcPr>
          <w:p w:rsidR="0024167E" w:rsidRPr="00063974" w:rsidRDefault="0024167E" w:rsidP="007D5748">
            <w:pPr>
              <w:spacing w:after="0" w:line="240" w:lineRule="auto"/>
              <w:jc w:val="right"/>
              <w:rPr>
                <w:rFonts w:ascii="Times New Roman" w:eastAsia="Times New Roman" w:hAnsi="Times New Roman" w:cs="Times New Roman"/>
                <w:bCs/>
                <w:iCs/>
                <w:sz w:val="24"/>
                <w:szCs w:val="24"/>
                <w:lang w:eastAsia="sk-SK"/>
              </w:rPr>
            </w:pPr>
            <w:r w:rsidRPr="00063974">
              <w:rPr>
                <w:rFonts w:ascii="Times New Roman" w:eastAsia="Times New Roman" w:hAnsi="Times New Roman" w:cs="Times New Roman"/>
                <w:bCs/>
                <w:iCs/>
                <w:sz w:val="24"/>
                <w:szCs w:val="24"/>
                <w:lang w:eastAsia="sk-SK"/>
              </w:rPr>
              <w:t>0</w:t>
            </w:r>
          </w:p>
        </w:tc>
        <w:tc>
          <w:tcPr>
            <w:tcW w:w="1267" w:type="dxa"/>
            <w:noWrap/>
            <w:vAlign w:val="center"/>
          </w:tcPr>
          <w:p w:rsidR="0024167E" w:rsidRPr="00690CD7" w:rsidRDefault="0024167E" w:rsidP="007D5748">
            <w:pPr>
              <w:spacing w:after="0" w:line="240" w:lineRule="auto"/>
              <w:jc w:val="right"/>
              <w:rPr>
                <w:rFonts w:ascii="Times New Roman" w:eastAsia="Times New Roman" w:hAnsi="Times New Roman" w:cs="Times New Roman"/>
                <w:bCs/>
                <w:iCs/>
                <w:sz w:val="24"/>
                <w:szCs w:val="24"/>
                <w:lang w:eastAsia="sk-SK"/>
              </w:rPr>
            </w:pPr>
            <w:r w:rsidRPr="00690CD7">
              <w:rPr>
                <w:rFonts w:ascii="Times New Roman" w:eastAsia="Times New Roman" w:hAnsi="Times New Roman" w:cs="Times New Roman"/>
                <w:bCs/>
                <w:iCs/>
                <w:sz w:val="24"/>
                <w:szCs w:val="24"/>
                <w:lang w:eastAsia="sk-SK"/>
              </w:rPr>
              <w:t>154 000</w:t>
            </w:r>
          </w:p>
        </w:tc>
        <w:tc>
          <w:tcPr>
            <w:tcW w:w="1280" w:type="dxa"/>
            <w:noWrap/>
            <w:vAlign w:val="center"/>
          </w:tcPr>
          <w:p w:rsidR="0024167E" w:rsidRPr="00690CD7" w:rsidRDefault="0024167E" w:rsidP="007D5748">
            <w:pPr>
              <w:spacing w:after="0" w:line="240" w:lineRule="auto"/>
              <w:jc w:val="right"/>
              <w:rPr>
                <w:rFonts w:ascii="Times New Roman" w:eastAsia="Times New Roman" w:hAnsi="Times New Roman" w:cs="Times New Roman"/>
                <w:bCs/>
                <w:iCs/>
                <w:sz w:val="24"/>
                <w:szCs w:val="24"/>
                <w:lang w:eastAsia="sk-SK"/>
              </w:rPr>
            </w:pPr>
            <w:r w:rsidRPr="00690CD7">
              <w:rPr>
                <w:rFonts w:ascii="Times New Roman" w:eastAsia="Times New Roman" w:hAnsi="Times New Roman" w:cs="Times New Roman"/>
                <w:bCs/>
                <w:iCs/>
                <w:sz w:val="24"/>
                <w:szCs w:val="24"/>
                <w:lang w:eastAsia="sk-SK"/>
              </w:rPr>
              <w:t>1 230 000</w:t>
            </w:r>
          </w:p>
        </w:tc>
        <w:tc>
          <w:tcPr>
            <w:tcW w:w="1280" w:type="dxa"/>
            <w:noWrap/>
            <w:vAlign w:val="center"/>
          </w:tcPr>
          <w:p w:rsidR="0024167E" w:rsidRPr="00690CD7" w:rsidRDefault="0024167E" w:rsidP="007D5748">
            <w:pPr>
              <w:spacing w:after="0" w:line="240" w:lineRule="auto"/>
              <w:jc w:val="right"/>
              <w:rPr>
                <w:rFonts w:ascii="Times New Roman" w:eastAsia="Times New Roman" w:hAnsi="Times New Roman" w:cs="Times New Roman"/>
                <w:bCs/>
                <w:iCs/>
                <w:sz w:val="24"/>
                <w:szCs w:val="24"/>
                <w:lang w:eastAsia="sk-SK"/>
              </w:rPr>
            </w:pPr>
            <w:r w:rsidRPr="00690CD7">
              <w:rPr>
                <w:rFonts w:ascii="Times New Roman" w:eastAsia="Times New Roman" w:hAnsi="Times New Roman" w:cs="Times New Roman"/>
                <w:bCs/>
                <w:iCs/>
                <w:sz w:val="24"/>
                <w:szCs w:val="24"/>
                <w:lang w:eastAsia="sk-SK"/>
              </w:rPr>
              <w:t>1 230 000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4A5202" w:rsidRPr="007D5748" w:rsidTr="004A5202">
        <w:trPr>
          <w:trHeight w:val="70"/>
          <w:jc w:val="center"/>
        </w:trPr>
        <w:tc>
          <w:tcPr>
            <w:tcW w:w="4661" w:type="dxa"/>
            <w:noWrap/>
            <w:vAlign w:val="center"/>
          </w:tcPr>
          <w:p w:rsidR="004A5202" w:rsidRPr="007D5748" w:rsidRDefault="004A5202" w:rsidP="004A520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4A5202" w:rsidRPr="007D5748" w:rsidRDefault="004A5202" w:rsidP="004A5202">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4A5202" w:rsidRPr="00690CD7" w:rsidRDefault="004A5202" w:rsidP="004A5202">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154 000</w:t>
            </w:r>
          </w:p>
        </w:tc>
        <w:tc>
          <w:tcPr>
            <w:tcW w:w="1280" w:type="dxa"/>
            <w:noWrap/>
            <w:vAlign w:val="center"/>
          </w:tcPr>
          <w:p w:rsidR="004A5202" w:rsidRPr="00690CD7" w:rsidRDefault="004A5202" w:rsidP="004A5202">
            <w:pPr>
              <w:spacing w:after="0" w:line="240" w:lineRule="auto"/>
              <w:jc w:val="right"/>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1 282 031,5</w:t>
            </w:r>
          </w:p>
        </w:tc>
        <w:tc>
          <w:tcPr>
            <w:tcW w:w="1280" w:type="dxa"/>
            <w:noWrap/>
            <w:vAlign w:val="center"/>
          </w:tcPr>
          <w:p w:rsidR="004A5202" w:rsidRPr="00690CD7" w:rsidRDefault="004A5202" w:rsidP="004A5202">
            <w:pPr>
              <w:spacing w:after="0" w:line="240" w:lineRule="auto"/>
              <w:jc w:val="right"/>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1 282 031,5</w:t>
            </w:r>
          </w:p>
        </w:tc>
      </w:tr>
      <w:tr w:rsidR="004A5202" w:rsidRPr="007D5748" w:rsidTr="004A5202">
        <w:trPr>
          <w:trHeight w:val="70"/>
          <w:jc w:val="center"/>
        </w:trPr>
        <w:tc>
          <w:tcPr>
            <w:tcW w:w="4661" w:type="dxa"/>
            <w:noWrap/>
            <w:vAlign w:val="center"/>
          </w:tcPr>
          <w:p w:rsidR="004A5202" w:rsidRPr="007D5748" w:rsidRDefault="004A5202" w:rsidP="004A5202">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4A5202" w:rsidRPr="007D5748" w:rsidRDefault="004A5202" w:rsidP="004A520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4A5202" w:rsidRPr="00690CD7" w:rsidRDefault="004A5202" w:rsidP="004A5202">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154 000</w:t>
            </w:r>
          </w:p>
        </w:tc>
        <w:tc>
          <w:tcPr>
            <w:tcW w:w="1280" w:type="dxa"/>
            <w:noWrap/>
            <w:vAlign w:val="center"/>
          </w:tcPr>
          <w:p w:rsidR="004A5202" w:rsidRPr="00690CD7" w:rsidRDefault="004A5202" w:rsidP="004A5202">
            <w:pPr>
              <w:spacing w:after="0" w:line="240" w:lineRule="auto"/>
              <w:jc w:val="right"/>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1 282 031,5</w:t>
            </w:r>
          </w:p>
        </w:tc>
        <w:tc>
          <w:tcPr>
            <w:tcW w:w="1280" w:type="dxa"/>
            <w:noWrap/>
            <w:vAlign w:val="center"/>
          </w:tcPr>
          <w:p w:rsidR="004A5202" w:rsidRPr="00690CD7" w:rsidRDefault="004A5202" w:rsidP="004A5202">
            <w:pPr>
              <w:spacing w:after="0" w:line="240" w:lineRule="auto"/>
              <w:jc w:val="right"/>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1 282 031,5</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7D5748" w:rsidRPr="007D5748" w:rsidRDefault="00A942AE"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690CD7" w:rsidRDefault="007D5748"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7D5748" w:rsidRPr="00690CD7" w:rsidRDefault="000104C0"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6</w:t>
            </w:r>
          </w:p>
        </w:tc>
        <w:tc>
          <w:tcPr>
            <w:tcW w:w="1280" w:type="dxa"/>
            <w:shd w:val="clear" w:color="auto" w:fill="BFBFBF" w:themeFill="background1" w:themeFillShade="BF"/>
            <w:noWrap/>
            <w:vAlign w:val="center"/>
          </w:tcPr>
          <w:p w:rsidR="007D5748" w:rsidRPr="00690CD7" w:rsidRDefault="000104C0"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6</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B1420F"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6</w:t>
            </w:r>
          </w:p>
        </w:tc>
        <w:tc>
          <w:tcPr>
            <w:tcW w:w="1280" w:type="dxa"/>
            <w:noWrap/>
            <w:vAlign w:val="center"/>
          </w:tcPr>
          <w:p w:rsidR="007D5748" w:rsidRPr="00690CD7" w:rsidRDefault="00B1420F"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6</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A942AE" w:rsidRDefault="007D5748"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A942AE" w:rsidRDefault="007D5748"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A942AE" w:rsidRDefault="00A942AE"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7D5748" w:rsidRPr="00A942AE" w:rsidRDefault="00A942AE" w:rsidP="002D0F9F">
            <w:pPr>
              <w:spacing w:after="0" w:line="240" w:lineRule="auto"/>
              <w:jc w:val="right"/>
              <w:rPr>
                <w:rFonts w:ascii="Times New Roman" w:eastAsia="Times New Roman" w:hAnsi="Times New Roman" w:cs="Times New Roman"/>
                <w:b/>
                <w:sz w:val="24"/>
                <w:szCs w:val="24"/>
                <w:lang w:eastAsia="sk-SK"/>
              </w:rPr>
            </w:pPr>
            <w:r w:rsidRPr="00A942AE">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7D5748" w:rsidRPr="00690CD7" w:rsidRDefault="007D5748" w:rsidP="007D5748">
            <w:pPr>
              <w:spacing w:after="0" w:line="240" w:lineRule="auto"/>
              <w:jc w:val="right"/>
              <w:rPr>
                <w:rFonts w:ascii="Times New Roman" w:eastAsia="Times New Roman" w:hAnsi="Times New Roman" w:cs="Times New Roman"/>
                <w:b/>
                <w:sz w:val="24"/>
                <w:szCs w:val="24"/>
                <w:lang w:eastAsia="sk-SK"/>
              </w:rPr>
            </w:pPr>
            <w:r w:rsidRPr="00690CD7">
              <w:rPr>
                <w:rFonts w:ascii="Times New Roman" w:eastAsia="Times New Roman" w:hAnsi="Times New Roman" w:cs="Times New Roman"/>
                <w:b/>
                <w:sz w:val="24"/>
                <w:szCs w:val="24"/>
                <w:lang w:eastAsia="sk-SK"/>
              </w:rPr>
              <w:t>0</w:t>
            </w:r>
          </w:p>
        </w:tc>
        <w:tc>
          <w:tcPr>
            <w:tcW w:w="1280" w:type="dxa"/>
            <w:shd w:val="clear" w:color="auto" w:fill="BFBFBF" w:themeFill="background1" w:themeFillShade="BF"/>
            <w:noWrap/>
            <w:vAlign w:val="center"/>
          </w:tcPr>
          <w:p w:rsidR="007D5748" w:rsidRPr="00690CD7" w:rsidRDefault="004A5202" w:rsidP="007D5748">
            <w:pPr>
              <w:spacing w:after="0" w:line="240" w:lineRule="auto"/>
              <w:jc w:val="right"/>
              <w:rPr>
                <w:rFonts w:ascii="Times New Roman" w:eastAsia="Times New Roman" w:hAnsi="Times New Roman" w:cs="Times New Roman"/>
                <w:b/>
                <w:sz w:val="24"/>
                <w:szCs w:val="24"/>
                <w:lang w:eastAsia="sk-SK"/>
              </w:rPr>
            </w:pPr>
            <w:r w:rsidRPr="00690CD7">
              <w:rPr>
                <w:rFonts w:ascii="Times New Roman" w:eastAsia="Times New Roman" w:hAnsi="Times New Roman" w:cs="Times New Roman"/>
                <w:b/>
                <w:sz w:val="24"/>
                <w:szCs w:val="24"/>
                <w:lang w:eastAsia="sk-SK"/>
              </w:rPr>
              <w:t>38 556</w:t>
            </w:r>
          </w:p>
        </w:tc>
        <w:tc>
          <w:tcPr>
            <w:tcW w:w="1280" w:type="dxa"/>
            <w:shd w:val="clear" w:color="auto" w:fill="BFBFBF" w:themeFill="background1" w:themeFillShade="BF"/>
            <w:noWrap/>
            <w:vAlign w:val="center"/>
          </w:tcPr>
          <w:p w:rsidR="007D5748" w:rsidRPr="00690CD7" w:rsidRDefault="004A5202" w:rsidP="007D5748">
            <w:pPr>
              <w:spacing w:after="0" w:line="240" w:lineRule="auto"/>
              <w:jc w:val="right"/>
              <w:rPr>
                <w:rFonts w:ascii="Times New Roman" w:eastAsia="Times New Roman" w:hAnsi="Times New Roman" w:cs="Times New Roman"/>
                <w:b/>
                <w:sz w:val="24"/>
                <w:szCs w:val="24"/>
                <w:lang w:eastAsia="sk-SK"/>
              </w:rPr>
            </w:pPr>
            <w:r w:rsidRPr="00690CD7">
              <w:rPr>
                <w:rFonts w:ascii="Times New Roman" w:eastAsia="Times New Roman" w:hAnsi="Times New Roman" w:cs="Times New Roman"/>
                <w:b/>
                <w:sz w:val="24"/>
                <w:szCs w:val="24"/>
                <w:lang w:eastAsia="sk-SK"/>
              </w:rPr>
              <w:t>38 556</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A942AE" w:rsidRDefault="007D5748"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4A5202" w:rsidP="007D5748">
            <w:pPr>
              <w:spacing w:after="0" w:line="240" w:lineRule="auto"/>
              <w:jc w:val="right"/>
              <w:rPr>
                <w:rFonts w:ascii="Times New Roman" w:eastAsia="Times New Roman" w:hAnsi="Times New Roman" w:cs="Times New Roman"/>
                <w:bCs/>
                <w:iCs/>
                <w:sz w:val="24"/>
                <w:szCs w:val="24"/>
                <w:lang w:eastAsia="sk-SK"/>
              </w:rPr>
            </w:pPr>
            <w:r w:rsidRPr="00690CD7">
              <w:rPr>
                <w:rFonts w:ascii="Times New Roman" w:eastAsia="Times New Roman" w:hAnsi="Times New Roman" w:cs="Times New Roman"/>
                <w:sz w:val="24"/>
                <w:szCs w:val="24"/>
                <w:lang w:eastAsia="sk-SK"/>
              </w:rPr>
              <w:t>38 556</w:t>
            </w:r>
          </w:p>
        </w:tc>
        <w:tc>
          <w:tcPr>
            <w:tcW w:w="1280" w:type="dxa"/>
            <w:noWrap/>
            <w:vAlign w:val="center"/>
          </w:tcPr>
          <w:p w:rsidR="007D5748" w:rsidRPr="00690CD7" w:rsidRDefault="004A5202" w:rsidP="007D5748">
            <w:pPr>
              <w:spacing w:after="0" w:line="240" w:lineRule="auto"/>
              <w:jc w:val="right"/>
              <w:rPr>
                <w:rFonts w:ascii="Times New Roman" w:eastAsia="Times New Roman" w:hAnsi="Times New Roman" w:cs="Times New Roman"/>
                <w:bCs/>
                <w:iCs/>
                <w:sz w:val="24"/>
                <w:szCs w:val="24"/>
                <w:lang w:eastAsia="sk-SK"/>
              </w:rPr>
            </w:pPr>
            <w:r w:rsidRPr="00690CD7">
              <w:rPr>
                <w:rFonts w:ascii="Times New Roman" w:eastAsia="Times New Roman" w:hAnsi="Times New Roman" w:cs="Times New Roman"/>
                <w:sz w:val="24"/>
                <w:szCs w:val="24"/>
                <w:lang w:eastAsia="sk-SK"/>
              </w:rPr>
              <w:t>38 556</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A942AE" w:rsidRDefault="007D5748"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A942AE" w:rsidRDefault="007D5748"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7D5748" w:rsidRPr="007D5748" w:rsidTr="004A5202">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A942AE" w:rsidRDefault="00A942AE" w:rsidP="007D5748">
            <w:pPr>
              <w:spacing w:after="0" w:line="240" w:lineRule="auto"/>
              <w:jc w:val="right"/>
              <w:rPr>
                <w:rFonts w:ascii="Times New Roman" w:eastAsia="Times New Roman" w:hAnsi="Times New Roman" w:cs="Times New Roman"/>
                <w:b/>
                <w:bCs/>
                <w:iCs/>
                <w:sz w:val="24"/>
                <w:szCs w:val="24"/>
                <w:lang w:eastAsia="sk-SK"/>
              </w:rPr>
            </w:pPr>
            <w:r w:rsidRPr="00A942AE">
              <w:rPr>
                <w:rFonts w:ascii="Times New Roman" w:eastAsia="Times New Roman" w:hAnsi="Times New Roman" w:cs="Times New Roman"/>
                <w:b/>
                <w:bCs/>
                <w:iCs/>
                <w:sz w:val="24"/>
                <w:szCs w:val="24"/>
                <w:lang w:eastAsia="sk-SK"/>
              </w:rPr>
              <w:t>0</w:t>
            </w:r>
          </w:p>
        </w:tc>
        <w:tc>
          <w:tcPr>
            <w:tcW w:w="1267"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c>
          <w:tcPr>
            <w:tcW w:w="1280" w:type="dxa"/>
            <w:noWrap/>
            <w:vAlign w:val="center"/>
          </w:tcPr>
          <w:p w:rsidR="007D5748" w:rsidRPr="00690CD7" w:rsidRDefault="007D5748" w:rsidP="007D5748">
            <w:pPr>
              <w:spacing w:after="0" w:line="240" w:lineRule="auto"/>
              <w:jc w:val="right"/>
              <w:rPr>
                <w:rFonts w:ascii="Times New Roman" w:eastAsia="Times New Roman" w:hAnsi="Times New Roman" w:cs="Times New Roman"/>
                <w:b/>
                <w:bCs/>
                <w:iCs/>
                <w:sz w:val="24"/>
                <w:szCs w:val="24"/>
                <w:lang w:eastAsia="sk-SK"/>
              </w:rPr>
            </w:pPr>
            <w:r w:rsidRPr="00690CD7">
              <w:rPr>
                <w:rFonts w:ascii="Times New Roman" w:eastAsia="Times New Roman" w:hAnsi="Times New Roman" w:cs="Times New Roman"/>
                <w:b/>
                <w:bCs/>
                <w:iCs/>
                <w:sz w:val="24"/>
                <w:szCs w:val="24"/>
                <w:lang w:eastAsia="sk-SK"/>
              </w:rPr>
              <w:t>0</w:t>
            </w:r>
          </w:p>
        </w:tc>
      </w:tr>
      <w:tr w:rsidR="004A5202" w:rsidRPr="007D5748" w:rsidTr="004A5202">
        <w:trPr>
          <w:trHeight w:val="70"/>
          <w:jc w:val="center"/>
        </w:trPr>
        <w:tc>
          <w:tcPr>
            <w:tcW w:w="4661" w:type="dxa"/>
            <w:shd w:val="clear" w:color="auto" w:fill="C0C0C0"/>
            <w:noWrap/>
            <w:vAlign w:val="center"/>
          </w:tcPr>
          <w:p w:rsidR="004A5202" w:rsidRPr="007D5748" w:rsidRDefault="004A5202" w:rsidP="004A520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4A5202" w:rsidRPr="007D5748" w:rsidRDefault="004A5202" w:rsidP="004A520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4A5202" w:rsidRPr="00690CD7" w:rsidRDefault="004A5202" w:rsidP="004A5202">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154 000</w:t>
            </w:r>
          </w:p>
        </w:tc>
        <w:tc>
          <w:tcPr>
            <w:tcW w:w="1280" w:type="dxa"/>
            <w:shd w:val="clear" w:color="auto" w:fill="C0C0C0"/>
            <w:noWrap/>
            <w:vAlign w:val="center"/>
          </w:tcPr>
          <w:p w:rsidR="004A5202" w:rsidRPr="00690CD7" w:rsidRDefault="004A5202" w:rsidP="004A5202">
            <w:pPr>
              <w:spacing w:after="0" w:line="240" w:lineRule="auto"/>
              <w:jc w:val="right"/>
              <w:rPr>
                <w:rFonts w:ascii="Times New Roman" w:eastAsia="Times New Roman" w:hAnsi="Times New Roman" w:cs="Times New Roman"/>
                <w:b/>
                <w:sz w:val="24"/>
                <w:szCs w:val="24"/>
                <w:lang w:eastAsia="sk-SK"/>
              </w:rPr>
            </w:pPr>
            <w:r w:rsidRPr="00690CD7">
              <w:rPr>
                <w:rFonts w:ascii="Times New Roman" w:eastAsia="Times New Roman" w:hAnsi="Times New Roman" w:cs="Times New Roman"/>
                <w:b/>
                <w:sz w:val="24"/>
                <w:szCs w:val="24"/>
                <w:lang w:eastAsia="sk-SK"/>
              </w:rPr>
              <w:t>52 031,5</w:t>
            </w:r>
          </w:p>
        </w:tc>
        <w:tc>
          <w:tcPr>
            <w:tcW w:w="1280" w:type="dxa"/>
            <w:shd w:val="clear" w:color="auto" w:fill="C0C0C0"/>
            <w:noWrap/>
            <w:vAlign w:val="center"/>
          </w:tcPr>
          <w:p w:rsidR="004A5202" w:rsidRPr="00690CD7" w:rsidRDefault="004A5202" w:rsidP="004A5202">
            <w:pPr>
              <w:spacing w:after="0" w:line="240" w:lineRule="auto"/>
              <w:jc w:val="right"/>
              <w:rPr>
                <w:rFonts w:ascii="Times New Roman" w:eastAsia="Times New Roman" w:hAnsi="Times New Roman" w:cs="Times New Roman"/>
                <w:b/>
                <w:sz w:val="24"/>
                <w:szCs w:val="24"/>
                <w:lang w:eastAsia="sk-SK"/>
              </w:rPr>
            </w:pPr>
            <w:r w:rsidRPr="00690CD7">
              <w:rPr>
                <w:rFonts w:ascii="Times New Roman" w:eastAsia="Times New Roman" w:hAnsi="Times New Roman" w:cs="Times New Roman"/>
                <w:b/>
                <w:sz w:val="24"/>
                <w:szCs w:val="24"/>
                <w:lang w:eastAsia="sk-SK"/>
              </w:rPr>
              <w:t>52 031,5</w:t>
            </w:r>
          </w:p>
        </w:tc>
      </w:tr>
      <w:tr w:rsidR="00F73065" w:rsidRPr="00F73065" w:rsidTr="004A5202">
        <w:trPr>
          <w:trHeight w:val="70"/>
          <w:jc w:val="center"/>
        </w:trPr>
        <w:tc>
          <w:tcPr>
            <w:tcW w:w="4661" w:type="dxa"/>
            <w:noWrap/>
            <w:vAlign w:val="center"/>
          </w:tcPr>
          <w:p w:rsidR="004A5202" w:rsidRPr="007D5748" w:rsidRDefault="004A5202" w:rsidP="004A5202">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MŽP SR/program 076</w:t>
            </w:r>
          </w:p>
        </w:tc>
        <w:tc>
          <w:tcPr>
            <w:tcW w:w="1267" w:type="dxa"/>
            <w:noWrap/>
            <w:vAlign w:val="center"/>
          </w:tcPr>
          <w:p w:rsidR="004A5202" w:rsidRPr="007D5748" w:rsidRDefault="004A5202" w:rsidP="004A5202">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4A5202" w:rsidRPr="00690CD7" w:rsidRDefault="004A5202" w:rsidP="004A5202">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bCs/>
                <w:sz w:val="24"/>
                <w:szCs w:val="24"/>
                <w:lang w:eastAsia="sk-SK"/>
              </w:rPr>
              <w:t>0</w:t>
            </w:r>
          </w:p>
        </w:tc>
        <w:tc>
          <w:tcPr>
            <w:tcW w:w="1280" w:type="dxa"/>
            <w:noWrap/>
            <w:vAlign w:val="center"/>
          </w:tcPr>
          <w:p w:rsidR="004A5202" w:rsidRPr="00690CD7" w:rsidRDefault="004A5202" w:rsidP="004A5202">
            <w:pPr>
              <w:spacing w:after="0" w:line="240" w:lineRule="auto"/>
              <w:jc w:val="right"/>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52 031,5</w:t>
            </w:r>
          </w:p>
        </w:tc>
        <w:tc>
          <w:tcPr>
            <w:tcW w:w="1280" w:type="dxa"/>
            <w:noWrap/>
            <w:vAlign w:val="center"/>
          </w:tcPr>
          <w:p w:rsidR="004A5202" w:rsidRPr="00F73065" w:rsidRDefault="004A5202" w:rsidP="004A5202">
            <w:pPr>
              <w:spacing w:after="0" w:line="240" w:lineRule="auto"/>
              <w:jc w:val="right"/>
              <w:rPr>
                <w:rFonts w:ascii="Times New Roman" w:eastAsia="Times New Roman" w:hAnsi="Times New Roman" w:cs="Times New Roman"/>
                <w:sz w:val="24"/>
                <w:szCs w:val="24"/>
                <w:lang w:eastAsia="sk-SK"/>
              </w:rPr>
            </w:pPr>
            <w:r w:rsidRPr="00F73065">
              <w:rPr>
                <w:rFonts w:ascii="Times New Roman" w:eastAsia="Times New Roman" w:hAnsi="Times New Roman" w:cs="Times New Roman"/>
                <w:sz w:val="24"/>
                <w:szCs w:val="24"/>
                <w:lang w:eastAsia="sk-SK"/>
              </w:rPr>
              <w:t>52 031,5</w:t>
            </w:r>
          </w:p>
        </w:tc>
      </w:tr>
      <w:tr w:rsidR="007D5748" w:rsidRPr="007D5748" w:rsidTr="004A5202">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690CD7" w:rsidRDefault="007D5748"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7D5748" w:rsidRPr="00690CD7" w:rsidRDefault="007D5748"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4A5202">
        <w:trPr>
          <w:trHeight w:val="70"/>
          <w:jc w:val="center"/>
        </w:trPr>
        <w:tc>
          <w:tcPr>
            <w:tcW w:w="4661" w:type="dxa"/>
            <w:shd w:val="clear" w:color="auto" w:fill="A6A6A6" w:themeFill="background1" w:themeFillShade="A6"/>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7D5748" w:rsidRPr="00690CD7" w:rsidRDefault="00CA049E" w:rsidP="007D5748">
            <w:pPr>
              <w:spacing w:after="0" w:line="240" w:lineRule="auto"/>
              <w:jc w:val="right"/>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0</w:t>
            </w:r>
          </w:p>
        </w:tc>
        <w:tc>
          <w:tcPr>
            <w:tcW w:w="1280" w:type="dxa"/>
            <w:shd w:val="clear" w:color="auto" w:fill="A6A6A6" w:themeFill="background1" w:themeFillShade="A6"/>
            <w:noWrap/>
            <w:vAlign w:val="center"/>
          </w:tcPr>
          <w:p w:rsidR="007D5748" w:rsidRPr="00690CD7" w:rsidRDefault="00EC0714"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80" w:type="dxa"/>
            <w:shd w:val="clear" w:color="auto" w:fill="A6A6A6" w:themeFill="background1" w:themeFillShade="A6"/>
            <w:noWrap/>
            <w:vAlign w:val="center"/>
          </w:tcPr>
          <w:p w:rsidR="007D5748" w:rsidRPr="007D5748" w:rsidRDefault="00CA049E"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bookmarkEnd w:id="0"/>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p w:rsidR="00E963A3" w:rsidRDefault="00E963A3">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rsidR="007D5748" w:rsidRPr="00690CD7" w:rsidRDefault="00CA049E" w:rsidP="0065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 xml:space="preserve">Vzhľadom </w:t>
      </w:r>
      <w:r w:rsidR="002D4617">
        <w:rPr>
          <w:rFonts w:ascii="Times New Roman" w:eastAsia="Times New Roman" w:hAnsi="Times New Roman" w:cs="Times New Roman"/>
          <w:bCs/>
          <w:sz w:val="24"/>
          <w:szCs w:val="24"/>
          <w:lang w:eastAsia="sk-SK"/>
        </w:rPr>
        <w:t>na skutočnosť</w:t>
      </w:r>
      <w:r>
        <w:rPr>
          <w:rFonts w:ascii="Times New Roman" w:eastAsia="Times New Roman" w:hAnsi="Times New Roman" w:cs="Times New Roman"/>
          <w:bCs/>
          <w:sz w:val="24"/>
          <w:szCs w:val="24"/>
          <w:lang w:eastAsia="sk-SK"/>
        </w:rPr>
        <w:t xml:space="preserve">, že nie je možné odhadnúť náklady na rozvoj </w:t>
      </w:r>
      <w:r w:rsidR="002D4617">
        <w:rPr>
          <w:rFonts w:ascii="Times New Roman" w:eastAsia="Times New Roman" w:hAnsi="Times New Roman" w:cs="Times New Roman"/>
          <w:bCs/>
          <w:sz w:val="24"/>
          <w:szCs w:val="24"/>
          <w:lang w:eastAsia="sk-SK"/>
        </w:rPr>
        <w:t xml:space="preserve">informačného systému </w:t>
      </w:r>
      <w:r w:rsidR="002D4617" w:rsidRPr="00690CD7">
        <w:rPr>
          <w:rFonts w:ascii="Times New Roman" w:eastAsia="Times New Roman" w:hAnsi="Times New Roman" w:cs="Times New Roman"/>
          <w:bCs/>
          <w:sz w:val="24"/>
          <w:szCs w:val="24"/>
          <w:lang w:eastAsia="sk-SK"/>
        </w:rPr>
        <w:t xml:space="preserve">odpadového hospodárstva (ďalej len „ISOH“), </w:t>
      </w:r>
      <w:r w:rsidRPr="00690CD7">
        <w:rPr>
          <w:rFonts w:ascii="Times New Roman" w:eastAsia="Times New Roman" w:hAnsi="Times New Roman" w:cs="Times New Roman"/>
          <w:bCs/>
          <w:sz w:val="24"/>
          <w:szCs w:val="24"/>
          <w:lang w:eastAsia="sk-SK"/>
        </w:rPr>
        <w:t>náklady na zabezpečenie prevádzky</w:t>
      </w:r>
      <w:r w:rsidR="002D4617" w:rsidRPr="00690CD7">
        <w:rPr>
          <w:rFonts w:ascii="Times New Roman" w:eastAsia="Times New Roman" w:hAnsi="Times New Roman" w:cs="Times New Roman"/>
          <w:bCs/>
          <w:sz w:val="24"/>
          <w:szCs w:val="24"/>
          <w:lang w:eastAsia="sk-SK"/>
        </w:rPr>
        <w:t xml:space="preserve"> systému boli</w:t>
      </w:r>
      <w:r w:rsidRPr="00690CD7">
        <w:rPr>
          <w:rFonts w:ascii="Times New Roman" w:eastAsia="Times New Roman" w:hAnsi="Times New Roman" w:cs="Times New Roman"/>
          <w:bCs/>
          <w:sz w:val="24"/>
          <w:szCs w:val="24"/>
          <w:lang w:eastAsia="sk-SK"/>
        </w:rPr>
        <w:t xml:space="preserve"> vo východiskách projektu kalkulované vo výške 8 % </w:t>
      </w:r>
      <w:r w:rsidR="003C7009" w:rsidRPr="00690CD7">
        <w:rPr>
          <w:rFonts w:ascii="Times New Roman" w:eastAsia="Times New Roman" w:hAnsi="Times New Roman" w:cs="Times New Roman"/>
          <w:bCs/>
          <w:sz w:val="24"/>
          <w:szCs w:val="24"/>
          <w:lang w:eastAsia="sk-SK"/>
        </w:rPr>
        <w:t xml:space="preserve">z </w:t>
      </w:r>
      <w:r w:rsidRPr="00690CD7">
        <w:rPr>
          <w:rFonts w:ascii="Times New Roman" w:eastAsia="Times New Roman" w:hAnsi="Times New Roman" w:cs="Times New Roman"/>
          <w:bCs/>
          <w:sz w:val="24"/>
          <w:szCs w:val="24"/>
          <w:lang w:eastAsia="sk-SK"/>
        </w:rPr>
        <w:t xml:space="preserve">ceny projektu. Financovanie zvýšených </w:t>
      </w:r>
      <w:r w:rsidR="005A54C2" w:rsidRPr="00690CD7">
        <w:rPr>
          <w:rFonts w:ascii="Times New Roman" w:eastAsia="Times New Roman" w:hAnsi="Times New Roman" w:cs="Times New Roman"/>
          <w:bCs/>
          <w:sz w:val="24"/>
          <w:szCs w:val="24"/>
          <w:lang w:eastAsia="sk-SK"/>
        </w:rPr>
        <w:t xml:space="preserve">IT </w:t>
      </w:r>
      <w:r w:rsidRPr="00690CD7">
        <w:rPr>
          <w:rFonts w:ascii="Times New Roman" w:eastAsia="Times New Roman" w:hAnsi="Times New Roman" w:cs="Times New Roman"/>
          <w:bCs/>
          <w:sz w:val="24"/>
          <w:szCs w:val="24"/>
          <w:lang w:eastAsia="sk-SK"/>
        </w:rPr>
        <w:t xml:space="preserve">výdavkov v súvislosti s prevádzkou </w:t>
      </w:r>
      <w:r w:rsidR="002D4617" w:rsidRPr="00690CD7">
        <w:rPr>
          <w:rFonts w:ascii="Times New Roman" w:eastAsia="Times New Roman" w:hAnsi="Times New Roman" w:cs="Times New Roman"/>
          <w:bCs/>
          <w:sz w:val="24"/>
          <w:szCs w:val="24"/>
          <w:lang w:eastAsia="sk-SK"/>
        </w:rPr>
        <w:t>ISOH</w:t>
      </w:r>
      <w:r w:rsidR="002D4617" w:rsidRPr="00690CD7" w:rsidDel="002D4617">
        <w:rPr>
          <w:rFonts w:ascii="Times New Roman" w:eastAsia="Times New Roman" w:hAnsi="Times New Roman" w:cs="Times New Roman"/>
          <w:bCs/>
          <w:sz w:val="24"/>
          <w:szCs w:val="24"/>
          <w:lang w:eastAsia="sk-SK"/>
        </w:rPr>
        <w:t xml:space="preserve"> </w:t>
      </w:r>
      <w:r w:rsidR="005A54C2" w:rsidRPr="00690CD7">
        <w:rPr>
          <w:rFonts w:ascii="Times New Roman" w:eastAsia="Times New Roman" w:hAnsi="Times New Roman" w:cs="Times New Roman"/>
          <w:bCs/>
          <w:sz w:val="24"/>
          <w:szCs w:val="24"/>
          <w:lang w:eastAsia="sk-SK"/>
        </w:rPr>
        <w:t xml:space="preserve">bude </w:t>
      </w:r>
      <w:r w:rsidR="00F93C38">
        <w:rPr>
          <w:rFonts w:ascii="Times New Roman" w:eastAsia="Times New Roman" w:hAnsi="Times New Roman" w:cs="Times New Roman"/>
          <w:bCs/>
          <w:sz w:val="24"/>
          <w:szCs w:val="24"/>
          <w:lang w:eastAsia="sk-SK"/>
        </w:rPr>
        <w:t xml:space="preserve">zabezpečené v rámci schválených limitov výdavkovej kapitoly MŽP SR na rok 2020 a taktiež </w:t>
      </w:r>
      <w:r w:rsidR="005A54C2" w:rsidRPr="00690CD7">
        <w:rPr>
          <w:rFonts w:ascii="Times New Roman" w:eastAsia="Times New Roman" w:hAnsi="Times New Roman" w:cs="Times New Roman"/>
          <w:bCs/>
          <w:sz w:val="24"/>
          <w:szCs w:val="24"/>
          <w:lang w:eastAsia="sk-SK"/>
        </w:rPr>
        <w:t xml:space="preserve">predmetom </w:t>
      </w:r>
      <w:r w:rsidR="00F93C38">
        <w:rPr>
          <w:rFonts w:ascii="Times New Roman" w:eastAsia="Times New Roman" w:hAnsi="Times New Roman" w:cs="Times New Roman"/>
          <w:bCs/>
          <w:sz w:val="24"/>
          <w:szCs w:val="24"/>
          <w:lang w:eastAsia="sk-SK"/>
        </w:rPr>
        <w:t>rokovania o</w:t>
      </w:r>
      <w:r w:rsidR="005A54C2" w:rsidRPr="00690CD7">
        <w:rPr>
          <w:rFonts w:ascii="Times New Roman" w:eastAsia="Times New Roman" w:hAnsi="Times New Roman" w:cs="Times New Roman"/>
          <w:bCs/>
          <w:sz w:val="24"/>
          <w:szCs w:val="24"/>
          <w:lang w:eastAsia="sk-SK"/>
        </w:rPr>
        <w:t xml:space="preserve"> rozpočt</w:t>
      </w:r>
      <w:r w:rsidR="00F93C38">
        <w:rPr>
          <w:rFonts w:ascii="Times New Roman" w:eastAsia="Times New Roman" w:hAnsi="Times New Roman" w:cs="Times New Roman"/>
          <w:bCs/>
          <w:sz w:val="24"/>
          <w:szCs w:val="24"/>
          <w:lang w:eastAsia="sk-SK"/>
        </w:rPr>
        <w:t>e</w:t>
      </w:r>
      <w:r w:rsidR="005A54C2" w:rsidRPr="00690CD7">
        <w:rPr>
          <w:rFonts w:ascii="Times New Roman" w:eastAsia="Times New Roman" w:hAnsi="Times New Roman" w:cs="Times New Roman"/>
          <w:bCs/>
          <w:sz w:val="24"/>
          <w:szCs w:val="24"/>
          <w:lang w:eastAsia="sk-SK"/>
        </w:rPr>
        <w:t xml:space="preserve"> </w:t>
      </w:r>
      <w:r w:rsidR="00F93C38">
        <w:rPr>
          <w:rFonts w:ascii="Times New Roman" w:eastAsia="Times New Roman" w:hAnsi="Times New Roman" w:cs="Times New Roman"/>
          <w:bCs/>
          <w:sz w:val="24"/>
          <w:szCs w:val="24"/>
          <w:lang w:eastAsia="sk-SK"/>
        </w:rPr>
        <w:t>na roky 2021 a 2022</w:t>
      </w:r>
      <w:bookmarkStart w:id="1" w:name="_GoBack"/>
      <w:bookmarkEnd w:id="1"/>
      <w:r w:rsidR="005A54C2" w:rsidRPr="00690CD7">
        <w:rPr>
          <w:rFonts w:ascii="Times New Roman" w:eastAsia="Times New Roman" w:hAnsi="Times New Roman" w:cs="Times New Roman"/>
          <w:bCs/>
          <w:sz w:val="24"/>
          <w:szCs w:val="24"/>
          <w:lang w:eastAsia="sk-SK"/>
        </w:rPr>
        <w:t>.</w:t>
      </w:r>
    </w:p>
    <w:p w:rsidR="0048748F" w:rsidRPr="00690CD7" w:rsidRDefault="0048748F" w:rsidP="0048748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 xml:space="preserve">Taktiež nie je možné odhadnúť výdavky na strane Ministerstva vnútra SR z dôvodu potreby prepojenia ISOH z informačnými systémami Ministerstva vnútra SR. </w:t>
      </w:r>
    </w:p>
    <w:p w:rsidR="0048748F" w:rsidRPr="00690CD7" w:rsidRDefault="0048748F" w:rsidP="0048748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Z vyššie uvedeného dôvodu výdavky na pokrytie integrácií na strane Ministerstva vnútra SR neboli vypočítané.</w:t>
      </w:r>
    </w:p>
    <w:p w:rsidR="00270528" w:rsidRPr="00690CD7" w:rsidRDefault="00270528" w:rsidP="0065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6B3BBD" w:rsidRDefault="00270528" w:rsidP="0065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690CD7">
        <w:rPr>
          <w:rFonts w:ascii="Times New Roman" w:eastAsia="Times New Roman" w:hAnsi="Times New Roman" w:cs="Times New Roman"/>
          <w:bCs/>
          <w:sz w:val="24"/>
          <w:szCs w:val="24"/>
          <w:lang w:eastAsia="sk-SK"/>
        </w:rPr>
        <w:t xml:space="preserve">Financovanie osobných výdavkov </w:t>
      </w:r>
      <w:r w:rsidR="004A5202" w:rsidRPr="00690CD7">
        <w:rPr>
          <w:rFonts w:ascii="Times New Roman" w:eastAsia="Times New Roman" w:hAnsi="Times New Roman" w:cs="Times New Roman"/>
          <w:bCs/>
          <w:sz w:val="24"/>
          <w:szCs w:val="24"/>
          <w:lang w:eastAsia="sk-SK"/>
        </w:rPr>
        <w:t xml:space="preserve">3 </w:t>
      </w:r>
      <w:r w:rsidRPr="00690CD7">
        <w:rPr>
          <w:rFonts w:ascii="Times New Roman" w:eastAsia="Times New Roman" w:hAnsi="Times New Roman" w:cs="Times New Roman"/>
          <w:bCs/>
          <w:sz w:val="24"/>
          <w:szCs w:val="24"/>
          <w:lang w:eastAsia="sk-SK"/>
        </w:rPr>
        <w:t xml:space="preserve">nových zamestnancov aparátu MŽP SR bude zabezpečené v rámci schválených limitov výdavkov kapitoly MŽP SR na roky 2021 a 2022 a nasledujúce roky bez dodatočných požiadaviek na rozpočet verejnej správy. </w:t>
      </w:r>
    </w:p>
    <w:p w:rsidR="00690CD7" w:rsidRPr="00690CD7" w:rsidRDefault="00690CD7" w:rsidP="0065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6B3BBD" w:rsidRPr="00690CD7" w:rsidRDefault="006B3BBD" w:rsidP="0065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Cs/>
          <w:sz w:val="24"/>
          <w:szCs w:val="24"/>
          <w:lang w:eastAsia="sk-SK"/>
        </w:rPr>
        <w:t>Vplyvy týkajúce sa zrušenia výnimiek podľa § 81 ods. 21 návrhu zákona nie je možné kvantifikovať. V prípade zvýšených výdavkov na triedený zber kuchynského odpadu po zrušení výnimiek si obec náklady hradí z miestneho poplatku. Zrušenie výnimiek vyplý</w:t>
      </w:r>
      <w:r w:rsidR="00317C5C" w:rsidRPr="00690CD7">
        <w:rPr>
          <w:rFonts w:ascii="Times New Roman" w:eastAsia="Times New Roman" w:hAnsi="Times New Roman" w:cs="Times New Roman"/>
          <w:bCs/>
          <w:sz w:val="24"/>
          <w:szCs w:val="24"/>
          <w:lang w:eastAsia="sk-SK"/>
        </w:rPr>
        <w:t>va zo Správy vč</w:t>
      </w:r>
      <w:r w:rsidRPr="00690CD7">
        <w:rPr>
          <w:rFonts w:ascii="Times New Roman" w:eastAsia="Times New Roman" w:hAnsi="Times New Roman" w:cs="Times New Roman"/>
          <w:bCs/>
          <w:sz w:val="24"/>
          <w:szCs w:val="24"/>
          <w:lang w:eastAsia="sk-SK"/>
        </w:rPr>
        <w:t>asného varovania EÚ.</w:t>
      </w:r>
    </w:p>
    <w:p w:rsidR="00FA2887" w:rsidRDefault="00FA2887" w:rsidP="007D5748">
      <w:pPr>
        <w:spacing w:after="0" w:line="240" w:lineRule="auto"/>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A72A60" w:rsidRPr="00FA2619" w:rsidRDefault="00690CD7"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Navýšenie</w:t>
      </w:r>
      <w:r w:rsidR="00320BD3" w:rsidRPr="00FA2619">
        <w:rPr>
          <w:rFonts w:ascii="Times New Roman" w:hAnsi="Times New Roman" w:cs="Times New Roman"/>
          <w:b/>
          <w:sz w:val="24"/>
          <w:szCs w:val="24"/>
        </w:rPr>
        <w:t xml:space="preserve"> o</w:t>
      </w:r>
      <w:r w:rsidR="00A72A60" w:rsidRPr="00FA2619">
        <w:rPr>
          <w:rFonts w:ascii="Times New Roman" w:hAnsi="Times New Roman" w:cs="Times New Roman"/>
          <w:b/>
          <w:sz w:val="24"/>
          <w:szCs w:val="24"/>
        </w:rPr>
        <w:t xml:space="preserve"> 3 zamestnancov</w:t>
      </w:r>
      <w:r w:rsidR="00A72A60" w:rsidRPr="00FA2619">
        <w:rPr>
          <w:rFonts w:ascii="Times New Roman" w:hAnsi="Times New Roman" w:cs="Times New Roman"/>
          <w:sz w:val="24"/>
          <w:szCs w:val="24"/>
        </w:rPr>
        <w:t xml:space="preserve"> MŽP SR pre oblasť pôsobnosti strategických dokumentov v odpadovom hospodárstve je potrebné z nasledujúcich dôvodov:</w:t>
      </w:r>
    </w:p>
    <w:p w:rsidR="00A72A60" w:rsidRPr="00FA2619" w:rsidRDefault="00A72A60" w:rsidP="00FA2619">
      <w:pPr>
        <w:pStyle w:val="Odsekzoznamu"/>
        <w:numPr>
          <w:ilvl w:val="0"/>
          <w:numId w:val="4"/>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V pôsobnosti sekcie environmentálneho hodnotenia a odpadového hospodárstva, pre oblasť odpadového hospodárstva, je vypracovanie a plnenie viacerých strategických dokumentov:</w:t>
      </w:r>
    </w:p>
    <w:p w:rsidR="00A72A60" w:rsidRPr="00FA2619" w:rsidRDefault="00A72A60" w:rsidP="00FA2619">
      <w:pPr>
        <w:pStyle w:val="Odsekzoznamu"/>
        <w:numPr>
          <w:ilvl w:val="0"/>
          <w:numId w:val="5"/>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Program odpadového hospodárstva Slovenskej republiky</w:t>
      </w:r>
    </w:p>
    <w:p w:rsidR="00A72A60" w:rsidRPr="00FA2619" w:rsidRDefault="00A72A60" w:rsidP="00FA2619">
      <w:pPr>
        <w:pStyle w:val="Odsekzoznamu"/>
        <w:numPr>
          <w:ilvl w:val="0"/>
          <w:numId w:val="5"/>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Program predchádzania vzniku odpadu Slovenskej republiky</w:t>
      </w:r>
    </w:p>
    <w:p w:rsidR="00A72A60" w:rsidRPr="00FA2619" w:rsidRDefault="00A72A60" w:rsidP="00FA2619">
      <w:pPr>
        <w:pStyle w:val="Odsekzoznamu"/>
        <w:numPr>
          <w:ilvl w:val="0"/>
          <w:numId w:val="5"/>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Program predchádzania vzniku potravinového odpadu Slovenskej republiky</w:t>
      </w:r>
    </w:p>
    <w:p w:rsidR="00743442" w:rsidRPr="00FA2619" w:rsidRDefault="00A72A60" w:rsidP="00FA2619">
      <w:pPr>
        <w:pStyle w:val="Odsekzoznamu"/>
        <w:numPr>
          <w:ilvl w:val="0"/>
          <w:numId w:val="5"/>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 xml:space="preserve">Stratégia obmedzovania ukladania biologicky rozložiteľných odpadov na skládky odpadov </w:t>
      </w:r>
    </w:p>
    <w:p w:rsidR="00A72A60" w:rsidRPr="00FA2619" w:rsidRDefault="00A72A60" w:rsidP="00FA2619">
      <w:pPr>
        <w:pStyle w:val="Odsekzoznamu"/>
        <w:numPr>
          <w:ilvl w:val="0"/>
          <w:numId w:val="5"/>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 xml:space="preserve">Stratégia pre nakladanie s biologicky rozložiteľným komunálnym odpadov </w:t>
      </w:r>
    </w:p>
    <w:p w:rsidR="00A72A60" w:rsidRPr="00FA2619" w:rsidRDefault="00A72A60" w:rsidP="00FA2619">
      <w:pPr>
        <w:spacing w:after="0" w:line="240" w:lineRule="auto"/>
        <w:ind w:firstLine="708"/>
        <w:jc w:val="both"/>
        <w:rPr>
          <w:rFonts w:ascii="Times New Roman" w:hAnsi="Times New Roman" w:cs="Times New Roman"/>
          <w:sz w:val="24"/>
          <w:szCs w:val="24"/>
        </w:rPr>
      </w:pPr>
    </w:p>
    <w:p w:rsidR="00A72A60" w:rsidRPr="00FA2619" w:rsidRDefault="00A72A60"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Prvé tri strategické dokumenty v zozname je potrebné v zmysle platnej právnej úpravy SR pravidelne aktualizovať, resp. vypracovať vždy nový dokument na nasledujúce obdobie. </w:t>
      </w:r>
    </w:p>
    <w:p w:rsidR="00A72A60" w:rsidRPr="00FA2619" w:rsidRDefault="00A72A60" w:rsidP="00FA2619">
      <w:pPr>
        <w:pStyle w:val="Odsekzoznamu"/>
        <w:numPr>
          <w:ilvl w:val="0"/>
          <w:numId w:val="4"/>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 xml:space="preserve">Z dôvodu, že uvedené dokumenty sú strategickými dokumentami s celoštátnym dosahom, je potrebné, aby vždy pred ich schválením prešli procesom strategického posudzovania vplyvov (SEA) a pri ich príprave je potrebné postupovať v zmysle Metodiky a inštitucionálneho rámca tvorby verejných stratégií (vypracovávanie povinnej sprievodnej dokumentácie), ktoré boli vypracované Úradom podpredsedu vlády SR pre investície a informatizáciu. </w:t>
      </w:r>
    </w:p>
    <w:p w:rsidR="00A72A60" w:rsidRPr="00FA2619" w:rsidRDefault="00A72A60" w:rsidP="00FA2619">
      <w:pPr>
        <w:pStyle w:val="Odsekzoznamu"/>
        <w:spacing w:after="0" w:line="240" w:lineRule="auto"/>
        <w:jc w:val="both"/>
        <w:rPr>
          <w:rFonts w:ascii="Times New Roman" w:hAnsi="Times New Roman" w:cs="Times New Roman"/>
          <w:sz w:val="24"/>
          <w:szCs w:val="24"/>
        </w:rPr>
      </w:pPr>
    </w:p>
    <w:p w:rsidR="00A72A60" w:rsidRPr="00FA2619" w:rsidRDefault="00A72A60" w:rsidP="00FA2619">
      <w:pPr>
        <w:pStyle w:val="Odsekzoznamu"/>
        <w:numPr>
          <w:ilvl w:val="0"/>
          <w:numId w:val="4"/>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30.</w:t>
      </w:r>
      <w:r w:rsidR="00D57757" w:rsidRPr="00FA2619">
        <w:rPr>
          <w:rFonts w:ascii="Times New Roman" w:hAnsi="Times New Roman" w:cs="Times New Roman"/>
          <w:sz w:val="24"/>
          <w:szCs w:val="24"/>
        </w:rPr>
        <w:t xml:space="preserve"> </w:t>
      </w:r>
      <w:r w:rsidRPr="00FA2619">
        <w:rPr>
          <w:rFonts w:ascii="Times New Roman" w:hAnsi="Times New Roman" w:cs="Times New Roman"/>
          <w:sz w:val="24"/>
          <w:szCs w:val="24"/>
        </w:rPr>
        <w:t xml:space="preserve">mája 2018 bolo prijatých viacero smerníc Európskeho parlamentu a Rady v rámci tzv. „Odpadového balíčka“, v rámci ktorých vznikli nové povinnosti týkajúce sa aj doplnenia obsahu uvedených strategických dokumentov SR – napr. povinnosť </w:t>
      </w:r>
      <w:r w:rsidRPr="00FA2619">
        <w:rPr>
          <w:rFonts w:ascii="Times New Roman" w:hAnsi="Times New Roman" w:cs="Times New Roman"/>
          <w:sz w:val="24"/>
          <w:szCs w:val="24"/>
        </w:rPr>
        <w:lastRenderedPageBreak/>
        <w:t xml:space="preserve">vypracovávania programu predchádzania vzniku potravinového odpadu SR, v rámci </w:t>
      </w:r>
      <w:r w:rsidR="00743442" w:rsidRPr="00FA2619">
        <w:rPr>
          <w:rFonts w:ascii="Times New Roman" w:hAnsi="Times New Roman" w:cs="Times New Roman"/>
          <w:sz w:val="24"/>
          <w:szCs w:val="24"/>
        </w:rPr>
        <w:t>„</w:t>
      </w:r>
      <w:r w:rsidRPr="00FA2619">
        <w:rPr>
          <w:rFonts w:ascii="Times New Roman" w:hAnsi="Times New Roman" w:cs="Times New Roman"/>
          <w:sz w:val="24"/>
          <w:szCs w:val="24"/>
        </w:rPr>
        <w:t>Odpadového balíčka</w:t>
      </w:r>
      <w:r w:rsidR="00743442" w:rsidRPr="00FA2619">
        <w:rPr>
          <w:rFonts w:ascii="Times New Roman" w:hAnsi="Times New Roman" w:cs="Times New Roman"/>
          <w:sz w:val="24"/>
          <w:szCs w:val="24"/>
        </w:rPr>
        <w:t>“</w:t>
      </w:r>
      <w:r w:rsidRPr="00FA2619">
        <w:rPr>
          <w:rFonts w:ascii="Times New Roman" w:hAnsi="Times New Roman" w:cs="Times New Roman"/>
          <w:sz w:val="24"/>
          <w:szCs w:val="24"/>
        </w:rPr>
        <w:t xml:space="preserve"> je plánovaná aj výmena informácií a najlepších postupov medzi členskými štátmi o praktickom vykonávaní a presadzovaní požiadaviek smerníc, ktoré sú predmetom strategických dokumentov. </w:t>
      </w:r>
      <w:r w:rsidR="007D655F" w:rsidRPr="00FA2619">
        <w:rPr>
          <w:rFonts w:ascii="Times New Roman" w:hAnsi="Times New Roman" w:cs="Times New Roman"/>
          <w:sz w:val="24"/>
          <w:szCs w:val="24"/>
        </w:rPr>
        <w:t>Ďalej, o implementácii opatrení ustanovených v národných strategických dokumentoch a o napĺňaní článkov jednotlivých smerníc „Odpadového balíčka“ bude potrebné pravidelné podávanie informácií a správ Európskej komisii.</w:t>
      </w:r>
    </w:p>
    <w:p w:rsidR="00A72A60" w:rsidRPr="00FA2619" w:rsidRDefault="00A72A60" w:rsidP="00FA2619">
      <w:pPr>
        <w:pStyle w:val="Odsekzoznamu"/>
        <w:spacing w:after="0" w:line="240" w:lineRule="auto"/>
        <w:jc w:val="both"/>
        <w:rPr>
          <w:rFonts w:ascii="Times New Roman" w:hAnsi="Times New Roman" w:cs="Times New Roman"/>
          <w:sz w:val="24"/>
          <w:szCs w:val="24"/>
        </w:rPr>
      </w:pPr>
    </w:p>
    <w:p w:rsidR="00A72A60" w:rsidRPr="00FA2619" w:rsidRDefault="00A72A60" w:rsidP="00FA2619">
      <w:pPr>
        <w:pStyle w:val="Odsekzoznamu"/>
        <w:numPr>
          <w:ilvl w:val="0"/>
          <w:numId w:val="4"/>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Procesu vypracovania strategických dokumentov vždy predchádza spracovávanie podkladov, údajov a analýz aktuálneho stavu nakladania s jednotlivými prúdmi odpadov, ako aj analýzy infraštruktúry zariadení na zhodnocovanie a zneškodňovanie odpadov, vrátane opätovného použitia výrobkov a materiálov.</w:t>
      </w:r>
      <w:r w:rsidR="00743442" w:rsidRPr="00FA2619">
        <w:rPr>
          <w:rFonts w:ascii="Times New Roman" w:hAnsi="Times New Roman" w:cs="Times New Roman"/>
          <w:sz w:val="24"/>
          <w:szCs w:val="24"/>
        </w:rPr>
        <w:t xml:space="preserve"> </w:t>
      </w:r>
      <w:r w:rsidRPr="00FA2619">
        <w:rPr>
          <w:rFonts w:ascii="Times New Roman" w:hAnsi="Times New Roman" w:cs="Times New Roman"/>
          <w:sz w:val="24"/>
          <w:szCs w:val="24"/>
        </w:rPr>
        <w:t xml:space="preserve">Taktiež je potrebné priebežné vyhodnocovanie pokroku SR v súvislosti s napĺňaním opatrení strategických dokumentov, ku ktorému sa vypracovávajú a zhromažďujú podrobné podklady. </w:t>
      </w:r>
    </w:p>
    <w:p w:rsidR="00A72A60" w:rsidRPr="00FA2619" w:rsidRDefault="00A72A60" w:rsidP="00FA2619">
      <w:pPr>
        <w:pStyle w:val="Odsekzoznamu"/>
        <w:spacing w:after="0" w:line="240" w:lineRule="auto"/>
        <w:jc w:val="both"/>
        <w:rPr>
          <w:rFonts w:ascii="Times New Roman" w:hAnsi="Times New Roman" w:cs="Times New Roman"/>
          <w:sz w:val="24"/>
          <w:szCs w:val="24"/>
        </w:rPr>
      </w:pPr>
    </w:p>
    <w:p w:rsidR="007430EC" w:rsidRPr="00FA2619" w:rsidRDefault="00A72A60" w:rsidP="00FA2619">
      <w:pPr>
        <w:pStyle w:val="Odsekzoznamu"/>
        <w:numPr>
          <w:ilvl w:val="0"/>
          <w:numId w:val="4"/>
        </w:numPr>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V minulosti vypracovávalo strategické dokumenty v oblasti odpadového hospodárstva pre MŽP SR Centrum odpadového hospodárstva a environmentálneho manažérstva Slovenskej agentúry životného prostredia (COHEM SAŽP) v rámci Plánu hlavných úloh SAŽP, v ktorom bolo zamestnaných 17 zamestnancov. K decembru 2014 bolo uvedené centrum zrušené a povinnosti týkajúce sa vypracovávania, vyhodnocovania a plnenia strategických dokumentov zabezpečuje v súčasnosti odbor odpadového hospodárstva a integrovanej prevencie sekcie environmentálneho hodnotenia a odpadového hospodárstva MŽP SR.</w:t>
      </w:r>
    </w:p>
    <w:p w:rsidR="007430EC" w:rsidRPr="00FA2619" w:rsidRDefault="007430EC" w:rsidP="00FA2619">
      <w:pPr>
        <w:pStyle w:val="Odsekzoznamu"/>
        <w:spacing w:after="0"/>
        <w:rPr>
          <w:rFonts w:ascii="Times New Roman" w:hAnsi="Times New Roman" w:cs="Times New Roman"/>
          <w:sz w:val="24"/>
          <w:szCs w:val="24"/>
        </w:rPr>
      </w:pPr>
    </w:p>
    <w:p w:rsidR="00A72A60" w:rsidRPr="00FA2619" w:rsidRDefault="00A72A60" w:rsidP="00FA2619">
      <w:pPr>
        <w:pStyle w:val="Odsekzoznamu"/>
        <w:spacing w:after="0" w:line="240" w:lineRule="auto"/>
        <w:contextualSpacing w:val="0"/>
        <w:jc w:val="both"/>
        <w:rPr>
          <w:rFonts w:ascii="Times New Roman" w:hAnsi="Times New Roman" w:cs="Times New Roman"/>
          <w:sz w:val="24"/>
          <w:szCs w:val="24"/>
        </w:rPr>
      </w:pPr>
      <w:r w:rsidRPr="00FA2619">
        <w:rPr>
          <w:rFonts w:ascii="Times New Roman" w:hAnsi="Times New Roman" w:cs="Times New Roman"/>
          <w:sz w:val="24"/>
          <w:szCs w:val="24"/>
        </w:rPr>
        <w:t xml:space="preserve"> </w:t>
      </w:r>
    </w:p>
    <w:p w:rsidR="007430EC" w:rsidRDefault="007430EC"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Návrh</w:t>
      </w:r>
      <w:r w:rsidR="00B87002" w:rsidRPr="00FA2619">
        <w:rPr>
          <w:rFonts w:ascii="Times New Roman" w:hAnsi="Times New Roman" w:cs="Times New Roman"/>
          <w:sz w:val="24"/>
          <w:szCs w:val="24"/>
        </w:rPr>
        <w:t xml:space="preserve"> právneho predpisu</w:t>
      </w:r>
      <w:r w:rsidRPr="00FA2619">
        <w:rPr>
          <w:rFonts w:ascii="Times New Roman" w:hAnsi="Times New Roman" w:cs="Times New Roman"/>
          <w:sz w:val="24"/>
          <w:szCs w:val="24"/>
        </w:rPr>
        <w:t xml:space="preserve"> rieši</w:t>
      </w:r>
      <w:r w:rsidR="002D4617" w:rsidRPr="00FA2619">
        <w:rPr>
          <w:rFonts w:ascii="Times New Roman" w:hAnsi="Times New Roman" w:cs="Times New Roman"/>
          <w:sz w:val="24"/>
          <w:szCs w:val="24"/>
        </w:rPr>
        <w:t xml:space="preserve"> aj</w:t>
      </w:r>
      <w:r w:rsidRPr="00FA2619">
        <w:rPr>
          <w:rFonts w:ascii="Times New Roman" w:hAnsi="Times New Roman" w:cs="Times New Roman"/>
          <w:sz w:val="24"/>
          <w:szCs w:val="24"/>
        </w:rPr>
        <w:t xml:space="preserve"> problematiku elektronizácie odpadového hospodárstva zavedením jednotného environmentálneho monitorovacieho a informačného systému. ISOH bude zabezpečovať zhromažďovanie údajov v odpadovej oblasti, ak</w:t>
      </w:r>
      <w:r w:rsidR="00320BD3" w:rsidRPr="00FA2619">
        <w:rPr>
          <w:rFonts w:ascii="Times New Roman" w:hAnsi="Times New Roman" w:cs="Times New Roman"/>
          <w:sz w:val="24"/>
          <w:szCs w:val="24"/>
        </w:rPr>
        <w:t>o aj ich následné poskytovanie, a to na celonárodnej úrovni.</w:t>
      </w:r>
    </w:p>
    <w:p w:rsidR="00F73065" w:rsidRPr="00FA2619" w:rsidRDefault="00F73065" w:rsidP="00FA2619">
      <w:pPr>
        <w:spacing w:after="0" w:line="240" w:lineRule="auto"/>
        <w:jc w:val="both"/>
        <w:rPr>
          <w:rFonts w:ascii="Times New Roman" w:hAnsi="Times New Roman" w:cs="Times New Roman"/>
          <w:sz w:val="24"/>
          <w:szCs w:val="24"/>
        </w:rPr>
      </w:pPr>
    </w:p>
    <w:p w:rsidR="007430EC" w:rsidRDefault="007430EC"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Odstráni sa manuálne prepisovanie dát z jednotlivých hlásení, zvýši sa frekvencia podávania hlásení, odstráni sa chybovosť dát a vytvoria sa dostatočné kontrolné mechanizmy. Proces spracovávania agendy odpadového hospodárstva sa zrýchli a zefektívni pričom bude zvládnuteľné spracovanie narastajúceho počtu záznamov. Zavedie sa princíp jedenkrát a dosť, aby už raz zadané údaje v rámci ISOH nebolo potrebné opätovne zadávať, ale aby boli zdieľané a proaktívne zadávané automaticky.</w:t>
      </w:r>
    </w:p>
    <w:p w:rsidR="00F73065" w:rsidRPr="00FA2619" w:rsidRDefault="00F73065" w:rsidP="00FA2619">
      <w:pPr>
        <w:spacing w:after="0" w:line="240" w:lineRule="auto"/>
        <w:jc w:val="both"/>
        <w:rPr>
          <w:rFonts w:ascii="Times New Roman" w:hAnsi="Times New Roman" w:cs="Times New Roman"/>
          <w:sz w:val="24"/>
          <w:szCs w:val="24"/>
        </w:rPr>
      </w:pPr>
    </w:p>
    <w:p w:rsidR="007430EC" w:rsidRDefault="007430EC"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Riešenie bude pripravené pre poskytovanie údajov pre </w:t>
      </w:r>
      <w:r w:rsidR="00317C5C" w:rsidRPr="00FA2619">
        <w:rPr>
          <w:rFonts w:ascii="Times New Roman" w:hAnsi="Times New Roman" w:cs="Times New Roman"/>
          <w:sz w:val="24"/>
          <w:szCs w:val="24"/>
        </w:rPr>
        <w:t>potreby E</w:t>
      </w:r>
      <w:r w:rsidRPr="00FA2619">
        <w:rPr>
          <w:rFonts w:ascii="Times New Roman" w:hAnsi="Times New Roman" w:cs="Times New Roman"/>
          <w:sz w:val="24"/>
          <w:szCs w:val="24"/>
        </w:rPr>
        <w:t>urópskej únie, prípadne iných tretích strán. Zároveň sa odstránia nezrovnalosti vo vykazovaní jednotlivých tokov odpadov. Umožní sa sledovanie životného cyklu odpadu od jeho vzniku až po stavy jeho konca ako aj sledovanie pri riadení kompetencií a aktivít jednotlivých aktérov v rámci životného cyklu pri vzniku, transportu, recyklácie a likvidácie odpadu. Zabezpečí sa elektronická validácia aktérov a kontrola lehôt jednotlivých aktivít prostredníctvom centrálnej referenčnej evidencie.</w:t>
      </w:r>
    </w:p>
    <w:p w:rsidR="00F73065" w:rsidRPr="00FA2619" w:rsidRDefault="00F73065" w:rsidP="00FA2619">
      <w:pPr>
        <w:spacing w:after="0" w:line="240" w:lineRule="auto"/>
        <w:jc w:val="both"/>
        <w:rPr>
          <w:rFonts w:ascii="Times New Roman" w:hAnsi="Times New Roman" w:cs="Times New Roman"/>
          <w:sz w:val="24"/>
          <w:szCs w:val="24"/>
        </w:rPr>
      </w:pPr>
    </w:p>
    <w:p w:rsidR="007430EC" w:rsidRDefault="007430EC"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Z údajov zozbieraných a spracovaných v rámci monitorovania odpadového hospodárstva sú spracované súhrnné informácie vo forme hodnotení plnenia cieľov programov a reportov s rôznymi pohľadmi na odpadové hospodárstvo SR. Tieto hodnotenia a reporty sú podkladom pre rozhodovanie a výkon štátnej správy v odpadovom hospodárstve SR. </w:t>
      </w:r>
    </w:p>
    <w:p w:rsidR="00F73065" w:rsidRPr="00FA2619" w:rsidRDefault="00F73065" w:rsidP="00FA2619">
      <w:pPr>
        <w:spacing w:after="0" w:line="240" w:lineRule="auto"/>
        <w:jc w:val="both"/>
        <w:rPr>
          <w:rFonts w:ascii="Times New Roman" w:hAnsi="Times New Roman" w:cs="Times New Roman"/>
          <w:sz w:val="24"/>
          <w:szCs w:val="24"/>
        </w:rPr>
      </w:pPr>
    </w:p>
    <w:p w:rsidR="00A72A60" w:rsidRDefault="007430EC"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lastRenderedPageBreak/>
        <w:t xml:space="preserve">Orgány štátnej správy, budú efektívne poskytovať súhrnné </w:t>
      </w:r>
      <w:proofErr w:type="spellStart"/>
      <w:r w:rsidRPr="00FA2619">
        <w:rPr>
          <w:rFonts w:ascii="Times New Roman" w:hAnsi="Times New Roman" w:cs="Times New Roman"/>
          <w:sz w:val="24"/>
          <w:szCs w:val="24"/>
        </w:rPr>
        <w:t>validné</w:t>
      </w:r>
      <w:proofErr w:type="spellEnd"/>
      <w:r w:rsidRPr="00FA2619">
        <w:rPr>
          <w:rFonts w:ascii="Times New Roman" w:hAnsi="Times New Roman" w:cs="Times New Roman"/>
          <w:sz w:val="24"/>
          <w:szCs w:val="24"/>
        </w:rPr>
        <w:t xml:space="preserve"> a adresné informácie o stave plnenia medzinárodných záväzkov vo forme reportov inštitúciám EUROSTAT, OECD, Európska komisia, Európska environmentálna agentúra, Sekretariát Bazilejského dohovoru.</w:t>
      </w:r>
    </w:p>
    <w:p w:rsidR="00F73065" w:rsidRPr="00FA2619" w:rsidRDefault="00F73065" w:rsidP="00FA2619">
      <w:pPr>
        <w:spacing w:after="0" w:line="240" w:lineRule="auto"/>
        <w:jc w:val="both"/>
        <w:rPr>
          <w:rFonts w:ascii="Times New Roman" w:hAnsi="Times New Roman" w:cs="Times New Roman"/>
          <w:sz w:val="24"/>
          <w:szCs w:val="24"/>
        </w:rPr>
      </w:pPr>
    </w:p>
    <w:p w:rsidR="00061294" w:rsidRDefault="00B87002" w:rsidP="00FA2619">
      <w:pPr>
        <w:spacing w:after="0"/>
        <w:jc w:val="both"/>
        <w:rPr>
          <w:rFonts w:ascii="Times New Roman" w:hAnsi="Times New Roman" w:cs="Times New Roman"/>
          <w:sz w:val="24"/>
          <w:szCs w:val="24"/>
        </w:rPr>
      </w:pPr>
      <w:r w:rsidRPr="00FA2619">
        <w:rPr>
          <w:rFonts w:ascii="Times New Roman" w:hAnsi="Times New Roman" w:cs="Times New Roman"/>
          <w:sz w:val="24"/>
          <w:szCs w:val="24"/>
        </w:rPr>
        <w:t>R</w:t>
      </w:r>
      <w:r w:rsidR="00061294" w:rsidRPr="00FA2619">
        <w:rPr>
          <w:rFonts w:ascii="Times New Roman" w:hAnsi="Times New Roman" w:cs="Times New Roman"/>
          <w:sz w:val="24"/>
          <w:szCs w:val="24"/>
        </w:rPr>
        <w:t xml:space="preserve">ozpočtovo nekryté vplyvy na strane výdavkov súvisiace s prevádzkou </w:t>
      </w:r>
      <w:r w:rsidR="002D4617" w:rsidRPr="00FA2619">
        <w:rPr>
          <w:rFonts w:ascii="Times New Roman" w:eastAsia="Times New Roman" w:hAnsi="Times New Roman" w:cs="Times New Roman"/>
          <w:bCs/>
          <w:sz w:val="24"/>
          <w:szCs w:val="24"/>
          <w:lang w:eastAsia="sk-SK"/>
        </w:rPr>
        <w:t>ISOH</w:t>
      </w:r>
      <w:r w:rsidRPr="00FA2619">
        <w:rPr>
          <w:rFonts w:ascii="Times New Roman" w:eastAsia="Times New Roman" w:hAnsi="Times New Roman" w:cs="Times New Roman"/>
          <w:bCs/>
          <w:sz w:val="24"/>
          <w:szCs w:val="24"/>
          <w:lang w:eastAsia="sk-SK"/>
        </w:rPr>
        <w:t xml:space="preserve"> boli vyčíslené</w:t>
      </w:r>
      <w:r w:rsidR="002D4617" w:rsidRPr="00FA2619" w:rsidDel="002D4617">
        <w:rPr>
          <w:rFonts w:ascii="Times New Roman" w:hAnsi="Times New Roman" w:cs="Times New Roman"/>
          <w:sz w:val="24"/>
          <w:szCs w:val="24"/>
        </w:rPr>
        <w:t xml:space="preserve"> </w:t>
      </w:r>
      <w:r w:rsidR="00061294" w:rsidRPr="00FA2619">
        <w:rPr>
          <w:rFonts w:ascii="Times New Roman" w:hAnsi="Times New Roman" w:cs="Times New Roman"/>
          <w:sz w:val="24"/>
          <w:szCs w:val="24"/>
        </w:rPr>
        <w:t xml:space="preserve">z dôvodu potreby zabezpečenia prevádzky systému aj po vytvorení samotného </w:t>
      </w:r>
      <w:r w:rsidR="005E643B" w:rsidRPr="00FA2619">
        <w:rPr>
          <w:rFonts w:ascii="Times New Roman" w:hAnsi="Times New Roman" w:cs="Times New Roman"/>
          <w:sz w:val="24"/>
          <w:szCs w:val="24"/>
        </w:rPr>
        <w:t>informačného systému na roky 2021 a 2022.</w:t>
      </w:r>
    </w:p>
    <w:p w:rsidR="00F73065" w:rsidRPr="00FA2619" w:rsidRDefault="00F73065" w:rsidP="00FA2619">
      <w:pPr>
        <w:spacing w:after="0"/>
        <w:jc w:val="both"/>
        <w:rPr>
          <w:rFonts w:ascii="Times New Roman" w:hAnsi="Times New Roman" w:cs="Times New Roman"/>
          <w:sz w:val="24"/>
          <w:szCs w:val="24"/>
        </w:rPr>
      </w:pPr>
    </w:p>
    <w:p w:rsidR="00061294" w:rsidRPr="00FA2619" w:rsidRDefault="00061294"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Cieľom vybudovania </w:t>
      </w:r>
      <w:r w:rsidR="00B87002" w:rsidRPr="00FA2619">
        <w:rPr>
          <w:rFonts w:ascii="Times New Roman" w:hAnsi="Times New Roman" w:cs="Times New Roman"/>
          <w:sz w:val="24"/>
          <w:szCs w:val="24"/>
        </w:rPr>
        <w:t>ISOH</w:t>
      </w:r>
      <w:r w:rsidRPr="00FA2619">
        <w:rPr>
          <w:rFonts w:ascii="Times New Roman" w:hAnsi="Times New Roman" w:cs="Times New Roman"/>
          <w:sz w:val="24"/>
          <w:szCs w:val="24"/>
        </w:rPr>
        <w:t xml:space="preserve"> je získať prehľad v oblasti odpadového hospodárstva a minimalizovať škody na životnom prostredí. Vďaka nespornej dôležitosti tém životného prostredia, ktorej </w:t>
      </w:r>
      <w:r w:rsidR="00320BD3" w:rsidRPr="00FA2619">
        <w:rPr>
          <w:rFonts w:ascii="Times New Roman" w:hAnsi="Times New Roman" w:cs="Times New Roman"/>
          <w:sz w:val="24"/>
          <w:szCs w:val="24"/>
        </w:rPr>
        <w:t>hmatateľnou</w:t>
      </w:r>
      <w:r w:rsidRPr="00FA2619">
        <w:rPr>
          <w:rFonts w:ascii="Times New Roman" w:hAnsi="Times New Roman" w:cs="Times New Roman"/>
          <w:sz w:val="24"/>
          <w:szCs w:val="24"/>
        </w:rPr>
        <w:t xml:space="preserve"> zložkou je aj oblasť odpadového hospodárstva, sa táto téma </w:t>
      </w:r>
      <w:r w:rsidR="00B87002" w:rsidRPr="00FA2619">
        <w:rPr>
          <w:rFonts w:ascii="Times New Roman" w:hAnsi="Times New Roman" w:cs="Times New Roman"/>
          <w:sz w:val="24"/>
          <w:szCs w:val="24"/>
        </w:rPr>
        <w:t xml:space="preserve">v súčasnosti </w:t>
      </w:r>
      <w:r w:rsidRPr="00FA2619">
        <w:rPr>
          <w:rFonts w:ascii="Times New Roman" w:hAnsi="Times New Roman" w:cs="Times New Roman"/>
          <w:sz w:val="24"/>
          <w:szCs w:val="24"/>
        </w:rPr>
        <w:t xml:space="preserve">oprávnene dostáva do popredia. Krajiny EÚ majú ambíciu pristupovať k tejto téme zodpovedne, pričom kladú dôraz na kvalitné dáta pre zabezpečenie rozhodovania o opatreniach. </w:t>
      </w:r>
    </w:p>
    <w:p w:rsidR="00061294" w:rsidRDefault="00061294" w:rsidP="00FA2619">
      <w:pPr>
        <w:spacing w:after="0" w:line="240" w:lineRule="auto"/>
        <w:jc w:val="both"/>
        <w:rPr>
          <w:rFonts w:ascii="Times New Roman" w:hAnsi="Times New Roman" w:cs="Times New Roman"/>
          <w:bCs/>
          <w:iCs/>
          <w:color w:val="000000"/>
          <w:sz w:val="24"/>
          <w:szCs w:val="24"/>
        </w:rPr>
      </w:pPr>
      <w:r w:rsidRPr="00FA2619">
        <w:rPr>
          <w:rFonts w:ascii="Times New Roman" w:hAnsi="Times New Roman" w:cs="Times New Roman"/>
          <w:sz w:val="24"/>
          <w:szCs w:val="24"/>
        </w:rPr>
        <w:t>Budúcou úlohou ISOH bude zabezpečovať zhromažďovanie údajov v odpadovej oblasti, ako aj ich následné poskytovanie, pričom sa odstráni manuálne prepisovanie dát z jednotlivých hlásení, zvýši sa frekvencia podávania hlásení, odstráni sa chybovosť dát a vytvoria sa dostatočné kontrolné mechanizmy. Z globálneho pohľadu ide o monitorovací systém pohybu odpadov od jeho vzniku až po</w:t>
      </w:r>
      <w:r w:rsidRPr="00FA2619">
        <w:rPr>
          <w:rFonts w:ascii="Times New Roman" w:hAnsi="Times New Roman" w:cs="Times New Roman"/>
          <w:bCs/>
          <w:iCs/>
          <w:color w:val="000000"/>
          <w:sz w:val="24"/>
          <w:szCs w:val="24"/>
        </w:rPr>
        <w:t xml:space="preserve"> stavy jeho konca</w:t>
      </w:r>
      <w:r w:rsidR="00B87002" w:rsidRPr="00FA2619">
        <w:rPr>
          <w:rFonts w:ascii="Times New Roman" w:hAnsi="Times New Roman" w:cs="Times New Roman"/>
          <w:bCs/>
          <w:iCs/>
          <w:color w:val="000000"/>
          <w:sz w:val="24"/>
          <w:szCs w:val="24"/>
        </w:rPr>
        <w:t>,</w:t>
      </w:r>
      <w:r w:rsidRPr="00FA2619">
        <w:rPr>
          <w:rFonts w:ascii="Times New Roman" w:hAnsi="Times New Roman" w:cs="Times New Roman"/>
          <w:bCs/>
          <w:iCs/>
          <w:color w:val="000000"/>
          <w:sz w:val="24"/>
          <w:szCs w:val="24"/>
        </w:rPr>
        <w:t xml:space="preserve"> ako aj sledovanie pri riadení kompetencií a aktivít jednotlivých aktérov v rámci životného cyklu </w:t>
      </w:r>
      <w:r w:rsidR="00B87002" w:rsidRPr="00FA2619">
        <w:rPr>
          <w:rFonts w:ascii="Times New Roman" w:hAnsi="Times New Roman" w:cs="Times New Roman"/>
          <w:bCs/>
          <w:iCs/>
          <w:color w:val="000000"/>
          <w:sz w:val="24"/>
          <w:szCs w:val="24"/>
        </w:rPr>
        <w:t xml:space="preserve">odpadu </w:t>
      </w:r>
      <w:r w:rsidRPr="00FA2619">
        <w:rPr>
          <w:rFonts w:ascii="Times New Roman" w:hAnsi="Times New Roman" w:cs="Times New Roman"/>
          <w:bCs/>
          <w:iCs/>
          <w:color w:val="000000"/>
          <w:sz w:val="24"/>
          <w:szCs w:val="24"/>
        </w:rPr>
        <w:t xml:space="preserve">od </w:t>
      </w:r>
      <w:r w:rsidR="00B87002" w:rsidRPr="00FA2619">
        <w:rPr>
          <w:rFonts w:ascii="Times New Roman" w:hAnsi="Times New Roman" w:cs="Times New Roman"/>
          <w:bCs/>
          <w:iCs/>
          <w:color w:val="000000"/>
          <w:sz w:val="24"/>
          <w:szCs w:val="24"/>
        </w:rPr>
        <w:t xml:space="preserve">jeho </w:t>
      </w:r>
      <w:r w:rsidRPr="00FA2619">
        <w:rPr>
          <w:rFonts w:ascii="Times New Roman" w:hAnsi="Times New Roman" w:cs="Times New Roman"/>
          <w:bCs/>
          <w:iCs/>
          <w:color w:val="000000"/>
          <w:sz w:val="24"/>
          <w:szCs w:val="24"/>
        </w:rPr>
        <w:t>vzniku, prepravy, obchodovania, úpravy až po konečné zhodnotenie či zneškodnenie odpadu.</w:t>
      </w:r>
    </w:p>
    <w:p w:rsidR="00F73065" w:rsidRPr="00FA2619" w:rsidRDefault="00F73065" w:rsidP="00FA2619">
      <w:pPr>
        <w:spacing w:after="0" w:line="240" w:lineRule="auto"/>
        <w:jc w:val="both"/>
        <w:rPr>
          <w:rFonts w:ascii="Times New Roman" w:hAnsi="Times New Roman" w:cs="Times New Roman"/>
          <w:bCs/>
          <w:iCs/>
          <w:color w:val="000000"/>
          <w:sz w:val="24"/>
          <w:szCs w:val="24"/>
        </w:rPr>
      </w:pPr>
    </w:p>
    <w:p w:rsidR="00061294" w:rsidRDefault="00061294"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Bez zabezpečenia prevádzky </w:t>
      </w:r>
      <w:r w:rsidR="00B87002" w:rsidRPr="00FA2619">
        <w:rPr>
          <w:rFonts w:ascii="Times New Roman" w:hAnsi="Times New Roman" w:cs="Times New Roman"/>
          <w:sz w:val="24"/>
          <w:szCs w:val="24"/>
        </w:rPr>
        <w:t>ISOH</w:t>
      </w:r>
      <w:r w:rsidRPr="00FA2619">
        <w:rPr>
          <w:rFonts w:ascii="Times New Roman" w:hAnsi="Times New Roman" w:cs="Times New Roman"/>
          <w:sz w:val="24"/>
          <w:szCs w:val="24"/>
        </w:rPr>
        <w:t xml:space="preserve"> nebude možné prispieť k efektívnejšej kontrole nakladania s odpadom vykonávanými hlavne príslušnými Okresnými úradmi a Slovenskou inšpekciou životného prostredia. Tieto inštitúcie budú mať v informačnom systéme k dispozícii konsolidované informácie o nakladaní s odpadom, čím sa zefektívni súčinnos</w:t>
      </w:r>
      <w:r w:rsidR="00B87002" w:rsidRPr="00FA2619">
        <w:rPr>
          <w:rFonts w:ascii="Times New Roman" w:hAnsi="Times New Roman" w:cs="Times New Roman"/>
          <w:sz w:val="24"/>
          <w:szCs w:val="24"/>
        </w:rPr>
        <w:t>ť</w:t>
      </w:r>
      <w:r w:rsidRPr="00FA2619">
        <w:rPr>
          <w:rFonts w:ascii="Times New Roman" w:hAnsi="Times New Roman" w:cs="Times New Roman"/>
          <w:sz w:val="24"/>
          <w:szCs w:val="24"/>
        </w:rPr>
        <w:t xml:space="preserve"> orgánov</w:t>
      </w:r>
      <w:r w:rsidR="00B87002" w:rsidRPr="00FA2619">
        <w:rPr>
          <w:rFonts w:ascii="Times New Roman" w:hAnsi="Times New Roman" w:cs="Times New Roman"/>
          <w:sz w:val="24"/>
          <w:szCs w:val="24"/>
        </w:rPr>
        <w:t xml:space="preserve"> štátnej správy</w:t>
      </w:r>
      <w:r w:rsidRPr="00FA2619">
        <w:rPr>
          <w:rFonts w:ascii="Times New Roman" w:hAnsi="Times New Roman" w:cs="Times New Roman"/>
          <w:sz w:val="24"/>
          <w:szCs w:val="24"/>
        </w:rPr>
        <w:t>.</w:t>
      </w:r>
    </w:p>
    <w:p w:rsidR="00F73065" w:rsidRPr="00FA2619" w:rsidRDefault="00F73065" w:rsidP="00FA2619">
      <w:pPr>
        <w:spacing w:after="0" w:line="240" w:lineRule="auto"/>
        <w:jc w:val="both"/>
        <w:rPr>
          <w:rFonts w:ascii="Times New Roman" w:hAnsi="Times New Roman" w:cs="Times New Roman"/>
          <w:sz w:val="24"/>
          <w:szCs w:val="24"/>
        </w:rPr>
      </w:pPr>
    </w:p>
    <w:p w:rsidR="00061294" w:rsidRPr="00FA2619" w:rsidRDefault="00061294"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Výška na zabezpečenie prevádzky bola kalkulovaná na základe skúseností a vývoja informačných systémov z minulosti. Výška projekt</w:t>
      </w:r>
      <w:r w:rsidR="00EB120A" w:rsidRPr="00FA2619">
        <w:rPr>
          <w:rFonts w:ascii="Times New Roman" w:hAnsi="Times New Roman" w:cs="Times New Roman"/>
          <w:sz w:val="24"/>
          <w:szCs w:val="24"/>
        </w:rPr>
        <w:t>ov</w:t>
      </w:r>
      <w:r w:rsidRPr="00FA2619">
        <w:rPr>
          <w:rFonts w:ascii="Times New Roman" w:hAnsi="Times New Roman" w:cs="Times New Roman"/>
          <w:sz w:val="24"/>
          <w:szCs w:val="24"/>
        </w:rPr>
        <w:t xml:space="preserve"> a cena SLA kontraktov je uvádzaná v nasledovnej tabuľke, vychádzajúc zo zmlúv zverejnených na </w:t>
      </w:r>
      <w:hyperlink r:id="rId9" w:history="1">
        <w:r w:rsidR="00FA2619" w:rsidRPr="00FA2619">
          <w:rPr>
            <w:rFonts w:ascii="Times New Roman" w:hAnsi="Times New Roman" w:cs="Times New Roman"/>
            <w:sz w:val="24"/>
            <w:szCs w:val="24"/>
          </w:rPr>
          <w:t>www.crz.gov.sk</w:t>
        </w:r>
      </w:hyperlink>
      <w:r w:rsidRPr="00FA2619">
        <w:rPr>
          <w:rFonts w:ascii="Times New Roman" w:hAnsi="Times New Roman" w:cs="Times New Roman"/>
          <w:sz w:val="24"/>
          <w:szCs w:val="24"/>
        </w:rPr>
        <w:t>:</w:t>
      </w:r>
    </w:p>
    <w:p w:rsidR="00FA2619" w:rsidRPr="006E45EC" w:rsidRDefault="00FA2619" w:rsidP="00FA2619">
      <w:pPr>
        <w:spacing w:after="0"/>
        <w:jc w:val="both"/>
        <w:rPr>
          <w:rFonts w:ascii="Times New Roman" w:hAnsi="Times New Roman" w:cs="Times New Roman"/>
          <w:bCs/>
          <w:iCs/>
          <w:color w:val="000000"/>
        </w:rPr>
      </w:pPr>
    </w:p>
    <w:tbl>
      <w:tblPr>
        <w:tblStyle w:val="Mriekatabuky"/>
        <w:tblW w:w="9067" w:type="dxa"/>
        <w:tblLook w:val="04A0" w:firstRow="1" w:lastRow="0" w:firstColumn="1" w:lastColumn="0" w:noHBand="0" w:noVBand="1"/>
      </w:tblPr>
      <w:tblGrid>
        <w:gridCol w:w="1524"/>
        <w:gridCol w:w="2591"/>
        <w:gridCol w:w="1697"/>
        <w:gridCol w:w="2122"/>
        <w:gridCol w:w="1133"/>
      </w:tblGrid>
      <w:tr w:rsidR="00061294" w:rsidRPr="00061294" w:rsidTr="00720602">
        <w:tc>
          <w:tcPr>
            <w:tcW w:w="1520" w:type="dxa"/>
            <w:vAlign w:val="center"/>
          </w:tcPr>
          <w:p w:rsidR="00061294" w:rsidRPr="006E45EC" w:rsidRDefault="00061294" w:rsidP="00FB0D87">
            <w:pPr>
              <w:jc w:val="center"/>
              <w:rPr>
                <w:rFonts w:ascii="Times New Roman" w:hAnsi="Times New Roman" w:cs="Times New Roman"/>
                <w:b/>
                <w:bCs/>
                <w:iCs/>
                <w:color w:val="000000"/>
              </w:rPr>
            </w:pPr>
            <w:r w:rsidRPr="006E45EC">
              <w:rPr>
                <w:rFonts w:ascii="Times New Roman" w:hAnsi="Times New Roman" w:cs="Times New Roman"/>
                <w:b/>
                <w:bCs/>
                <w:iCs/>
                <w:color w:val="000000"/>
              </w:rPr>
              <w:t>Názov IS</w:t>
            </w:r>
          </w:p>
        </w:tc>
        <w:tc>
          <w:tcPr>
            <w:tcW w:w="2593" w:type="dxa"/>
            <w:vAlign w:val="center"/>
          </w:tcPr>
          <w:p w:rsidR="00061294" w:rsidRPr="006E45EC" w:rsidRDefault="00061294" w:rsidP="00FB0D87">
            <w:pPr>
              <w:jc w:val="center"/>
              <w:rPr>
                <w:rFonts w:ascii="Times New Roman" w:hAnsi="Times New Roman" w:cs="Times New Roman"/>
                <w:b/>
                <w:bCs/>
                <w:iCs/>
                <w:color w:val="000000"/>
              </w:rPr>
            </w:pPr>
            <w:r w:rsidRPr="006E45EC">
              <w:rPr>
                <w:rFonts w:ascii="Times New Roman" w:hAnsi="Times New Roman" w:cs="Times New Roman"/>
                <w:b/>
                <w:bCs/>
                <w:iCs/>
                <w:color w:val="000000"/>
              </w:rPr>
              <w:t>Rezort</w:t>
            </w:r>
          </w:p>
        </w:tc>
        <w:tc>
          <w:tcPr>
            <w:tcW w:w="1698" w:type="dxa"/>
            <w:vAlign w:val="center"/>
          </w:tcPr>
          <w:p w:rsidR="00061294" w:rsidRPr="006E45EC" w:rsidRDefault="00061294" w:rsidP="00FB0D87">
            <w:pPr>
              <w:jc w:val="center"/>
              <w:rPr>
                <w:rFonts w:ascii="Times New Roman" w:hAnsi="Times New Roman" w:cs="Times New Roman"/>
                <w:b/>
                <w:bCs/>
                <w:iCs/>
                <w:color w:val="000000"/>
              </w:rPr>
            </w:pPr>
            <w:r w:rsidRPr="006E45EC">
              <w:rPr>
                <w:rFonts w:ascii="Times New Roman" w:hAnsi="Times New Roman" w:cs="Times New Roman"/>
                <w:b/>
                <w:bCs/>
                <w:iCs/>
                <w:color w:val="000000"/>
              </w:rPr>
              <w:t>Výška Zmluvy s DPH</w:t>
            </w:r>
          </w:p>
        </w:tc>
        <w:tc>
          <w:tcPr>
            <w:tcW w:w="2123" w:type="dxa"/>
            <w:vAlign w:val="center"/>
          </w:tcPr>
          <w:p w:rsidR="00061294" w:rsidRPr="006E45EC" w:rsidRDefault="00061294" w:rsidP="00FB0D87">
            <w:pPr>
              <w:jc w:val="center"/>
              <w:rPr>
                <w:rFonts w:ascii="Times New Roman" w:hAnsi="Times New Roman" w:cs="Times New Roman"/>
                <w:b/>
                <w:bCs/>
                <w:iCs/>
                <w:color w:val="000000"/>
              </w:rPr>
            </w:pPr>
            <w:r w:rsidRPr="006E45EC">
              <w:rPr>
                <w:rFonts w:ascii="Times New Roman" w:hAnsi="Times New Roman" w:cs="Times New Roman"/>
                <w:b/>
                <w:bCs/>
                <w:iCs/>
                <w:color w:val="000000"/>
              </w:rPr>
              <w:t>Výška SLA kontraktu s DPH / rok</w:t>
            </w:r>
          </w:p>
        </w:tc>
        <w:tc>
          <w:tcPr>
            <w:tcW w:w="1133" w:type="dxa"/>
            <w:vAlign w:val="center"/>
          </w:tcPr>
          <w:p w:rsidR="00061294" w:rsidRPr="006E45EC" w:rsidRDefault="00061294" w:rsidP="00FB0D87">
            <w:pPr>
              <w:jc w:val="center"/>
              <w:rPr>
                <w:rFonts w:ascii="Times New Roman" w:hAnsi="Times New Roman" w:cs="Times New Roman"/>
                <w:b/>
                <w:bCs/>
                <w:iCs/>
                <w:color w:val="000000"/>
              </w:rPr>
            </w:pPr>
            <w:r w:rsidRPr="006E45EC">
              <w:rPr>
                <w:rFonts w:ascii="Times New Roman" w:hAnsi="Times New Roman" w:cs="Times New Roman"/>
                <w:b/>
                <w:bCs/>
                <w:iCs/>
                <w:color w:val="000000"/>
              </w:rPr>
              <w:t>% podiel</w:t>
            </w:r>
          </w:p>
        </w:tc>
      </w:tr>
      <w:tr w:rsidR="00061294" w:rsidRPr="00061294" w:rsidTr="00720602">
        <w:tc>
          <w:tcPr>
            <w:tcW w:w="1520" w:type="dxa"/>
          </w:tcPr>
          <w:p w:rsidR="00061294" w:rsidRPr="006E45EC" w:rsidRDefault="00061294" w:rsidP="00FB0D87">
            <w:pPr>
              <w:jc w:val="both"/>
              <w:rPr>
                <w:rFonts w:ascii="Times New Roman" w:hAnsi="Times New Roman" w:cs="Times New Roman"/>
                <w:bCs/>
                <w:iCs/>
                <w:color w:val="000000"/>
              </w:rPr>
            </w:pPr>
            <w:r w:rsidRPr="006E45EC">
              <w:rPr>
                <w:rFonts w:ascii="Times New Roman" w:hAnsi="Times New Roman" w:cs="Times New Roman"/>
                <w:bCs/>
                <w:iCs/>
                <w:color w:val="000000"/>
              </w:rPr>
              <w:t>IS CEP</w:t>
            </w:r>
          </w:p>
        </w:tc>
        <w:tc>
          <w:tcPr>
            <w:tcW w:w="2593" w:type="dxa"/>
            <w:vAlign w:val="center"/>
          </w:tcPr>
          <w:p w:rsidR="00061294" w:rsidRPr="006E45EC" w:rsidRDefault="00061294" w:rsidP="00FB0D87">
            <w:pPr>
              <w:rPr>
                <w:rFonts w:ascii="Times New Roman" w:hAnsi="Times New Roman" w:cs="Times New Roman"/>
                <w:bCs/>
                <w:iCs/>
                <w:color w:val="000000"/>
              </w:rPr>
            </w:pPr>
            <w:r w:rsidRPr="006E45EC">
              <w:rPr>
                <w:rFonts w:ascii="Times New Roman" w:hAnsi="Times New Roman" w:cs="Times New Roman"/>
                <w:bCs/>
                <w:iCs/>
                <w:color w:val="000000"/>
              </w:rPr>
              <w:t>Ministerstvo financií SR</w:t>
            </w:r>
          </w:p>
        </w:tc>
        <w:tc>
          <w:tcPr>
            <w:tcW w:w="1698"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16 967 874,22 €</w:t>
            </w:r>
          </w:p>
        </w:tc>
        <w:tc>
          <w:tcPr>
            <w:tcW w:w="212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1 917 660,00 €</w:t>
            </w:r>
          </w:p>
        </w:tc>
        <w:tc>
          <w:tcPr>
            <w:tcW w:w="113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11,30 %</w:t>
            </w:r>
          </w:p>
        </w:tc>
      </w:tr>
      <w:tr w:rsidR="00061294" w:rsidRPr="00061294" w:rsidTr="00720602">
        <w:tc>
          <w:tcPr>
            <w:tcW w:w="1520" w:type="dxa"/>
          </w:tcPr>
          <w:p w:rsidR="00061294" w:rsidRPr="006E45EC" w:rsidRDefault="00061294" w:rsidP="00FB0D87">
            <w:pPr>
              <w:jc w:val="both"/>
              <w:rPr>
                <w:rFonts w:ascii="Times New Roman" w:hAnsi="Times New Roman" w:cs="Times New Roman"/>
                <w:bCs/>
                <w:iCs/>
                <w:color w:val="000000"/>
              </w:rPr>
            </w:pPr>
            <w:r w:rsidRPr="006E45EC">
              <w:rPr>
                <w:rFonts w:ascii="Times New Roman" w:hAnsi="Times New Roman" w:cs="Times New Roman"/>
                <w:bCs/>
                <w:iCs/>
                <w:color w:val="000000"/>
              </w:rPr>
              <w:t>Integrovaný informačný systém pre zabezpečenie poskytovania elektronických služieb MH SR</w:t>
            </w:r>
          </w:p>
        </w:tc>
        <w:tc>
          <w:tcPr>
            <w:tcW w:w="2593" w:type="dxa"/>
            <w:vAlign w:val="center"/>
          </w:tcPr>
          <w:p w:rsidR="00061294" w:rsidRPr="006E45EC" w:rsidRDefault="00061294" w:rsidP="00FB0D87">
            <w:pPr>
              <w:rPr>
                <w:rFonts w:ascii="Times New Roman" w:hAnsi="Times New Roman" w:cs="Times New Roman"/>
                <w:bCs/>
                <w:iCs/>
                <w:color w:val="000000"/>
              </w:rPr>
            </w:pPr>
            <w:r w:rsidRPr="006E45EC">
              <w:rPr>
                <w:rFonts w:ascii="Times New Roman" w:hAnsi="Times New Roman" w:cs="Times New Roman"/>
                <w:bCs/>
                <w:iCs/>
                <w:color w:val="000000"/>
              </w:rPr>
              <w:t>Ministerstvo hospodárstva SR</w:t>
            </w:r>
          </w:p>
        </w:tc>
        <w:tc>
          <w:tcPr>
            <w:tcW w:w="1698"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8 078 781,60 €</w:t>
            </w:r>
          </w:p>
        </w:tc>
        <w:tc>
          <w:tcPr>
            <w:tcW w:w="212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433 800,00 €</w:t>
            </w:r>
          </w:p>
        </w:tc>
        <w:tc>
          <w:tcPr>
            <w:tcW w:w="113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5,37 %</w:t>
            </w:r>
          </w:p>
        </w:tc>
      </w:tr>
      <w:tr w:rsidR="00061294" w:rsidRPr="00061294" w:rsidTr="00720602">
        <w:tc>
          <w:tcPr>
            <w:tcW w:w="1520" w:type="dxa"/>
          </w:tcPr>
          <w:p w:rsidR="00061294" w:rsidRPr="006E45EC" w:rsidRDefault="00061294" w:rsidP="00FB0D87">
            <w:pPr>
              <w:jc w:val="both"/>
              <w:rPr>
                <w:rFonts w:ascii="Times New Roman" w:hAnsi="Times New Roman" w:cs="Times New Roman"/>
                <w:bCs/>
                <w:iCs/>
                <w:color w:val="000000"/>
              </w:rPr>
            </w:pPr>
            <w:r w:rsidRPr="006E45EC">
              <w:rPr>
                <w:rFonts w:ascii="Times New Roman" w:hAnsi="Times New Roman" w:cs="Times New Roman"/>
                <w:bCs/>
                <w:iCs/>
                <w:color w:val="000000"/>
              </w:rPr>
              <w:t xml:space="preserve">Elektronická zbierka zákonov - </w:t>
            </w:r>
            <w:proofErr w:type="spellStart"/>
            <w:r w:rsidRPr="006E45EC">
              <w:rPr>
                <w:rFonts w:ascii="Times New Roman" w:hAnsi="Times New Roman" w:cs="Times New Roman"/>
                <w:bCs/>
                <w:iCs/>
                <w:color w:val="000000"/>
              </w:rPr>
              <w:t>Slovlex</w:t>
            </w:r>
            <w:proofErr w:type="spellEnd"/>
          </w:p>
        </w:tc>
        <w:tc>
          <w:tcPr>
            <w:tcW w:w="2593" w:type="dxa"/>
            <w:vAlign w:val="center"/>
          </w:tcPr>
          <w:p w:rsidR="00061294" w:rsidRPr="006E45EC" w:rsidRDefault="00061294" w:rsidP="00FB0D87">
            <w:pPr>
              <w:rPr>
                <w:rFonts w:ascii="Times New Roman" w:hAnsi="Times New Roman" w:cs="Times New Roman"/>
                <w:bCs/>
                <w:iCs/>
                <w:color w:val="000000"/>
              </w:rPr>
            </w:pPr>
            <w:r w:rsidRPr="006E45EC">
              <w:rPr>
                <w:rFonts w:ascii="Times New Roman" w:hAnsi="Times New Roman" w:cs="Times New Roman"/>
                <w:bCs/>
                <w:iCs/>
                <w:color w:val="000000"/>
              </w:rPr>
              <w:t>Ministerstvo spravodlivosti SR</w:t>
            </w:r>
          </w:p>
        </w:tc>
        <w:tc>
          <w:tcPr>
            <w:tcW w:w="1698"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8 950 800,00 €</w:t>
            </w:r>
          </w:p>
        </w:tc>
        <w:tc>
          <w:tcPr>
            <w:tcW w:w="212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1 653 888,00 €</w:t>
            </w:r>
          </w:p>
        </w:tc>
        <w:tc>
          <w:tcPr>
            <w:tcW w:w="1133" w:type="dxa"/>
            <w:vAlign w:val="center"/>
          </w:tcPr>
          <w:p w:rsidR="00061294" w:rsidRPr="006E45EC" w:rsidRDefault="00061294" w:rsidP="00FB0D87">
            <w:pPr>
              <w:jc w:val="right"/>
              <w:rPr>
                <w:rFonts w:ascii="Times New Roman" w:hAnsi="Times New Roman" w:cs="Times New Roman"/>
                <w:bCs/>
                <w:iCs/>
                <w:color w:val="000000"/>
              </w:rPr>
            </w:pPr>
            <w:r w:rsidRPr="006E45EC">
              <w:rPr>
                <w:rFonts w:ascii="Times New Roman" w:hAnsi="Times New Roman" w:cs="Times New Roman"/>
                <w:bCs/>
                <w:iCs/>
                <w:color w:val="000000"/>
              </w:rPr>
              <w:t>18,48%</w:t>
            </w:r>
          </w:p>
        </w:tc>
      </w:tr>
      <w:tr w:rsidR="00061294" w:rsidRPr="00061294" w:rsidTr="00720602">
        <w:tc>
          <w:tcPr>
            <w:tcW w:w="5811" w:type="dxa"/>
            <w:gridSpan w:val="3"/>
            <w:tcBorders>
              <w:left w:val="single" w:sz="4" w:space="0" w:color="FFFFFF" w:themeColor="background1"/>
              <w:bottom w:val="single" w:sz="4" w:space="0" w:color="FFFFFF" w:themeColor="background1"/>
            </w:tcBorders>
          </w:tcPr>
          <w:p w:rsidR="00061294" w:rsidRPr="006E45EC" w:rsidRDefault="00061294" w:rsidP="00FB0D87">
            <w:pPr>
              <w:jc w:val="both"/>
              <w:rPr>
                <w:rFonts w:ascii="Times New Roman" w:hAnsi="Times New Roman" w:cs="Times New Roman"/>
                <w:bCs/>
                <w:iCs/>
                <w:color w:val="000000"/>
              </w:rPr>
            </w:pPr>
          </w:p>
        </w:tc>
        <w:tc>
          <w:tcPr>
            <w:tcW w:w="2123" w:type="dxa"/>
          </w:tcPr>
          <w:p w:rsidR="00061294" w:rsidRPr="006E45EC" w:rsidRDefault="00061294" w:rsidP="00FB0D87">
            <w:pPr>
              <w:jc w:val="both"/>
              <w:rPr>
                <w:rFonts w:ascii="Times New Roman" w:hAnsi="Times New Roman" w:cs="Times New Roman"/>
                <w:b/>
                <w:bCs/>
                <w:iCs/>
                <w:color w:val="000000"/>
              </w:rPr>
            </w:pPr>
            <w:r w:rsidRPr="006E45EC">
              <w:rPr>
                <w:rFonts w:ascii="Times New Roman" w:hAnsi="Times New Roman" w:cs="Times New Roman"/>
                <w:b/>
                <w:bCs/>
                <w:iCs/>
                <w:color w:val="000000"/>
              </w:rPr>
              <w:t>Priemer</w:t>
            </w:r>
          </w:p>
        </w:tc>
        <w:tc>
          <w:tcPr>
            <w:tcW w:w="1133" w:type="dxa"/>
          </w:tcPr>
          <w:p w:rsidR="00061294" w:rsidRPr="006E45EC" w:rsidRDefault="00061294" w:rsidP="00FB0D87">
            <w:pPr>
              <w:jc w:val="both"/>
              <w:rPr>
                <w:rFonts w:ascii="Times New Roman" w:hAnsi="Times New Roman" w:cs="Times New Roman"/>
                <w:b/>
                <w:bCs/>
                <w:iCs/>
                <w:color w:val="000000"/>
              </w:rPr>
            </w:pPr>
            <w:r w:rsidRPr="006E45EC">
              <w:rPr>
                <w:rFonts w:ascii="Times New Roman" w:hAnsi="Times New Roman" w:cs="Times New Roman"/>
                <w:b/>
                <w:bCs/>
                <w:iCs/>
                <w:color w:val="000000"/>
              </w:rPr>
              <w:t>11,72 %</w:t>
            </w:r>
          </w:p>
        </w:tc>
      </w:tr>
    </w:tbl>
    <w:p w:rsidR="00061294" w:rsidRPr="006E45EC" w:rsidRDefault="00061294" w:rsidP="00FB0D87">
      <w:pPr>
        <w:ind w:firstLine="708"/>
        <w:jc w:val="both"/>
        <w:rPr>
          <w:rFonts w:ascii="Times New Roman" w:hAnsi="Times New Roman" w:cs="Times New Roman"/>
          <w:bCs/>
          <w:iCs/>
          <w:color w:val="000000"/>
        </w:rPr>
      </w:pPr>
    </w:p>
    <w:p w:rsidR="00061294" w:rsidRDefault="00061294"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 xml:space="preserve">V zmysle </w:t>
      </w:r>
      <w:r w:rsidR="00016417" w:rsidRPr="00FA2619">
        <w:rPr>
          <w:rFonts w:ascii="Times New Roman" w:hAnsi="Times New Roman" w:cs="Times New Roman"/>
          <w:sz w:val="24"/>
          <w:szCs w:val="24"/>
        </w:rPr>
        <w:t>S</w:t>
      </w:r>
      <w:r w:rsidRPr="00FA2619">
        <w:rPr>
          <w:rFonts w:ascii="Times New Roman" w:hAnsi="Times New Roman" w:cs="Times New Roman"/>
          <w:sz w:val="24"/>
          <w:szCs w:val="24"/>
        </w:rPr>
        <w:t>trategického dokumentu pre oblasť rastu digitálnych služieb a oblasť infraštruktúry prístupovej siete novej generácie (2014 – 2020) vypracované</w:t>
      </w:r>
      <w:r w:rsidR="00534E88" w:rsidRPr="00FA2619">
        <w:rPr>
          <w:rFonts w:ascii="Times New Roman" w:hAnsi="Times New Roman" w:cs="Times New Roman"/>
          <w:sz w:val="24"/>
          <w:szCs w:val="24"/>
        </w:rPr>
        <w:t>ho</w:t>
      </w:r>
      <w:r w:rsidRPr="00FA2619">
        <w:rPr>
          <w:rFonts w:ascii="Times New Roman" w:hAnsi="Times New Roman" w:cs="Times New Roman"/>
          <w:sz w:val="24"/>
          <w:szCs w:val="24"/>
        </w:rPr>
        <w:t xml:space="preserve"> Ministerstvo</w:t>
      </w:r>
      <w:r w:rsidR="00534E88" w:rsidRPr="00FA2619">
        <w:rPr>
          <w:rFonts w:ascii="Times New Roman" w:hAnsi="Times New Roman" w:cs="Times New Roman"/>
          <w:sz w:val="24"/>
          <w:szCs w:val="24"/>
        </w:rPr>
        <w:t>m</w:t>
      </w:r>
      <w:r w:rsidRPr="00FA2619">
        <w:rPr>
          <w:rFonts w:ascii="Times New Roman" w:hAnsi="Times New Roman" w:cs="Times New Roman"/>
          <w:sz w:val="24"/>
          <w:szCs w:val="24"/>
        </w:rPr>
        <w:t xml:space="preserve"> financií SR, </w:t>
      </w:r>
      <w:r w:rsidRPr="00FA2619">
        <w:rPr>
          <w:rFonts w:ascii="Times New Roman" w:hAnsi="Times New Roman" w:cs="Times New Roman"/>
          <w:sz w:val="24"/>
          <w:szCs w:val="24"/>
        </w:rPr>
        <w:lastRenderedPageBreak/>
        <w:t xml:space="preserve">ktorý stanovuje stratégiu ďalšieho rozvoja digitálnych služieb a infraštruktúry prístupovej siete novej generácie na Slovensku na programové obdobie 2014 – 2020, bol budúci vývoj nákladov na prevádzku </w:t>
      </w:r>
      <w:r w:rsidR="00406F4F" w:rsidRPr="00FA2619">
        <w:rPr>
          <w:rFonts w:ascii="Times New Roman" w:hAnsi="Times New Roman" w:cs="Times New Roman"/>
          <w:sz w:val="24"/>
          <w:szCs w:val="24"/>
        </w:rPr>
        <w:t>informačných systémov</w:t>
      </w:r>
      <w:r w:rsidRPr="00FA2619">
        <w:rPr>
          <w:rFonts w:ascii="Times New Roman" w:hAnsi="Times New Roman" w:cs="Times New Roman"/>
          <w:sz w:val="24"/>
          <w:szCs w:val="24"/>
        </w:rPr>
        <w:t xml:space="preserve"> odhadnutý vo výške takmer 10 % z celkových investičných nákladov.</w:t>
      </w:r>
    </w:p>
    <w:p w:rsidR="00F73065" w:rsidRPr="00FA2619" w:rsidRDefault="00F73065" w:rsidP="00FA2619">
      <w:pPr>
        <w:spacing w:after="0" w:line="240" w:lineRule="auto"/>
        <w:jc w:val="both"/>
        <w:rPr>
          <w:rFonts w:ascii="Times New Roman" w:hAnsi="Times New Roman" w:cs="Times New Roman"/>
          <w:sz w:val="24"/>
          <w:szCs w:val="24"/>
        </w:rPr>
      </w:pPr>
    </w:p>
    <w:p w:rsidR="00061294" w:rsidRPr="00FA2619" w:rsidRDefault="00757969"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Na základe vyššie uvedeného MŽP SR</w:t>
      </w:r>
      <w:r w:rsidR="00061294" w:rsidRPr="00FA2619">
        <w:rPr>
          <w:rFonts w:ascii="Times New Roman" w:hAnsi="Times New Roman" w:cs="Times New Roman"/>
          <w:sz w:val="24"/>
          <w:szCs w:val="24"/>
        </w:rPr>
        <w:t xml:space="preserve"> stanovilo výšku prevádzkovej podpory na úrovni 8% z ceny projektu.</w:t>
      </w:r>
    </w:p>
    <w:p w:rsidR="00FA2619" w:rsidRPr="00FA2619" w:rsidRDefault="00FA2619" w:rsidP="00FA2619">
      <w:pPr>
        <w:spacing w:after="0" w:line="240" w:lineRule="auto"/>
        <w:jc w:val="both"/>
        <w:rPr>
          <w:rFonts w:ascii="Times New Roman" w:hAnsi="Times New Roman" w:cs="Times New Roman"/>
          <w:sz w:val="24"/>
          <w:szCs w:val="24"/>
        </w:rPr>
      </w:pPr>
    </w:p>
    <w:p w:rsidR="00534E88" w:rsidRPr="00FA2619" w:rsidRDefault="00534E88"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Vytvorenie ISOH je financované z Operačného programu Kvalita životného prostredia. V zmysle povinnosti prijímateľa zabezpečiť zachovanie účelu a podmienok realizácie projektu, na základe ktorých bol MŽP SR poskytnutý príspevok, je potrebné zabezpečiť aj prevádzku informačného systému po dobu min. 5 rokov od momentu ukončenia realizácie projektu. Odhadované bežné výdavky na prevádzku informačného systému sú nevyhnutnou podmienkou pre realizáciu projektu ISOH.</w:t>
      </w:r>
    </w:p>
    <w:p w:rsidR="00FA2619" w:rsidRPr="00FA2619" w:rsidRDefault="00FA2619" w:rsidP="00FA2619">
      <w:pPr>
        <w:spacing w:after="0" w:line="240" w:lineRule="auto"/>
        <w:jc w:val="both"/>
        <w:rPr>
          <w:rFonts w:ascii="Times New Roman" w:hAnsi="Times New Roman" w:cs="Times New Roman"/>
          <w:sz w:val="24"/>
          <w:szCs w:val="24"/>
        </w:rPr>
      </w:pPr>
    </w:p>
    <w:p w:rsidR="00187F84" w:rsidRPr="00FA2619" w:rsidRDefault="00534E88" w:rsidP="00FA2619">
      <w:pPr>
        <w:spacing w:after="0" w:line="240" w:lineRule="auto"/>
        <w:jc w:val="both"/>
        <w:rPr>
          <w:rFonts w:ascii="Times New Roman" w:hAnsi="Times New Roman" w:cs="Times New Roman"/>
          <w:sz w:val="24"/>
          <w:szCs w:val="24"/>
        </w:rPr>
      </w:pPr>
      <w:r w:rsidRPr="00FA2619">
        <w:rPr>
          <w:rFonts w:ascii="Times New Roman" w:hAnsi="Times New Roman" w:cs="Times New Roman"/>
          <w:sz w:val="24"/>
          <w:szCs w:val="24"/>
        </w:rPr>
        <w:t>Z tohto dôvodu MŽP SR plánuje u</w:t>
      </w:r>
      <w:r w:rsidR="0038622A" w:rsidRPr="00FA2619">
        <w:rPr>
          <w:rFonts w:ascii="Times New Roman" w:hAnsi="Times New Roman" w:cs="Times New Roman"/>
          <w:sz w:val="24"/>
          <w:szCs w:val="24"/>
        </w:rPr>
        <w:t>veden</w:t>
      </w:r>
      <w:r w:rsidR="00720602" w:rsidRPr="00FA2619">
        <w:rPr>
          <w:rFonts w:ascii="Times New Roman" w:hAnsi="Times New Roman" w:cs="Times New Roman"/>
          <w:sz w:val="24"/>
          <w:szCs w:val="24"/>
        </w:rPr>
        <w:t xml:space="preserve">ú investíciu </w:t>
      </w:r>
      <w:r w:rsidR="0038622A" w:rsidRPr="00FA2619">
        <w:rPr>
          <w:rFonts w:ascii="Times New Roman" w:hAnsi="Times New Roman" w:cs="Times New Roman"/>
          <w:sz w:val="24"/>
          <w:szCs w:val="24"/>
        </w:rPr>
        <w:t xml:space="preserve">zahrnúť do </w:t>
      </w:r>
      <w:r w:rsidR="00720602" w:rsidRPr="00FA2619">
        <w:rPr>
          <w:rFonts w:ascii="Times New Roman" w:hAnsi="Times New Roman" w:cs="Times New Roman"/>
          <w:sz w:val="24"/>
          <w:szCs w:val="24"/>
        </w:rPr>
        <w:t>Návrhu rozpočtu kapitoly MŽP SR na roky 2020 až 2022,</w:t>
      </w:r>
      <w:r w:rsidRPr="00FA2619">
        <w:rPr>
          <w:rFonts w:ascii="Times New Roman" w:hAnsi="Times New Roman" w:cs="Times New Roman"/>
          <w:sz w:val="24"/>
          <w:szCs w:val="24"/>
        </w:rPr>
        <w:t xml:space="preserve"> čím by po schválení bola táto investícia </w:t>
      </w:r>
      <w:r w:rsidR="00380925" w:rsidRPr="00FA2619">
        <w:rPr>
          <w:rFonts w:ascii="Times New Roman" w:hAnsi="Times New Roman" w:cs="Times New Roman"/>
          <w:sz w:val="24"/>
          <w:szCs w:val="24"/>
        </w:rPr>
        <w:t>rozpočtovo zabezpečen</w:t>
      </w:r>
      <w:r w:rsidRPr="00FA2619">
        <w:rPr>
          <w:rFonts w:ascii="Times New Roman" w:hAnsi="Times New Roman" w:cs="Times New Roman"/>
          <w:sz w:val="24"/>
          <w:szCs w:val="24"/>
        </w:rPr>
        <w:t>á.</w:t>
      </w:r>
    </w:p>
    <w:p w:rsidR="00061294" w:rsidRPr="007430EC" w:rsidRDefault="00061294" w:rsidP="007430EC">
      <w:pPr>
        <w:spacing w:line="240" w:lineRule="auto"/>
        <w:jc w:val="both"/>
        <w:rPr>
          <w:rFonts w:ascii="Times New Roman" w:hAnsi="Times New Roman" w:cs="Times New Roman"/>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D5748" w:rsidRPr="007D5748" w:rsidRDefault="00A72A60"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iné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rsidTr="000E5DC6">
        <w:trPr>
          <w:cantSplit/>
          <w:trHeight w:val="70"/>
        </w:trPr>
        <w:tc>
          <w:tcPr>
            <w:tcW w:w="4530" w:type="dxa"/>
            <w:vMerge w:val="restart"/>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rsidTr="000E5DC6">
        <w:trPr>
          <w:cantSplit/>
          <w:trHeight w:val="70"/>
        </w:trPr>
        <w:tc>
          <w:tcPr>
            <w:tcW w:w="4530" w:type="dxa"/>
            <w:vMerge/>
            <w:shd w:val="clear" w:color="auto" w:fill="BFBFBF" w:themeFill="background1" w:themeFillShade="BF"/>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7D5748" w:rsidRPr="007D5748" w:rsidTr="000E5DC6">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0E5DC6">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0E5DC6">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0E5DC6">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rsidTr="000E5DC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0E5DC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0E5DC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rsidTr="000E5DC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0E5DC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834919"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834919"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834919"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83491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690CD7" w:rsidRPr="00690CD7" w:rsidTr="00836752">
        <w:trPr>
          <w:trHeight w:val="288"/>
        </w:trPr>
        <w:tc>
          <w:tcPr>
            <w:tcW w:w="7070" w:type="dxa"/>
            <w:tcBorders>
              <w:top w:val="nil"/>
              <w:left w:val="single" w:sz="4" w:space="0" w:color="auto"/>
              <w:bottom w:val="single" w:sz="4" w:space="0" w:color="auto"/>
              <w:right w:val="single" w:sz="4" w:space="0" w:color="auto"/>
            </w:tcBorders>
          </w:tcPr>
          <w:p w:rsidR="008407B7" w:rsidRPr="00690CD7" w:rsidRDefault="008407B7" w:rsidP="008407B7">
            <w:pPr>
              <w:spacing w:after="0" w:line="240" w:lineRule="auto"/>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8407B7" w:rsidRPr="00690CD7" w:rsidRDefault="008407B7" w:rsidP="008407B7">
            <w:pPr>
              <w:spacing w:after="0" w:line="240" w:lineRule="auto"/>
              <w:jc w:val="center"/>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07B7" w:rsidRPr="00690CD7" w:rsidRDefault="008407B7" w:rsidP="008407B7">
            <w:pPr>
              <w:spacing w:after="0" w:line="240" w:lineRule="auto"/>
              <w:jc w:val="center"/>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154 000</w:t>
            </w:r>
          </w:p>
        </w:tc>
        <w:tc>
          <w:tcPr>
            <w:tcW w:w="1540" w:type="dxa"/>
            <w:tcBorders>
              <w:top w:val="nil"/>
              <w:left w:val="nil"/>
              <w:bottom w:val="single" w:sz="4" w:space="0" w:color="auto"/>
              <w:right w:val="single" w:sz="4" w:space="0" w:color="auto"/>
            </w:tcBorders>
          </w:tcPr>
          <w:p w:rsidR="008407B7" w:rsidRPr="00690CD7" w:rsidRDefault="00836752" w:rsidP="008407B7">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1 282 031,5</w:t>
            </w:r>
          </w:p>
        </w:tc>
        <w:tc>
          <w:tcPr>
            <w:tcW w:w="1540" w:type="dxa"/>
            <w:tcBorders>
              <w:top w:val="nil"/>
              <w:left w:val="nil"/>
              <w:bottom w:val="single" w:sz="4" w:space="0" w:color="auto"/>
              <w:right w:val="single" w:sz="4" w:space="0" w:color="auto"/>
            </w:tcBorders>
          </w:tcPr>
          <w:p w:rsidR="008407B7" w:rsidRPr="00690CD7" w:rsidRDefault="00836752" w:rsidP="008407B7">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1 282 031,5</w:t>
            </w:r>
          </w:p>
        </w:tc>
        <w:tc>
          <w:tcPr>
            <w:tcW w:w="2220" w:type="dxa"/>
            <w:tcBorders>
              <w:top w:val="nil"/>
              <w:left w:val="nil"/>
              <w:bottom w:val="single" w:sz="4" w:space="0" w:color="auto"/>
              <w:right w:val="single" w:sz="4" w:space="0" w:color="auto"/>
            </w:tcBorders>
            <w:noWrap/>
            <w:vAlign w:val="bottom"/>
          </w:tcPr>
          <w:p w:rsidR="008407B7" w:rsidRPr="00690CD7" w:rsidRDefault="008407B7" w:rsidP="008407B7">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6E700F" w:rsidRPr="00690CD7" w:rsidRDefault="006E700F" w:rsidP="006E700F">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6E700F" w:rsidRPr="00690CD7" w:rsidRDefault="000104C0"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6E700F" w:rsidRPr="00690CD7" w:rsidRDefault="000104C0"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6E700F" w:rsidRPr="00690CD7" w:rsidRDefault="00836752"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38 556</w:t>
            </w:r>
          </w:p>
        </w:tc>
        <w:tc>
          <w:tcPr>
            <w:tcW w:w="1540" w:type="dxa"/>
            <w:tcBorders>
              <w:top w:val="nil"/>
              <w:left w:val="nil"/>
              <w:bottom w:val="single" w:sz="4" w:space="0" w:color="auto"/>
              <w:right w:val="single" w:sz="4" w:space="0" w:color="auto"/>
            </w:tcBorders>
          </w:tcPr>
          <w:p w:rsidR="006E700F" w:rsidRPr="00690CD7" w:rsidRDefault="00836752" w:rsidP="006E700F">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0"/>
                <w:szCs w:val="20"/>
                <w:lang w:eastAsia="sk-SK"/>
              </w:rPr>
              <w:t>38 556</w:t>
            </w:r>
          </w:p>
        </w:tc>
        <w:tc>
          <w:tcPr>
            <w:tcW w:w="2220" w:type="dxa"/>
            <w:tcBorders>
              <w:top w:val="nil"/>
              <w:left w:val="nil"/>
              <w:bottom w:val="single" w:sz="4" w:space="0" w:color="auto"/>
              <w:right w:val="single" w:sz="4" w:space="0" w:color="auto"/>
            </w:tcBorders>
            <w:noWrap/>
            <w:vAlign w:val="bottom"/>
          </w:tcPr>
          <w:p w:rsidR="006E700F" w:rsidRPr="00690CD7" w:rsidRDefault="006E700F" w:rsidP="006E700F">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6E700F" w:rsidRPr="00690CD7" w:rsidRDefault="006E700F" w:rsidP="006E700F">
            <w:pPr>
              <w:spacing w:after="0" w:line="240" w:lineRule="auto"/>
              <w:rPr>
                <w:rFonts w:ascii="Times New Roman" w:eastAsia="Times New Roman" w:hAnsi="Times New Roman" w:cs="Times New Roman"/>
                <w:sz w:val="20"/>
                <w:szCs w:val="20"/>
                <w:vertAlign w:val="superscript"/>
                <w:lang w:eastAsia="sk-SK"/>
              </w:rPr>
            </w:pPr>
            <w:r w:rsidRPr="00690CD7">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6E700F" w:rsidRPr="00690CD7" w:rsidRDefault="000104C0"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6E700F" w:rsidRPr="00690CD7" w:rsidRDefault="000104C0"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6E700F" w:rsidRPr="00690CD7" w:rsidRDefault="00836752"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13 475,5</w:t>
            </w:r>
          </w:p>
        </w:tc>
        <w:tc>
          <w:tcPr>
            <w:tcW w:w="1540" w:type="dxa"/>
            <w:tcBorders>
              <w:top w:val="nil"/>
              <w:left w:val="nil"/>
              <w:bottom w:val="single" w:sz="4" w:space="0" w:color="auto"/>
              <w:right w:val="single" w:sz="4" w:space="0" w:color="auto"/>
            </w:tcBorders>
          </w:tcPr>
          <w:p w:rsidR="006E700F" w:rsidRPr="00690CD7" w:rsidRDefault="00836752" w:rsidP="006E700F">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0"/>
                <w:szCs w:val="20"/>
                <w:lang w:eastAsia="sk-SK"/>
              </w:rPr>
              <w:t>13 475,5</w:t>
            </w:r>
          </w:p>
        </w:tc>
        <w:tc>
          <w:tcPr>
            <w:tcW w:w="2220" w:type="dxa"/>
            <w:tcBorders>
              <w:top w:val="nil"/>
              <w:left w:val="nil"/>
              <w:bottom w:val="single" w:sz="4" w:space="0" w:color="auto"/>
              <w:right w:val="single" w:sz="4" w:space="0" w:color="auto"/>
            </w:tcBorders>
            <w:noWrap/>
            <w:vAlign w:val="bottom"/>
          </w:tcPr>
          <w:p w:rsidR="006E700F" w:rsidRPr="00690CD7" w:rsidRDefault="006E700F" w:rsidP="006E700F">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6E700F" w:rsidRPr="00690CD7" w:rsidRDefault="006E700F" w:rsidP="006E700F">
            <w:pPr>
              <w:spacing w:after="0" w:line="240" w:lineRule="auto"/>
              <w:rPr>
                <w:rFonts w:ascii="Times New Roman" w:eastAsia="Times New Roman" w:hAnsi="Times New Roman" w:cs="Times New Roman"/>
                <w:sz w:val="20"/>
                <w:szCs w:val="20"/>
                <w:vertAlign w:val="superscript"/>
                <w:lang w:eastAsia="sk-SK"/>
              </w:rPr>
            </w:pPr>
            <w:r w:rsidRPr="00690CD7">
              <w:rPr>
                <w:rFonts w:ascii="Times New Roman" w:eastAsia="Times New Roman" w:hAnsi="Times New Roman" w:cs="Times New Roman"/>
                <w:sz w:val="20"/>
                <w:szCs w:val="20"/>
                <w:lang w:eastAsia="sk-SK"/>
              </w:rPr>
              <w:t xml:space="preserve">  Tovary a služby (630)</w:t>
            </w:r>
            <w:r w:rsidRPr="00690CD7">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E700F" w:rsidRPr="00690CD7" w:rsidRDefault="00CA049E"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6E700F" w:rsidRPr="00690CD7" w:rsidRDefault="00CA049E"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154 000</w:t>
            </w:r>
          </w:p>
        </w:tc>
        <w:tc>
          <w:tcPr>
            <w:tcW w:w="1540" w:type="dxa"/>
            <w:tcBorders>
              <w:top w:val="nil"/>
              <w:left w:val="nil"/>
              <w:bottom w:val="single" w:sz="4" w:space="0" w:color="auto"/>
              <w:right w:val="single" w:sz="4" w:space="0" w:color="auto"/>
            </w:tcBorders>
          </w:tcPr>
          <w:p w:rsidR="006E700F" w:rsidRPr="00690CD7" w:rsidRDefault="00CA049E"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1 230 000</w:t>
            </w:r>
          </w:p>
        </w:tc>
        <w:tc>
          <w:tcPr>
            <w:tcW w:w="1540" w:type="dxa"/>
            <w:tcBorders>
              <w:top w:val="nil"/>
              <w:left w:val="nil"/>
              <w:bottom w:val="single" w:sz="4" w:space="0" w:color="auto"/>
              <w:right w:val="single" w:sz="4" w:space="0" w:color="auto"/>
            </w:tcBorders>
          </w:tcPr>
          <w:p w:rsidR="006E700F" w:rsidRPr="00690CD7" w:rsidRDefault="00CA049E" w:rsidP="006E700F">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1 230 000</w:t>
            </w:r>
          </w:p>
        </w:tc>
        <w:tc>
          <w:tcPr>
            <w:tcW w:w="2220" w:type="dxa"/>
            <w:tcBorders>
              <w:top w:val="nil"/>
              <w:left w:val="nil"/>
              <w:bottom w:val="single" w:sz="4" w:space="0" w:color="auto"/>
              <w:right w:val="single" w:sz="4" w:space="0" w:color="auto"/>
            </w:tcBorders>
            <w:noWrap/>
            <w:vAlign w:val="bottom"/>
          </w:tcPr>
          <w:p w:rsidR="006E700F" w:rsidRPr="00690CD7" w:rsidRDefault="006E700F" w:rsidP="006E700F">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635009 - Rutinná a štandardná údržba softvéru</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154 000</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1 230 000</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1 230 000</w:t>
            </w: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 xml:space="preserve">  Bežné transfery (640)</w:t>
            </w:r>
            <w:r w:rsidRPr="00690CD7">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vAlign w:val="center"/>
          </w:tcPr>
          <w:p w:rsidR="003F38C9" w:rsidRPr="00690CD7" w:rsidRDefault="003F38C9" w:rsidP="003F38C9">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 xml:space="preserve">  Splácanie úrokov a ostatné platby súvisiace s </w:t>
            </w:r>
            <w:r w:rsidRPr="00690CD7">
              <w:t xml:space="preserve"> </w:t>
            </w:r>
            <w:r w:rsidRPr="00690CD7">
              <w:rPr>
                <w:rFonts w:ascii="Times New Roman" w:eastAsia="Times New Roman" w:hAnsi="Times New Roman" w:cs="Times New Roman"/>
                <w:sz w:val="20"/>
                <w:szCs w:val="20"/>
                <w:lang w:eastAsia="sk-SK"/>
              </w:rPr>
              <w:t>úverom, pôžičkou, návratnou finančnou výpomocou a finančným prenájmom (650)</w:t>
            </w:r>
            <w:r w:rsidRPr="00690CD7">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 xml:space="preserve">  Obstarávanie kapitálových aktív (710)</w:t>
            </w:r>
            <w:r w:rsidRPr="00690CD7">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sz w:val="20"/>
                <w:szCs w:val="20"/>
                <w:lang w:eastAsia="sk-SK"/>
              </w:rPr>
            </w:pPr>
            <w:r w:rsidRPr="00690CD7">
              <w:rPr>
                <w:rFonts w:ascii="Times New Roman" w:eastAsia="Times New Roman" w:hAnsi="Times New Roman" w:cs="Times New Roman"/>
                <w:sz w:val="20"/>
                <w:szCs w:val="20"/>
                <w:lang w:eastAsia="sk-SK"/>
              </w:rPr>
              <w:t xml:space="preserve">  Kapitálové transfery (720)</w:t>
            </w:r>
            <w:r w:rsidRPr="00690CD7">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3F38C9" w:rsidRPr="00690CD7" w:rsidRDefault="003F38C9" w:rsidP="003F38C9">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nil"/>
              <w:left w:val="single" w:sz="4" w:space="0" w:color="auto"/>
              <w:bottom w:val="single" w:sz="4" w:space="0" w:color="auto"/>
              <w:right w:val="single" w:sz="4" w:space="0" w:color="auto"/>
            </w:tcBorders>
          </w:tcPr>
          <w:p w:rsidR="003F38C9" w:rsidRPr="00690CD7" w:rsidRDefault="003F38C9" w:rsidP="003F38C9">
            <w:pPr>
              <w:spacing w:after="0" w:line="240" w:lineRule="auto"/>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3F38C9" w:rsidRPr="00690CD7" w:rsidRDefault="003F38C9" w:rsidP="003F38C9">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r w:rsidR="00690CD7" w:rsidRPr="00690CD7" w:rsidTr="000E5DC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F38C9" w:rsidRPr="00690CD7" w:rsidRDefault="003F38C9" w:rsidP="003F38C9">
            <w:pPr>
              <w:spacing w:after="0" w:line="240" w:lineRule="auto"/>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F38C9" w:rsidRPr="00690CD7" w:rsidRDefault="003F38C9" w:rsidP="003F38C9">
            <w:pPr>
              <w:spacing w:after="0" w:line="240" w:lineRule="auto"/>
              <w:jc w:val="center"/>
              <w:rPr>
                <w:rFonts w:ascii="Times New Roman" w:eastAsia="Times New Roman" w:hAnsi="Times New Roman" w:cs="Times New Roman"/>
                <w:b/>
                <w:bCs/>
                <w:sz w:val="20"/>
                <w:szCs w:val="20"/>
                <w:lang w:eastAsia="sk-SK"/>
              </w:rPr>
            </w:pPr>
            <w:r w:rsidRPr="00690CD7">
              <w:rPr>
                <w:rFonts w:ascii="Times New Roman" w:eastAsia="Times New Roman" w:hAnsi="Times New Roman" w:cs="Times New Roman"/>
                <w:b/>
                <w:bCs/>
                <w:sz w:val="20"/>
                <w:szCs w:val="20"/>
                <w:lang w:eastAsia="sk-SK"/>
              </w:rPr>
              <w:t>154 000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F38C9" w:rsidRPr="00690CD7" w:rsidRDefault="00836752" w:rsidP="003F38C9">
            <w:pPr>
              <w:spacing w:after="0" w:line="240" w:lineRule="auto"/>
              <w:jc w:val="center"/>
              <w:rPr>
                <w:rFonts w:ascii="Times New Roman" w:eastAsia="Times New Roman" w:hAnsi="Times New Roman" w:cs="Times New Roman"/>
                <w:b/>
                <w:sz w:val="20"/>
                <w:szCs w:val="20"/>
                <w:lang w:eastAsia="sk-SK"/>
              </w:rPr>
            </w:pPr>
            <w:r w:rsidRPr="00690CD7">
              <w:rPr>
                <w:rFonts w:ascii="Times New Roman" w:eastAsia="Times New Roman" w:hAnsi="Times New Roman" w:cs="Times New Roman"/>
                <w:b/>
                <w:sz w:val="20"/>
                <w:szCs w:val="20"/>
                <w:lang w:eastAsia="sk-SK"/>
              </w:rPr>
              <w:t>1 282 031,5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F38C9" w:rsidRPr="00690CD7" w:rsidRDefault="00836752" w:rsidP="003F38C9">
            <w:pPr>
              <w:spacing w:after="0" w:line="240" w:lineRule="auto"/>
              <w:jc w:val="center"/>
              <w:rPr>
                <w:rFonts w:ascii="Times New Roman" w:eastAsia="Times New Roman" w:hAnsi="Times New Roman" w:cs="Times New Roman"/>
                <w:b/>
                <w:sz w:val="20"/>
                <w:szCs w:val="20"/>
                <w:lang w:eastAsia="sk-SK"/>
              </w:rPr>
            </w:pPr>
            <w:r w:rsidRPr="00690CD7">
              <w:rPr>
                <w:rFonts w:ascii="Times New Roman" w:eastAsia="Times New Roman" w:hAnsi="Times New Roman" w:cs="Times New Roman"/>
                <w:b/>
                <w:sz w:val="20"/>
                <w:szCs w:val="20"/>
                <w:lang w:eastAsia="sk-SK"/>
              </w:rPr>
              <w:t>1 282 031,5</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F38C9" w:rsidRPr="00690CD7" w:rsidRDefault="003F38C9" w:rsidP="003F38C9">
            <w:pPr>
              <w:spacing w:after="0" w:line="240" w:lineRule="auto"/>
              <w:rPr>
                <w:rFonts w:ascii="Times New Roman" w:eastAsia="Times New Roman" w:hAnsi="Times New Roman" w:cs="Times New Roman"/>
                <w:sz w:val="24"/>
                <w:szCs w:val="24"/>
                <w:lang w:eastAsia="sk-SK"/>
              </w:rPr>
            </w:pPr>
            <w:r w:rsidRPr="00690CD7">
              <w:rPr>
                <w:rFonts w:ascii="Times New Roman" w:eastAsia="Times New Roman" w:hAnsi="Times New Roman" w:cs="Times New Roman"/>
                <w:sz w:val="24"/>
                <w:szCs w:val="24"/>
                <w:lang w:eastAsia="sk-SK"/>
              </w:rPr>
              <w:t> </w:t>
            </w:r>
          </w:p>
        </w:tc>
      </w:tr>
    </w:tbl>
    <w:p w:rsidR="007D5748" w:rsidRPr="00690CD7"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690CD7">
        <w:rPr>
          <w:rFonts w:ascii="Times New Roman" w:eastAsia="Times New Roman" w:hAnsi="Times New Roman" w:cs="Times New Roman"/>
          <w:bCs/>
          <w:sz w:val="20"/>
          <w:szCs w:val="20"/>
          <w:lang w:eastAsia="sk-SK"/>
        </w:rPr>
        <w:t>2 –  výdavky rozpísať až do položiek platnej ekonomickej klasifikácie</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rsidTr="000E5DC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0E5DC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63FC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63FC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63FC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63FC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836752" w:rsidRPr="007D5748" w:rsidTr="006E6475">
        <w:trPr>
          <w:trHeight w:val="7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w:t>
            </w:r>
          </w:p>
        </w:tc>
        <w:tc>
          <w:tcPr>
            <w:tcW w:w="1722" w:type="dxa"/>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6E6475">
              <w:rPr>
                <w:rFonts w:ascii="Times New Roman" w:eastAsia="Times New Roman" w:hAnsi="Times New Roman" w:cs="Times New Roman"/>
                <w:sz w:val="20"/>
                <w:szCs w:val="20"/>
                <w:lang w:eastAsia="sk-SK"/>
              </w:rPr>
              <w:t>PT 8 (v zmysle prílohy 1 nariadenia vlády č. 389/2018)</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w:t>
            </w:r>
          </w:p>
        </w:tc>
        <w:tc>
          <w:tcPr>
            <w:tcW w:w="1722" w:type="dxa"/>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1071</w:t>
            </w:r>
          </w:p>
        </w:tc>
        <w:tc>
          <w:tcPr>
            <w:tcW w:w="1722" w:type="dxa"/>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1071</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36752" w:rsidRPr="006E6475" w:rsidRDefault="00836752" w:rsidP="00836752">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788" w:type="dxa"/>
            <w:tcBorders>
              <w:top w:val="single" w:sz="4" w:space="0" w:color="auto"/>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sz w:val="24"/>
                <w:szCs w:val="24"/>
                <w:lang w:eastAsia="sk-SK"/>
              </w:rPr>
              <w:t>1071</w:t>
            </w:r>
          </w:p>
        </w:tc>
        <w:tc>
          <w:tcPr>
            <w:tcW w:w="1722" w:type="dxa"/>
            <w:tcBorders>
              <w:top w:val="single" w:sz="4" w:space="0" w:color="auto"/>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sz w:val="24"/>
                <w:szCs w:val="24"/>
                <w:lang w:eastAsia="sk-SK"/>
              </w:rPr>
              <w:t>1071</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52 031,5</w:t>
            </w:r>
          </w:p>
        </w:tc>
        <w:tc>
          <w:tcPr>
            <w:tcW w:w="1722" w:type="dxa"/>
            <w:tcBorders>
              <w:top w:val="nil"/>
              <w:left w:val="nil"/>
              <w:bottom w:val="single" w:sz="4" w:space="0" w:color="auto"/>
              <w:right w:val="single" w:sz="4" w:space="0" w:color="auto"/>
            </w:tcBorders>
            <w:shd w:val="clear" w:color="auto" w:fill="BFBFBF" w:themeFill="background1" w:themeFillShade="BF"/>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52 031,5</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6E6475">
              <w:rPr>
                <w:rFonts w:ascii="Times New Roman" w:eastAsia="Times New Roman" w:hAnsi="Times New Roman" w:cs="Times New Roman"/>
                <w:b/>
                <w:bCs/>
                <w:color w:val="000000" w:themeColor="text1"/>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38 556</w:t>
            </w:r>
          </w:p>
        </w:tc>
        <w:tc>
          <w:tcPr>
            <w:tcW w:w="1722" w:type="dxa"/>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38 556</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bCs/>
                <w:sz w:val="24"/>
                <w:szCs w:val="24"/>
                <w:lang w:eastAsia="sk-SK"/>
              </w:rPr>
              <w:t>38 556</w:t>
            </w:r>
          </w:p>
        </w:tc>
        <w:tc>
          <w:tcPr>
            <w:tcW w:w="1722" w:type="dxa"/>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bCs/>
                <w:sz w:val="24"/>
                <w:szCs w:val="24"/>
                <w:lang w:eastAsia="sk-SK"/>
              </w:rPr>
              <w:t>38 556</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36752" w:rsidRPr="007D5748" w:rsidTr="000E5DC6">
        <w:trPr>
          <w:trHeight w:val="255"/>
        </w:trPr>
        <w:tc>
          <w:tcPr>
            <w:tcW w:w="6188" w:type="dxa"/>
            <w:tcBorders>
              <w:top w:val="nil"/>
              <w:left w:val="single" w:sz="4" w:space="0" w:color="auto"/>
              <w:bottom w:val="single" w:sz="4" w:space="0" w:color="auto"/>
              <w:right w:val="single" w:sz="4" w:space="0" w:color="auto"/>
            </w:tcBorders>
          </w:tcPr>
          <w:p w:rsidR="00836752" w:rsidRPr="006E6475" w:rsidRDefault="00836752" w:rsidP="00836752">
            <w:pPr>
              <w:spacing w:after="0" w:line="240" w:lineRule="auto"/>
              <w:rPr>
                <w:rFonts w:ascii="Times New Roman" w:eastAsia="Times New Roman" w:hAnsi="Times New Roman" w:cs="Times New Roman"/>
                <w:b/>
                <w:bCs/>
                <w:sz w:val="24"/>
                <w:szCs w:val="24"/>
                <w:lang w:eastAsia="sk-SK"/>
              </w:rPr>
            </w:pPr>
            <w:r w:rsidRPr="006E647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13 475,5</w:t>
            </w:r>
          </w:p>
        </w:tc>
        <w:tc>
          <w:tcPr>
            <w:tcW w:w="1722" w:type="dxa"/>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b/>
                <w:bCs/>
                <w:sz w:val="24"/>
                <w:szCs w:val="24"/>
                <w:lang w:eastAsia="sk-SK"/>
              </w:rPr>
            </w:pPr>
            <w:r w:rsidRPr="00690CD7">
              <w:rPr>
                <w:rFonts w:ascii="Times New Roman" w:eastAsia="Times New Roman" w:hAnsi="Times New Roman" w:cs="Times New Roman"/>
                <w:b/>
                <w:bCs/>
                <w:sz w:val="24"/>
                <w:szCs w:val="24"/>
                <w:lang w:eastAsia="sk-SK"/>
              </w:rPr>
              <w:t>13 475,5</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836752" w:rsidRPr="007D5748" w:rsidTr="006E6475">
        <w:trPr>
          <w:trHeight w:val="105"/>
        </w:trPr>
        <w:tc>
          <w:tcPr>
            <w:tcW w:w="6188" w:type="dxa"/>
            <w:tcBorders>
              <w:top w:val="nil"/>
              <w:left w:val="single" w:sz="4" w:space="0" w:color="auto"/>
              <w:bottom w:val="single" w:sz="4" w:space="0" w:color="auto"/>
              <w:right w:val="single" w:sz="4" w:space="0" w:color="auto"/>
            </w:tcBorders>
          </w:tcPr>
          <w:p w:rsidR="00836752" w:rsidRPr="006E6475" w:rsidRDefault="00836752" w:rsidP="00836752">
            <w:pPr>
              <w:spacing w:after="0" w:line="240" w:lineRule="auto"/>
              <w:rPr>
                <w:rFonts w:ascii="Times New Roman" w:eastAsia="Times New Roman" w:hAnsi="Times New Roman" w:cs="Times New Roman"/>
                <w:sz w:val="24"/>
                <w:szCs w:val="24"/>
                <w:lang w:eastAsia="sk-SK"/>
              </w:rPr>
            </w:pPr>
            <w:r w:rsidRPr="006E647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36752" w:rsidRPr="006E6475" w:rsidRDefault="00836752" w:rsidP="00836752">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788" w:type="dxa"/>
            <w:tcBorders>
              <w:top w:val="nil"/>
              <w:left w:val="nil"/>
              <w:bottom w:val="single" w:sz="4" w:space="0" w:color="auto"/>
              <w:right w:val="single" w:sz="4" w:space="0" w:color="auto"/>
            </w:tcBorders>
          </w:tcPr>
          <w:p w:rsidR="00836752" w:rsidRPr="007D5748" w:rsidRDefault="00836752" w:rsidP="008367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0</w:t>
            </w:r>
          </w:p>
        </w:tc>
        <w:tc>
          <w:tcPr>
            <w:tcW w:w="2418" w:type="dxa"/>
            <w:gridSpan w:val="2"/>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bCs/>
                <w:sz w:val="24"/>
                <w:szCs w:val="24"/>
                <w:lang w:eastAsia="sk-SK"/>
              </w:rPr>
              <w:t>13 475,5</w:t>
            </w:r>
          </w:p>
        </w:tc>
        <w:tc>
          <w:tcPr>
            <w:tcW w:w="1722" w:type="dxa"/>
            <w:tcBorders>
              <w:top w:val="nil"/>
              <w:left w:val="nil"/>
              <w:bottom w:val="single" w:sz="4" w:space="0" w:color="auto"/>
              <w:right w:val="single" w:sz="4" w:space="0" w:color="auto"/>
            </w:tcBorders>
          </w:tcPr>
          <w:p w:rsidR="00836752" w:rsidRPr="00690CD7" w:rsidRDefault="00836752" w:rsidP="00836752">
            <w:pPr>
              <w:spacing w:after="0" w:line="240" w:lineRule="auto"/>
              <w:jc w:val="center"/>
              <w:rPr>
                <w:rFonts w:ascii="Times New Roman" w:eastAsia="Times New Roman" w:hAnsi="Times New Roman" w:cs="Times New Roman"/>
                <w:sz w:val="24"/>
                <w:szCs w:val="24"/>
                <w:lang w:eastAsia="sk-SK"/>
              </w:rPr>
            </w:pPr>
            <w:r w:rsidRPr="00690CD7">
              <w:rPr>
                <w:rFonts w:ascii="Times New Roman" w:eastAsia="Times New Roman" w:hAnsi="Times New Roman" w:cs="Times New Roman"/>
                <w:b/>
                <w:bCs/>
                <w:sz w:val="24"/>
                <w:szCs w:val="24"/>
                <w:lang w:eastAsia="sk-SK"/>
              </w:rPr>
              <w:t>13 475,5</w:t>
            </w:r>
          </w:p>
        </w:tc>
        <w:tc>
          <w:tcPr>
            <w:tcW w:w="1620" w:type="dxa"/>
            <w:gridSpan w:val="2"/>
            <w:tcBorders>
              <w:top w:val="nil"/>
              <w:left w:val="nil"/>
              <w:bottom w:val="single" w:sz="4" w:space="0" w:color="auto"/>
              <w:right w:val="single" w:sz="4" w:space="0" w:color="auto"/>
            </w:tcBorders>
            <w:noWrap/>
            <w:vAlign w:val="bottom"/>
          </w:tcPr>
          <w:p w:rsidR="00836752" w:rsidRPr="007D5748" w:rsidRDefault="00836752" w:rsidP="0083675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34919" w:rsidRPr="007D5748" w:rsidTr="007430EC">
        <w:trPr>
          <w:trHeight w:val="255"/>
        </w:trPr>
        <w:tc>
          <w:tcPr>
            <w:tcW w:w="7886" w:type="dxa"/>
            <w:gridSpan w:val="2"/>
            <w:tcBorders>
              <w:top w:val="nil"/>
              <w:left w:val="nil"/>
              <w:bottom w:val="nil"/>
              <w:right w:val="nil"/>
            </w:tcBorders>
            <w:noWrap/>
            <w:vAlign w:val="bottom"/>
          </w:tcPr>
          <w:p w:rsidR="00834919" w:rsidRPr="007D5748" w:rsidRDefault="00834919" w:rsidP="006E647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r>
      <w:tr w:rsidR="00834919" w:rsidRPr="007D5748" w:rsidTr="000E5DC6">
        <w:trPr>
          <w:trHeight w:val="255"/>
        </w:trPr>
        <w:tc>
          <w:tcPr>
            <w:tcW w:w="6188" w:type="dxa"/>
            <w:tcBorders>
              <w:top w:val="nil"/>
              <w:left w:val="nil"/>
              <w:bottom w:val="nil"/>
              <w:right w:val="nil"/>
            </w:tcBorders>
          </w:tcPr>
          <w:p w:rsidR="00834919" w:rsidRPr="007D5748" w:rsidRDefault="00834919" w:rsidP="0083491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r>
      <w:tr w:rsidR="00834919" w:rsidRPr="007D5748" w:rsidTr="000E5DC6">
        <w:trPr>
          <w:trHeight w:val="255"/>
        </w:trPr>
        <w:tc>
          <w:tcPr>
            <w:tcW w:w="13814" w:type="dxa"/>
            <w:gridSpan w:val="6"/>
            <w:tcBorders>
              <w:top w:val="nil"/>
              <w:left w:val="nil"/>
              <w:bottom w:val="nil"/>
              <w:right w:val="nil"/>
            </w:tcBorders>
            <w:noWrap/>
          </w:tcPr>
          <w:p w:rsidR="00834919" w:rsidRPr="007D5748" w:rsidRDefault="00834919" w:rsidP="00834919">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34919" w:rsidRPr="007D5748" w:rsidRDefault="00834919" w:rsidP="0083491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r>
      <w:tr w:rsidR="00834919" w:rsidRPr="007D5748" w:rsidTr="000E5DC6">
        <w:trPr>
          <w:trHeight w:val="255"/>
        </w:trPr>
        <w:tc>
          <w:tcPr>
            <w:tcW w:w="10394" w:type="dxa"/>
            <w:gridSpan w:val="4"/>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834919" w:rsidRPr="007D5748" w:rsidRDefault="00834919" w:rsidP="00834919">
            <w:pPr>
              <w:spacing w:after="0" w:line="240" w:lineRule="auto"/>
              <w:rPr>
                <w:rFonts w:ascii="Times New Roman" w:eastAsia="Times New Roman" w:hAnsi="Times New Roman" w:cs="Times New Roman"/>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rsidR="00CB3623" w:rsidRDefault="00CB3623" w:rsidP="00165539">
      <w:pPr>
        <w:spacing w:after="0" w:line="240" w:lineRule="auto"/>
        <w:jc w:val="both"/>
        <w:outlineLvl w:val="3"/>
      </w:pPr>
    </w:p>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05" w:rsidRDefault="003F1905">
      <w:pPr>
        <w:spacing w:after="0" w:line="240" w:lineRule="auto"/>
      </w:pPr>
      <w:r>
        <w:separator/>
      </w:r>
    </w:p>
  </w:endnote>
  <w:endnote w:type="continuationSeparator" w:id="0">
    <w:p w:rsidR="003F1905" w:rsidRDefault="003F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14" w:rsidRDefault="00EC071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C0714" w:rsidRDefault="00EC071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14" w:rsidRDefault="00EC0714">
    <w:pPr>
      <w:pStyle w:val="Pta"/>
      <w:jc w:val="right"/>
    </w:pPr>
    <w:r>
      <w:fldChar w:fldCharType="begin"/>
    </w:r>
    <w:r>
      <w:instrText>PAGE   \* MERGEFORMAT</w:instrText>
    </w:r>
    <w:r>
      <w:fldChar w:fldCharType="separate"/>
    </w:r>
    <w:r w:rsidR="00F93C38">
      <w:rPr>
        <w:noProof/>
      </w:rPr>
      <w:t>10</w:t>
    </w:r>
    <w:r>
      <w:fldChar w:fldCharType="end"/>
    </w:r>
  </w:p>
  <w:p w:rsidR="00EC0714" w:rsidRDefault="00EC071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14" w:rsidRDefault="00EC0714">
    <w:pPr>
      <w:pStyle w:val="Pta"/>
      <w:jc w:val="right"/>
    </w:pPr>
    <w:r>
      <w:fldChar w:fldCharType="begin"/>
    </w:r>
    <w:r>
      <w:instrText>PAGE   \* MERGEFORMAT</w:instrText>
    </w:r>
    <w:r>
      <w:fldChar w:fldCharType="separate"/>
    </w:r>
    <w:r>
      <w:rPr>
        <w:noProof/>
      </w:rPr>
      <w:t>0</w:t>
    </w:r>
    <w:r>
      <w:fldChar w:fldCharType="end"/>
    </w:r>
  </w:p>
  <w:p w:rsidR="00EC0714" w:rsidRDefault="00EC071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05" w:rsidRDefault="003F1905">
      <w:pPr>
        <w:spacing w:after="0" w:line="240" w:lineRule="auto"/>
      </w:pPr>
      <w:r>
        <w:separator/>
      </w:r>
    </w:p>
  </w:footnote>
  <w:footnote w:type="continuationSeparator" w:id="0">
    <w:p w:rsidR="003F1905" w:rsidRDefault="003F1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14" w:rsidRDefault="00EC0714" w:rsidP="000E5DC6">
    <w:pPr>
      <w:pStyle w:val="Hlavika"/>
      <w:jc w:val="right"/>
      <w:rPr>
        <w:sz w:val="24"/>
        <w:szCs w:val="24"/>
      </w:rPr>
    </w:pPr>
    <w:r>
      <w:rPr>
        <w:sz w:val="24"/>
        <w:szCs w:val="24"/>
      </w:rPr>
      <w:t>Príloha č. 2</w:t>
    </w:r>
  </w:p>
  <w:p w:rsidR="00EC0714" w:rsidRPr="00EB59C8" w:rsidRDefault="00EC0714" w:rsidP="000E5DC6">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14" w:rsidRPr="000A15AE" w:rsidRDefault="00EC0714" w:rsidP="000E5DC6">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2B52"/>
    <w:multiLevelType w:val="hybridMultilevel"/>
    <w:tmpl w:val="5968595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200B7"/>
    <w:multiLevelType w:val="hybridMultilevel"/>
    <w:tmpl w:val="001C8E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104C0"/>
    <w:rsid w:val="00016417"/>
    <w:rsid w:val="00035588"/>
    <w:rsid w:val="00035EB6"/>
    <w:rsid w:val="00057135"/>
    <w:rsid w:val="00061294"/>
    <w:rsid w:val="00063974"/>
    <w:rsid w:val="00076195"/>
    <w:rsid w:val="00081D2D"/>
    <w:rsid w:val="00086245"/>
    <w:rsid w:val="000A6E4B"/>
    <w:rsid w:val="000D2788"/>
    <w:rsid w:val="000D325C"/>
    <w:rsid w:val="000D3B0D"/>
    <w:rsid w:val="000E5DC6"/>
    <w:rsid w:val="00112660"/>
    <w:rsid w:val="001127A8"/>
    <w:rsid w:val="00121C88"/>
    <w:rsid w:val="001606A1"/>
    <w:rsid w:val="00165539"/>
    <w:rsid w:val="00170D2B"/>
    <w:rsid w:val="00187F84"/>
    <w:rsid w:val="001B00E7"/>
    <w:rsid w:val="001C1B1A"/>
    <w:rsid w:val="00200898"/>
    <w:rsid w:val="0020258D"/>
    <w:rsid w:val="002051E5"/>
    <w:rsid w:val="00212894"/>
    <w:rsid w:val="002275A3"/>
    <w:rsid w:val="0024167E"/>
    <w:rsid w:val="002421F2"/>
    <w:rsid w:val="00270528"/>
    <w:rsid w:val="00273F9D"/>
    <w:rsid w:val="00275CEE"/>
    <w:rsid w:val="002B38AD"/>
    <w:rsid w:val="002C105A"/>
    <w:rsid w:val="002C667E"/>
    <w:rsid w:val="002D0F9F"/>
    <w:rsid w:val="002D1877"/>
    <w:rsid w:val="002D4617"/>
    <w:rsid w:val="002F1F18"/>
    <w:rsid w:val="00317B90"/>
    <w:rsid w:val="00317C5C"/>
    <w:rsid w:val="00320BD3"/>
    <w:rsid w:val="00333C29"/>
    <w:rsid w:val="00354F24"/>
    <w:rsid w:val="00380925"/>
    <w:rsid w:val="0038160C"/>
    <w:rsid w:val="0038622A"/>
    <w:rsid w:val="003C4E2E"/>
    <w:rsid w:val="003C7009"/>
    <w:rsid w:val="003F1905"/>
    <w:rsid w:val="003F38C9"/>
    <w:rsid w:val="00406F4F"/>
    <w:rsid w:val="00410639"/>
    <w:rsid w:val="004445CD"/>
    <w:rsid w:val="00450D39"/>
    <w:rsid w:val="00472FA4"/>
    <w:rsid w:val="00475828"/>
    <w:rsid w:val="004864EC"/>
    <w:rsid w:val="00487203"/>
    <w:rsid w:val="0048748F"/>
    <w:rsid w:val="004A5202"/>
    <w:rsid w:val="004F29C6"/>
    <w:rsid w:val="005005EC"/>
    <w:rsid w:val="00534E88"/>
    <w:rsid w:val="00551F40"/>
    <w:rsid w:val="00574AC6"/>
    <w:rsid w:val="005A54C2"/>
    <w:rsid w:val="005C356E"/>
    <w:rsid w:val="005E1E06"/>
    <w:rsid w:val="005E625F"/>
    <w:rsid w:val="005E643B"/>
    <w:rsid w:val="0065543A"/>
    <w:rsid w:val="00671FA3"/>
    <w:rsid w:val="00687AF4"/>
    <w:rsid w:val="00690CD7"/>
    <w:rsid w:val="006B10B4"/>
    <w:rsid w:val="006B3BBD"/>
    <w:rsid w:val="006B5786"/>
    <w:rsid w:val="006D009B"/>
    <w:rsid w:val="006D494B"/>
    <w:rsid w:val="006E45EC"/>
    <w:rsid w:val="006E6475"/>
    <w:rsid w:val="006E700F"/>
    <w:rsid w:val="006F3136"/>
    <w:rsid w:val="0070661B"/>
    <w:rsid w:val="00720602"/>
    <w:rsid w:val="007246BD"/>
    <w:rsid w:val="007430EC"/>
    <w:rsid w:val="00743442"/>
    <w:rsid w:val="00757969"/>
    <w:rsid w:val="00763FC9"/>
    <w:rsid w:val="00771118"/>
    <w:rsid w:val="007D1519"/>
    <w:rsid w:val="007D23B4"/>
    <w:rsid w:val="007D4D64"/>
    <w:rsid w:val="007D5748"/>
    <w:rsid w:val="007D655F"/>
    <w:rsid w:val="007F5073"/>
    <w:rsid w:val="007F5362"/>
    <w:rsid w:val="00814961"/>
    <w:rsid w:val="008304C4"/>
    <w:rsid w:val="00834919"/>
    <w:rsid w:val="00836752"/>
    <w:rsid w:val="008407B7"/>
    <w:rsid w:val="0084472E"/>
    <w:rsid w:val="0085592A"/>
    <w:rsid w:val="00897DC8"/>
    <w:rsid w:val="008D339D"/>
    <w:rsid w:val="008E2736"/>
    <w:rsid w:val="00905812"/>
    <w:rsid w:val="009706B7"/>
    <w:rsid w:val="0097521F"/>
    <w:rsid w:val="00982F5F"/>
    <w:rsid w:val="0099324B"/>
    <w:rsid w:val="009A1B46"/>
    <w:rsid w:val="009C3FD7"/>
    <w:rsid w:val="009D1747"/>
    <w:rsid w:val="00A132BD"/>
    <w:rsid w:val="00A32C7F"/>
    <w:rsid w:val="00A60E42"/>
    <w:rsid w:val="00A72A60"/>
    <w:rsid w:val="00A942AE"/>
    <w:rsid w:val="00A953D1"/>
    <w:rsid w:val="00AD7F5D"/>
    <w:rsid w:val="00AF7DE2"/>
    <w:rsid w:val="00B1420F"/>
    <w:rsid w:val="00B40CB7"/>
    <w:rsid w:val="00B5535C"/>
    <w:rsid w:val="00B71391"/>
    <w:rsid w:val="00B87002"/>
    <w:rsid w:val="00C13CFC"/>
    <w:rsid w:val="00C15212"/>
    <w:rsid w:val="00C16C43"/>
    <w:rsid w:val="00C23BC0"/>
    <w:rsid w:val="00C51FD4"/>
    <w:rsid w:val="00CA049E"/>
    <w:rsid w:val="00CA2D46"/>
    <w:rsid w:val="00CB3623"/>
    <w:rsid w:val="00CE299A"/>
    <w:rsid w:val="00CF22F5"/>
    <w:rsid w:val="00CF31C0"/>
    <w:rsid w:val="00D4667E"/>
    <w:rsid w:val="00D57757"/>
    <w:rsid w:val="00D716D8"/>
    <w:rsid w:val="00DC6B7C"/>
    <w:rsid w:val="00DD6177"/>
    <w:rsid w:val="00DE0348"/>
    <w:rsid w:val="00DE5BF1"/>
    <w:rsid w:val="00DF7ED1"/>
    <w:rsid w:val="00E07CE9"/>
    <w:rsid w:val="00E259F3"/>
    <w:rsid w:val="00E512A9"/>
    <w:rsid w:val="00E93A5F"/>
    <w:rsid w:val="00E963A3"/>
    <w:rsid w:val="00EA1E90"/>
    <w:rsid w:val="00EB120A"/>
    <w:rsid w:val="00EB75AD"/>
    <w:rsid w:val="00EC0714"/>
    <w:rsid w:val="00F26D22"/>
    <w:rsid w:val="00F27FDA"/>
    <w:rsid w:val="00F40136"/>
    <w:rsid w:val="00F4494B"/>
    <w:rsid w:val="00F55DF9"/>
    <w:rsid w:val="00F606B1"/>
    <w:rsid w:val="00F61529"/>
    <w:rsid w:val="00F73065"/>
    <w:rsid w:val="00F80140"/>
    <w:rsid w:val="00F8401E"/>
    <w:rsid w:val="00F93C38"/>
    <w:rsid w:val="00FA2619"/>
    <w:rsid w:val="00FA2887"/>
    <w:rsid w:val="00FB0D87"/>
    <w:rsid w:val="00FD5AC7"/>
    <w:rsid w:val="00FF0A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character" w:styleId="Hypertextovprepojenie">
    <w:name w:val="Hyperlink"/>
    <w:basedOn w:val="Predvolenpsmoodseku"/>
    <w:uiPriority w:val="99"/>
    <w:unhideWhenUsed/>
    <w:rsid w:val="00A72A60"/>
    <w:rPr>
      <w:color w:val="0563C1"/>
      <w:u w:val="single"/>
    </w:rPr>
  </w:style>
  <w:style w:type="paragraph" w:styleId="Odsekzoznamu">
    <w:name w:val="List Paragraph"/>
    <w:basedOn w:val="Normlny"/>
    <w:uiPriority w:val="34"/>
    <w:qFormat/>
    <w:rsid w:val="00A72A60"/>
    <w:pPr>
      <w:spacing w:after="160" w:line="252" w:lineRule="auto"/>
      <w:ind w:left="720"/>
      <w:contextualSpacing/>
    </w:pPr>
    <w:rPr>
      <w:rFonts w:ascii="Calibri" w:hAnsi="Calibri" w:cs="Calibri"/>
    </w:rPr>
  </w:style>
  <w:style w:type="table" w:styleId="Mriekatabuky">
    <w:name w:val="Table Grid"/>
    <w:basedOn w:val="Normlnatabuka"/>
    <w:uiPriority w:val="39"/>
    <w:rsid w:val="00061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F5073"/>
    <w:rPr>
      <w:sz w:val="16"/>
      <w:szCs w:val="16"/>
    </w:rPr>
  </w:style>
  <w:style w:type="paragraph" w:styleId="Textkomentra">
    <w:name w:val="annotation text"/>
    <w:basedOn w:val="Normlny"/>
    <w:link w:val="TextkomentraChar"/>
    <w:uiPriority w:val="99"/>
    <w:semiHidden/>
    <w:unhideWhenUsed/>
    <w:rsid w:val="007F5073"/>
    <w:pPr>
      <w:spacing w:line="240" w:lineRule="auto"/>
    </w:pPr>
    <w:rPr>
      <w:sz w:val="20"/>
      <w:szCs w:val="20"/>
    </w:rPr>
  </w:style>
  <w:style w:type="character" w:customStyle="1" w:styleId="TextkomentraChar">
    <w:name w:val="Text komentára Char"/>
    <w:basedOn w:val="Predvolenpsmoodseku"/>
    <w:link w:val="Textkomentra"/>
    <w:uiPriority w:val="99"/>
    <w:semiHidden/>
    <w:rsid w:val="007F5073"/>
    <w:rPr>
      <w:sz w:val="20"/>
      <w:szCs w:val="20"/>
    </w:rPr>
  </w:style>
  <w:style w:type="paragraph" w:styleId="Predmetkomentra">
    <w:name w:val="annotation subject"/>
    <w:basedOn w:val="Textkomentra"/>
    <w:next w:val="Textkomentra"/>
    <w:link w:val="PredmetkomentraChar"/>
    <w:uiPriority w:val="99"/>
    <w:semiHidden/>
    <w:unhideWhenUsed/>
    <w:rsid w:val="007F5073"/>
    <w:rPr>
      <w:b/>
      <w:bCs/>
    </w:rPr>
  </w:style>
  <w:style w:type="character" w:customStyle="1" w:styleId="PredmetkomentraChar">
    <w:name w:val="Predmet komentára Char"/>
    <w:basedOn w:val="TextkomentraChar"/>
    <w:link w:val="Predmetkomentra"/>
    <w:uiPriority w:val="99"/>
    <w:semiHidden/>
    <w:rsid w:val="007F5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929743">
      <w:bodyDiv w:val="1"/>
      <w:marLeft w:val="0"/>
      <w:marRight w:val="0"/>
      <w:marTop w:val="0"/>
      <w:marBottom w:val="0"/>
      <w:divBdr>
        <w:top w:val="none" w:sz="0" w:space="0" w:color="auto"/>
        <w:left w:val="none" w:sz="0" w:space="0" w:color="auto"/>
        <w:bottom w:val="none" w:sz="0" w:space="0" w:color="auto"/>
        <w:right w:val="none" w:sz="0" w:space="0" w:color="auto"/>
      </w:divBdr>
    </w:div>
    <w:div w:id="17574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z.gov.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dolozka-vybranych-vplyvov_rozpocet"/>
    <f:field ref="objsubject" par="" edit="true" text=""/>
    <f:field ref="objcreatedby" par="" text="Smažáková, Janette"/>
    <f:field ref="objcreatedat" par="" text="7.5.2019 17:29:24"/>
    <f:field ref="objchangedby" par="" text="Administrator, System"/>
    <f:field ref="objmodifiedat" par="" text="7.5.2019 17:29: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6FABEBF-16DC-4BC7-AE88-DD9D2280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2264</Words>
  <Characters>12905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2019-06-28T07:17:00Z</dcterms:created>
  <dcterms:modified xsi:type="dcterms:W3CDTF">2019-08-20T14:25:00Z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prostredie_x000d_
Odpady, nakladanie s odpadmi</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7408/2019-9.1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LP/2019/350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  </vt:lpwstr>
  </property>
  <property fmtid="{D5CDD505-2E9C-101B-9397-08002B2CF9AE}" pid="4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vt:lpwstr>
  </property>
  <property fmtid="{D5CDD505-2E9C-101B-9397-08002B2CF9AE}" pid="52" name="FSC#SKEDITIONSLOVLEX@103.510:AttrStrListDocPropLehotaPrebratieSmernice">
    <vt:lpwstr>-	5. júl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5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11. 4. 2019</vt:lpwstr>
  </property>
  <property fmtid="{D5CDD505-2E9C-101B-9397-08002B2CF9AE}" pid="59" name="FSC#SKEDITIONSLOVLEX@103.510:AttrDateDocPropUkonceniePKK">
    <vt:lpwstr>26. 4. 2019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6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6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50" name="FSC#SKEDITIONSLOVLEX@103.510:vytvorenedna">
    <vt:lpwstr>7. 5. 2019</vt:lpwstr>
  </property>
  <property fmtid="{D5CDD505-2E9C-101B-9397-08002B2CF9AE}" pid="151" name="FSC#COOSYSTEM@1.1:Container">
    <vt:lpwstr>COO.2145.1000.3.3349490</vt:lpwstr>
  </property>
  <property fmtid="{D5CDD505-2E9C-101B-9397-08002B2CF9AE}" pid="152" name="FSC#FSCFOLIO@1.1001:docpropproject">
    <vt:lpwstr/>
  </property>
</Properties>
</file>